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4C8F1">
      <w:pPr>
        <w:spacing w:line="360" w:lineRule="auto"/>
        <w:jc w:val="center"/>
        <w:rPr>
          <w:rFonts w:hint="eastAsia" w:ascii="方正小标宋简体" w:hAnsi="宋体" w:eastAsia="方正小标宋简体"/>
          <w:color w:val="auto"/>
          <w:sz w:val="52"/>
          <w:szCs w:val="52"/>
          <w:highlight w:val="none"/>
        </w:rPr>
      </w:pPr>
    </w:p>
    <w:p w14:paraId="72367357">
      <w:pPr>
        <w:spacing w:line="360" w:lineRule="auto"/>
        <w:jc w:val="center"/>
        <w:rPr>
          <w:rFonts w:ascii="方正小标宋简体" w:hAnsi="宋体" w:eastAsia="方正小标宋简体"/>
          <w:color w:val="auto"/>
          <w:sz w:val="52"/>
          <w:szCs w:val="52"/>
          <w:highlight w:val="none"/>
        </w:rPr>
      </w:pPr>
      <w:r>
        <w:rPr>
          <w:rFonts w:hint="eastAsia" w:ascii="方正小标宋简体" w:hAnsi="宋体" w:eastAsia="方正小标宋简体"/>
          <w:color w:val="auto"/>
          <w:sz w:val="52"/>
          <w:szCs w:val="52"/>
          <w:highlight w:val="none"/>
        </w:rPr>
        <w:t>云之龙咨询集团有限公司</w:t>
      </w:r>
    </w:p>
    <w:p w14:paraId="6299B34C">
      <w:pPr>
        <w:spacing w:before="120" w:beforeLines="50" w:line="360" w:lineRule="auto"/>
        <w:jc w:val="center"/>
        <w:rPr>
          <w:rFonts w:ascii="宋体" w:hAnsi="宋体"/>
          <w:color w:val="auto"/>
          <w:sz w:val="52"/>
          <w:szCs w:val="52"/>
          <w:highlight w:val="none"/>
        </w:rPr>
      </w:pPr>
    </w:p>
    <w:p w14:paraId="1E45B921">
      <w:pPr>
        <w:spacing w:line="360" w:lineRule="auto"/>
        <w:rPr>
          <w:rFonts w:ascii="仿宋_GB2312" w:hAnsi="宋体" w:eastAsia="仿宋_GB2312"/>
          <w:b/>
          <w:color w:val="auto"/>
          <w:sz w:val="48"/>
          <w:szCs w:val="48"/>
          <w:highlight w:val="none"/>
        </w:rPr>
      </w:pPr>
    </w:p>
    <w:p w14:paraId="51B77A70">
      <w:pPr>
        <w:snapToGrid w:val="0"/>
        <w:spacing w:before="120" w:beforeLines="50" w:line="360" w:lineRule="auto"/>
        <w:jc w:val="center"/>
        <w:rPr>
          <w:rFonts w:ascii="华文新魏" w:hAnsi="宋体" w:eastAsia="华文新魏"/>
          <w:color w:val="auto"/>
          <w:sz w:val="120"/>
          <w:szCs w:val="120"/>
          <w:highlight w:val="none"/>
        </w:rPr>
      </w:pPr>
      <w:r>
        <w:rPr>
          <w:rFonts w:hint="eastAsia" w:ascii="华文新魏" w:hAnsi="宋体" w:eastAsia="华文新魏"/>
          <w:color w:val="auto"/>
          <w:sz w:val="120"/>
          <w:szCs w:val="120"/>
          <w:highlight w:val="none"/>
        </w:rPr>
        <w:t>招 标 文 件</w:t>
      </w:r>
    </w:p>
    <w:p w14:paraId="33998978">
      <w:pPr>
        <w:snapToGrid w:val="0"/>
        <w:spacing w:before="120" w:beforeLines="50" w:line="360" w:lineRule="auto"/>
        <w:jc w:val="center"/>
        <w:rPr>
          <w:rFonts w:ascii="仿宋_GB2312" w:hAnsi="宋体" w:eastAsia="仿宋_GB2312"/>
          <w:b/>
          <w:color w:val="auto"/>
          <w:sz w:val="48"/>
          <w:szCs w:val="48"/>
          <w:highlight w:val="none"/>
        </w:rPr>
      </w:pPr>
      <w:r>
        <w:rPr>
          <w:rFonts w:hint="eastAsia" w:ascii="仿宋_GB2312" w:hAnsi="宋体" w:eastAsia="仿宋_GB2312"/>
          <w:b/>
          <w:color w:val="auto"/>
          <w:sz w:val="48"/>
          <w:szCs w:val="48"/>
          <w:highlight w:val="none"/>
        </w:rPr>
        <w:t>（全流程电子化采购-远程异地评标）</w:t>
      </w:r>
    </w:p>
    <w:p w14:paraId="606B3911">
      <w:pPr>
        <w:snapToGrid w:val="0"/>
        <w:spacing w:line="360" w:lineRule="auto"/>
        <w:rPr>
          <w:rFonts w:ascii="仿宋_GB2312" w:hAnsi="宋体" w:eastAsia="仿宋_GB2312"/>
          <w:color w:val="auto"/>
          <w:sz w:val="30"/>
          <w:szCs w:val="72"/>
          <w:highlight w:val="none"/>
        </w:rPr>
      </w:pPr>
    </w:p>
    <w:p w14:paraId="768BE56B">
      <w:pPr>
        <w:snapToGrid w:val="0"/>
        <w:spacing w:line="360" w:lineRule="auto"/>
        <w:rPr>
          <w:rFonts w:ascii="仿宋_GB2312" w:hAnsi="宋体" w:eastAsia="仿宋_GB2312" w:cs="Courier New"/>
          <w:b/>
          <w:bCs/>
          <w:color w:val="auto"/>
          <w:w w:val="95"/>
          <w:sz w:val="30"/>
          <w:szCs w:val="30"/>
          <w:highlight w:val="none"/>
        </w:rPr>
      </w:pPr>
      <w:r>
        <w:rPr>
          <w:rFonts w:hint="eastAsia" w:ascii="仿宋_GB2312" w:hAnsi="宋体" w:eastAsia="仿宋_GB2312" w:cs="Courier New"/>
          <w:b/>
          <w:bCs/>
          <w:color w:val="auto"/>
          <w:w w:val="95"/>
          <w:sz w:val="30"/>
          <w:szCs w:val="30"/>
          <w:highlight w:val="none"/>
        </w:rPr>
        <w:t>项目名称：全自动染色封片一体机等医疗设备采购（一期）（重2）</w:t>
      </w:r>
    </w:p>
    <w:p w14:paraId="47D4166A">
      <w:pPr>
        <w:snapToGrid w:val="0"/>
        <w:spacing w:line="360" w:lineRule="auto"/>
        <w:ind w:firstLine="1145" w:firstLineChars="400"/>
        <w:rPr>
          <w:rFonts w:ascii="仿宋_GB2312" w:hAnsi="宋体" w:eastAsia="仿宋_GB2312"/>
          <w:color w:val="auto"/>
          <w:sz w:val="30"/>
          <w:szCs w:val="72"/>
          <w:highlight w:val="none"/>
        </w:rPr>
      </w:pPr>
      <w:r>
        <w:rPr>
          <w:rFonts w:hint="eastAsia" w:ascii="仿宋_GB2312" w:hAnsi="宋体" w:eastAsia="仿宋_GB2312" w:cs="Courier New"/>
          <w:b/>
          <w:bCs/>
          <w:color w:val="auto"/>
          <w:w w:val="95"/>
          <w:sz w:val="30"/>
          <w:szCs w:val="30"/>
          <w:highlight w:val="none"/>
        </w:rPr>
        <w:t>项目编号： WZZC2026-G1-220023-YZLZ</w:t>
      </w:r>
      <w:r>
        <w:rPr>
          <w:rFonts w:hint="eastAsia" w:ascii="仿宋_GB2312" w:hAnsi="宋体" w:eastAsia="仿宋_GB2312"/>
          <w:b/>
          <w:color w:val="auto"/>
          <w:sz w:val="30"/>
          <w:szCs w:val="48"/>
          <w:highlight w:val="none"/>
        </w:rPr>
        <w:t xml:space="preserve"> </w:t>
      </w:r>
    </w:p>
    <w:p w14:paraId="3B656FB9">
      <w:pPr>
        <w:pStyle w:val="24"/>
        <w:snapToGrid w:val="0"/>
        <w:spacing w:line="360" w:lineRule="auto"/>
        <w:ind w:firstLine="1125" w:firstLineChars="393"/>
        <w:rPr>
          <w:rFonts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 购 人：藤县人民医院</w:t>
      </w:r>
    </w:p>
    <w:p w14:paraId="7FCE9C92">
      <w:pPr>
        <w:pStyle w:val="24"/>
        <w:snapToGrid w:val="0"/>
        <w:spacing w:line="360" w:lineRule="auto"/>
        <w:ind w:firstLine="1125" w:firstLineChars="393"/>
        <w:rPr>
          <w:rFonts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采购代理机构：云之龙咨询集团有限公司</w:t>
      </w:r>
    </w:p>
    <w:p w14:paraId="601122CC">
      <w:pPr>
        <w:pStyle w:val="24"/>
        <w:snapToGrid w:val="0"/>
        <w:spacing w:line="360" w:lineRule="auto"/>
        <w:ind w:firstLine="1125" w:firstLineChars="393"/>
        <w:rPr>
          <w:rFonts w:ascii="仿宋_GB2312" w:hAnsi="宋体" w:eastAsia="仿宋_GB2312"/>
          <w:b/>
          <w:bCs/>
          <w:color w:val="auto"/>
          <w:w w:val="95"/>
          <w:sz w:val="30"/>
          <w:szCs w:val="30"/>
          <w:highlight w:val="none"/>
        </w:rPr>
      </w:pPr>
    </w:p>
    <w:p w14:paraId="01C501E8">
      <w:pPr>
        <w:pStyle w:val="24"/>
        <w:snapToGrid w:val="0"/>
        <w:spacing w:line="360" w:lineRule="auto"/>
        <w:ind w:firstLine="1125" w:firstLineChars="393"/>
        <w:rPr>
          <w:rFonts w:ascii="仿宋_GB2312" w:hAnsi="宋体" w:eastAsia="仿宋_GB2312"/>
          <w:b/>
          <w:bCs/>
          <w:color w:val="auto"/>
          <w:w w:val="95"/>
          <w:sz w:val="30"/>
          <w:szCs w:val="30"/>
          <w:highlight w:val="none"/>
        </w:rPr>
      </w:pPr>
    </w:p>
    <w:p w14:paraId="17C6B9C9">
      <w:pPr>
        <w:pStyle w:val="24"/>
        <w:snapToGrid w:val="0"/>
        <w:spacing w:line="360" w:lineRule="auto"/>
        <w:ind w:firstLine="841" w:firstLineChars="294"/>
        <w:rPr>
          <w:rFonts w:ascii="仿宋_GB2312" w:eastAsia="仿宋_GB2312"/>
          <w:color w:val="auto"/>
          <w:szCs w:val="20"/>
          <w:highlight w:val="none"/>
        </w:rPr>
      </w:pPr>
      <w:r>
        <w:rPr>
          <w:rFonts w:hint="eastAsia" w:ascii="仿宋_GB2312" w:hAnsi="宋体" w:eastAsia="仿宋_GB2312"/>
          <w:b/>
          <w:bCs/>
          <w:color w:val="auto"/>
          <w:w w:val="95"/>
          <w:sz w:val="30"/>
          <w:szCs w:val="30"/>
          <w:highlight w:val="none"/>
        </w:rPr>
        <w:t xml:space="preserve">               2026年</w:t>
      </w:r>
      <w:r>
        <w:rPr>
          <w:rFonts w:hint="eastAsia" w:ascii="仿宋_GB2312" w:hAnsi="宋体" w:eastAsia="仿宋_GB2312"/>
          <w:b/>
          <w:bCs/>
          <w:color w:val="auto"/>
          <w:w w:val="95"/>
          <w:sz w:val="30"/>
          <w:szCs w:val="30"/>
          <w:highlight w:val="none"/>
          <w:lang w:val="en-US" w:eastAsia="zh-CN"/>
        </w:rPr>
        <w:t>4</w:t>
      </w:r>
      <w:r>
        <w:rPr>
          <w:rFonts w:hint="eastAsia" w:ascii="仿宋_GB2312" w:hAnsi="宋体" w:eastAsia="仿宋_GB2312"/>
          <w:b/>
          <w:bCs/>
          <w:color w:val="auto"/>
          <w:w w:val="95"/>
          <w:sz w:val="30"/>
          <w:szCs w:val="30"/>
          <w:highlight w:val="none"/>
        </w:rPr>
        <w:t>月</w:t>
      </w:r>
      <w:r>
        <w:rPr>
          <w:rFonts w:hint="eastAsia" w:ascii="仿宋_GB2312" w:hAnsi="宋体" w:eastAsia="仿宋_GB2312"/>
          <w:b/>
          <w:bCs/>
          <w:color w:val="auto"/>
          <w:w w:val="95"/>
          <w:sz w:val="30"/>
          <w:szCs w:val="30"/>
          <w:highlight w:val="none"/>
          <w:lang w:val="en-US" w:eastAsia="zh-CN"/>
        </w:rPr>
        <w:t>2</w:t>
      </w:r>
      <w:r>
        <w:rPr>
          <w:rFonts w:hint="eastAsia" w:ascii="仿宋_GB2312" w:hAnsi="宋体" w:eastAsia="仿宋_GB2312"/>
          <w:b/>
          <w:bCs/>
          <w:color w:val="auto"/>
          <w:w w:val="95"/>
          <w:sz w:val="30"/>
          <w:szCs w:val="30"/>
          <w:highlight w:val="none"/>
        </w:rPr>
        <w:t>日</w:t>
      </w:r>
    </w:p>
    <w:p w14:paraId="25B0789C">
      <w:pPr>
        <w:pStyle w:val="15"/>
        <w:ind w:firstLine="803"/>
        <w:jc w:val="center"/>
        <w:rPr>
          <w:rFonts w:ascii="仿宋_GB2312" w:hAnsi="宋体" w:eastAsia="仿宋_GB2312"/>
          <w:color w:val="auto"/>
          <w:highlight w:val="none"/>
        </w:rPr>
      </w:pPr>
      <w:r>
        <w:rPr>
          <w:rFonts w:ascii="Arial" w:hAnsi="Arial" w:eastAsia="黑体"/>
          <w:bCs/>
          <w:color w:val="auto"/>
          <w:kern w:val="0"/>
          <w:sz w:val="32"/>
          <w:szCs w:val="32"/>
          <w:highlight w:val="none"/>
        </w:rPr>
        <w:br w:type="page"/>
      </w:r>
    </w:p>
    <w:p w14:paraId="06B62F8C">
      <w:pP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目  录</w:t>
      </w:r>
    </w:p>
    <w:p w14:paraId="624D837B">
      <w:pPr>
        <w:pStyle w:val="33"/>
        <w:rPr>
          <w:rFonts w:ascii="Calibri" w:hAnsi="Calibri"/>
          <w:b w:val="0"/>
          <w:bCs w:val="0"/>
          <w:caps w:val="0"/>
          <w:color w:val="auto"/>
          <w:sz w:val="21"/>
          <w:szCs w:val="22"/>
          <w:highlight w:val="none"/>
        </w:rPr>
      </w:pPr>
      <w:r>
        <w:rPr>
          <w:rFonts w:ascii="仿宋_GB2312" w:eastAsia="仿宋_GB2312"/>
          <w:b w:val="0"/>
          <w:color w:val="auto"/>
          <w:highlight w:val="none"/>
        </w:rPr>
        <w:fldChar w:fldCharType="begin"/>
      </w:r>
      <w:r>
        <w:rPr>
          <w:rFonts w:ascii="仿宋_GB2312" w:eastAsia="仿宋_GB2312"/>
          <w:b w:val="0"/>
          <w:color w:val="auto"/>
          <w:highlight w:val="none"/>
        </w:rPr>
        <w:instrText xml:space="preserve"> </w:instrText>
      </w:r>
      <w:r>
        <w:rPr>
          <w:rFonts w:hint="eastAsia" w:ascii="仿宋_GB2312" w:eastAsia="仿宋_GB2312"/>
          <w:b w:val="0"/>
          <w:color w:val="auto"/>
          <w:highlight w:val="none"/>
        </w:rPr>
        <w:instrText xml:space="preserve">TOC \o "1-2" \h \z \u</w:instrText>
      </w:r>
      <w:r>
        <w:rPr>
          <w:rFonts w:ascii="仿宋_GB2312" w:eastAsia="仿宋_GB2312"/>
          <w:b w:val="0"/>
          <w:color w:val="auto"/>
          <w:highlight w:val="none"/>
        </w:rPr>
        <w:instrText xml:space="preserve"> </w:instrText>
      </w:r>
      <w:r>
        <w:rPr>
          <w:rFonts w:ascii="仿宋_GB2312" w:eastAsia="仿宋_GB2312"/>
          <w:b w:val="0"/>
          <w:color w:val="auto"/>
          <w:highlight w:val="none"/>
        </w:rPr>
        <w:fldChar w:fldCharType="separate"/>
      </w:r>
      <w:r>
        <w:rPr>
          <w:color w:val="auto"/>
          <w:highlight w:val="none"/>
        </w:rPr>
        <w:fldChar w:fldCharType="begin"/>
      </w:r>
      <w:r>
        <w:rPr>
          <w:color w:val="auto"/>
          <w:highlight w:val="none"/>
        </w:rPr>
        <w:instrText xml:space="preserve"> HYPERLINK \l "_Toc74320800" </w:instrText>
      </w:r>
      <w:r>
        <w:rPr>
          <w:color w:val="auto"/>
          <w:highlight w:val="none"/>
        </w:rPr>
        <w:fldChar w:fldCharType="separate"/>
      </w:r>
      <w:r>
        <w:rPr>
          <w:rStyle w:val="56"/>
          <w:rFonts w:hint="eastAsia"/>
          <w:color w:val="auto"/>
          <w:highlight w:val="none"/>
        </w:rPr>
        <w:t>第一章</w:t>
      </w:r>
      <w:r>
        <w:rPr>
          <w:rStyle w:val="56"/>
          <w:color w:val="auto"/>
          <w:highlight w:val="none"/>
        </w:rPr>
        <w:t xml:space="preserve"> </w:t>
      </w:r>
      <w:r>
        <w:rPr>
          <w:rStyle w:val="56"/>
          <w:rFonts w:hint="eastAsia"/>
          <w:color w:val="auto"/>
          <w:highlight w:val="none"/>
        </w:rPr>
        <w:t xml:space="preserve"> 招标公告</w:t>
      </w:r>
      <w:r>
        <w:rPr>
          <w:color w:val="auto"/>
          <w:highlight w:val="none"/>
        </w:rPr>
        <w:tab/>
      </w:r>
      <w:r>
        <w:rPr>
          <w:color w:val="auto"/>
          <w:highlight w:val="none"/>
        </w:rPr>
        <w:fldChar w:fldCharType="begin"/>
      </w:r>
      <w:r>
        <w:rPr>
          <w:color w:val="auto"/>
          <w:highlight w:val="none"/>
        </w:rPr>
        <w:instrText xml:space="preserve"> PAGEREF _Toc74320800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5A68D060">
      <w:pPr>
        <w:pStyle w:val="33"/>
        <w:ind w:firstLine="241"/>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"_Toc74320801" </w:instrText>
      </w:r>
      <w:r>
        <w:rPr>
          <w:color w:val="auto"/>
          <w:highlight w:val="none"/>
        </w:rPr>
        <w:fldChar w:fldCharType="separate"/>
      </w:r>
      <w:r>
        <w:rPr>
          <w:rStyle w:val="56"/>
          <w:rFonts w:hint="eastAsia"/>
          <w:color w:val="auto"/>
          <w:highlight w:val="none"/>
        </w:rPr>
        <w:t>第二章</w:t>
      </w:r>
      <w:r>
        <w:rPr>
          <w:rStyle w:val="56"/>
          <w:color w:val="auto"/>
          <w:highlight w:val="none"/>
        </w:rPr>
        <w:t xml:space="preserve">  </w:t>
      </w:r>
      <w:r>
        <w:rPr>
          <w:rStyle w:val="56"/>
          <w:rFonts w:hint="eastAsia"/>
          <w:color w:val="auto"/>
          <w:highlight w:val="none"/>
        </w:rPr>
        <w:t>采购需求</w:t>
      </w:r>
      <w:bookmarkStart w:id="0" w:name="_Hlt167096761"/>
      <w:r>
        <w:rPr>
          <w:color w:val="auto"/>
          <w:highlight w:val="none"/>
        </w:rPr>
        <w:tab/>
      </w:r>
      <w:bookmarkEnd w:id="0"/>
      <w:r>
        <w:rPr>
          <w:color w:val="auto"/>
          <w:highlight w:val="none"/>
        </w:rPr>
        <w:fldChar w:fldCharType="begin"/>
      </w:r>
      <w:r>
        <w:rPr>
          <w:color w:val="auto"/>
          <w:highlight w:val="none"/>
        </w:rPr>
        <w:instrText xml:space="preserve"> PAGEREF _Toc74320801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45F9557E">
      <w:pPr>
        <w:pStyle w:val="33"/>
        <w:ind w:firstLine="241"/>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"_Toc74320802" </w:instrText>
      </w:r>
      <w:r>
        <w:rPr>
          <w:color w:val="auto"/>
          <w:highlight w:val="none"/>
        </w:rPr>
        <w:fldChar w:fldCharType="separate"/>
      </w:r>
      <w:r>
        <w:rPr>
          <w:rStyle w:val="56"/>
          <w:rFonts w:hint="eastAsia"/>
          <w:color w:val="auto"/>
          <w:highlight w:val="none"/>
        </w:rPr>
        <w:t>第三章</w:t>
      </w:r>
      <w:r>
        <w:rPr>
          <w:rStyle w:val="56"/>
          <w:color w:val="auto"/>
          <w:highlight w:val="none"/>
        </w:rPr>
        <w:t xml:space="preserve">  </w:t>
      </w:r>
      <w:r>
        <w:rPr>
          <w:rStyle w:val="56"/>
          <w:rFonts w:hint="eastAsia"/>
          <w:color w:val="auto"/>
          <w:highlight w:val="none"/>
        </w:rPr>
        <w:t>投标人须</w:t>
      </w:r>
      <w:bookmarkStart w:id="1" w:name="_Hlt79572744"/>
      <w:bookmarkStart w:id="2" w:name="_Hlt79572745"/>
      <w:r>
        <w:rPr>
          <w:rStyle w:val="56"/>
          <w:rFonts w:hint="eastAsia"/>
          <w:color w:val="auto"/>
          <w:highlight w:val="none"/>
        </w:rPr>
        <w:t>知</w:t>
      </w:r>
      <w:bookmarkEnd w:id="1"/>
      <w:bookmarkEnd w:id="2"/>
      <w:r>
        <w:rPr>
          <w:color w:val="auto"/>
          <w:highlight w:val="none"/>
        </w:rPr>
        <w:tab/>
      </w:r>
      <w:r>
        <w:rPr>
          <w:color w:val="auto"/>
          <w:highlight w:val="none"/>
        </w:rPr>
        <w:fldChar w:fldCharType="begin"/>
      </w:r>
      <w:r>
        <w:rPr>
          <w:color w:val="auto"/>
          <w:highlight w:val="none"/>
        </w:rPr>
        <w:instrText xml:space="preserve"> PAGEREF _Toc74320802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71AC613C">
      <w:pPr>
        <w:pStyle w:val="33"/>
        <w:ind w:firstLine="241"/>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"_Toc74320803" </w:instrText>
      </w:r>
      <w:r>
        <w:rPr>
          <w:color w:val="auto"/>
          <w:highlight w:val="none"/>
        </w:rPr>
        <w:fldChar w:fldCharType="separate"/>
      </w:r>
      <w:r>
        <w:rPr>
          <w:rStyle w:val="56"/>
          <w:rFonts w:hint="eastAsia"/>
          <w:color w:val="auto"/>
          <w:highlight w:val="none"/>
        </w:rPr>
        <w:t>第四章</w:t>
      </w:r>
      <w:r>
        <w:rPr>
          <w:rStyle w:val="56"/>
          <w:color w:val="auto"/>
          <w:highlight w:val="none"/>
        </w:rPr>
        <w:t xml:space="preserve">  </w:t>
      </w:r>
      <w:r>
        <w:rPr>
          <w:rStyle w:val="56"/>
          <w:rFonts w:hint="eastAsia"/>
          <w:color w:val="auto"/>
          <w:highlight w:val="none"/>
        </w:rPr>
        <w:t>评标方</w:t>
      </w:r>
      <w:bookmarkStart w:id="3" w:name="_Hlt82186274"/>
      <w:bookmarkStart w:id="4" w:name="_Hlt82186273"/>
      <w:r>
        <w:rPr>
          <w:rStyle w:val="56"/>
          <w:rFonts w:hint="eastAsia"/>
          <w:color w:val="auto"/>
          <w:highlight w:val="none"/>
        </w:rPr>
        <w:t>法</w:t>
      </w:r>
      <w:bookmarkEnd w:id="3"/>
      <w:bookmarkEnd w:id="4"/>
      <w:r>
        <w:rPr>
          <w:rStyle w:val="56"/>
          <w:rFonts w:hint="eastAsia"/>
          <w:color w:val="auto"/>
          <w:highlight w:val="none"/>
        </w:rPr>
        <w:t>及</w:t>
      </w:r>
      <w:bookmarkStart w:id="5" w:name="_Hlt167097159"/>
      <w:bookmarkStart w:id="6" w:name="_Hlt167097184"/>
      <w:r>
        <w:rPr>
          <w:rStyle w:val="56"/>
          <w:rFonts w:hint="eastAsia"/>
          <w:color w:val="auto"/>
          <w:highlight w:val="none"/>
        </w:rPr>
        <w:t>评</w:t>
      </w:r>
      <w:bookmarkEnd w:id="5"/>
      <w:bookmarkEnd w:id="6"/>
      <w:bookmarkStart w:id="7" w:name="_Hlt167096377"/>
      <w:bookmarkStart w:id="8" w:name="_Hlt167096376"/>
      <w:r>
        <w:rPr>
          <w:rStyle w:val="56"/>
          <w:rFonts w:hint="eastAsia"/>
          <w:color w:val="auto"/>
          <w:highlight w:val="none"/>
        </w:rPr>
        <w:t>标</w:t>
      </w:r>
      <w:bookmarkEnd w:id="7"/>
      <w:bookmarkEnd w:id="8"/>
      <w:r>
        <w:rPr>
          <w:rStyle w:val="56"/>
          <w:rFonts w:hint="eastAsia"/>
          <w:color w:val="auto"/>
          <w:highlight w:val="none"/>
        </w:rPr>
        <w:t>标准</w:t>
      </w:r>
      <w:r>
        <w:rPr>
          <w:color w:val="auto"/>
          <w:highlight w:val="none"/>
        </w:rPr>
        <w:tab/>
      </w:r>
      <w:r>
        <w:rPr>
          <w:color w:val="auto"/>
          <w:highlight w:val="none"/>
        </w:rPr>
        <w:fldChar w:fldCharType="begin"/>
      </w:r>
      <w:r>
        <w:rPr>
          <w:color w:val="auto"/>
          <w:highlight w:val="none"/>
        </w:rPr>
        <w:instrText xml:space="preserve"> PAGEREF _Toc74320803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4DEB1069">
      <w:pPr>
        <w:pStyle w:val="33"/>
        <w:ind w:firstLine="241"/>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"_Toc74320804" </w:instrText>
      </w:r>
      <w:r>
        <w:rPr>
          <w:color w:val="auto"/>
          <w:highlight w:val="none"/>
        </w:rPr>
        <w:fldChar w:fldCharType="separate"/>
      </w:r>
      <w:r>
        <w:rPr>
          <w:rStyle w:val="56"/>
          <w:rFonts w:hint="eastAsia"/>
          <w:color w:val="auto"/>
          <w:highlight w:val="none"/>
        </w:rPr>
        <w:t>第五章</w:t>
      </w:r>
      <w:r>
        <w:rPr>
          <w:rStyle w:val="56"/>
          <w:color w:val="auto"/>
          <w:highlight w:val="none"/>
        </w:rPr>
        <w:t xml:space="preserve">  </w:t>
      </w:r>
      <w:r>
        <w:rPr>
          <w:rStyle w:val="56"/>
          <w:rFonts w:hint="eastAsia"/>
          <w:color w:val="auto"/>
          <w:highlight w:val="none"/>
        </w:rPr>
        <w:t>拟签订的合同文本</w:t>
      </w:r>
      <w:r>
        <w:rPr>
          <w:color w:val="auto"/>
          <w:highlight w:val="none"/>
        </w:rPr>
        <w:tab/>
      </w:r>
      <w:r>
        <w:rPr>
          <w:color w:val="auto"/>
          <w:highlight w:val="none"/>
        </w:rPr>
        <w:fldChar w:fldCharType="begin"/>
      </w:r>
      <w:r>
        <w:rPr>
          <w:color w:val="auto"/>
          <w:highlight w:val="none"/>
        </w:rPr>
        <w:instrText xml:space="preserve"> PAGEREF _Toc74320804 \h </w:instrText>
      </w:r>
      <w:r>
        <w:rPr>
          <w:color w:val="auto"/>
          <w:highlight w:val="none"/>
        </w:rPr>
        <w:fldChar w:fldCharType="separate"/>
      </w:r>
      <w:r>
        <w:rPr>
          <w:color w:val="auto"/>
          <w:highlight w:val="none"/>
        </w:rPr>
        <w:t>62</w:t>
      </w:r>
      <w:r>
        <w:rPr>
          <w:color w:val="auto"/>
          <w:highlight w:val="none"/>
        </w:rPr>
        <w:fldChar w:fldCharType="end"/>
      </w:r>
      <w:r>
        <w:rPr>
          <w:color w:val="auto"/>
          <w:highlight w:val="none"/>
        </w:rPr>
        <w:fldChar w:fldCharType="end"/>
      </w:r>
    </w:p>
    <w:p w14:paraId="04B01549">
      <w:pPr>
        <w:pStyle w:val="33"/>
        <w:ind w:firstLine="241"/>
        <w:rPr>
          <w:rFonts w:ascii="Calibri" w:hAnsi="Calibri"/>
          <w:b w:val="0"/>
          <w:bCs w:val="0"/>
          <w:caps w:val="0"/>
          <w:color w:val="auto"/>
          <w:sz w:val="21"/>
          <w:szCs w:val="22"/>
          <w:highlight w:val="none"/>
        </w:rPr>
      </w:pPr>
      <w:r>
        <w:rPr>
          <w:color w:val="auto"/>
          <w:highlight w:val="none"/>
        </w:rPr>
        <w:fldChar w:fldCharType="begin"/>
      </w:r>
      <w:r>
        <w:rPr>
          <w:color w:val="auto"/>
          <w:highlight w:val="none"/>
        </w:rPr>
        <w:instrText xml:space="preserve"> HYPERLINK \l "_Toc74320805" </w:instrText>
      </w:r>
      <w:r>
        <w:rPr>
          <w:color w:val="auto"/>
          <w:highlight w:val="none"/>
        </w:rPr>
        <w:fldChar w:fldCharType="separate"/>
      </w:r>
      <w:r>
        <w:rPr>
          <w:rStyle w:val="56"/>
          <w:rFonts w:hint="eastAsia"/>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_Toc74320805 \h </w:instrText>
      </w:r>
      <w:r>
        <w:rPr>
          <w:color w:val="auto"/>
          <w:highlight w:val="none"/>
        </w:rPr>
        <w:fldChar w:fldCharType="separate"/>
      </w:r>
      <w:r>
        <w:rPr>
          <w:color w:val="auto"/>
          <w:highlight w:val="none"/>
        </w:rPr>
        <w:t>71</w:t>
      </w:r>
      <w:r>
        <w:rPr>
          <w:color w:val="auto"/>
          <w:highlight w:val="none"/>
        </w:rPr>
        <w:fldChar w:fldCharType="end"/>
      </w:r>
      <w:r>
        <w:rPr>
          <w:color w:val="auto"/>
          <w:highlight w:val="none"/>
        </w:rPr>
        <w:fldChar w:fldCharType="end"/>
      </w:r>
    </w:p>
    <w:p w14:paraId="244196B7">
      <w:pPr>
        <w:spacing w:before="120" w:beforeLines="50" w:line="480" w:lineRule="exact"/>
        <w:rPr>
          <w:rFonts w:ascii="仿宋_GB2312" w:hAnsi="宋体" w:eastAsia="仿宋_GB2312"/>
          <w:color w:val="auto"/>
          <w:sz w:val="24"/>
          <w:highlight w:val="none"/>
        </w:rPr>
      </w:pPr>
      <w:r>
        <w:rPr>
          <w:rFonts w:ascii="仿宋_GB2312" w:hAnsi="宋体" w:eastAsia="仿宋_GB2312"/>
          <w:b/>
          <w:color w:val="auto"/>
          <w:sz w:val="24"/>
          <w:highlight w:val="none"/>
        </w:rPr>
        <w:fldChar w:fldCharType="end"/>
      </w:r>
    </w:p>
    <w:p w14:paraId="2AA63569">
      <w:pPr>
        <w:spacing w:before="120" w:beforeLines="50" w:line="480" w:lineRule="exact"/>
        <w:rPr>
          <w:rFonts w:ascii="仿宋_GB2312" w:hAnsi="宋体" w:eastAsia="仿宋_GB2312"/>
          <w:color w:val="auto"/>
          <w:sz w:val="30"/>
          <w:highlight w:val="none"/>
        </w:rPr>
      </w:pPr>
    </w:p>
    <w:p w14:paraId="49EACC0E">
      <w:pPr>
        <w:rPr>
          <w:color w:val="auto"/>
          <w:highlight w:val="none"/>
        </w:rPr>
      </w:pPr>
    </w:p>
    <w:p w14:paraId="11896D68">
      <w:pPr>
        <w:spacing w:before="120" w:beforeLines="50" w:line="480" w:lineRule="exact"/>
        <w:rPr>
          <w:rFonts w:ascii="仿宋_GB2312" w:hAnsi="宋体" w:eastAsia="仿宋_GB2312"/>
          <w:color w:val="auto"/>
          <w:sz w:val="30"/>
          <w:highlight w:val="none"/>
        </w:rPr>
      </w:pPr>
    </w:p>
    <w:p w14:paraId="1C70F66D">
      <w:pPr>
        <w:spacing w:before="120" w:beforeLines="50" w:line="480" w:lineRule="exact"/>
        <w:rPr>
          <w:rFonts w:ascii="仿宋_GB2312" w:hAnsi="宋体" w:eastAsia="仿宋_GB2312"/>
          <w:color w:val="auto"/>
          <w:sz w:val="30"/>
          <w:highlight w:val="none"/>
        </w:rPr>
      </w:pPr>
    </w:p>
    <w:p w14:paraId="19E42B39">
      <w:pPr>
        <w:pStyle w:val="15"/>
        <w:rPr>
          <w:rFonts w:ascii="宋体" w:hAnsi="宋体" w:cs="宋体"/>
          <w:b/>
          <w:bCs/>
          <w:color w:val="auto"/>
          <w:highlight w:val="none"/>
        </w:rPr>
      </w:pPr>
      <w:bookmarkStart w:id="9" w:name="_Toc254970630"/>
      <w:bookmarkStart w:id="10" w:name="_Toc254970489"/>
    </w:p>
    <w:p w14:paraId="7F1DB57A">
      <w:pPr>
        <w:pStyle w:val="2"/>
        <w:keepNext w:val="0"/>
        <w:keepLines w:val="0"/>
        <w:tabs>
          <w:tab w:val="left" w:pos="0"/>
          <w:tab w:val="left" w:pos="3165"/>
          <w:tab w:val="center" w:pos="4153"/>
        </w:tabs>
        <w:autoSpaceDE w:val="0"/>
        <w:autoSpaceDN w:val="0"/>
        <w:adjustRightInd w:val="0"/>
        <w:spacing w:before="0" w:after="0" w:line="360" w:lineRule="auto"/>
        <w:jc w:val="center"/>
        <w:rPr>
          <w:color w:val="auto"/>
          <w:highlight w:val="none"/>
        </w:rPr>
      </w:pPr>
      <w:r>
        <w:rPr>
          <w:rFonts w:ascii="宋体" w:hAnsi="宋体" w:cs="宋体"/>
          <w:b w:val="0"/>
          <w:bCs w:val="0"/>
          <w:color w:val="auto"/>
          <w:highlight w:val="none"/>
        </w:rPr>
        <w:br w:type="page"/>
      </w:r>
      <w:bookmarkStart w:id="11" w:name="_Toc74320800"/>
      <w:r>
        <w:rPr>
          <w:rFonts w:hint="eastAsia"/>
          <w:color w:val="auto"/>
          <w:highlight w:val="none"/>
        </w:rPr>
        <w:t>第一章</w:t>
      </w:r>
      <w:bookmarkEnd w:id="9"/>
      <w:bookmarkEnd w:id="10"/>
      <w:bookmarkStart w:id="12" w:name="_Toc28359001"/>
      <w:bookmarkStart w:id="13" w:name="_Toc35393789"/>
      <w:r>
        <w:rPr>
          <w:rFonts w:hint="eastAsia"/>
          <w:color w:val="auto"/>
          <w:highlight w:val="none"/>
        </w:rPr>
        <w:t xml:space="preserve"> 招标公告</w:t>
      </w:r>
      <w:bookmarkEnd w:id="11"/>
      <w:bookmarkEnd w:id="12"/>
      <w:bookmarkEnd w:id="13"/>
      <w:r>
        <w:rPr>
          <w:rFonts w:hint="eastAsia"/>
          <w:color w:val="auto"/>
          <w:highlight w:val="none"/>
        </w:rPr>
        <w:t>（远程异地评标）</w:t>
      </w:r>
    </w:p>
    <w:p w14:paraId="6E219636">
      <w:pPr>
        <w:spacing w:line="360" w:lineRule="auto"/>
        <w:rPr>
          <w:rFonts w:ascii="宋体" w:hAnsi="宋体"/>
          <w:color w:val="auto"/>
          <w:szCs w:val="21"/>
          <w:highlight w:val="none"/>
        </w:rPr>
      </w:pPr>
    </w:p>
    <w:p w14:paraId="6823B9C7">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项目概况</w:t>
      </w:r>
    </w:p>
    <w:p w14:paraId="40BF4681">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全自动染色封片一体机等医疗设备采购（一期）（重2）</w:t>
      </w:r>
      <w:r>
        <w:rPr>
          <w:rFonts w:hint="eastAsia" w:ascii="宋体" w:hAnsi="宋体"/>
          <w:color w:val="auto"/>
          <w:szCs w:val="21"/>
          <w:highlight w:val="none"/>
        </w:rPr>
        <w:t>招标项目的潜在投标人应在广西政府采购云平台（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）获取（下载）招标文件，并于</w:t>
      </w:r>
      <w:r>
        <w:rPr>
          <w:rFonts w:hint="eastAsia" w:ascii="宋体" w:hAnsi="宋体"/>
          <w:color w:val="auto"/>
          <w:szCs w:val="21"/>
          <w:highlight w:val="none"/>
          <w:u w:val="single"/>
        </w:rPr>
        <w:t>2026年</w:t>
      </w:r>
      <w:r>
        <w:rPr>
          <w:rFonts w:hint="eastAsia" w:ascii="宋体" w:hAnsi="宋体"/>
          <w:color w:val="auto"/>
          <w:szCs w:val="21"/>
          <w:highlight w:val="none"/>
          <w:u w:val="single"/>
          <w:lang w:val="en-US" w:eastAsia="zh-CN"/>
        </w:rPr>
        <w:t>4</w:t>
      </w:r>
      <w:r>
        <w:rPr>
          <w:rFonts w:hint="eastAsia" w:ascii="宋体" w:hAnsi="宋体"/>
          <w:color w:val="auto"/>
          <w:szCs w:val="21"/>
          <w:highlight w:val="none"/>
          <w:u w:val="single"/>
        </w:rPr>
        <w:t>月</w:t>
      </w:r>
      <w:r>
        <w:rPr>
          <w:rFonts w:hint="eastAsia" w:ascii="宋体" w:hAnsi="宋体"/>
          <w:bCs/>
          <w:color w:val="auto"/>
          <w:szCs w:val="21"/>
          <w:highlight w:val="none"/>
          <w:u w:val="single"/>
          <w:lang w:val="en-US" w:eastAsia="zh-CN"/>
        </w:rPr>
        <w:t>23</w:t>
      </w:r>
      <w:r>
        <w:rPr>
          <w:rFonts w:hint="eastAsia" w:ascii="宋体" w:hAnsi="宋体"/>
          <w:bCs/>
          <w:color w:val="auto"/>
          <w:szCs w:val="21"/>
          <w:highlight w:val="none"/>
          <w:u w:val="single"/>
        </w:rPr>
        <w:t>日09时00分（</w:t>
      </w:r>
      <w:r>
        <w:rPr>
          <w:rFonts w:hint="eastAsia" w:ascii="宋体" w:hAnsi="宋体"/>
          <w:bCs/>
          <w:color w:val="auto"/>
          <w:szCs w:val="21"/>
          <w:highlight w:val="none"/>
        </w:rPr>
        <w:t>北京时间）前按要求递交（上传）投标</w:t>
      </w:r>
      <w:r>
        <w:rPr>
          <w:rFonts w:ascii="宋体" w:hAnsi="宋体"/>
          <w:bCs/>
          <w:color w:val="auto"/>
          <w:szCs w:val="21"/>
          <w:highlight w:val="none"/>
        </w:rPr>
        <w:t>文件</w:t>
      </w:r>
      <w:r>
        <w:rPr>
          <w:rFonts w:hint="eastAsia" w:ascii="宋体" w:hAnsi="宋体"/>
          <w:color w:val="auto"/>
          <w:szCs w:val="21"/>
          <w:highlight w:val="none"/>
        </w:rPr>
        <w:t>。</w:t>
      </w:r>
    </w:p>
    <w:p w14:paraId="265593ED">
      <w:pPr>
        <w:spacing w:line="360" w:lineRule="auto"/>
        <w:rPr>
          <w:rFonts w:ascii="宋体" w:hAnsi="宋体"/>
          <w:color w:val="auto"/>
          <w:szCs w:val="21"/>
          <w:highlight w:val="none"/>
        </w:rPr>
      </w:pPr>
    </w:p>
    <w:p w14:paraId="1F5450E3">
      <w:pPr>
        <w:spacing w:line="360" w:lineRule="auto"/>
        <w:rPr>
          <w:rFonts w:ascii="黑体" w:hAnsi="黑体" w:eastAsia="黑体"/>
          <w:b/>
          <w:bCs/>
          <w:color w:val="auto"/>
          <w:sz w:val="24"/>
          <w:highlight w:val="none"/>
        </w:rPr>
      </w:pPr>
      <w:bookmarkStart w:id="14" w:name="_Toc28359002"/>
      <w:bookmarkStart w:id="15" w:name="_Toc35393621"/>
      <w:bookmarkStart w:id="16" w:name="_Toc35393790"/>
      <w:bookmarkStart w:id="17" w:name="_Toc28359079"/>
      <w:bookmarkStart w:id="18" w:name="_Hlk24379207"/>
      <w:r>
        <w:rPr>
          <w:rFonts w:hint="eastAsia" w:ascii="黑体" w:hAnsi="黑体" w:eastAsia="黑体"/>
          <w:b/>
          <w:bCs/>
          <w:color w:val="auto"/>
          <w:sz w:val="24"/>
          <w:highlight w:val="none"/>
        </w:rPr>
        <w:t>一、项目基本情况</w:t>
      </w:r>
      <w:bookmarkEnd w:id="14"/>
      <w:bookmarkEnd w:id="15"/>
      <w:bookmarkEnd w:id="16"/>
      <w:bookmarkEnd w:id="17"/>
    </w:p>
    <w:p w14:paraId="44F5EC1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项目编号： WZZC2026-G1-220023-YZLZ</w:t>
      </w:r>
    </w:p>
    <w:p w14:paraId="32CDD24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项目名称：全自动染色封片一体机等医疗设备采购（一期）（重2）</w:t>
      </w:r>
    </w:p>
    <w:bookmarkEnd w:id="18"/>
    <w:p w14:paraId="7A858D81">
      <w:pPr>
        <w:spacing w:line="360" w:lineRule="auto"/>
        <w:ind w:firstLine="420" w:firstLineChars="200"/>
        <w:rPr>
          <w:rFonts w:ascii="宋体" w:hAnsi="宋体"/>
          <w:color w:val="auto"/>
          <w:szCs w:val="21"/>
          <w:highlight w:val="none"/>
          <w:u w:val="single"/>
        </w:rPr>
      </w:pPr>
      <w:r>
        <w:rPr>
          <w:rFonts w:hint="eastAsia"/>
          <w:color w:val="auto"/>
          <w:highlight w:val="none"/>
        </w:rPr>
        <w:t>预算总金额（元）</w:t>
      </w:r>
      <w:r>
        <w:rPr>
          <w:rFonts w:hint="eastAsia" w:ascii="宋体" w:hAnsi="宋体"/>
          <w:color w:val="auto"/>
          <w:szCs w:val="21"/>
          <w:highlight w:val="none"/>
        </w:rPr>
        <w:t>：2000000.00</w:t>
      </w:r>
    </w:p>
    <w:p w14:paraId="510838F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最高限价（如有）：</w:t>
      </w:r>
      <w:r>
        <w:rPr>
          <w:rFonts w:hint="eastAsia" w:ascii="宋体" w:hAnsi="宋体" w:cs="宋体"/>
          <w:color w:val="auto"/>
          <w:szCs w:val="21"/>
          <w:highlight w:val="none"/>
        </w:rPr>
        <w:t>1321000.00元</w:t>
      </w:r>
    </w:p>
    <w:p w14:paraId="47D813D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采购需求：</w:t>
      </w:r>
      <w:r>
        <w:rPr>
          <w:rFonts w:ascii="宋体" w:hAnsi="宋体"/>
          <w:color w:val="auto"/>
          <w:szCs w:val="21"/>
          <w:highlight w:val="none"/>
        </w:rPr>
        <w:t xml:space="preserve"> </w:t>
      </w:r>
    </w:p>
    <w:tbl>
      <w:tblPr>
        <w:tblStyle w:val="50"/>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2533"/>
        <w:gridCol w:w="727"/>
        <w:gridCol w:w="3594"/>
        <w:gridCol w:w="1100"/>
      </w:tblGrid>
      <w:tr w14:paraId="3BA70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005AE580">
            <w:pPr>
              <w:keepNext/>
              <w:wordWrap w:val="0"/>
              <w:snapToGrid w:val="0"/>
              <w:jc w:val="center"/>
              <w:rPr>
                <w:rFonts w:ascii="宋体" w:hAnsi="宋体" w:cs="宋体"/>
                <w:color w:val="auto"/>
                <w:szCs w:val="21"/>
                <w:highlight w:val="none"/>
              </w:rPr>
            </w:pPr>
            <w:r>
              <w:rPr>
                <w:rFonts w:hint="eastAsia" w:ascii="宋体" w:hAnsi="宋体" w:cs="宋体"/>
                <w:color w:val="auto"/>
                <w:szCs w:val="21"/>
                <w:highlight w:val="none"/>
              </w:rPr>
              <w:t>分标号</w:t>
            </w:r>
          </w:p>
        </w:tc>
        <w:tc>
          <w:tcPr>
            <w:tcW w:w="2533" w:type="dxa"/>
            <w:vAlign w:val="center"/>
          </w:tcPr>
          <w:p w14:paraId="6C7D043C">
            <w:pPr>
              <w:keepNext/>
              <w:wordWrap w:val="0"/>
              <w:snapToGrid w:val="0"/>
              <w:jc w:val="center"/>
              <w:rPr>
                <w:rFonts w:ascii="宋体" w:hAnsi="宋体" w:cs="宋体"/>
                <w:color w:val="auto"/>
                <w:szCs w:val="21"/>
                <w:highlight w:val="none"/>
              </w:rPr>
            </w:pPr>
            <w:r>
              <w:rPr>
                <w:rFonts w:hint="eastAsia" w:ascii="宋体" w:hAnsi="宋体" w:cs="宋体"/>
                <w:color w:val="auto"/>
                <w:szCs w:val="21"/>
                <w:highlight w:val="none"/>
              </w:rPr>
              <w:t>标项名称</w:t>
            </w:r>
          </w:p>
        </w:tc>
        <w:tc>
          <w:tcPr>
            <w:tcW w:w="727" w:type="dxa"/>
            <w:vAlign w:val="center"/>
          </w:tcPr>
          <w:p w14:paraId="12157056">
            <w:pPr>
              <w:keepNext/>
              <w:wordWrap w:val="0"/>
              <w:snapToGrid w:val="0"/>
              <w:jc w:val="center"/>
              <w:rPr>
                <w:rFonts w:ascii="宋体" w:hAnsi="宋体" w:cs="宋体"/>
                <w:color w:val="auto"/>
                <w:szCs w:val="21"/>
                <w:highlight w:val="none"/>
              </w:rPr>
            </w:pPr>
            <w:r>
              <w:rPr>
                <w:rFonts w:hint="eastAsia" w:ascii="宋体" w:hAnsi="宋体" w:cs="宋体"/>
                <w:color w:val="auto"/>
                <w:szCs w:val="21"/>
                <w:highlight w:val="none"/>
              </w:rPr>
              <w:t>数量及单位</w:t>
            </w:r>
          </w:p>
        </w:tc>
        <w:tc>
          <w:tcPr>
            <w:tcW w:w="3594" w:type="dxa"/>
            <w:vAlign w:val="center"/>
          </w:tcPr>
          <w:p w14:paraId="6F8B2F7E">
            <w:pPr>
              <w:keepNext/>
              <w:wordWrap w:val="0"/>
              <w:snapToGrid w:val="0"/>
              <w:jc w:val="center"/>
              <w:rPr>
                <w:rFonts w:ascii="宋体" w:hAnsi="宋体" w:cs="宋体"/>
                <w:color w:val="auto"/>
                <w:szCs w:val="21"/>
                <w:highlight w:val="none"/>
              </w:rPr>
            </w:pPr>
            <w:r>
              <w:rPr>
                <w:rFonts w:hint="eastAsia" w:ascii="宋体" w:hAnsi="宋体" w:cs="宋体"/>
                <w:color w:val="auto"/>
                <w:szCs w:val="21"/>
                <w:highlight w:val="none"/>
              </w:rPr>
              <w:t>简要技术需求或者服务要求</w:t>
            </w:r>
          </w:p>
        </w:tc>
        <w:tc>
          <w:tcPr>
            <w:tcW w:w="1100" w:type="dxa"/>
            <w:vAlign w:val="center"/>
          </w:tcPr>
          <w:p w14:paraId="380EBE93">
            <w:pPr>
              <w:keepNext/>
              <w:wordWrap w:val="0"/>
              <w:snapToGrid w:val="0"/>
              <w:jc w:val="center"/>
              <w:rPr>
                <w:rFonts w:ascii="宋体" w:hAnsi="宋体" w:cs="宋体"/>
                <w:color w:val="auto"/>
                <w:szCs w:val="21"/>
                <w:highlight w:val="none"/>
              </w:rPr>
            </w:pPr>
            <w:r>
              <w:rPr>
                <w:rFonts w:hint="eastAsia" w:ascii="宋体" w:hAnsi="宋体" w:cs="宋体"/>
                <w:color w:val="auto"/>
                <w:szCs w:val="21"/>
                <w:highlight w:val="none"/>
              </w:rPr>
              <w:t>最高限价（万元）</w:t>
            </w:r>
          </w:p>
        </w:tc>
      </w:tr>
      <w:tr w14:paraId="523F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4221B360">
            <w:pPr>
              <w:keepNext/>
              <w:wordWrap w:val="0"/>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2533" w:type="dxa"/>
            <w:vAlign w:val="center"/>
          </w:tcPr>
          <w:p w14:paraId="7601B4C0">
            <w:pPr>
              <w:keepNext/>
              <w:wordWrap w:val="0"/>
              <w:snapToGrid w:val="0"/>
              <w:jc w:val="left"/>
              <w:rPr>
                <w:rFonts w:ascii="宋体" w:hAnsi="宋体" w:cs="宋体"/>
                <w:color w:val="auto"/>
                <w:szCs w:val="21"/>
                <w:highlight w:val="none"/>
              </w:rPr>
            </w:pPr>
            <w:r>
              <w:rPr>
                <w:rFonts w:hint="eastAsia" w:ascii="宋体" w:hAnsi="宋体" w:cs="宋体"/>
                <w:color w:val="auto"/>
                <w:szCs w:val="21"/>
                <w:highlight w:val="none"/>
              </w:rPr>
              <w:t>医用光学仪器、激光仪器、手术室设备、病房护理及医院设备</w:t>
            </w:r>
          </w:p>
        </w:tc>
        <w:tc>
          <w:tcPr>
            <w:tcW w:w="727" w:type="dxa"/>
            <w:vAlign w:val="center"/>
          </w:tcPr>
          <w:p w14:paraId="3EB74D70">
            <w:pPr>
              <w:keepNext/>
              <w:wordWrap w:val="0"/>
              <w:snapToGrid w:val="0"/>
              <w:jc w:val="center"/>
              <w:rPr>
                <w:rFonts w:ascii="宋体" w:hAnsi="宋体" w:cs="宋体"/>
                <w:color w:val="auto"/>
                <w:szCs w:val="21"/>
                <w:highlight w:val="none"/>
              </w:rPr>
            </w:pPr>
            <w:r>
              <w:rPr>
                <w:rFonts w:hint="eastAsia" w:ascii="宋体" w:hAnsi="宋体" w:cs="宋体"/>
                <w:color w:val="auto"/>
                <w:szCs w:val="21"/>
                <w:highlight w:val="none"/>
              </w:rPr>
              <w:t>1批</w:t>
            </w:r>
          </w:p>
        </w:tc>
        <w:tc>
          <w:tcPr>
            <w:tcW w:w="3594" w:type="dxa"/>
            <w:vAlign w:val="center"/>
          </w:tcPr>
          <w:p w14:paraId="1AEA860C">
            <w:pPr>
              <w:keepNext/>
              <w:wordWrap w:val="0"/>
              <w:snapToGrid w:val="0"/>
              <w:jc w:val="left"/>
              <w:rPr>
                <w:rFonts w:ascii="宋体" w:hAnsi="宋体" w:cs="宋体"/>
                <w:color w:val="auto"/>
                <w:szCs w:val="21"/>
                <w:highlight w:val="none"/>
              </w:rPr>
            </w:pPr>
            <w:r>
              <w:rPr>
                <w:rFonts w:hint="eastAsia" w:ascii="宋体" w:hAnsi="宋体" w:cs="宋体"/>
                <w:color w:val="auto"/>
                <w:szCs w:val="21"/>
                <w:highlight w:val="none"/>
              </w:rPr>
              <w:t>医用光学仪器、激光仪器、手术室设备、病房护理及医院设备一批，具体详见采购需求附件。</w:t>
            </w:r>
          </w:p>
        </w:tc>
        <w:tc>
          <w:tcPr>
            <w:tcW w:w="1100" w:type="dxa"/>
            <w:vAlign w:val="center"/>
          </w:tcPr>
          <w:p w14:paraId="5A44664A">
            <w:pPr>
              <w:keepNext/>
              <w:wordWrap w:val="0"/>
              <w:snapToGrid w:val="0"/>
              <w:jc w:val="center"/>
              <w:rPr>
                <w:rFonts w:ascii="宋体" w:hAnsi="宋体" w:cs="宋体"/>
                <w:color w:val="auto"/>
                <w:szCs w:val="21"/>
                <w:highlight w:val="none"/>
              </w:rPr>
            </w:pPr>
            <w:r>
              <w:rPr>
                <w:rFonts w:hint="eastAsia" w:ascii="宋体" w:hAnsi="宋体" w:cs="宋体"/>
                <w:color w:val="auto"/>
                <w:szCs w:val="21"/>
                <w:highlight w:val="none"/>
              </w:rPr>
              <w:t>75.5</w:t>
            </w:r>
          </w:p>
        </w:tc>
      </w:tr>
      <w:tr w14:paraId="10929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17C41F0F">
            <w:pPr>
              <w:keepNext/>
              <w:wordWrap w:val="0"/>
              <w:snapToGrid w:val="0"/>
              <w:jc w:val="center"/>
              <w:rPr>
                <w:rFonts w:ascii="宋体" w:hAnsi="宋体" w:cs="宋体"/>
                <w:color w:val="auto"/>
                <w:szCs w:val="21"/>
                <w:highlight w:val="none"/>
              </w:rPr>
            </w:pPr>
            <w:r>
              <w:rPr>
                <w:rFonts w:hint="eastAsia" w:ascii="宋体" w:hAnsi="宋体" w:cs="宋体"/>
                <w:color w:val="auto"/>
                <w:szCs w:val="21"/>
                <w:highlight w:val="none"/>
              </w:rPr>
              <w:t>2</w:t>
            </w:r>
          </w:p>
        </w:tc>
        <w:tc>
          <w:tcPr>
            <w:tcW w:w="2533" w:type="dxa"/>
            <w:vAlign w:val="center"/>
          </w:tcPr>
          <w:p w14:paraId="40A72C54">
            <w:pPr>
              <w:keepNext/>
              <w:wordWrap w:val="0"/>
              <w:snapToGrid w:val="0"/>
              <w:jc w:val="left"/>
              <w:rPr>
                <w:rFonts w:ascii="宋体" w:hAnsi="宋体" w:cs="宋体"/>
                <w:color w:val="auto"/>
                <w:szCs w:val="21"/>
                <w:highlight w:val="none"/>
              </w:rPr>
            </w:pPr>
            <w:r>
              <w:rPr>
                <w:rFonts w:hint="eastAsia" w:ascii="宋体" w:hAnsi="宋体" w:cs="宋体"/>
                <w:color w:val="auto"/>
                <w:szCs w:val="21"/>
                <w:highlight w:val="none"/>
              </w:rPr>
              <w:t>临床检验设备</w:t>
            </w:r>
          </w:p>
        </w:tc>
        <w:tc>
          <w:tcPr>
            <w:tcW w:w="727" w:type="dxa"/>
            <w:vAlign w:val="center"/>
          </w:tcPr>
          <w:p w14:paraId="043825A8">
            <w:pPr>
              <w:keepNext/>
              <w:wordWrap w:val="0"/>
              <w:snapToGrid w:val="0"/>
              <w:jc w:val="center"/>
              <w:rPr>
                <w:rFonts w:ascii="宋体" w:hAnsi="宋体" w:cs="宋体"/>
                <w:color w:val="auto"/>
                <w:szCs w:val="21"/>
                <w:highlight w:val="none"/>
              </w:rPr>
            </w:pPr>
            <w:r>
              <w:rPr>
                <w:rFonts w:hint="eastAsia" w:ascii="宋体" w:hAnsi="宋体" w:cs="宋体"/>
                <w:color w:val="auto"/>
                <w:szCs w:val="21"/>
                <w:highlight w:val="none"/>
              </w:rPr>
              <w:t>1批</w:t>
            </w:r>
          </w:p>
        </w:tc>
        <w:tc>
          <w:tcPr>
            <w:tcW w:w="3594" w:type="dxa"/>
            <w:vAlign w:val="center"/>
          </w:tcPr>
          <w:p w14:paraId="422DF167">
            <w:pPr>
              <w:keepNext/>
              <w:wordWrap w:val="0"/>
              <w:snapToGrid w:val="0"/>
              <w:jc w:val="left"/>
              <w:rPr>
                <w:rFonts w:ascii="宋体" w:hAnsi="宋体" w:cs="宋体"/>
                <w:color w:val="auto"/>
                <w:szCs w:val="21"/>
                <w:highlight w:val="none"/>
              </w:rPr>
            </w:pPr>
            <w:r>
              <w:rPr>
                <w:rFonts w:hint="eastAsia" w:ascii="宋体" w:hAnsi="宋体" w:cs="宋体"/>
                <w:color w:val="auto"/>
                <w:szCs w:val="21"/>
                <w:highlight w:val="none"/>
              </w:rPr>
              <w:t>临床检验设备一批，具体详见采购需求附件。</w:t>
            </w:r>
          </w:p>
        </w:tc>
        <w:tc>
          <w:tcPr>
            <w:tcW w:w="1100" w:type="dxa"/>
            <w:vAlign w:val="center"/>
          </w:tcPr>
          <w:p w14:paraId="4B417E1E">
            <w:pPr>
              <w:keepNext/>
              <w:wordWrap w:val="0"/>
              <w:snapToGrid w:val="0"/>
              <w:jc w:val="center"/>
              <w:rPr>
                <w:rFonts w:ascii="宋体" w:hAnsi="宋体" w:cs="宋体"/>
                <w:color w:val="auto"/>
                <w:szCs w:val="21"/>
                <w:highlight w:val="none"/>
              </w:rPr>
            </w:pPr>
            <w:r>
              <w:rPr>
                <w:rFonts w:hint="eastAsia" w:ascii="宋体" w:hAnsi="宋体" w:cs="宋体"/>
                <w:color w:val="auto"/>
                <w:szCs w:val="21"/>
                <w:highlight w:val="none"/>
              </w:rPr>
              <w:t>56.6</w:t>
            </w:r>
          </w:p>
        </w:tc>
      </w:tr>
    </w:tbl>
    <w:p w14:paraId="06E8E15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合同履行期限：自签订合同之日起30天内完成安装、调试、培训工作。</w:t>
      </w:r>
    </w:p>
    <w:p w14:paraId="43FF587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本项目否接受联合体投标。</w:t>
      </w:r>
    </w:p>
    <w:p w14:paraId="6DAF66B4">
      <w:pPr>
        <w:spacing w:line="360" w:lineRule="auto"/>
        <w:rPr>
          <w:rFonts w:ascii="黑体" w:hAnsi="黑体" w:eastAsia="黑体"/>
          <w:b/>
          <w:bCs/>
          <w:color w:val="auto"/>
          <w:sz w:val="24"/>
          <w:highlight w:val="none"/>
        </w:rPr>
      </w:pPr>
      <w:bookmarkStart w:id="19" w:name="_Toc35393791"/>
      <w:bookmarkStart w:id="20" w:name="_Toc28359080"/>
      <w:bookmarkStart w:id="21" w:name="_Toc35393622"/>
      <w:bookmarkStart w:id="22" w:name="_Toc28359003"/>
      <w:r>
        <w:rPr>
          <w:rFonts w:hint="eastAsia" w:ascii="黑体" w:hAnsi="黑体" w:eastAsia="黑体"/>
          <w:b/>
          <w:bCs/>
          <w:color w:val="auto"/>
          <w:sz w:val="24"/>
          <w:highlight w:val="none"/>
        </w:rPr>
        <w:t>二、申请人的资格要求：</w:t>
      </w:r>
      <w:bookmarkEnd w:id="19"/>
      <w:bookmarkEnd w:id="20"/>
      <w:bookmarkEnd w:id="21"/>
      <w:bookmarkEnd w:id="22"/>
    </w:p>
    <w:p w14:paraId="1992BDF5">
      <w:pPr>
        <w:spacing w:line="360" w:lineRule="auto"/>
        <w:ind w:firstLine="420" w:firstLineChars="200"/>
        <w:rPr>
          <w:rFonts w:ascii="宋体" w:hAnsi="宋体"/>
          <w:color w:val="auto"/>
          <w:szCs w:val="21"/>
          <w:highlight w:val="none"/>
        </w:rPr>
      </w:pPr>
      <w:bookmarkStart w:id="23" w:name="_Hlk51746371"/>
      <w:r>
        <w:rPr>
          <w:rFonts w:hint="eastAsia" w:ascii="宋体" w:hAnsi="宋体"/>
          <w:color w:val="auto"/>
          <w:szCs w:val="21"/>
          <w:highlight w:val="none"/>
        </w:rPr>
        <w:t>1.满足《中华人民共和国政府采购法》第二十二条规定；</w:t>
      </w:r>
    </w:p>
    <w:p w14:paraId="6DEC62B0">
      <w:pPr>
        <w:spacing w:line="360" w:lineRule="auto"/>
        <w:ind w:firstLine="420" w:firstLineChars="200"/>
        <w:rPr>
          <w:rFonts w:ascii="宋体" w:hAnsi="宋体"/>
          <w:color w:val="auto"/>
          <w:szCs w:val="21"/>
          <w:highlight w:val="none"/>
        </w:rPr>
      </w:pPr>
      <w:bookmarkStart w:id="24" w:name="_Toc28359004"/>
      <w:bookmarkStart w:id="25" w:name="_Toc28359081"/>
      <w:r>
        <w:rPr>
          <w:rFonts w:ascii="宋体" w:hAnsi="宋体"/>
          <w:color w:val="auto"/>
          <w:szCs w:val="21"/>
          <w:highlight w:val="none"/>
        </w:rPr>
        <w:t>2</w:t>
      </w:r>
      <w:r>
        <w:rPr>
          <w:rFonts w:hint="eastAsia" w:ascii="宋体" w:hAnsi="宋体"/>
          <w:color w:val="auto"/>
          <w:szCs w:val="21"/>
          <w:highlight w:val="none"/>
        </w:rPr>
        <w:t>.落实政府采购政策需满足的资格要求：本项目第</w:t>
      </w:r>
      <w:r>
        <w:rPr>
          <w:rFonts w:hint="eastAsia" w:ascii="宋体" w:hAnsi="宋体"/>
          <w:color w:val="auto"/>
          <w:szCs w:val="21"/>
          <w:highlight w:val="none"/>
          <w:u w:val="single"/>
        </w:rPr>
        <w:t>1、2</w:t>
      </w:r>
      <w:r>
        <w:rPr>
          <w:rFonts w:hint="eastAsia" w:ascii="宋体" w:hAnsi="宋体"/>
          <w:color w:val="auto"/>
          <w:szCs w:val="21"/>
          <w:highlight w:val="none"/>
        </w:rPr>
        <w:t>分标专门面向中小企业采购，提供的货物须全部由符合政策要求的中型、小型或微型企业（包括监狱企业及残疾人福利单位）制造，须提供中小企业声明函【属于残疾人福利性单位的提供残疾人福利性单位声明函，属于监狱企业的提供由省级以上监狱管理局、戒毒管理局（含新疆生产建设兵团）出具的属于监狱企业的证明文件】；</w:t>
      </w:r>
    </w:p>
    <w:p w14:paraId="421AA07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3.本项目的特定资格要求：</w:t>
      </w:r>
      <w:bookmarkEnd w:id="23"/>
      <w:bookmarkStart w:id="26" w:name="_Toc35393792"/>
      <w:bookmarkStart w:id="27" w:name="_Toc35393623"/>
    </w:p>
    <w:p w14:paraId="544AECA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3.1投标人按《医疗器械监督管理条例》（国务院令第739号）医疗器械分类管理要求具备有效的医疗器械经营备案凭证或者经营许可证，且经营范围必须包含招标标的[符合《医疗器械监督管理条例》第四十一条第二款规定的除外]；或者投标人具有《医疗器械监督管理条例》第四十三条规定的注册凭证。</w:t>
      </w:r>
    </w:p>
    <w:p w14:paraId="7AC8F659">
      <w:pPr>
        <w:spacing w:line="360" w:lineRule="auto"/>
        <w:ind w:firstLine="420" w:firstLineChars="200"/>
        <w:rPr>
          <w:color w:val="auto"/>
          <w:highlight w:val="none"/>
        </w:rPr>
      </w:pPr>
    </w:p>
    <w:p w14:paraId="470DC195">
      <w:pPr>
        <w:spacing w:line="360" w:lineRule="auto"/>
        <w:ind w:firstLine="482" w:firstLineChars="200"/>
        <w:rPr>
          <w:rFonts w:ascii="黑体" w:hAnsi="黑体" w:eastAsia="黑体"/>
          <w:b/>
          <w:bCs/>
          <w:color w:val="auto"/>
          <w:sz w:val="24"/>
          <w:highlight w:val="none"/>
        </w:rPr>
      </w:pPr>
      <w:r>
        <w:rPr>
          <w:rFonts w:hint="eastAsia" w:ascii="黑体" w:hAnsi="黑体" w:eastAsia="黑体"/>
          <w:b/>
          <w:bCs/>
          <w:color w:val="auto"/>
          <w:sz w:val="24"/>
          <w:highlight w:val="none"/>
        </w:rPr>
        <w:t>三、获取招标文件</w:t>
      </w:r>
      <w:bookmarkEnd w:id="24"/>
      <w:bookmarkEnd w:id="25"/>
      <w:bookmarkEnd w:id="26"/>
      <w:bookmarkEnd w:id="27"/>
    </w:p>
    <w:p w14:paraId="2714EA96">
      <w:pPr>
        <w:spacing w:line="360" w:lineRule="auto"/>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时间：</w:t>
      </w:r>
      <w:r>
        <w:rPr>
          <w:rFonts w:ascii="宋体" w:hAnsi="宋体" w:cs="宋体"/>
          <w:bCs/>
          <w:color w:val="auto"/>
          <w:kern w:val="0"/>
          <w:szCs w:val="21"/>
          <w:highlight w:val="none"/>
        </w:rPr>
        <w:t xml:space="preserve"> </w:t>
      </w:r>
      <w:r>
        <w:rPr>
          <w:rFonts w:hint="eastAsia" w:ascii="宋体" w:hAnsi="宋体" w:cs="宋体"/>
          <w:bCs/>
          <w:color w:val="auto"/>
          <w:kern w:val="0"/>
          <w:szCs w:val="21"/>
          <w:highlight w:val="none"/>
          <w:u w:val="single"/>
        </w:rPr>
        <w:t>2026年</w:t>
      </w:r>
      <w:r>
        <w:rPr>
          <w:rFonts w:hint="eastAsia" w:ascii="宋体" w:hAnsi="宋体" w:cs="宋体"/>
          <w:bCs/>
          <w:color w:val="auto"/>
          <w:kern w:val="0"/>
          <w:szCs w:val="21"/>
          <w:highlight w:val="none"/>
          <w:u w:val="single"/>
          <w:lang w:val="en-US" w:eastAsia="zh-CN"/>
        </w:rPr>
        <w:t>4</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2</w:t>
      </w:r>
      <w:r>
        <w:rPr>
          <w:rFonts w:hint="eastAsia" w:ascii="宋体" w:hAnsi="宋体" w:cs="宋体"/>
          <w:bCs/>
          <w:color w:val="auto"/>
          <w:kern w:val="0"/>
          <w:szCs w:val="21"/>
          <w:highlight w:val="none"/>
          <w:u w:val="single"/>
        </w:rPr>
        <w:t>日</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rPr>
        <w:t>2026年</w:t>
      </w:r>
      <w:r>
        <w:rPr>
          <w:rFonts w:hint="eastAsia" w:ascii="宋体" w:hAnsi="宋体" w:cs="宋体"/>
          <w:bCs/>
          <w:color w:val="auto"/>
          <w:kern w:val="0"/>
          <w:szCs w:val="21"/>
          <w:highlight w:val="none"/>
          <w:u w:val="single"/>
          <w:lang w:val="en-US" w:eastAsia="zh-CN"/>
        </w:rPr>
        <w:t>4</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 xml:space="preserve">10 </w:t>
      </w:r>
      <w:r>
        <w:rPr>
          <w:rFonts w:hint="eastAsia" w:ascii="宋体" w:hAnsi="宋体" w:cs="宋体"/>
          <w:bCs/>
          <w:color w:val="auto"/>
          <w:kern w:val="0"/>
          <w:szCs w:val="21"/>
          <w:highlight w:val="none"/>
          <w:u w:val="single"/>
        </w:rPr>
        <w:t>日</w:t>
      </w:r>
      <w:r>
        <w:rPr>
          <w:rFonts w:hint="eastAsia" w:ascii="宋体" w:hAnsi="宋体" w:cs="宋体"/>
          <w:bCs/>
          <w:color w:val="auto"/>
          <w:kern w:val="0"/>
          <w:szCs w:val="21"/>
          <w:highlight w:val="none"/>
        </w:rPr>
        <w:t>，每天上午</w:t>
      </w:r>
      <w:r>
        <w:rPr>
          <w:rFonts w:hint="eastAsia" w:ascii="宋体" w:hAnsi="宋体" w:cs="宋体"/>
          <w:bCs/>
          <w:color w:val="auto"/>
          <w:kern w:val="0"/>
          <w:szCs w:val="21"/>
          <w:highlight w:val="none"/>
          <w:u w:val="single"/>
        </w:rPr>
        <w:t>8：00</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rPr>
        <w:t>12：00</w:t>
      </w:r>
      <w:r>
        <w:rPr>
          <w:rFonts w:hint="eastAsia" w:ascii="宋体" w:hAnsi="宋体" w:cs="宋体"/>
          <w:bCs/>
          <w:color w:val="auto"/>
          <w:kern w:val="0"/>
          <w:szCs w:val="21"/>
          <w:highlight w:val="none"/>
        </w:rPr>
        <w:t>，下午</w:t>
      </w:r>
      <w:r>
        <w:rPr>
          <w:rFonts w:hint="eastAsia" w:ascii="宋体" w:hAnsi="宋体" w:cs="宋体"/>
          <w:bCs/>
          <w:color w:val="auto"/>
          <w:kern w:val="0"/>
          <w:szCs w:val="21"/>
          <w:highlight w:val="none"/>
          <w:u w:val="single"/>
        </w:rPr>
        <w:t>3：00至6：00</w:t>
      </w:r>
      <w:r>
        <w:rPr>
          <w:rFonts w:hint="eastAsia" w:ascii="宋体" w:hAnsi="宋体" w:cs="宋体"/>
          <w:bCs/>
          <w:color w:val="auto"/>
          <w:kern w:val="0"/>
          <w:szCs w:val="21"/>
          <w:highlight w:val="none"/>
        </w:rPr>
        <w:t>（北京时间，</w:t>
      </w:r>
      <w:r>
        <w:rPr>
          <w:rFonts w:ascii="宋体" w:hAnsi="宋体" w:cs="宋体"/>
          <w:bCs/>
          <w:color w:val="auto"/>
          <w:kern w:val="0"/>
          <w:szCs w:val="21"/>
          <w:highlight w:val="none"/>
        </w:rPr>
        <w:t>法定节假日</w:t>
      </w:r>
      <w:r>
        <w:rPr>
          <w:rFonts w:hint="eastAsia" w:ascii="宋体" w:hAnsi="宋体" w:cs="宋体"/>
          <w:bCs/>
          <w:color w:val="auto"/>
          <w:kern w:val="0"/>
          <w:szCs w:val="21"/>
          <w:highlight w:val="none"/>
        </w:rPr>
        <w:t>除外）</w:t>
      </w:r>
    </w:p>
    <w:p w14:paraId="02E82ECB">
      <w:pPr>
        <w:spacing w:line="360" w:lineRule="auto"/>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地点：</w:t>
      </w:r>
      <w:r>
        <w:rPr>
          <w:rFonts w:hint="eastAsia" w:ascii="宋体" w:hAnsi="宋体"/>
          <w:color w:val="auto"/>
          <w:szCs w:val="21"/>
          <w:highlight w:val="none"/>
        </w:rPr>
        <w:t>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p>
    <w:p w14:paraId="156A122C">
      <w:pPr>
        <w:spacing w:line="360" w:lineRule="auto"/>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方式：网上下载。本项目不提供纸质文件，潜在供应商需在</w:t>
      </w:r>
      <w:r>
        <w:rPr>
          <w:rFonts w:hint="eastAsia" w:ascii="宋体" w:hAnsi="宋体"/>
          <w:color w:val="auto"/>
          <w:szCs w:val="21"/>
          <w:highlight w:val="none"/>
        </w:rPr>
        <w:t>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r>
        <w:rPr>
          <w:rFonts w:hint="eastAsia" w:ascii="宋体" w:hAnsi="宋体" w:cs="宋体"/>
          <w:bCs/>
          <w:color w:val="auto"/>
          <w:kern w:val="0"/>
          <w:szCs w:val="21"/>
          <w:highlight w:val="none"/>
        </w:rPr>
        <w:t>-进入“项目采购”应用，在获取采购文件菜单中选择项目，获取招标文件。</w:t>
      </w:r>
      <w:r>
        <w:rPr>
          <w:rFonts w:hint="eastAsia" w:ascii="宋体" w:hAnsi="宋体"/>
          <w:color w:val="auto"/>
          <w:szCs w:val="21"/>
          <w:highlight w:val="none"/>
        </w:rPr>
        <w:t>电子投标文件制作需要基于广西政府采购云平台获取的招标文件编制，</w:t>
      </w:r>
      <w:r>
        <w:rPr>
          <w:rFonts w:hint="eastAsia" w:ascii="宋体" w:hAnsi="宋体" w:cs="宋体"/>
          <w:bCs/>
          <w:color w:val="auto"/>
          <w:kern w:val="0"/>
          <w:szCs w:val="21"/>
          <w:highlight w:val="none"/>
        </w:rPr>
        <w:t>通过其他方式获取招标文件的，将有可能导致供应商无法在</w:t>
      </w:r>
      <w:r>
        <w:rPr>
          <w:rFonts w:hint="eastAsia" w:ascii="宋体" w:hAnsi="宋体"/>
          <w:color w:val="auto"/>
          <w:szCs w:val="21"/>
          <w:highlight w:val="none"/>
        </w:rPr>
        <w:t>广西政府采购云平台</w:t>
      </w:r>
      <w:r>
        <w:rPr>
          <w:rFonts w:hint="eastAsia" w:ascii="宋体" w:hAnsi="宋体" w:cs="宋体"/>
          <w:bCs/>
          <w:color w:val="auto"/>
          <w:kern w:val="0"/>
          <w:szCs w:val="21"/>
          <w:highlight w:val="none"/>
        </w:rPr>
        <w:t>编制及上传投标文件。</w:t>
      </w:r>
    </w:p>
    <w:p w14:paraId="5D49CE45">
      <w:pPr>
        <w:spacing w:line="360" w:lineRule="auto"/>
        <w:ind w:firstLine="540"/>
        <w:rPr>
          <w:rFonts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s="宋体"/>
          <w:color w:val="auto"/>
          <w:szCs w:val="21"/>
          <w:highlight w:val="none"/>
          <w:u w:val="single"/>
        </w:rPr>
        <w:t>0</w:t>
      </w:r>
      <w:r>
        <w:rPr>
          <w:rFonts w:hint="eastAsia" w:ascii="宋体" w:hAnsi="宋体" w:cs="宋体"/>
          <w:color w:val="auto"/>
          <w:szCs w:val="21"/>
          <w:highlight w:val="none"/>
        </w:rPr>
        <w:t>元</w:t>
      </w:r>
    </w:p>
    <w:p w14:paraId="0E3831FD">
      <w:pPr>
        <w:spacing w:line="360" w:lineRule="auto"/>
        <w:rPr>
          <w:rFonts w:ascii="黑体" w:hAnsi="黑体" w:eastAsia="黑体"/>
          <w:b/>
          <w:bCs/>
          <w:color w:val="auto"/>
          <w:sz w:val="24"/>
          <w:highlight w:val="none"/>
        </w:rPr>
      </w:pPr>
      <w:bookmarkStart w:id="28" w:name="_Toc28359005"/>
      <w:bookmarkStart w:id="29" w:name="_Toc28359082"/>
      <w:bookmarkStart w:id="30" w:name="_Toc35393793"/>
      <w:bookmarkStart w:id="31" w:name="_Toc35393624"/>
      <w:r>
        <w:rPr>
          <w:rFonts w:hint="eastAsia" w:ascii="黑体" w:hAnsi="黑体" w:eastAsia="黑体"/>
          <w:b/>
          <w:bCs/>
          <w:color w:val="auto"/>
          <w:sz w:val="24"/>
          <w:highlight w:val="none"/>
        </w:rPr>
        <w:t>四、提交投标文件</w:t>
      </w:r>
      <w:bookmarkEnd w:id="28"/>
      <w:bookmarkEnd w:id="29"/>
      <w:r>
        <w:rPr>
          <w:rFonts w:hint="eastAsia" w:ascii="黑体" w:hAnsi="黑体" w:eastAsia="黑体"/>
          <w:b/>
          <w:bCs/>
          <w:color w:val="auto"/>
          <w:sz w:val="24"/>
          <w:highlight w:val="none"/>
        </w:rPr>
        <w:t>截止时间、开标时间和地点</w:t>
      </w:r>
      <w:bookmarkEnd w:id="30"/>
      <w:bookmarkEnd w:id="31"/>
    </w:p>
    <w:p w14:paraId="7D6EC7AB">
      <w:pPr>
        <w:spacing w:line="360" w:lineRule="auto"/>
        <w:ind w:firstLine="420" w:firstLineChars="200"/>
        <w:rPr>
          <w:rFonts w:ascii="宋体" w:hAnsi="宋体"/>
          <w:bCs/>
          <w:color w:val="auto"/>
          <w:szCs w:val="21"/>
          <w:highlight w:val="none"/>
        </w:rPr>
      </w:pPr>
      <w:bookmarkStart w:id="32" w:name="_Toc35393794"/>
      <w:bookmarkStart w:id="33" w:name="_Toc28359084"/>
      <w:bookmarkStart w:id="34" w:name="_Toc28359007"/>
      <w:bookmarkStart w:id="35" w:name="_Toc35393625"/>
      <w:r>
        <w:rPr>
          <w:rFonts w:hint="eastAsia" w:ascii="宋体" w:hAnsi="宋体"/>
          <w:bCs/>
          <w:color w:val="auto"/>
          <w:szCs w:val="21"/>
          <w:highlight w:val="none"/>
          <w:u w:val="single"/>
        </w:rPr>
        <w:t>2026年</w:t>
      </w:r>
      <w:r>
        <w:rPr>
          <w:rFonts w:hint="eastAsia" w:ascii="宋体" w:hAnsi="宋体"/>
          <w:bCs/>
          <w:color w:val="auto"/>
          <w:szCs w:val="21"/>
          <w:highlight w:val="none"/>
          <w:u w:val="single"/>
          <w:lang w:val="en-US" w:eastAsia="zh-CN"/>
        </w:rPr>
        <w:t>4</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23</w:t>
      </w:r>
      <w:r>
        <w:rPr>
          <w:rFonts w:hint="eastAsia" w:ascii="宋体" w:hAnsi="宋体"/>
          <w:bCs/>
          <w:color w:val="auto"/>
          <w:szCs w:val="21"/>
          <w:highlight w:val="none"/>
          <w:u w:val="single"/>
        </w:rPr>
        <w:t>日09时00分</w:t>
      </w:r>
      <w:r>
        <w:rPr>
          <w:rFonts w:hint="eastAsia" w:ascii="宋体" w:hAnsi="宋体"/>
          <w:bCs/>
          <w:color w:val="auto"/>
          <w:szCs w:val="21"/>
          <w:highlight w:val="none"/>
        </w:rPr>
        <w:t>（北京时间）</w:t>
      </w:r>
    </w:p>
    <w:p w14:paraId="38259A2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地点：</w:t>
      </w:r>
    </w:p>
    <w:p w14:paraId="7794F7B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投标地点：广西政府采购云平台（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p>
    <w:p w14:paraId="105DA96D">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五、公告期限</w:t>
      </w:r>
      <w:bookmarkEnd w:id="32"/>
      <w:bookmarkEnd w:id="33"/>
      <w:bookmarkEnd w:id="34"/>
      <w:bookmarkEnd w:id="35"/>
    </w:p>
    <w:p w14:paraId="11DF1351">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5F1D7EA2">
      <w:pPr>
        <w:spacing w:line="360" w:lineRule="auto"/>
        <w:rPr>
          <w:rFonts w:ascii="黑体" w:hAnsi="黑体" w:eastAsia="黑体"/>
          <w:b/>
          <w:bCs/>
          <w:color w:val="auto"/>
          <w:sz w:val="24"/>
          <w:highlight w:val="none"/>
        </w:rPr>
      </w:pPr>
      <w:bookmarkStart w:id="36" w:name="_Toc35393795"/>
      <w:bookmarkStart w:id="37" w:name="_Toc35393626"/>
      <w:r>
        <w:rPr>
          <w:rFonts w:hint="eastAsia" w:ascii="黑体" w:hAnsi="黑体" w:eastAsia="黑体"/>
          <w:b/>
          <w:bCs/>
          <w:color w:val="auto"/>
          <w:sz w:val="24"/>
          <w:highlight w:val="none"/>
        </w:rPr>
        <w:t>六、其他补充事宜</w:t>
      </w:r>
      <w:bookmarkEnd w:id="36"/>
      <w:bookmarkEnd w:id="37"/>
    </w:p>
    <w:p w14:paraId="6855E594">
      <w:pPr>
        <w:spacing w:line="360" w:lineRule="auto"/>
        <w:ind w:firstLine="420" w:firstLineChars="200"/>
        <w:rPr>
          <w:rFonts w:ascii="宋体" w:hAnsi="宋体" w:cs="宋体"/>
          <w:color w:val="auto"/>
          <w:kern w:val="0"/>
          <w:szCs w:val="21"/>
          <w:highlight w:val="none"/>
        </w:rPr>
      </w:pPr>
      <w:bookmarkStart w:id="38" w:name="_Hlk37429595"/>
      <w:bookmarkStart w:id="39" w:name="_Hlk37429585"/>
      <w:r>
        <w:rPr>
          <w:rFonts w:hint="eastAsia" w:ascii="宋体" w:hAnsi="宋体" w:cs="宋体"/>
          <w:color w:val="auto"/>
          <w:kern w:val="0"/>
          <w:szCs w:val="21"/>
          <w:highlight w:val="none"/>
        </w:rPr>
        <w:t>1.网上查询地址</w:t>
      </w:r>
    </w:p>
    <w:bookmarkEnd w:id="38"/>
    <w:bookmarkEnd w:id="39"/>
    <w:p w14:paraId="002A4352">
      <w:pPr>
        <w:spacing w:line="360" w:lineRule="auto"/>
        <w:ind w:left="210" w:leftChars="100" w:firstLine="424" w:firstLineChars="202"/>
        <w:rPr>
          <w:rFonts w:ascii="宋体" w:hAnsi="宋体" w:cs="宋体"/>
          <w:iCs/>
          <w:color w:val="auto"/>
          <w:kern w:val="0"/>
          <w:szCs w:val="21"/>
          <w:highlight w:val="none"/>
        </w:rPr>
      </w:pPr>
      <w:bookmarkStart w:id="40" w:name="_Hlk37429674"/>
      <w:r>
        <w:rPr>
          <w:rFonts w:ascii="宋体" w:hAnsi="宋体" w:cs="宋体"/>
          <w:iCs/>
          <w:color w:val="auto"/>
          <w:kern w:val="0"/>
          <w:szCs w:val="21"/>
          <w:highlight w:val="none"/>
        </w:rPr>
        <w:t>http：</w:t>
      </w:r>
      <w:r>
        <w:rPr>
          <w:rFonts w:hint="eastAsia" w:ascii="宋体" w:hAnsi="宋体" w:cs="宋体"/>
          <w:iCs/>
          <w:color w:val="auto"/>
          <w:kern w:val="0"/>
          <w:szCs w:val="21"/>
          <w:highlight w:val="none"/>
        </w:rPr>
        <w:t>//www.ccgp.gov.cn（中国政府采购网）、</w:t>
      </w:r>
      <w:r>
        <w:rPr>
          <w:rFonts w:ascii="宋体" w:hAnsi="宋体" w:cs="宋体"/>
          <w:iCs/>
          <w:color w:val="auto"/>
          <w:kern w:val="0"/>
          <w:szCs w:val="21"/>
          <w:highlight w:val="none"/>
        </w:rPr>
        <w:t>http：</w:t>
      </w:r>
      <w:r>
        <w:rPr>
          <w:rFonts w:hint="eastAsia" w:ascii="宋体" w:hAnsi="宋体" w:cs="宋体"/>
          <w:iCs/>
          <w:color w:val="auto"/>
          <w:kern w:val="0"/>
          <w:szCs w:val="21"/>
          <w:highlight w:val="none"/>
        </w:rPr>
        <w:t>//zfcg.gxzf.gov.cn（广西壮族自治区政府采购网）、http://117.141.250.58:10030/web/cgw/index.ptl（梧州市政府采购网）、http://ggzy.jgswj.gxzf.gov.cn/wzggzy/（全国公共资源交易平台·梧州藤县）</w:t>
      </w:r>
    </w:p>
    <w:p w14:paraId="3E4E0A86">
      <w:pPr>
        <w:spacing w:line="360" w:lineRule="auto"/>
        <w:ind w:firstLine="424" w:firstLineChars="202"/>
        <w:rPr>
          <w:rFonts w:ascii="宋体" w:hAnsi="宋体" w:cs="宋体"/>
          <w:color w:val="auto"/>
          <w:kern w:val="0"/>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kern w:val="0"/>
          <w:szCs w:val="21"/>
          <w:highlight w:val="none"/>
        </w:rPr>
        <w:t>本项目需要落实的政府采购政策</w:t>
      </w:r>
    </w:p>
    <w:p w14:paraId="2EE8931A">
      <w:pPr>
        <w:spacing w:line="360" w:lineRule="auto"/>
        <w:ind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5088443D">
      <w:pPr>
        <w:spacing w:line="360" w:lineRule="auto"/>
        <w:ind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14E30A15">
      <w:pPr>
        <w:spacing w:line="360" w:lineRule="auto"/>
        <w:ind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2829357D">
      <w:pPr>
        <w:spacing w:line="360" w:lineRule="auto"/>
        <w:ind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637A828B">
      <w:pPr>
        <w:spacing w:line="360" w:lineRule="auto"/>
        <w:ind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4B84CE3C">
      <w:pPr>
        <w:widowControl/>
        <w:spacing w:line="360" w:lineRule="auto"/>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3.</w:t>
      </w:r>
      <w:bookmarkEnd w:id="40"/>
      <w:bookmarkStart w:id="41" w:name="_Toc35393627"/>
      <w:bookmarkStart w:id="42" w:name="_Toc28359085"/>
      <w:bookmarkStart w:id="43" w:name="_Toc28359008"/>
      <w:bookmarkStart w:id="44" w:name="_Toc35393796"/>
      <w:r>
        <w:rPr>
          <w:rFonts w:hint="eastAsia" w:ascii="宋体" w:hAnsi="宋体" w:cs="宋体"/>
          <w:color w:val="auto"/>
          <w:kern w:val="0"/>
          <w:szCs w:val="21"/>
          <w:highlight w:val="none"/>
        </w:rPr>
        <w:t>投标人</w:t>
      </w:r>
      <w:r>
        <w:rPr>
          <w:rFonts w:hint="eastAsia" w:ascii="宋体" w:hAnsi="宋体"/>
          <w:color w:val="auto"/>
          <w:szCs w:val="21"/>
          <w:highlight w:val="none"/>
        </w:rPr>
        <w:t>投标注意事项</w:t>
      </w:r>
    </w:p>
    <w:p w14:paraId="4776C9EB">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（1）本项目为全流程电子化采购项目，通过广西政府采购云平台（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）实行在线电子投标，投标人应按照本项目招标文件和广西政府采购云平台的要求编制、加密后在投标截止时间前通过网络上传至广西政府采购云平台（加密的电子投标文件是指</w:t>
      </w:r>
      <w:r>
        <w:rPr>
          <w:rFonts w:hint="eastAsia"/>
          <w:color w:val="auto"/>
          <w:highlight w:val="none"/>
        </w:rPr>
        <w:t>后缀名为“</w:t>
      </w:r>
      <w:r>
        <w:rPr>
          <w:color w:val="auto"/>
          <w:highlight w:val="none"/>
        </w:rPr>
        <w:t>jmbs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投标人在广西政府采购云平台提交电子投标文件时，请填写参加远程开标活动经办人联系方式。</w:t>
      </w:r>
      <w:r>
        <w:rPr>
          <w:rFonts w:hint="eastAsia" w:ascii="宋体" w:hAnsi="宋体"/>
          <w:color w:val="auto"/>
          <w:szCs w:val="21"/>
          <w:highlight w:val="none"/>
        </w:rPr>
        <w:t>投标人登录广西政府采购云平台，依次进入“服务中心-项目采购-操作流程-电子招投标-</w:t>
      </w:r>
      <w:r>
        <w:rPr>
          <w:rFonts w:hint="eastAsia"/>
          <w:color w:val="auto"/>
          <w:highlight w:val="none"/>
        </w:rPr>
        <w:t>政府采购项目电子交易管理操作指南</w:t>
      </w:r>
      <w:r>
        <w:rPr>
          <w:color w:val="auto"/>
          <w:highlight w:val="none"/>
        </w:rPr>
        <w:t>-</w:t>
      </w:r>
      <w:r>
        <w:rPr>
          <w:rFonts w:hint="eastAsia"/>
          <w:color w:val="auto"/>
          <w:highlight w:val="none"/>
        </w:rPr>
        <w:t>供应商</w:t>
      </w:r>
      <w:r>
        <w:rPr>
          <w:rFonts w:hint="eastAsia" w:ascii="宋体" w:hAnsi="宋体"/>
          <w:color w:val="auto"/>
          <w:szCs w:val="21"/>
          <w:highlight w:val="none"/>
        </w:rPr>
        <w:t>”查看电子投标具体操作流程。</w:t>
      </w:r>
    </w:p>
    <w:p w14:paraId="5D0F3B25">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cs="宋体"/>
          <w:color w:val="auto"/>
          <w:kern w:val="0"/>
          <w:szCs w:val="21"/>
          <w:highlight w:val="none"/>
        </w:rPr>
        <w:t>，</w:t>
      </w:r>
      <w:r>
        <w:rPr>
          <w:rFonts w:hint="eastAsia" w:ascii="宋体" w:hAnsi="宋体"/>
          <w:color w:val="auto"/>
          <w:szCs w:val="21"/>
          <w:highlight w:val="none"/>
        </w:rPr>
        <w:t>依次进入“服务中心-入驻与配置”中查看CA数字证书办理操作流程。</w:t>
      </w:r>
      <w:r>
        <w:rPr>
          <w:rFonts w:hint="eastAsia" w:ascii="宋体" w:hAnsi="宋体" w:cs="宋体"/>
          <w:b/>
          <w:color w:val="auto"/>
          <w:kern w:val="0"/>
          <w:szCs w:val="21"/>
          <w:highlight w:val="none"/>
        </w:rPr>
        <w:t>如在操作过程中遇到问题或者需要技术支持，请致电客服热线：95763/0771-3381253</w:t>
      </w:r>
      <w:r>
        <w:rPr>
          <w:rFonts w:hint="eastAsia" w:ascii="宋体" w:hAnsi="宋体"/>
          <w:b/>
          <w:color w:val="auto"/>
          <w:szCs w:val="21"/>
          <w:highlight w:val="none"/>
        </w:rPr>
        <w:t>）</w:t>
      </w:r>
      <w:r>
        <w:rPr>
          <w:rFonts w:hint="eastAsia" w:ascii="宋体" w:hAnsi="宋体"/>
          <w:color w:val="auto"/>
          <w:szCs w:val="21"/>
          <w:highlight w:val="none"/>
        </w:rPr>
        <w:t>。</w:t>
      </w:r>
    </w:p>
    <w:p w14:paraId="22322FDC">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（3）CA证书在线解密：投标人投标时，需凭制作投标文件时用来加密的有效数字证书（CA认证）登录</w:t>
      </w:r>
      <w:r>
        <w:rPr>
          <w:rFonts w:hint="eastAsia" w:ascii="宋体" w:hAnsi="宋体"/>
          <w:color w:val="auto"/>
          <w:szCs w:val="21"/>
          <w:highlight w:val="none"/>
        </w:rPr>
        <w:t>广西政府采购云平台</w:t>
      </w:r>
      <w:r>
        <w:rPr>
          <w:rFonts w:hint="eastAsia" w:ascii="宋体" w:hAnsi="宋体" w:cs="宋体"/>
          <w:color w:val="auto"/>
          <w:kern w:val="0"/>
          <w:szCs w:val="21"/>
          <w:highlight w:val="none"/>
        </w:rPr>
        <w:t>电子开标大厅现场按规定时间对加密的投标文件进行解密，否则后果自负。</w:t>
      </w:r>
    </w:p>
    <w:p w14:paraId="4617AEF9">
      <w:pPr>
        <w:spacing w:line="360" w:lineRule="auto"/>
        <w:ind w:firstLine="424" w:firstLineChars="202"/>
        <w:rPr>
          <w:rFonts w:ascii="宋体" w:hAnsi="宋体"/>
          <w:bCs/>
          <w:color w:val="auto"/>
          <w:szCs w:val="21"/>
          <w:highlight w:val="none"/>
        </w:rPr>
      </w:pPr>
      <w:r>
        <w:rPr>
          <w:rFonts w:hint="eastAsia" w:ascii="宋体" w:hAnsi="宋体"/>
          <w:color w:val="auto"/>
          <w:szCs w:val="21"/>
          <w:highlight w:val="none"/>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olor w:val="auto"/>
          <w:szCs w:val="21"/>
          <w:highlight w:val="none"/>
        </w:rPr>
        <w:t>广西政府采购云平台</w:t>
      </w:r>
      <w:r>
        <w:rPr>
          <w:rFonts w:hint="eastAsia" w:ascii="宋体" w:hAnsi="宋体"/>
          <w:bCs/>
          <w:color w:val="auto"/>
          <w:szCs w:val="21"/>
          <w:highlight w:val="none"/>
        </w:rPr>
        <w:t>将予以拒收。</w:t>
      </w:r>
    </w:p>
    <w:p w14:paraId="105D802F">
      <w:pPr>
        <w:spacing w:line="360" w:lineRule="auto"/>
        <w:ind w:firstLine="426" w:firstLineChars="202"/>
        <w:rPr>
          <w:rFonts w:ascii="宋体" w:hAnsi="宋体" w:cs="宋体"/>
          <w:b/>
          <w:bCs/>
          <w:iCs/>
          <w:color w:val="auto"/>
          <w:kern w:val="0"/>
          <w:szCs w:val="21"/>
          <w:highlight w:val="none"/>
        </w:rPr>
      </w:pPr>
      <w:r>
        <w:rPr>
          <w:rFonts w:hint="eastAsia" w:ascii="宋体" w:hAnsi="宋体" w:cs="宋体"/>
          <w:b/>
          <w:bCs/>
          <w:iCs/>
          <w:color w:val="auto"/>
          <w:kern w:val="0"/>
          <w:szCs w:val="21"/>
          <w:highlight w:val="none"/>
        </w:rPr>
        <w:t>4.本项目为远程异地全流程电子评标。</w:t>
      </w:r>
    </w:p>
    <w:p w14:paraId="5A47E8E1">
      <w:pPr>
        <w:spacing w:line="360" w:lineRule="auto"/>
        <w:ind w:firstLine="482" w:firstLineChars="200"/>
        <w:rPr>
          <w:rFonts w:ascii="黑体" w:hAnsi="黑体" w:eastAsia="黑体"/>
          <w:b/>
          <w:bCs/>
          <w:color w:val="auto"/>
          <w:sz w:val="24"/>
          <w:highlight w:val="none"/>
        </w:rPr>
      </w:pPr>
      <w:r>
        <w:rPr>
          <w:rFonts w:hint="eastAsia" w:ascii="黑体" w:hAnsi="黑体" w:eastAsia="黑体"/>
          <w:b/>
          <w:bCs/>
          <w:color w:val="auto"/>
          <w:sz w:val="24"/>
          <w:highlight w:val="none"/>
        </w:rPr>
        <w:t>七、对本次招标提出询问，请按</w:t>
      </w:r>
      <w:r>
        <w:rPr>
          <w:rFonts w:ascii="黑体" w:hAnsi="黑体" w:eastAsia="黑体"/>
          <w:b/>
          <w:bCs/>
          <w:color w:val="auto"/>
          <w:sz w:val="24"/>
          <w:highlight w:val="none"/>
        </w:rPr>
        <w:t>以下方式</w:t>
      </w:r>
      <w:r>
        <w:rPr>
          <w:rFonts w:hint="eastAsia" w:ascii="黑体" w:hAnsi="黑体" w:eastAsia="黑体"/>
          <w:b/>
          <w:bCs/>
          <w:color w:val="auto"/>
          <w:sz w:val="24"/>
          <w:highlight w:val="none"/>
        </w:rPr>
        <w:t>联系。</w:t>
      </w:r>
      <w:bookmarkEnd w:id="41"/>
      <w:bookmarkEnd w:id="42"/>
      <w:bookmarkEnd w:id="43"/>
      <w:bookmarkEnd w:id="44"/>
    </w:p>
    <w:p w14:paraId="79A11A79">
      <w:pPr>
        <w:spacing w:line="360" w:lineRule="auto"/>
        <w:ind w:firstLine="420" w:firstLineChars="200"/>
        <w:rPr>
          <w:rFonts w:ascii="宋体" w:hAnsi="宋体" w:cs="宋体"/>
          <w:color w:val="auto"/>
          <w:kern w:val="0"/>
          <w:szCs w:val="21"/>
          <w:highlight w:val="none"/>
        </w:rPr>
      </w:pPr>
      <w:bookmarkStart w:id="45" w:name="_Toc35393637"/>
      <w:bookmarkStart w:id="46" w:name="_Toc28359019"/>
      <w:bookmarkStart w:id="47" w:name="_Toc35393806"/>
      <w:bookmarkStart w:id="48" w:name="_Toc28359096"/>
      <w:r>
        <w:rPr>
          <w:rFonts w:hint="eastAsia" w:ascii="宋体" w:hAnsi="宋体" w:cs="宋体"/>
          <w:color w:val="auto"/>
          <w:kern w:val="0"/>
          <w:szCs w:val="21"/>
          <w:highlight w:val="none"/>
        </w:rPr>
        <w:t>1.采购人信息</w:t>
      </w:r>
      <w:bookmarkEnd w:id="45"/>
      <w:bookmarkEnd w:id="46"/>
      <w:bookmarkEnd w:id="47"/>
      <w:bookmarkEnd w:id="48"/>
    </w:p>
    <w:p w14:paraId="418C3EA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名    称：</w:t>
      </w:r>
      <w:r>
        <w:rPr>
          <w:rFonts w:hint="eastAsia" w:ascii="宋体" w:hAnsi="宋体" w:cs="宋体"/>
          <w:color w:val="auto"/>
          <w:szCs w:val="21"/>
          <w:highlight w:val="none"/>
          <w:u w:val="single"/>
        </w:rPr>
        <w:t>藤县人民医院</w:t>
      </w:r>
    </w:p>
    <w:p w14:paraId="79B57B0D">
      <w:pPr>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地    址：</w:t>
      </w:r>
      <w:r>
        <w:rPr>
          <w:rFonts w:hint="eastAsia" w:ascii="宋体" w:hAnsi="宋体"/>
          <w:color w:val="auto"/>
          <w:szCs w:val="21"/>
          <w:highlight w:val="none"/>
          <w:u w:val="single"/>
        </w:rPr>
        <w:t>藤县藤州大道藤县人民医院</w:t>
      </w:r>
    </w:p>
    <w:p w14:paraId="4680148F">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联系方式：</w:t>
      </w:r>
      <w:r>
        <w:rPr>
          <w:rFonts w:hint="eastAsia" w:ascii="宋体" w:hAnsi="宋体"/>
          <w:color w:val="auto"/>
          <w:szCs w:val="21"/>
          <w:highlight w:val="none"/>
          <w:u w:val="single"/>
        </w:rPr>
        <w:t>陈尚武，0774-7017025</w:t>
      </w:r>
    </w:p>
    <w:p w14:paraId="7A855D4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 </w:t>
      </w:r>
    </w:p>
    <w:p w14:paraId="6CEC0463">
      <w:pPr>
        <w:spacing w:line="360" w:lineRule="auto"/>
        <w:ind w:firstLine="420" w:firstLineChars="200"/>
        <w:rPr>
          <w:rFonts w:ascii="宋体" w:hAnsi="宋体" w:cs="宋体"/>
          <w:color w:val="auto"/>
          <w:kern w:val="0"/>
          <w:szCs w:val="21"/>
          <w:highlight w:val="none"/>
        </w:rPr>
      </w:pPr>
      <w:bookmarkStart w:id="49" w:name="_Toc35393807"/>
      <w:bookmarkStart w:id="50" w:name="_Toc35393638"/>
      <w:bookmarkStart w:id="51" w:name="_Toc28359097"/>
      <w:bookmarkStart w:id="52" w:name="_Toc28359020"/>
      <w:r>
        <w:rPr>
          <w:rFonts w:hint="eastAsia" w:ascii="宋体" w:hAnsi="宋体" w:cs="宋体"/>
          <w:color w:val="auto"/>
          <w:kern w:val="0"/>
          <w:szCs w:val="21"/>
          <w:highlight w:val="none"/>
        </w:rPr>
        <w:t>2.采购代理机构信息</w:t>
      </w:r>
      <w:bookmarkEnd w:id="49"/>
      <w:bookmarkEnd w:id="50"/>
      <w:bookmarkEnd w:id="51"/>
      <w:bookmarkEnd w:id="52"/>
    </w:p>
    <w:p w14:paraId="5B8DAC0F">
      <w:pPr>
        <w:spacing w:line="360" w:lineRule="auto"/>
        <w:ind w:firstLine="420" w:firstLineChars="200"/>
        <w:rPr>
          <w:rFonts w:ascii="宋体" w:hAnsi="宋体" w:cs="宋体"/>
          <w:color w:val="auto"/>
          <w:szCs w:val="21"/>
          <w:highlight w:val="none"/>
          <w:u w:val="single"/>
        </w:rPr>
      </w:pPr>
      <w:r>
        <w:rPr>
          <w:rFonts w:hint="eastAsia" w:ascii="宋体" w:hAnsi="宋体"/>
          <w:color w:val="auto"/>
          <w:szCs w:val="21"/>
          <w:highlight w:val="none"/>
        </w:rPr>
        <w:t>名    称：</w:t>
      </w:r>
      <w:r>
        <w:rPr>
          <w:rFonts w:hint="eastAsia" w:ascii="宋体" w:hAnsi="宋体" w:cs="宋体"/>
          <w:color w:val="auto"/>
          <w:szCs w:val="21"/>
          <w:highlight w:val="none"/>
          <w:u w:val="single"/>
        </w:rPr>
        <w:t>云之龙咨询集团有限公司</w:t>
      </w:r>
    </w:p>
    <w:p w14:paraId="25B35C8F">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地　　址：</w:t>
      </w:r>
      <w:r>
        <w:rPr>
          <w:rFonts w:hint="eastAsia" w:ascii="宋体" w:hAnsi="宋体"/>
          <w:color w:val="auto"/>
          <w:szCs w:val="21"/>
          <w:highlight w:val="none"/>
          <w:u w:val="single"/>
        </w:rPr>
        <w:t>广西藤县藤州镇安泰五街62号</w:t>
      </w:r>
    </w:p>
    <w:p w14:paraId="5F7D9732">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联系方式：</w:t>
      </w:r>
      <w:r>
        <w:rPr>
          <w:rFonts w:hint="eastAsia" w:ascii="宋体" w:hAnsi="宋体"/>
          <w:color w:val="auto"/>
          <w:szCs w:val="21"/>
          <w:highlight w:val="none"/>
          <w:u w:val="single"/>
        </w:rPr>
        <w:t>周子然、姚国铭、陈丽年  0774-7288399</w:t>
      </w:r>
    </w:p>
    <w:p w14:paraId="70BC0372">
      <w:pPr>
        <w:spacing w:line="360" w:lineRule="auto"/>
        <w:ind w:firstLine="420" w:firstLineChars="200"/>
        <w:rPr>
          <w:rFonts w:ascii="宋体" w:hAnsi="宋体" w:cs="宋体"/>
          <w:color w:val="auto"/>
          <w:kern w:val="0"/>
          <w:szCs w:val="21"/>
          <w:highlight w:val="none"/>
        </w:rPr>
      </w:pPr>
      <w:bookmarkStart w:id="53" w:name="_Toc35393639"/>
      <w:bookmarkStart w:id="54" w:name="_Toc35393808"/>
      <w:bookmarkStart w:id="55" w:name="_Toc28359021"/>
      <w:bookmarkStart w:id="56" w:name="_Toc28359098"/>
      <w:r>
        <w:rPr>
          <w:rFonts w:hint="eastAsia" w:ascii="宋体" w:hAnsi="宋体" w:cs="宋体"/>
          <w:color w:val="auto"/>
          <w:kern w:val="0"/>
          <w:szCs w:val="21"/>
          <w:highlight w:val="none"/>
        </w:rPr>
        <w:t>3.项目联系</w:t>
      </w:r>
      <w:r>
        <w:rPr>
          <w:rFonts w:ascii="宋体" w:hAnsi="宋体" w:cs="宋体"/>
          <w:color w:val="auto"/>
          <w:kern w:val="0"/>
          <w:szCs w:val="21"/>
          <w:highlight w:val="none"/>
        </w:rPr>
        <w:t>方式</w:t>
      </w:r>
      <w:bookmarkEnd w:id="53"/>
      <w:bookmarkEnd w:id="54"/>
      <w:bookmarkEnd w:id="55"/>
      <w:bookmarkEnd w:id="56"/>
    </w:p>
    <w:p w14:paraId="575DB122">
      <w:pPr>
        <w:pStyle w:val="24"/>
        <w:spacing w:line="360" w:lineRule="auto"/>
        <w:ind w:firstLine="420" w:firstLineChars="200"/>
        <w:rPr>
          <w:rFonts w:hAnsi="宋体"/>
          <w:color w:val="auto"/>
          <w:sz w:val="21"/>
          <w:highlight w:val="none"/>
          <w:u w:val="single"/>
        </w:rPr>
      </w:pPr>
      <w:r>
        <w:rPr>
          <w:rFonts w:hint="eastAsia" w:hAnsi="宋体"/>
          <w:color w:val="auto"/>
          <w:sz w:val="21"/>
          <w:highlight w:val="none"/>
        </w:rPr>
        <w:t>项目联系人：</w:t>
      </w:r>
      <w:r>
        <w:rPr>
          <w:rFonts w:hint="eastAsia" w:hAnsi="宋体"/>
          <w:color w:val="auto"/>
          <w:sz w:val="21"/>
          <w:highlight w:val="none"/>
          <w:u w:val="single"/>
        </w:rPr>
        <w:t>周子然、姚国铭、陈丽年</w:t>
      </w:r>
    </w:p>
    <w:p w14:paraId="29368416">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电　　话：</w:t>
      </w:r>
      <w:r>
        <w:rPr>
          <w:rFonts w:hint="eastAsia" w:ascii="宋体" w:hAnsi="宋体"/>
          <w:color w:val="auto"/>
          <w:szCs w:val="21"/>
          <w:highlight w:val="none"/>
          <w:u w:val="single"/>
        </w:rPr>
        <w:t>0774-7288399</w:t>
      </w:r>
    </w:p>
    <w:p w14:paraId="6AB67EAD">
      <w:pPr>
        <w:spacing w:line="360" w:lineRule="auto"/>
        <w:ind w:firstLine="420" w:firstLineChars="200"/>
        <w:rPr>
          <w:rFonts w:ascii="仿宋_GB2312" w:hAnsi="宋体" w:eastAsia="仿宋_GB2312"/>
          <w:color w:val="auto"/>
          <w:sz w:val="24"/>
          <w:szCs w:val="20"/>
          <w:highlight w:val="none"/>
        </w:rPr>
      </w:pPr>
      <w:r>
        <w:rPr>
          <w:rFonts w:hint="eastAsia" w:ascii="宋体" w:hAnsi="宋体"/>
          <w:color w:val="auto"/>
          <w:szCs w:val="21"/>
          <w:highlight w:val="none"/>
        </w:rPr>
        <w:t>附件：采购需求</w:t>
      </w:r>
    </w:p>
    <w:p w14:paraId="119E8385">
      <w:pPr>
        <w:rPr>
          <w:color w:val="auto"/>
          <w:highlight w:val="none"/>
        </w:rPr>
      </w:pPr>
      <w:bookmarkStart w:id="57" w:name="_Toc74320801"/>
      <w:r>
        <w:rPr>
          <w:rFonts w:hint="eastAsia"/>
          <w:color w:val="auto"/>
          <w:highlight w:val="none"/>
        </w:rPr>
        <w:br w:type="page"/>
      </w:r>
    </w:p>
    <w:p w14:paraId="427052FB">
      <w:pPr>
        <w:pStyle w:val="2"/>
        <w:jc w:val="center"/>
        <w:rPr>
          <w:color w:val="auto"/>
          <w:highlight w:val="none"/>
        </w:rPr>
      </w:pPr>
      <w:r>
        <w:rPr>
          <w:rFonts w:hint="eastAsia"/>
          <w:color w:val="auto"/>
          <w:highlight w:val="none"/>
        </w:rPr>
        <w:t>第二章  采购需求</w:t>
      </w:r>
      <w:bookmarkEnd w:id="57"/>
    </w:p>
    <w:p w14:paraId="0E6C9144">
      <w:pPr>
        <w:spacing w:line="360" w:lineRule="auto"/>
        <w:jc w:val="left"/>
        <w:rPr>
          <w:rFonts w:ascii="宋体" w:hAnsi="宋体" w:cs="宋体"/>
          <w:color w:val="auto"/>
          <w:szCs w:val="21"/>
          <w:highlight w:val="none"/>
        </w:rPr>
      </w:pPr>
      <w:bookmarkStart w:id="58" w:name="_Toc254970631"/>
      <w:bookmarkStart w:id="59" w:name="_Hlk65055179"/>
      <w:bookmarkStart w:id="60" w:name="_Toc254970490"/>
      <w:r>
        <w:rPr>
          <w:rFonts w:hint="eastAsia" w:ascii="宋体" w:hAnsi="宋体" w:cs="宋体"/>
          <w:color w:val="auto"/>
          <w:szCs w:val="21"/>
          <w:highlight w:val="none"/>
        </w:rPr>
        <w:t>说明：</w:t>
      </w:r>
    </w:p>
    <w:p w14:paraId="4B7E3D41">
      <w:pPr>
        <w:spacing w:line="360" w:lineRule="auto"/>
        <w:ind w:firstLine="420" w:firstLineChars="200"/>
        <w:jc w:val="left"/>
        <w:rPr>
          <w:color w:val="auto"/>
          <w:highlight w:val="none"/>
        </w:rPr>
      </w:pPr>
      <w:r>
        <w:rPr>
          <w:color w:val="auto"/>
          <w:highlight w:val="none"/>
        </w:rPr>
        <w:t>1.</w:t>
      </w:r>
      <w:r>
        <w:rPr>
          <w:rFonts w:hint="eastAsia"/>
          <w:color w:val="auto"/>
          <w:highlight w:val="none"/>
        </w:rPr>
        <w:t>为落实政府采购政策需满足的要求</w:t>
      </w:r>
    </w:p>
    <w:p w14:paraId="728D9E5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（1）本招标文件所称中小企业必须符合《政府采购促进中小企业发展管理办法》（财库〔2020〕46号）的规定。</w:t>
      </w:r>
    </w:p>
    <w:p w14:paraId="23303028">
      <w:pPr>
        <w:spacing w:line="360" w:lineRule="auto"/>
        <w:ind w:firstLine="424" w:firstLineChars="202"/>
        <w:jc w:val="left"/>
        <w:rPr>
          <w:color w:val="auto"/>
          <w:highlight w:val="none"/>
        </w:rPr>
      </w:pPr>
      <w:r>
        <w:rPr>
          <w:rFonts w:hint="eastAsia" w:ascii="宋体" w:hAnsi="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w:t>
      </w:r>
      <w:r>
        <w:rPr>
          <w:rFonts w:hint="eastAsia" w:ascii="宋体" w:hAnsi="宋体" w:cs="宋体"/>
          <w:b/>
          <w:bCs/>
          <w:color w:val="auto"/>
          <w:szCs w:val="21"/>
          <w:highlight w:val="none"/>
        </w:rPr>
        <w:t>否则按无效投标处理</w:t>
      </w:r>
      <w:r>
        <w:rPr>
          <w:rFonts w:hint="eastAsia" w:ascii="宋体" w:hAnsi="宋体" w:cs="宋体"/>
          <w:color w:val="auto"/>
          <w:szCs w:val="21"/>
          <w:highlight w:val="none"/>
        </w:rPr>
        <w:t>。如本项目包含的货物属于品目清单内非标注“★”的产品时，应优先采购，具体详见“第四章 评标方法及评标标准”。</w:t>
      </w:r>
    </w:p>
    <w:p w14:paraId="5C8F9386">
      <w:pPr>
        <w:spacing w:line="360" w:lineRule="auto"/>
        <w:ind w:firstLine="424" w:firstLineChars="202"/>
        <w:jc w:val="left"/>
        <w:rPr>
          <w:color w:val="auto"/>
          <w:highlight w:val="none"/>
        </w:rPr>
      </w:pPr>
      <w:r>
        <w:rPr>
          <w:rFonts w:hint="eastAsia" w:ascii="宋体" w:hAnsi="宋体" w:cs="宋体"/>
          <w:color w:val="auto"/>
          <w:szCs w:val="21"/>
          <w:highlight w:val="none"/>
        </w:rPr>
        <w:t>（3）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5E3980C">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（4）</w:t>
      </w:r>
      <w:r>
        <w:rPr>
          <w:color w:val="auto"/>
          <w:highlight w:val="none"/>
        </w:rPr>
        <w:t>根据《关于调整网络安全专用产品安全管理有关事项的公告》（2023年</w:t>
      </w:r>
      <w:r>
        <w:rPr>
          <w:rFonts w:hint="eastAsia"/>
          <w:color w:val="auto"/>
          <w:highlight w:val="none"/>
        </w:rPr>
        <w:t>第</w:t>
      </w:r>
      <w:r>
        <w:rPr>
          <w:color w:val="auto"/>
          <w:highlight w:val="none"/>
        </w:rPr>
        <w:t>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w:t>
      </w:r>
      <w:r>
        <w:rPr>
          <w:b/>
          <w:color w:val="auto"/>
          <w:highlight w:val="none"/>
        </w:rPr>
        <w:t>不在《网络关键设备和网络安全专用产品安全认证和安全检测结果》中或不在有效期内的，</w:t>
      </w:r>
      <w:r>
        <w:rPr>
          <w:rFonts w:hint="eastAsia"/>
          <w:b/>
          <w:color w:val="auto"/>
          <w:highlight w:val="none"/>
        </w:rPr>
        <w:t>按无效投标处理</w:t>
      </w:r>
      <w:r>
        <w:rPr>
          <w:color w:val="auto"/>
          <w:highlight w:val="none"/>
        </w:rPr>
        <w:t>。如属于《网络关键设备和网络安全专用产品目录》中“二、网络安全专用产品”内“产品类别”中所描述的产品，但不属于所列“产品描述”情形的，应提供相应的说明及证明材料。</w:t>
      </w:r>
    </w:p>
    <w:p w14:paraId="355D34CA">
      <w:pPr>
        <w:spacing w:line="360" w:lineRule="auto"/>
        <w:ind w:firstLine="426" w:firstLineChars="202"/>
        <w:jc w:val="left"/>
        <w:rPr>
          <w:rFonts w:ascii="宋体" w:hAnsi="宋体" w:cs="宋体"/>
          <w:b/>
          <w:bCs/>
          <w:color w:val="auto"/>
          <w:szCs w:val="21"/>
          <w:highlight w:val="none"/>
        </w:rPr>
      </w:pPr>
      <w:r>
        <w:rPr>
          <w:rFonts w:hint="eastAsia" w:ascii="宋体" w:hAnsi="宋体" w:cs="宋体"/>
          <w:b/>
          <w:bCs/>
          <w:color w:val="auto"/>
          <w:szCs w:val="21"/>
          <w:highlight w:val="none"/>
        </w:rPr>
        <w:t>2.“实质性要求”是指招标文件中已经指明不满足则投标无效的条款，或者不能负偏离的条款，或者采购需求中带“▲”的条款。</w:t>
      </w:r>
    </w:p>
    <w:p w14:paraId="4CB41B1A">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3.标记“●”的条款（如有）是指采购需求中的重要指标，作为评分标准依据。</w:t>
      </w:r>
    </w:p>
    <w:p w14:paraId="45E5BE93">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4.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5044F530">
      <w:pPr>
        <w:spacing w:line="360" w:lineRule="auto"/>
        <w:ind w:firstLine="424" w:firstLineChars="202"/>
        <w:jc w:val="left"/>
        <w:rPr>
          <w:color w:val="auto"/>
          <w:highlight w:val="none"/>
        </w:rPr>
      </w:pPr>
      <w:r>
        <w:rPr>
          <w:rFonts w:hint="eastAsia" w:ascii="宋体" w:hAnsi="宋体" w:cs="宋体"/>
          <w:color w:val="auto"/>
          <w:szCs w:val="21"/>
          <w:highlight w:val="none"/>
        </w:rPr>
        <w:t>5.  投标人应根据自身实际情况如实响应招标文件</w:t>
      </w:r>
      <w:r>
        <w:rPr>
          <w:rFonts w:hint="eastAsia" w:ascii="宋体" w:hAnsi="宋体"/>
          <w:color w:val="auto"/>
          <w:szCs w:val="21"/>
          <w:highlight w:val="none"/>
        </w:rPr>
        <w:t>，</w:t>
      </w:r>
      <w:r>
        <w:rPr>
          <w:rFonts w:hint="eastAsia" w:ascii="宋体" w:hAnsi="宋体"/>
          <w:color w:val="auto"/>
          <w:sz w:val="22"/>
          <w:szCs w:val="22"/>
          <w:highlight w:val="none"/>
        </w:rPr>
        <w:t>对招标文件提出的要求和条件作出明确响应</w:t>
      </w:r>
      <w:r>
        <w:rPr>
          <w:rFonts w:hint="eastAsia" w:ascii="宋体" w:hAnsi="宋体"/>
          <w:color w:val="auto"/>
          <w:szCs w:val="21"/>
          <w:highlight w:val="none"/>
        </w:rPr>
        <w:t>，</w:t>
      </w:r>
      <w:r>
        <w:rPr>
          <w:rFonts w:hint="eastAsia" w:ascii="宋体" w:hAnsi="宋体"/>
          <w:b/>
          <w:bCs/>
          <w:color w:val="auto"/>
          <w:szCs w:val="21"/>
          <w:highlight w:val="none"/>
        </w:rPr>
        <w:t>否则该技术参数视为负偏离</w:t>
      </w:r>
      <w:r>
        <w:rPr>
          <w:rFonts w:hint="eastAsia" w:ascii="宋体" w:hAnsi="宋体"/>
          <w:color w:val="auto"/>
          <w:szCs w:val="21"/>
          <w:highlight w:val="none"/>
        </w:rPr>
        <w:t>。</w:t>
      </w:r>
      <w:r>
        <w:rPr>
          <w:rFonts w:hint="eastAsia"/>
          <w:color w:val="auto"/>
          <w:highlight w:val="none"/>
        </w:rPr>
        <w:t>对于重要技术条款或技术参数应当在投标文件中提供技术支持资料，技术支持资料以招标文件中规定的形式为准，</w:t>
      </w:r>
      <w:r>
        <w:rPr>
          <w:rFonts w:hint="eastAsia"/>
          <w:b/>
          <w:bCs/>
          <w:color w:val="auto"/>
          <w:highlight w:val="none"/>
        </w:rPr>
        <w:t>否则将视为无效技术支持资料</w:t>
      </w:r>
      <w:r>
        <w:rPr>
          <w:rFonts w:hint="eastAsia"/>
          <w:color w:val="auto"/>
          <w:highlight w:val="none"/>
        </w:rPr>
        <w:t>。</w:t>
      </w:r>
    </w:p>
    <w:p w14:paraId="1220D0D0">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6.投标人必须自行为其投标产品侵犯他人的知识产权或者专利成果的行为承担相应法律责任。</w:t>
      </w:r>
    </w:p>
    <w:p w14:paraId="142141CA">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7.所属行业依照《中小企业划型标准规定》（工信部联企业〔2011〕300号）及《国民经济行业分类》（</w:t>
      </w:r>
      <w:r>
        <w:rPr>
          <w:color w:val="auto"/>
          <w:highlight w:val="none"/>
        </w:rPr>
        <w:t xml:space="preserve"> </w:t>
      </w:r>
      <w:r>
        <w:rPr>
          <w:rFonts w:ascii="宋体" w:hAnsi="宋体" w:cs="宋体"/>
          <w:color w:val="auto"/>
          <w:szCs w:val="21"/>
          <w:highlight w:val="none"/>
        </w:rPr>
        <w:t>GB/T 4754—2017</w:t>
      </w:r>
      <w:r>
        <w:rPr>
          <w:rFonts w:hint="eastAsia" w:ascii="宋体" w:hAnsi="宋体" w:cs="宋体"/>
          <w:color w:val="auto"/>
          <w:szCs w:val="21"/>
          <w:highlight w:val="none"/>
        </w:rPr>
        <w:t>）的有关规定执行，</w:t>
      </w:r>
      <w:r>
        <w:rPr>
          <w:rFonts w:hint="eastAsia" w:ascii="宋体" w:hAnsi="宋体" w:cs="宋体"/>
          <w:b/>
          <w:bCs/>
          <w:color w:val="auto"/>
          <w:szCs w:val="21"/>
          <w:highlight w:val="none"/>
        </w:rPr>
        <w:t>本项目所有采购标的的所属行业为“</w:t>
      </w:r>
      <w:r>
        <w:rPr>
          <w:rFonts w:hint="eastAsia" w:ascii="Helvetica" w:hAnsi="Helvetica" w:cs="Helvetica"/>
          <w:b/>
          <w:bCs/>
          <w:color w:val="auto"/>
          <w:szCs w:val="21"/>
          <w:highlight w:val="none"/>
          <w:shd w:val="clear" w:color="auto" w:fill="FFFFFF"/>
        </w:rPr>
        <w:t>工</w:t>
      </w:r>
      <w:r>
        <w:rPr>
          <w:rFonts w:ascii="Helvetica" w:hAnsi="Helvetica" w:eastAsia="Helvetica" w:cs="Helvetica"/>
          <w:b/>
          <w:bCs/>
          <w:color w:val="auto"/>
          <w:szCs w:val="21"/>
          <w:highlight w:val="none"/>
          <w:shd w:val="clear" w:color="auto" w:fill="FFFFFF"/>
        </w:rPr>
        <w:t>业</w:t>
      </w:r>
      <w:r>
        <w:rPr>
          <w:rFonts w:hint="eastAsia" w:ascii="宋体" w:hAnsi="宋体" w:cs="宋体"/>
          <w:b/>
          <w:bCs/>
          <w:color w:val="auto"/>
          <w:szCs w:val="21"/>
          <w:highlight w:val="none"/>
        </w:rPr>
        <w:t>”</w:t>
      </w:r>
      <w:r>
        <w:rPr>
          <w:rFonts w:hint="eastAsia" w:ascii="宋体" w:hAnsi="宋体" w:cs="宋体"/>
          <w:color w:val="auto"/>
          <w:szCs w:val="21"/>
          <w:highlight w:val="none"/>
        </w:rPr>
        <w:t>。</w:t>
      </w:r>
    </w:p>
    <w:bookmarkEnd w:id="58"/>
    <w:bookmarkEnd w:id="59"/>
    <w:bookmarkEnd w:id="60"/>
    <w:p w14:paraId="1940BD5B">
      <w:pPr>
        <w:rPr>
          <w:color w:val="auto"/>
          <w:highlight w:val="none"/>
        </w:rPr>
      </w:pPr>
    </w:p>
    <w:p w14:paraId="313AFF91">
      <w:pPr>
        <w:spacing w:line="360" w:lineRule="auto"/>
        <w:ind w:firstLine="308" w:firstLineChars="147"/>
        <w:jc w:val="left"/>
        <w:rPr>
          <w:rFonts w:ascii="宋体" w:hAnsi="宋体" w:cs="Arial"/>
          <w:bCs/>
          <w:color w:val="auto"/>
          <w:szCs w:val="21"/>
          <w:highlight w:val="none"/>
          <w:u w:val="single"/>
        </w:rPr>
      </w:pPr>
      <w:r>
        <w:rPr>
          <w:rFonts w:hint="eastAsia" w:ascii="宋体" w:hAnsi="宋体" w:cs="Arial"/>
          <w:bCs/>
          <w:color w:val="auto"/>
          <w:szCs w:val="21"/>
          <w:highlight w:val="none"/>
          <w:u w:val="single"/>
        </w:rPr>
        <w:t xml:space="preserve"> 1 </w:t>
      </w:r>
      <w:r>
        <w:rPr>
          <w:rFonts w:hint="eastAsia" w:ascii="宋体" w:hAnsi="宋体"/>
          <w:b/>
          <w:color w:val="auto"/>
          <w:szCs w:val="21"/>
          <w:highlight w:val="none"/>
        </w:rPr>
        <w:t>分标      最高限价：75.5</w:t>
      </w:r>
      <w:r>
        <w:rPr>
          <w:rFonts w:hint="eastAsia" w:ascii="宋体" w:hAnsi="宋体" w:cs="宋体"/>
          <w:b/>
          <w:color w:val="auto"/>
          <w:szCs w:val="21"/>
          <w:highlight w:val="none"/>
        </w:rPr>
        <w:t>万元</w:t>
      </w:r>
    </w:p>
    <w:p w14:paraId="3741F26B">
      <w:pPr>
        <w:spacing w:line="360" w:lineRule="auto"/>
        <w:ind w:firstLine="310" w:firstLineChars="147"/>
        <w:jc w:val="left"/>
        <w:rPr>
          <w:rFonts w:ascii="宋体" w:hAnsi="宋体" w:cs="Arial"/>
          <w:bCs/>
          <w:color w:val="auto"/>
          <w:szCs w:val="21"/>
          <w:highlight w:val="none"/>
          <w:u w:val="single"/>
        </w:rPr>
      </w:pPr>
      <w:r>
        <w:rPr>
          <w:rFonts w:hint="eastAsia" w:ascii="宋体" w:hAnsi="宋体"/>
          <w:b/>
          <w:color w:val="auto"/>
          <w:szCs w:val="21"/>
          <w:highlight w:val="none"/>
        </w:rPr>
        <w:t>本分标的核心产品为“</w:t>
      </w:r>
      <w:r>
        <w:rPr>
          <w:rFonts w:hint="eastAsia" w:ascii="宋体" w:hAnsi="宋体" w:cs="Arial"/>
          <w:b/>
          <w:color w:val="auto"/>
          <w:szCs w:val="21"/>
          <w:highlight w:val="none"/>
        </w:rPr>
        <w:t>半导体激光治疗仪”</w:t>
      </w:r>
      <w:r>
        <w:rPr>
          <w:rFonts w:hint="eastAsia" w:ascii="宋体" w:hAnsi="宋体"/>
          <w:b/>
          <w:color w:val="auto"/>
          <w:szCs w:val="21"/>
          <w:highlight w:val="none"/>
        </w:rPr>
        <w:t>。</w:t>
      </w:r>
    </w:p>
    <w:tbl>
      <w:tblPr>
        <w:tblStyle w:val="49"/>
        <w:tblW w:w="97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989"/>
        <w:gridCol w:w="1338"/>
        <w:gridCol w:w="937"/>
        <w:gridCol w:w="5944"/>
      </w:tblGrid>
      <w:tr w14:paraId="5EDF1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567" w:type="dxa"/>
            <w:vAlign w:val="center"/>
          </w:tcPr>
          <w:p w14:paraId="73BCC36C">
            <w:pPr>
              <w:tabs>
                <w:tab w:val="left" w:pos="180"/>
                <w:tab w:val="left" w:pos="1620"/>
              </w:tabs>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989" w:type="dxa"/>
            <w:vAlign w:val="center"/>
          </w:tcPr>
          <w:p w14:paraId="269FC80B">
            <w:pPr>
              <w:spacing w:line="360" w:lineRule="auto"/>
              <w:jc w:val="center"/>
              <w:rPr>
                <w:rFonts w:ascii="宋体" w:hAnsi="宋体" w:cs="宋体"/>
                <w:b/>
                <w:bCs/>
                <w:color w:val="auto"/>
                <w:szCs w:val="21"/>
                <w:highlight w:val="none"/>
              </w:rPr>
            </w:pPr>
            <w:r>
              <w:rPr>
                <w:rFonts w:hint="eastAsia" w:ascii="宋体" w:hAnsi="宋体" w:cs="宋体"/>
                <w:b/>
                <w:color w:val="auto"/>
                <w:szCs w:val="21"/>
                <w:highlight w:val="none"/>
              </w:rPr>
              <w:t>标的的名称</w:t>
            </w:r>
          </w:p>
        </w:tc>
        <w:tc>
          <w:tcPr>
            <w:tcW w:w="1338" w:type="dxa"/>
            <w:tcBorders>
              <w:right w:val="single" w:color="auto" w:sz="4" w:space="0"/>
            </w:tcBorders>
            <w:vAlign w:val="center"/>
          </w:tcPr>
          <w:p w14:paraId="6FC17FC8">
            <w:pPr>
              <w:keepNext/>
              <w:widowControl/>
              <w:wordWrap w:val="0"/>
              <w:jc w:val="center"/>
              <w:textAlignment w:val="center"/>
              <w:rPr>
                <w:rFonts w:ascii="宋体" w:hAnsi="宋体" w:cs="宋体"/>
                <w:b/>
                <w:color w:val="auto"/>
                <w:szCs w:val="21"/>
                <w:highlight w:val="none"/>
              </w:rPr>
            </w:pPr>
            <w:r>
              <w:rPr>
                <w:rFonts w:hint="eastAsia" w:ascii="宋体" w:hAnsi="宋体" w:cs="宋体"/>
                <w:b/>
                <w:color w:val="auto"/>
                <w:szCs w:val="21"/>
                <w:highlight w:val="none"/>
              </w:rPr>
              <w:t>单价</w:t>
            </w:r>
          </w:p>
          <w:p w14:paraId="220103CB">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（万元/套）</w:t>
            </w:r>
          </w:p>
        </w:tc>
        <w:tc>
          <w:tcPr>
            <w:tcW w:w="937" w:type="dxa"/>
            <w:tcBorders>
              <w:right w:val="single" w:color="auto" w:sz="4" w:space="0"/>
            </w:tcBorders>
            <w:vAlign w:val="center"/>
          </w:tcPr>
          <w:p w14:paraId="05BFD057">
            <w:pPr>
              <w:spacing w:line="360" w:lineRule="auto"/>
              <w:jc w:val="center"/>
              <w:rPr>
                <w:rFonts w:ascii="宋体" w:hAnsi="宋体" w:cs="宋体"/>
                <w:b/>
                <w:bCs/>
                <w:color w:val="auto"/>
                <w:szCs w:val="21"/>
                <w:highlight w:val="none"/>
              </w:rPr>
            </w:pPr>
            <w:r>
              <w:rPr>
                <w:rFonts w:hint="eastAsia" w:ascii="宋体" w:hAnsi="宋体" w:cs="宋体"/>
                <w:b/>
                <w:color w:val="auto"/>
                <w:szCs w:val="21"/>
                <w:highlight w:val="none"/>
              </w:rPr>
              <w:t>数量及单位</w:t>
            </w:r>
          </w:p>
        </w:tc>
        <w:tc>
          <w:tcPr>
            <w:tcW w:w="5944" w:type="dxa"/>
            <w:tcBorders>
              <w:left w:val="single" w:color="auto" w:sz="4" w:space="0"/>
            </w:tcBorders>
            <w:vAlign w:val="center"/>
          </w:tcPr>
          <w:p w14:paraId="73244683">
            <w:pPr>
              <w:spacing w:line="360" w:lineRule="auto"/>
              <w:jc w:val="center"/>
              <w:rPr>
                <w:rFonts w:ascii="宋体" w:hAnsi="宋体" w:cs="宋体"/>
                <w:b/>
                <w:bCs/>
                <w:color w:val="auto"/>
                <w:szCs w:val="21"/>
                <w:highlight w:val="none"/>
              </w:rPr>
            </w:pPr>
            <w:r>
              <w:rPr>
                <w:rFonts w:hint="eastAsia" w:ascii="宋体" w:hAnsi="宋体" w:cs="宋体"/>
                <w:b/>
                <w:color w:val="auto"/>
                <w:szCs w:val="21"/>
                <w:highlight w:val="none"/>
              </w:rPr>
              <w:t>技术要求</w:t>
            </w:r>
          </w:p>
        </w:tc>
      </w:tr>
      <w:tr w14:paraId="47947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01AB2019">
            <w:pPr>
              <w:numPr>
                <w:ilvl w:val="0"/>
                <w:numId w:val="3"/>
              </w:numPr>
              <w:snapToGrid w:val="0"/>
              <w:spacing w:line="360" w:lineRule="auto"/>
              <w:jc w:val="center"/>
              <w:rPr>
                <w:rFonts w:ascii="宋体" w:hAnsi="宋体" w:cs="宋体"/>
                <w:color w:val="auto"/>
                <w:szCs w:val="21"/>
                <w:highlight w:val="none"/>
              </w:rPr>
            </w:pPr>
          </w:p>
        </w:tc>
        <w:tc>
          <w:tcPr>
            <w:tcW w:w="989" w:type="dxa"/>
            <w:vAlign w:val="center"/>
          </w:tcPr>
          <w:p w14:paraId="1845E6D5">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数字眼底相机</w:t>
            </w:r>
          </w:p>
        </w:tc>
        <w:tc>
          <w:tcPr>
            <w:tcW w:w="1338" w:type="dxa"/>
            <w:tcBorders>
              <w:right w:val="single" w:color="auto" w:sz="4" w:space="0"/>
            </w:tcBorders>
            <w:vAlign w:val="center"/>
          </w:tcPr>
          <w:p w14:paraId="1DBB9B4E">
            <w:pPr>
              <w:widowControl/>
              <w:jc w:val="center"/>
              <w:textAlignment w:val="bottom"/>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18.5</w:t>
            </w:r>
          </w:p>
        </w:tc>
        <w:tc>
          <w:tcPr>
            <w:tcW w:w="937" w:type="dxa"/>
            <w:tcBorders>
              <w:right w:val="single" w:color="auto" w:sz="4" w:space="0"/>
            </w:tcBorders>
            <w:vAlign w:val="center"/>
          </w:tcPr>
          <w:p w14:paraId="7F9E7723">
            <w:pPr>
              <w:widowControl/>
              <w:spacing w:line="360" w:lineRule="auto"/>
              <w:jc w:val="center"/>
              <w:textAlignment w:val="bottom"/>
              <w:rPr>
                <w:rFonts w:ascii="宋体" w:hAnsi="宋体" w:cs="宋体"/>
                <w:color w:val="auto"/>
                <w:szCs w:val="21"/>
                <w:highlight w:val="none"/>
              </w:rPr>
            </w:pPr>
            <w:r>
              <w:rPr>
                <w:rFonts w:hint="eastAsia" w:ascii="宋体" w:hAnsi="宋体" w:cs="宋体"/>
                <w:color w:val="auto"/>
                <w:kern w:val="0"/>
                <w:szCs w:val="21"/>
                <w:highlight w:val="none"/>
                <w:lang w:bidi="ar"/>
              </w:rPr>
              <w:t>1套</w:t>
            </w:r>
          </w:p>
        </w:tc>
        <w:tc>
          <w:tcPr>
            <w:tcW w:w="5944" w:type="dxa"/>
            <w:tcBorders>
              <w:left w:val="single" w:color="auto" w:sz="4" w:space="0"/>
            </w:tcBorders>
            <w:shd w:val="clear" w:color="auto" w:fill="auto"/>
            <w:vAlign w:val="center"/>
          </w:tcPr>
          <w:p w14:paraId="121B712D">
            <w:pPr>
              <w:widowControl/>
              <w:spacing w:line="360" w:lineRule="auto"/>
              <w:jc w:val="left"/>
              <w:textAlignment w:val="center"/>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一、技术参数</w:t>
            </w:r>
          </w:p>
          <w:p w14:paraId="138F3936">
            <w:pPr>
              <w:widowControl/>
              <w:spacing w:line="360" w:lineRule="auto"/>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1.操作模式：全自动和手动2种模式，无需人工调整，一键完成双眼自动拍照，具备自动追踪（上下左右），自动对焦（前后），自动测量，自动转换左右眼功能。</w:t>
            </w:r>
          </w:p>
          <w:p w14:paraId="70193316">
            <w:pPr>
              <w:widowControl/>
              <w:spacing w:line="360" w:lineRule="auto"/>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2.对焦模式：具备全自动和手动对焦；自动切换左右眼、自动寻找瞳孔、自动校准瞳孔位置。</w:t>
            </w:r>
          </w:p>
          <w:p w14:paraId="6E1C7850">
            <w:pPr>
              <w:widowControl/>
              <w:spacing w:line="360" w:lineRule="auto"/>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3.具备自动和手动拍照模式。</w:t>
            </w:r>
          </w:p>
          <w:p w14:paraId="6B87F2DD">
            <w:pPr>
              <w:widowControl/>
              <w:spacing w:line="360" w:lineRule="auto"/>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▲4.采集模式：具备</w:t>
            </w:r>
            <w:r>
              <w:rPr>
                <w:rFonts w:hint="eastAsia" w:ascii="宋体" w:hAnsi="宋体" w:cs="宋体"/>
                <w:color w:val="auto"/>
                <w:szCs w:val="21"/>
                <w:highlight w:val="none"/>
              </w:rPr>
              <w:t>免散瞳和散瞳彩照</w:t>
            </w:r>
            <w:r>
              <w:rPr>
                <w:rFonts w:hint="eastAsia" w:ascii="宋体" w:hAnsi="宋体" w:cs="宋体"/>
                <w:color w:val="auto"/>
                <w:kern w:val="0"/>
                <w:szCs w:val="21"/>
                <w:highlight w:val="none"/>
                <w:lang w:bidi="ar"/>
              </w:rPr>
              <w:t>模式/眼前节照相。</w:t>
            </w:r>
          </w:p>
          <w:p w14:paraId="0D3BB5D8">
            <w:pPr>
              <w:widowControl/>
              <w:spacing w:line="360" w:lineRule="auto"/>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5.具备自动和手动曝光模式。</w:t>
            </w:r>
          </w:p>
          <w:p w14:paraId="07097431">
            <w:pPr>
              <w:widowControl/>
              <w:spacing w:line="360" w:lineRule="auto"/>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▲6.照相瞳孔直径：≥2.8 mm</w:t>
            </w:r>
          </w:p>
          <w:p w14:paraId="2A7DEAB2">
            <w:pPr>
              <w:widowControl/>
              <w:spacing w:line="360" w:lineRule="auto"/>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7.视场角：53°，允差±7%</w:t>
            </w:r>
          </w:p>
          <w:p w14:paraId="507A8E4C">
            <w:pPr>
              <w:widowControl/>
              <w:spacing w:line="360" w:lineRule="auto"/>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▲8.采集模块：专业高清摄像头。</w:t>
            </w:r>
          </w:p>
          <w:p w14:paraId="681EB258">
            <w:pPr>
              <w:widowControl/>
              <w:spacing w:line="360" w:lineRule="auto"/>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▲9.眼底像分辨率：≥2400万像素。</w:t>
            </w:r>
          </w:p>
          <w:p w14:paraId="2BBC630B">
            <w:pPr>
              <w:widowControl/>
              <w:spacing w:line="360" w:lineRule="auto"/>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▲10.患者屈光度校正范围：无补偿透镜：-30D～+30D。</w:t>
            </w:r>
          </w:p>
          <w:p w14:paraId="583C1A00">
            <w:pPr>
              <w:widowControl/>
              <w:spacing w:line="360" w:lineRule="auto"/>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11.闪光强度：自适应无级可调。</w:t>
            </w:r>
          </w:p>
          <w:p w14:paraId="55F86279">
            <w:pPr>
              <w:widowControl/>
              <w:spacing w:line="360" w:lineRule="auto"/>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12.内固视标：采用液晶点阵，周边模式有≥9点固视标、任意固视点标注。</w:t>
            </w:r>
          </w:p>
          <w:p w14:paraId="720D7E5A">
            <w:pPr>
              <w:widowControl/>
              <w:spacing w:line="360" w:lineRule="auto"/>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13.显示屏≥10寸旋转电容触摸控制屏，外接20寸液晶扩展显示器（可分屏显示）。</w:t>
            </w:r>
          </w:p>
          <w:p w14:paraId="4E92F46C">
            <w:pPr>
              <w:widowControl/>
              <w:spacing w:line="360" w:lineRule="auto"/>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▲14.工作距离：≥13mm</w:t>
            </w:r>
          </w:p>
          <w:p w14:paraId="35149019">
            <w:pPr>
              <w:widowControl/>
              <w:spacing w:line="360" w:lineRule="auto"/>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15.具备图片后处理功能：亮度，色彩，对比度；病灶标注及计算；随访对比。</w:t>
            </w:r>
          </w:p>
          <w:p w14:paraId="1B7328F0">
            <w:pPr>
              <w:widowControl/>
              <w:spacing w:line="360" w:lineRule="auto"/>
              <w:textAlignment w:val="center"/>
              <w:rPr>
                <w:rFonts w:ascii="宋体" w:hAnsi="宋体" w:cs="宋体"/>
                <w:color w:val="auto"/>
                <w:kern w:val="0"/>
                <w:szCs w:val="21"/>
                <w:highlight w:val="none"/>
                <w:lang w:bidi="ar"/>
              </w:rPr>
            </w:pPr>
            <w:r>
              <w:rPr>
                <w:rFonts w:hint="eastAsia" w:ascii="宋体" w:hAnsi="宋体" w:cs="宋体"/>
                <w:color w:val="auto"/>
                <w:szCs w:val="21"/>
                <w:highlight w:val="none"/>
              </w:rPr>
              <w:t>▲</w:t>
            </w:r>
            <w:r>
              <w:rPr>
                <w:rFonts w:hint="eastAsia" w:ascii="宋体" w:hAnsi="宋体" w:cs="宋体"/>
                <w:color w:val="auto"/>
                <w:kern w:val="0"/>
                <w:szCs w:val="21"/>
                <w:highlight w:val="none"/>
                <w:lang w:bidi="ar"/>
              </w:rPr>
              <w:t>16.设计使用年限≥10年。</w:t>
            </w:r>
          </w:p>
          <w:p w14:paraId="40FB27BC">
            <w:pPr>
              <w:widowControl/>
              <w:spacing w:line="360" w:lineRule="auto"/>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17.采集过程全程语音导航。</w:t>
            </w:r>
          </w:p>
          <w:p w14:paraId="1B0DA368">
            <w:pPr>
              <w:widowControl/>
              <w:spacing w:line="360" w:lineRule="auto"/>
              <w:textAlignment w:val="center"/>
              <w:rPr>
                <w:rFonts w:ascii="宋体" w:hAnsi="宋体" w:cs="宋体"/>
                <w:b/>
                <w:bCs/>
                <w:color w:val="auto"/>
                <w:kern w:val="0"/>
                <w:szCs w:val="21"/>
                <w:highlight w:val="none"/>
                <w:lang w:bidi="ar"/>
              </w:rPr>
            </w:pPr>
            <w:r>
              <w:rPr>
                <w:rFonts w:hint="eastAsia" w:ascii="宋体" w:hAnsi="宋体" w:cs="宋体"/>
                <w:b/>
                <w:color w:val="auto"/>
                <w:szCs w:val="21"/>
                <w:highlight w:val="none"/>
              </w:rPr>
              <w:t>▲</w:t>
            </w:r>
            <w:r>
              <w:rPr>
                <w:rFonts w:hint="eastAsia" w:ascii="宋体" w:hAnsi="宋体" w:cs="宋体"/>
                <w:b/>
                <w:bCs/>
                <w:color w:val="auto"/>
                <w:kern w:val="0"/>
                <w:szCs w:val="21"/>
                <w:highlight w:val="none"/>
                <w:lang w:bidi="ar"/>
              </w:rPr>
              <w:t>二、配置清单</w:t>
            </w:r>
          </w:p>
          <w:p w14:paraId="595FCC23">
            <w:pPr>
              <w:widowControl/>
              <w:numPr>
                <w:ilvl w:val="0"/>
                <w:numId w:val="4"/>
              </w:numPr>
              <w:spacing w:line="360" w:lineRule="auto"/>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主机1台。</w:t>
            </w:r>
          </w:p>
          <w:p w14:paraId="35CFB9D9">
            <w:pPr>
              <w:widowControl/>
              <w:numPr>
                <w:ilvl w:val="0"/>
                <w:numId w:val="4"/>
              </w:numPr>
              <w:spacing w:line="360" w:lineRule="auto"/>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眼底专业采集分析系统1套。</w:t>
            </w:r>
          </w:p>
          <w:p w14:paraId="4D55FFAC">
            <w:pPr>
              <w:widowControl/>
              <w:numPr>
                <w:ilvl w:val="0"/>
                <w:numId w:val="4"/>
              </w:numPr>
              <w:spacing w:line="360" w:lineRule="auto"/>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专业医用电动升降平台1套。</w:t>
            </w:r>
          </w:p>
          <w:p w14:paraId="6A29FD93">
            <w:pPr>
              <w:widowControl/>
              <w:numPr>
                <w:ilvl w:val="0"/>
                <w:numId w:val="4"/>
              </w:numPr>
              <w:spacing w:line="360" w:lineRule="auto"/>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外接显示系统及支架1套。</w:t>
            </w:r>
          </w:p>
          <w:p w14:paraId="0197413E">
            <w:pPr>
              <w:widowControl/>
              <w:numPr>
                <w:ilvl w:val="0"/>
                <w:numId w:val="4"/>
              </w:numPr>
              <w:spacing w:line="360" w:lineRule="auto"/>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加墨式彩色检查结果输出端1台。</w:t>
            </w:r>
          </w:p>
          <w:p w14:paraId="6FCDF576">
            <w:pPr>
              <w:widowControl/>
              <w:numPr>
                <w:ilvl w:val="0"/>
                <w:numId w:val="4"/>
              </w:numPr>
              <w:spacing w:line="360" w:lineRule="auto"/>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无线键鼠1个。</w:t>
            </w:r>
          </w:p>
          <w:p w14:paraId="76A8EEE7">
            <w:pPr>
              <w:widowControl/>
              <w:numPr>
                <w:ilvl w:val="0"/>
                <w:numId w:val="4"/>
              </w:numPr>
              <w:spacing w:line="360" w:lineRule="auto"/>
              <w:textAlignment w:val="center"/>
              <w:rPr>
                <w:rFonts w:ascii="宋体" w:hAnsi="宋体" w:cs="宋体"/>
                <w:color w:val="auto"/>
                <w:szCs w:val="21"/>
                <w:highlight w:val="none"/>
              </w:rPr>
            </w:pPr>
            <w:r>
              <w:rPr>
                <w:rFonts w:hint="eastAsia" w:ascii="宋体" w:hAnsi="宋体" w:cs="宋体"/>
                <w:color w:val="auto"/>
                <w:kern w:val="0"/>
                <w:szCs w:val="21"/>
                <w:highlight w:val="none"/>
              </w:rPr>
              <w:t>随机配件、说明书等配套物品1套。</w:t>
            </w:r>
          </w:p>
          <w:p w14:paraId="03043993">
            <w:pPr>
              <w:widowControl/>
              <w:spacing w:line="360" w:lineRule="auto"/>
              <w:textAlignment w:val="center"/>
              <w:rPr>
                <w:rFonts w:ascii="宋体" w:hAnsi="宋体" w:cs="宋体"/>
                <w:color w:val="auto"/>
                <w:szCs w:val="21"/>
                <w:highlight w:val="none"/>
              </w:rPr>
            </w:pPr>
            <w:r>
              <w:rPr>
                <w:rFonts w:hint="eastAsia" w:hAnsi="宋体" w:cs="宋体"/>
                <w:b/>
                <w:color w:val="auto"/>
                <w:szCs w:val="21"/>
                <w:highlight w:val="none"/>
              </w:rPr>
              <w:t>▲</w:t>
            </w:r>
            <w:r>
              <w:rPr>
                <w:rFonts w:hint="eastAsia" w:hAnsi="宋体" w:cs="宋体"/>
                <w:color w:val="auto"/>
                <w:szCs w:val="21"/>
                <w:highlight w:val="none"/>
              </w:rPr>
              <w:t>三、</w:t>
            </w:r>
            <w:r>
              <w:rPr>
                <w:rFonts w:hint="eastAsia" w:ascii="宋体" w:hAnsi="宋体" w:cs="宋体"/>
                <w:color w:val="auto"/>
                <w:szCs w:val="21"/>
                <w:highlight w:val="none"/>
              </w:rPr>
              <w:t>本项货物特殊质保期要求：</w:t>
            </w:r>
            <w:r>
              <w:rPr>
                <w:rFonts w:hint="eastAsia" w:ascii="宋体" w:hAnsi="宋体" w:cs="宋体"/>
                <w:color w:val="auto"/>
                <w:kern w:val="0"/>
                <w:szCs w:val="21"/>
                <w:highlight w:val="none"/>
                <w:lang w:bidi="ar"/>
              </w:rPr>
              <w:t>按国家有关产品三包规定执行“三包”，质保期：整机（含配件）质保期不少于2年。</w:t>
            </w:r>
          </w:p>
        </w:tc>
      </w:tr>
      <w:tr w14:paraId="3D76B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1854568D">
            <w:pPr>
              <w:numPr>
                <w:ilvl w:val="0"/>
                <w:numId w:val="3"/>
              </w:numPr>
              <w:snapToGrid w:val="0"/>
              <w:spacing w:line="360" w:lineRule="auto"/>
              <w:jc w:val="center"/>
              <w:rPr>
                <w:rFonts w:ascii="宋体" w:hAnsi="宋体" w:cs="宋体"/>
                <w:color w:val="auto"/>
                <w:szCs w:val="21"/>
                <w:highlight w:val="none"/>
              </w:rPr>
            </w:pPr>
          </w:p>
        </w:tc>
        <w:tc>
          <w:tcPr>
            <w:tcW w:w="989" w:type="dxa"/>
            <w:vAlign w:val="center"/>
          </w:tcPr>
          <w:p w14:paraId="14E2354F">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半导体激光治疗仪</w:t>
            </w:r>
          </w:p>
        </w:tc>
        <w:tc>
          <w:tcPr>
            <w:tcW w:w="1338" w:type="dxa"/>
            <w:tcBorders>
              <w:right w:val="single" w:color="auto" w:sz="4" w:space="0"/>
            </w:tcBorders>
            <w:vAlign w:val="center"/>
          </w:tcPr>
          <w:p w14:paraId="41B536A6">
            <w:pPr>
              <w:widowControl/>
              <w:jc w:val="center"/>
              <w:textAlignment w:val="bottom"/>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39</w:t>
            </w:r>
          </w:p>
        </w:tc>
        <w:tc>
          <w:tcPr>
            <w:tcW w:w="937" w:type="dxa"/>
            <w:tcBorders>
              <w:right w:val="single" w:color="auto" w:sz="4" w:space="0"/>
            </w:tcBorders>
            <w:vAlign w:val="center"/>
          </w:tcPr>
          <w:p w14:paraId="273DB31B">
            <w:pPr>
              <w:widowControl/>
              <w:spacing w:line="360" w:lineRule="auto"/>
              <w:jc w:val="center"/>
              <w:textAlignment w:val="bottom"/>
              <w:rPr>
                <w:rFonts w:ascii="宋体" w:hAnsi="宋体" w:cs="宋体"/>
                <w:color w:val="auto"/>
                <w:szCs w:val="21"/>
                <w:highlight w:val="none"/>
              </w:rPr>
            </w:pPr>
            <w:r>
              <w:rPr>
                <w:rFonts w:hint="eastAsia" w:ascii="宋体" w:hAnsi="宋体" w:cs="宋体"/>
                <w:color w:val="auto"/>
                <w:kern w:val="0"/>
                <w:szCs w:val="21"/>
                <w:highlight w:val="none"/>
                <w:lang w:bidi="ar"/>
              </w:rPr>
              <w:t>1套</w:t>
            </w:r>
          </w:p>
        </w:tc>
        <w:tc>
          <w:tcPr>
            <w:tcW w:w="5944" w:type="dxa"/>
            <w:tcBorders>
              <w:left w:val="single" w:color="auto" w:sz="4" w:space="0"/>
            </w:tcBorders>
            <w:shd w:val="clear" w:color="auto" w:fill="auto"/>
            <w:vAlign w:val="center"/>
          </w:tcPr>
          <w:p w14:paraId="0CBA8F3C">
            <w:pPr>
              <w:pStyle w:val="47"/>
              <w:spacing w:line="360" w:lineRule="auto"/>
              <w:ind w:firstLine="0" w:firstLineChars="0"/>
              <w:rPr>
                <w:rFonts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一、技术参数</w:t>
            </w:r>
          </w:p>
          <w:p w14:paraId="409443FD">
            <w:pPr>
              <w:spacing w:line="360" w:lineRule="auto"/>
              <w:rPr>
                <w:rFonts w:ascii="宋体" w:hAnsi="宋体" w:cs="宋体"/>
                <w:color w:val="auto"/>
                <w:szCs w:val="21"/>
                <w:highlight w:val="none"/>
              </w:rPr>
            </w:pPr>
            <w:r>
              <w:rPr>
                <w:rFonts w:hint="eastAsia" w:ascii="宋体" w:hAnsi="宋体" w:cs="宋体"/>
                <w:color w:val="auto"/>
                <w:szCs w:val="21"/>
                <w:highlight w:val="none"/>
              </w:rPr>
              <w:t>▲1.产品适用范围：用于人体组织的汽化、碳化、凝固和照射，对体表和腔道部位的增生性和血管性疾病进行治疗。</w:t>
            </w:r>
          </w:p>
          <w:p w14:paraId="48F2F526">
            <w:pPr>
              <w:spacing w:line="360" w:lineRule="auto"/>
              <w:rPr>
                <w:rFonts w:ascii="宋体" w:hAnsi="宋体" w:cs="宋体"/>
                <w:color w:val="auto"/>
                <w:szCs w:val="21"/>
                <w:highlight w:val="none"/>
              </w:rPr>
            </w:pPr>
            <w:r>
              <w:rPr>
                <w:rFonts w:hint="eastAsia" w:ascii="宋体" w:hAnsi="宋体" w:cs="宋体"/>
                <w:color w:val="auto"/>
                <w:szCs w:val="21"/>
                <w:highlight w:val="none"/>
              </w:rPr>
              <w:t>2.激光类型：半导体激光器</w:t>
            </w:r>
          </w:p>
          <w:p w14:paraId="4638E7BC">
            <w:pPr>
              <w:spacing w:line="360" w:lineRule="auto"/>
              <w:rPr>
                <w:rFonts w:ascii="宋体" w:hAnsi="宋体" w:cs="宋体"/>
                <w:color w:val="auto"/>
                <w:szCs w:val="21"/>
                <w:highlight w:val="none"/>
              </w:rPr>
            </w:pPr>
            <w:r>
              <w:rPr>
                <w:rFonts w:hint="eastAsia" w:ascii="宋体" w:hAnsi="宋体" w:cs="宋体"/>
                <w:color w:val="auto"/>
                <w:szCs w:val="21"/>
                <w:highlight w:val="none"/>
              </w:rPr>
              <w:t>▲3.波长：≥980nm（±10nm）</w:t>
            </w:r>
          </w:p>
          <w:p w14:paraId="0E86D1F8">
            <w:pPr>
              <w:spacing w:line="360" w:lineRule="auto"/>
              <w:rPr>
                <w:rFonts w:ascii="宋体" w:hAnsi="宋体" w:cs="宋体"/>
                <w:color w:val="auto"/>
                <w:szCs w:val="21"/>
                <w:highlight w:val="none"/>
              </w:rPr>
            </w:pPr>
            <w:r>
              <w:rPr>
                <w:rFonts w:hint="eastAsia" w:ascii="宋体" w:hAnsi="宋体" w:cs="宋体"/>
                <w:color w:val="auto"/>
                <w:szCs w:val="21"/>
                <w:highlight w:val="none"/>
              </w:rPr>
              <w:t>4.光学技术：光学耦合技术。</w:t>
            </w:r>
          </w:p>
          <w:p w14:paraId="5F4418FB">
            <w:pPr>
              <w:spacing w:line="360" w:lineRule="auto"/>
              <w:rPr>
                <w:rFonts w:ascii="宋体" w:hAnsi="宋体" w:cs="宋体"/>
                <w:color w:val="auto"/>
                <w:szCs w:val="21"/>
                <w:highlight w:val="none"/>
              </w:rPr>
            </w:pPr>
            <w:r>
              <w:rPr>
                <w:rFonts w:hint="eastAsia" w:ascii="宋体" w:hAnsi="宋体" w:cs="宋体"/>
                <w:color w:val="auto"/>
                <w:szCs w:val="21"/>
                <w:highlight w:val="none"/>
              </w:rPr>
              <w:t>5.终端输出功率30W，连续可调，终端输出激光功率不稳定度：≤±1%.</w:t>
            </w:r>
          </w:p>
          <w:p w14:paraId="19E2C198">
            <w:pPr>
              <w:spacing w:line="360" w:lineRule="auto"/>
              <w:rPr>
                <w:rFonts w:ascii="宋体" w:hAnsi="宋体" w:cs="宋体"/>
                <w:color w:val="auto"/>
                <w:szCs w:val="21"/>
                <w:highlight w:val="none"/>
              </w:rPr>
            </w:pPr>
            <w:r>
              <w:rPr>
                <w:rFonts w:hint="eastAsia" w:ascii="宋体" w:hAnsi="宋体" w:cs="宋体"/>
                <w:color w:val="auto"/>
                <w:szCs w:val="21"/>
                <w:highlight w:val="none"/>
              </w:rPr>
              <w:t>6.激光功率复现性：≤±1%。</w:t>
            </w:r>
          </w:p>
          <w:p w14:paraId="3B6E0DCE">
            <w:pPr>
              <w:spacing w:line="360" w:lineRule="auto"/>
              <w:rPr>
                <w:rFonts w:ascii="宋体" w:hAnsi="宋体" w:cs="宋体"/>
                <w:color w:val="auto"/>
                <w:szCs w:val="21"/>
                <w:highlight w:val="none"/>
              </w:rPr>
            </w:pPr>
            <w:r>
              <w:rPr>
                <w:rFonts w:hint="eastAsia" w:ascii="宋体" w:hAnsi="宋体" w:cs="宋体"/>
                <w:color w:val="auto"/>
                <w:szCs w:val="21"/>
                <w:highlight w:val="none"/>
              </w:rPr>
              <w:t>7.输出方式：连续脉冲，重复脉冲，单脉冲。</w:t>
            </w:r>
          </w:p>
          <w:p w14:paraId="20E11DBA">
            <w:pPr>
              <w:spacing w:line="360" w:lineRule="auto"/>
              <w:rPr>
                <w:rFonts w:ascii="宋体" w:hAnsi="宋体" w:cs="宋体"/>
                <w:color w:val="auto"/>
                <w:szCs w:val="21"/>
                <w:highlight w:val="none"/>
              </w:rPr>
            </w:pPr>
            <w:r>
              <w:rPr>
                <w:rFonts w:hint="eastAsia" w:ascii="宋体" w:hAnsi="宋体" w:cs="宋体"/>
                <w:color w:val="auto"/>
                <w:szCs w:val="21"/>
                <w:highlight w:val="none"/>
              </w:rPr>
              <w:t>▲8.脉冲宽度：0.01ms-1000ms，调节步距 0.01ms ，脉宽误差：4%</w:t>
            </w:r>
          </w:p>
          <w:p w14:paraId="62ACFE52">
            <w:pPr>
              <w:spacing w:line="360" w:lineRule="auto"/>
              <w:rPr>
                <w:rFonts w:ascii="宋体" w:hAnsi="宋体" w:cs="宋体"/>
                <w:color w:val="auto"/>
                <w:szCs w:val="21"/>
                <w:highlight w:val="none"/>
              </w:rPr>
            </w:pPr>
            <w:r>
              <w:rPr>
                <w:rFonts w:hint="eastAsia" w:ascii="宋体" w:hAnsi="宋体" w:cs="宋体"/>
                <w:color w:val="auto"/>
                <w:szCs w:val="21"/>
                <w:highlight w:val="none"/>
              </w:rPr>
              <w:t>9.脉冲频率：0.5Hz-10000Hz 连续可调，频率误差：4%</w:t>
            </w:r>
          </w:p>
          <w:p w14:paraId="52E2F0AD">
            <w:pPr>
              <w:spacing w:line="360" w:lineRule="auto"/>
              <w:rPr>
                <w:rFonts w:ascii="宋体" w:hAnsi="宋体" w:cs="宋体"/>
                <w:color w:val="auto"/>
                <w:szCs w:val="21"/>
                <w:highlight w:val="none"/>
              </w:rPr>
            </w:pPr>
            <w:r>
              <w:rPr>
                <w:rFonts w:hint="eastAsia" w:ascii="宋体" w:hAnsi="宋体" w:cs="宋体"/>
                <w:color w:val="auto"/>
                <w:szCs w:val="21"/>
                <w:highlight w:val="none"/>
              </w:rPr>
              <w:t>10.指示光：激光二极管635nm（±20nm）功率≤5mW  亮度可在显示屏上可视可调。</w:t>
            </w:r>
          </w:p>
          <w:p w14:paraId="0F9CFF01">
            <w:pPr>
              <w:spacing w:line="360" w:lineRule="auto"/>
              <w:rPr>
                <w:rFonts w:ascii="宋体" w:hAnsi="宋体" w:cs="宋体"/>
                <w:color w:val="auto"/>
                <w:szCs w:val="21"/>
                <w:highlight w:val="none"/>
              </w:rPr>
            </w:pPr>
            <w:r>
              <w:rPr>
                <w:rFonts w:hint="eastAsia" w:ascii="宋体" w:hAnsi="宋体" w:cs="宋体"/>
                <w:color w:val="auto"/>
                <w:szCs w:val="21"/>
                <w:highlight w:val="none"/>
              </w:rPr>
              <w:t>▲11.出光定时调节范围：0-990s，连续可调，并可在显示屏上可视可调。</w:t>
            </w:r>
          </w:p>
          <w:p w14:paraId="6B6FFB80">
            <w:pPr>
              <w:spacing w:line="360" w:lineRule="auto"/>
              <w:rPr>
                <w:rFonts w:ascii="宋体" w:hAnsi="宋体" w:cs="宋体"/>
                <w:color w:val="auto"/>
                <w:szCs w:val="21"/>
                <w:highlight w:val="none"/>
              </w:rPr>
            </w:pPr>
            <w:r>
              <w:rPr>
                <w:rFonts w:hint="eastAsia" w:ascii="宋体" w:hAnsi="宋体" w:cs="宋体"/>
                <w:color w:val="auto"/>
                <w:szCs w:val="21"/>
                <w:highlight w:val="none"/>
              </w:rPr>
              <w:t>▲12.方案存储：可存储≥12种治疗方案，方便随时调取</w:t>
            </w:r>
            <w:r>
              <w:rPr>
                <w:rFonts w:hint="eastAsia" w:ascii="宋体" w:hAnsi="宋体" w:cs="宋体"/>
                <w:color w:val="auto"/>
                <w:szCs w:val="21"/>
                <w:highlight w:val="none"/>
                <w:lang w:eastAsia="zh-CN"/>
              </w:rPr>
              <w:t>。</w:t>
            </w:r>
          </w:p>
          <w:p w14:paraId="439B6A01">
            <w:pPr>
              <w:spacing w:line="360" w:lineRule="auto"/>
              <w:rPr>
                <w:rFonts w:ascii="宋体" w:hAnsi="宋体" w:cs="宋体"/>
                <w:color w:val="auto"/>
                <w:szCs w:val="21"/>
                <w:highlight w:val="none"/>
              </w:rPr>
            </w:pPr>
            <w:r>
              <w:rPr>
                <w:rFonts w:hint="eastAsia" w:ascii="宋体" w:hAnsi="宋体" w:cs="宋体"/>
                <w:color w:val="auto"/>
                <w:szCs w:val="21"/>
                <w:highlight w:val="none"/>
              </w:rPr>
              <w:t>13.冷却方式：半导体 TEC 制冷，空气冷却，自动恒温控制系统。</w:t>
            </w:r>
          </w:p>
          <w:p w14:paraId="4FD8A786">
            <w:pPr>
              <w:spacing w:line="360" w:lineRule="auto"/>
              <w:rPr>
                <w:rFonts w:ascii="宋体" w:hAnsi="宋体" w:cs="宋体"/>
                <w:color w:val="auto"/>
                <w:szCs w:val="21"/>
                <w:highlight w:val="none"/>
              </w:rPr>
            </w:pPr>
            <w:r>
              <w:rPr>
                <w:rFonts w:hint="eastAsia" w:ascii="宋体" w:hAnsi="宋体" w:cs="宋体"/>
                <w:color w:val="auto"/>
                <w:szCs w:val="21"/>
                <w:highlight w:val="none"/>
              </w:rPr>
              <w:t>14.激光类别：4类激光。</w:t>
            </w:r>
          </w:p>
          <w:p w14:paraId="1BE9719B">
            <w:pPr>
              <w:spacing w:line="360" w:lineRule="auto"/>
              <w:rPr>
                <w:rFonts w:ascii="宋体" w:hAnsi="宋体" w:cs="宋体"/>
                <w:color w:val="auto"/>
                <w:szCs w:val="21"/>
                <w:highlight w:val="none"/>
              </w:rPr>
            </w:pPr>
            <w:r>
              <w:rPr>
                <w:rFonts w:hint="eastAsia" w:ascii="宋体" w:hAnsi="宋体" w:cs="宋体"/>
                <w:color w:val="auto"/>
                <w:szCs w:val="21"/>
                <w:highlight w:val="none"/>
              </w:rPr>
              <w:t>15.故障检测：主机具备故障检测和报警提示功能，出现配件未连接或设备故障可以自动诊断，并以文字，声响和图标三种方式报警提示。</w:t>
            </w:r>
          </w:p>
          <w:p w14:paraId="70A343DC">
            <w:pPr>
              <w:spacing w:line="360" w:lineRule="auto"/>
              <w:rPr>
                <w:rFonts w:ascii="宋体" w:hAnsi="宋体" w:cs="宋体"/>
                <w:color w:val="auto"/>
                <w:szCs w:val="21"/>
                <w:highlight w:val="none"/>
              </w:rPr>
            </w:pPr>
            <w:r>
              <w:rPr>
                <w:rFonts w:hint="eastAsia" w:ascii="宋体" w:hAnsi="宋体" w:cs="宋体"/>
                <w:color w:val="auto"/>
                <w:szCs w:val="21"/>
                <w:highlight w:val="none"/>
              </w:rPr>
              <w:t>16.光纤系统传输效率：≥90%</w:t>
            </w:r>
          </w:p>
          <w:p w14:paraId="4E6A4F0F">
            <w:pPr>
              <w:spacing w:line="360" w:lineRule="auto"/>
              <w:rPr>
                <w:rFonts w:ascii="宋体" w:hAnsi="宋体" w:cs="宋体"/>
                <w:color w:val="auto"/>
                <w:szCs w:val="21"/>
                <w:highlight w:val="none"/>
              </w:rPr>
            </w:pPr>
            <w:r>
              <w:rPr>
                <w:rFonts w:hint="eastAsia" w:ascii="宋体" w:hAnsi="宋体" w:cs="宋体"/>
                <w:color w:val="auto"/>
                <w:szCs w:val="21"/>
                <w:highlight w:val="none"/>
              </w:rPr>
              <w:t>17.传输系统：带标准连接器的400μm，600μm，1000μm 接触式及非接触式光纤，光束发散角：≤15°，半导体激光治疗仪注册证中包含光纤传输系统。</w:t>
            </w:r>
          </w:p>
          <w:p w14:paraId="4A0A0352">
            <w:pPr>
              <w:spacing w:line="360" w:lineRule="auto"/>
              <w:rPr>
                <w:rFonts w:ascii="宋体" w:hAnsi="宋体" w:cs="宋体"/>
                <w:color w:val="auto"/>
                <w:szCs w:val="21"/>
                <w:highlight w:val="none"/>
              </w:rPr>
            </w:pPr>
            <w:r>
              <w:rPr>
                <w:rFonts w:hint="eastAsia" w:ascii="宋体" w:hAnsi="宋体" w:cs="宋体"/>
                <w:color w:val="auto"/>
                <w:szCs w:val="21"/>
                <w:highlight w:val="none"/>
              </w:rPr>
              <w:t>18.光纤探测系统：主机具备光纤连接探测报警功能，光纤未连接时报警提示，防止光纤未连接出光损坏设备。</w:t>
            </w:r>
          </w:p>
          <w:p w14:paraId="0984C78A">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19.操作方式：彩色触摸液晶屏，屏幕亮度可在屏幕上可视可调</w:t>
            </w:r>
            <w:r>
              <w:rPr>
                <w:rFonts w:hint="eastAsia" w:ascii="宋体" w:hAnsi="宋体" w:cs="宋体"/>
                <w:color w:val="auto"/>
                <w:szCs w:val="21"/>
                <w:highlight w:val="none"/>
                <w:lang w:eastAsia="zh-CN"/>
              </w:rPr>
              <w:t>。</w:t>
            </w:r>
          </w:p>
          <w:p w14:paraId="6D1D8E45">
            <w:pPr>
              <w:spacing w:line="360" w:lineRule="auto"/>
              <w:rPr>
                <w:rFonts w:ascii="宋体" w:hAnsi="宋体" w:cs="宋体"/>
                <w:color w:val="auto"/>
                <w:szCs w:val="21"/>
                <w:highlight w:val="none"/>
              </w:rPr>
            </w:pPr>
            <w:r>
              <w:rPr>
                <w:rFonts w:hint="eastAsia" w:ascii="宋体" w:hAnsi="宋体" w:cs="宋体"/>
                <w:color w:val="auto"/>
                <w:szCs w:val="21"/>
                <w:highlight w:val="none"/>
              </w:rPr>
              <w:t>20.预置参数：术前可据临床需要设置治疗参数、功率、脉宽、脉冲模式、时间、频率、脉冲数、能量等，治疗过程中，脉宽、频率、功率、脉冲数、能量、脉冲方式、定时总时间及剩余时间同步被显示。</w:t>
            </w:r>
          </w:p>
          <w:p w14:paraId="35244358">
            <w:pPr>
              <w:spacing w:line="360" w:lineRule="auto"/>
              <w:rPr>
                <w:rFonts w:ascii="宋体" w:hAnsi="宋体" w:cs="宋体"/>
                <w:color w:val="auto"/>
                <w:szCs w:val="21"/>
                <w:highlight w:val="none"/>
              </w:rPr>
            </w:pPr>
            <w:r>
              <w:rPr>
                <w:rFonts w:hint="eastAsia" w:ascii="宋体" w:hAnsi="宋体" w:cs="宋体"/>
                <w:color w:val="auto"/>
                <w:szCs w:val="21"/>
                <w:highlight w:val="none"/>
              </w:rPr>
              <w:t>▲21.功率检测：机身自带功率计，可随时检测机器功率并可在显示屏上可视。</w:t>
            </w:r>
          </w:p>
          <w:p w14:paraId="523723F6">
            <w:pPr>
              <w:spacing w:line="360" w:lineRule="auto"/>
              <w:rPr>
                <w:rFonts w:ascii="宋体" w:hAnsi="宋体" w:cs="宋体"/>
                <w:color w:val="auto"/>
                <w:szCs w:val="21"/>
                <w:highlight w:val="none"/>
              </w:rPr>
            </w:pPr>
            <w:r>
              <w:rPr>
                <w:rFonts w:hint="eastAsia" w:ascii="宋体" w:hAnsi="宋体" w:cs="宋体"/>
                <w:color w:val="auto"/>
                <w:szCs w:val="21"/>
                <w:highlight w:val="none"/>
              </w:rPr>
              <w:t>▲22.使用年限≥10年。</w:t>
            </w:r>
          </w:p>
          <w:p w14:paraId="0388E846">
            <w:pPr>
              <w:spacing w:line="360" w:lineRule="auto"/>
              <w:rPr>
                <w:rFonts w:ascii="宋体" w:hAnsi="宋体" w:cs="宋体"/>
                <w:b/>
                <w:bCs/>
                <w:color w:val="auto"/>
                <w:szCs w:val="21"/>
                <w:highlight w:val="none"/>
              </w:rPr>
            </w:pPr>
            <w:r>
              <w:rPr>
                <w:rFonts w:hint="eastAsia" w:ascii="宋体" w:hAnsi="宋体" w:cs="宋体"/>
                <w:b/>
                <w:color w:val="auto"/>
                <w:szCs w:val="21"/>
                <w:highlight w:val="none"/>
              </w:rPr>
              <w:t>▲</w:t>
            </w:r>
            <w:r>
              <w:rPr>
                <w:rFonts w:hint="eastAsia" w:ascii="宋体" w:hAnsi="宋体" w:cs="宋体"/>
                <w:b/>
                <w:bCs/>
                <w:color w:val="auto"/>
                <w:szCs w:val="21"/>
                <w:highlight w:val="none"/>
              </w:rPr>
              <w:t>二、配置清单</w:t>
            </w:r>
          </w:p>
          <w:p w14:paraId="3C29D7E0">
            <w:pPr>
              <w:spacing w:line="360" w:lineRule="auto"/>
              <w:rPr>
                <w:rFonts w:ascii="宋体" w:hAnsi="宋体" w:cs="宋体"/>
                <w:color w:val="auto"/>
                <w:szCs w:val="21"/>
                <w:highlight w:val="none"/>
              </w:rPr>
            </w:pPr>
            <w:r>
              <w:rPr>
                <w:rFonts w:hint="eastAsia" w:ascii="宋体" w:hAnsi="宋体" w:cs="宋体"/>
                <w:color w:val="auto"/>
                <w:szCs w:val="21"/>
                <w:highlight w:val="none"/>
              </w:rPr>
              <w:t>1.半导体激光治疗仪主机1台。</w:t>
            </w:r>
          </w:p>
          <w:p w14:paraId="57BA34F4">
            <w:pPr>
              <w:spacing w:line="360" w:lineRule="auto"/>
              <w:rPr>
                <w:rFonts w:ascii="宋体" w:hAnsi="宋体" w:cs="宋体"/>
                <w:color w:val="auto"/>
                <w:szCs w:val="21"/>
                <w:highlight w:val="none"/>
              </w:rPr>
            </w:pPr>
            <w:r>
              <w:rPr>
                <w:rFonts w:hint="eastAsia" w:ascii="宋体" w:hAnsi="宋体" w:cs="宋体"/>
                <w:color w:val="auto"/>
                <w:szCs w:val="21"/>
                <w:highlight w:val="none"/>
              </w:rPr>
              <w:t>2.主机钥匙2把。</w:t>
            </w:r>
          </w:p>
          <w:p w14:paraId="73A41B0B">
            <w:pPr>
              <w:spacing w:line="360" w:lineRule="auto"/>
              <w:rPr>
                <w:rFonts w:ascii="宋体" w:hAnsi="宋体" w:cs="宋体"/>
                <w:color w:val="auto"/>
                <w:szCs w:val="21"/>
                <w:highlight w:val="none"/>
              </w:rPr>
            </w:pPr>
            <w:r>
              <w:rPr>
                <w:rFonts w:hint="eastAsia" w:ascii="宋体" w:hAnsi="宋体" w:cs="宋体"/>
                <w:color w:val="auto"/>
                <w:szCs w:val="21"/>
                <w:highlight w:val="none"/>
              </w:rPr>
              <w:t>3.脚踏开关1个。</w:t>
            </w:r>
          </w:p>
          <w:p w14:paraId="3F247A83">
            <w:pPr>
              <w:spacing w:line="360" w:lineRule="auto"/>
              <w:rPr>
                <w:rFonts w:ascii="宋体" w:hAnsi="宋体" w:cs="宋体"/>
                <w:color w:val="auto"/>
                <w:szCs w:val="21"/>
                <w:highlight w:val="none"/>
              </w:rPr>
            </w:pPr>
            <w:r>
              <w:rPr>
                <w:rFonts w:hint="eastAsia" w:ascii="宋体" w:hAnsi="宋体" w:cs="宋体"/>
                <w:color w:val="auto"/>
                <w:szCs w:val="21"/>
                <w:highlight w:val="none"/>
              </w:rPr>
              <w:t>4.遥控联锁接头1个。</w:t>
            </w:r>
          </w:p>
          <w:p w14:paraId="6AFE00A5">
            <w:pPr>
              <w:spacing w:line="360" w:lineRule="auto"/>
              <w:rPr>
                <w:rFonts w:ascii="宋体" w:hAnsi="宋体" w:cs="宋体"/>
                <w:color w:val="auto"/>
                <w:szCs w:val="21"/>
                <w:highlight w:val="none"/>
              </w:rPr>
            </w:pPr>
            <w:r>
              <w:rPr>
                <w:rFonts w:hint="eastAsia" w:ascii="宋体" w:hAnsi="宋体" w:cs="宋体"/>
                <w:color w:val="auto"/>
                <w:szCs w:val="21"/>
                <w:highlight w:val="none"/>
              </w:rPr>
              <w:t>5.光纤2根。</w:t>
            </w:r>
          </w:p>
          <w:p w14:paraId="0DF4C5FF">
            <w:pPr>
              <w:spacing w:line="360" w:lineRule="auto"/>
              <w:rPr>
                <w:rFonts w:ascii="宋体" w:hAnsi="宋体" w:cs="宋体"/>
                <w:color w:val="auto"/>
                <w:szCs w:val="21"/>
                <w:highlight w:val="none"/>
              </w:rPr>
            </w:pPr>
            <w:r>
              <w:rPr>
                <w:rFonts w:hint="eastAsia" w:ascii="宋体" w:hAnsi="宋体" w:cs="宋体"/>
                <w:color w:val="auto"/>
                <w:szCs w:val="21"/>
                <w:highlight w:val="none"/>
              </w:rPr>
              <w:t>6.光纤切割器1个。</w:t>
            </w:r>
          </w:p>
          <w:p w14:paraId="6DD347AF">
            <w:pPr>
              <w:spacing w:line="360" w:lineRule="auto"/>
              <w:rPr>
                <w:rFonts w:ascii="宋体" w:hAnsi="宋体" w:cs="宋体"/>
                <w:color w:val="auto"/>
                <w:szCs w:val="21"/>
                <w:highlight w:val="none"/>
              </w:rPr>
            </w:pPr>
            <w:r>
              <w:rPr>
                <w:rFonts w:hint="eastAsia" w:ascii="宋体" w:hAnsi="宋体" w:cs="宋体"/>
                <w:color w:val="auto"/>
                <w:szCs w:val="21"/>
                <w:highlight w:val="none"/>
              </w:rPr>
              <w:t>7.激光防护眼镜2副。</w:t>
            </w:r>
          </w:p>
          <w:p w14:paraId="0D0805C9">
            <w:pPr>
              <w:spacing w:line="360" w:lineRule="auto"/>
              <w:rPr>
                <w:rFonts w:ascii="宋体" w:hAnsi="宋体" w:cs="宋体"/>
                <w:color w:val="auto"/>
                <w:szCs w:val="21"/>
                <w:highlight w:val="none"/>
              </w:rPr>
            </w:pPr>
            <w:r>
              <w:rPr>
                <w:rFonts w:hint="eastAsia" w:ascii="宋体" w:hAnsi="宋体" w:cs="宋体"/>
                <w:color w:val="auto"/>
                <w:szCs w:val="21"/>
                <w:highlight w:val="none"/>
              </w:rPr>
              <w:t>8.电源线、说明书、合格证等配套物品1套。</w:t>
            </w:r>
          </w:p>
          <w:p w14:paraId="3B5D8A1B">
            <w:pPr>
              <w:spacing w:line="360" w:lineRule="auto"/>
              <w:rPr>
                <w:rFonts w:ascii="宋体" w:hAnsi="宋体" w:cs="宋体"/>
                <w:color w:val="auto"/>
                <w:szCs w:val="21"/>
                <w:highlight w:val="none"/>
              </w:rPr>
            </w:pPr>
            <w:r>
              <w:rPr>
                <w:rFonts w:hint="eastAsia" w:hAnsi="宋体" w:cs="宋体"/>
                <w:b/>
                <w:color w:val="auto"/>
                <w:szCs w:val="21"/>
                <w:highlight w:val="none"/>
              </w:rPr>
              <w:t>▲</w:t>
            </w:r>
            <w:r>
              <w:rPr>
                <w:rFonts w:hint="eastAsia" w:hAnsi="宋体" w:cs="宋体"/>
                <w:color w:val="auto"/>
                <w:szCs w:val="21"/>
                <w:highlight w:val="none"/>
              </w:rPr>
              <w:t>三、</w:t>
            </w:r>
            <w:r>
              <w:rPr>
                <w:rFonts w:hint="eastAsia" w:ascii="宋体" w:hAnsi="宋体" w:cs="宋体"/>
                <w:color w:val="auto"/>
                <w:szCs w:val="21"/>
                <w:highlight w:val="none"/>
              </w:rPr>
              <w:t>本项货物特殊质保期要求：</w:t>
            </w:r>
            <w:r>
              <w:rPr>
                <w:rFonts w:hint="eastAsia" w:ascii="宋体" w:hAnsi="宋体" w:cs="宋体"/>
                <w:color w:val="auto"/>
                <w:kern w:val="0"/>
                <w:szCs w:val="21"/>
                <w:highlight w:val="none"/>
                <w:lang w:bidi="ar"/>
              </w:rPr>
              <w:t>按国家有关产品三包规定执行“三包”，质保期：整机（含配件）质保期不少于3年。</w:t>
            </w:r>
          </w:p>
        </w:tc>
      </w:tr>
      <w:tr w14:paraId="0959A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124340B7">
            <w:pPr>
              <w:numPr>
                <w:ilvl w:val="0"/>
                <w:numId w:val="3"/>
              </w:numPr>
              <w:snapToGrid w:val="0"/>
              <w:spacing w:line="360" w:lineRule="auto"/>
              <w:jc w:val="center"/>
              <w:rPr>
                <w:rFonts w:ascii="宋体" w:hAnsi="宋体" w:cs="宋体"/>
                <w:color w:val="auto"/>
                <w:szCs w:val="21"/>
                <w:highlight w:val="none"/>
              </w:rPr>
            </w:pPr>
          </w:p>
        </w:tc>
        <w:tc>
          <w:tcPr>
            <w:tcW w:w="989" w:type="dxa"/>
            <w:vAlign w:val="center"/>
          </w:tcPr>
          <w:p w14:paraId="7E7BAB5B">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等离子体手术系统</w:t>
            </w:r>
          </w:p>
        </w:tc>
        <w:tc>
          <w:tcPr>
            <w:tcW w:w="1338" w:type="dxa"/>
            <w:tcBorders>
              <w:right w:val="single" w:color="auto" w:sz="4" w:space="0"/>
            </w:tcBorders>
            <w:vAlign w:val="center"/>
          </w:tcPr>
          <w:p w14:paraId="67FD2CD5">
            <w:pPr>
              <w:widowControl/>
              <w:jc w:val="center"/>
              <w:textAlignment w:val="bottom"/>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6.5</w:t>
            </w:r>
          </w:p>
        </w:tc>
        <w:tc>
          <w:tcPr>
            <w:tcW w:w="937" w:type="dxa"/>
            <w:tcBorders>
              <w:right w:val="single" w:color="auto" w:sz="4" w:space="0"/>
            </w:tcBorders>
            <w:vAlign w:val="center"/>
          </w:tcPr>
          <w:p w14:paraId="6CCAD82A">
            <w:pPr>
              <w:widowControl/>
              <w:spacing w:line="360" w:lineRule="auto"/>
              <w:jc w:val="center"/>
              <w:textAlignment w:val="bottom"/>
              <w:rPr>
                <w:rFonts w:ascii="宋体" w:hAnsi="宋体" w:cs="宋体"/>
                <w:color w:val="auto"/>
                <w:szCs w:val="21"/>
                <w:highlight w:val="none"/>
              </w:rPr>
            </w:pPr>
            <w:r>
              <w:rPr>
                <w:rFonts w:hint="eastAsia" w:ascii="宋体" w:hAnsi="宋体" w:cs="宋体"/>
                <w:color w:val="auto"/>
                <w:kern w:val="0"/>
                <w:szCs w:val="21"/>
                <w:highlight w:val="none"/>
                <w:lang w:bidi="ar"/>
              </w:rPr>
              <w:t>1套</w:t>
            </w:r>
          </w:p>
        </w:tc>
        <w:tc>
          <w:tcPr>
            <w:tcW w:w="5944" w:type="dxa"/>
            <w:tcBorders>
              <w:left w:val="single" w:color="auto" w:sz="4" w:space="0"/>
            </w:tcBorders>
            <w:shd w:val="clear" w:color="auto" w:fill="auto"/>
            <w:vAlign w:val="center"/>
          </w:tcPr>
          <w:p w14:paraId="591FD1DC">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一、技术参数</w:t>
            </w:r>
          </w:p>
          <w:p w14:paraId="62EA208D">
            <w:pPr>
              <w:spacing w:line="360" w:lineRule="auto"/>
              <w:rPr>
                <w:rFonts w:ascii="宋体" w:hAnsi="宋体" w:cs="宋体"/>
                <w:color w:val="auto"/>
                <w:szCs w:val="21"/>
                <w:highlight w:val="none"/>
              </w:rPr>
            </w:pPr>
            <w:r>
              <w:rPr>
                <w:rFonts w:hint="eastAsia" w:ascii="宋体" w:hAnsi="宋体" w:cs="宋体"/>
                <w:color w:val="auto"/>
                <w:szCs w:val="21"/>
                <w:highlight w:val="none"/>
              </w:rPr>
              <w:t>1.耳鼻喉各种息肉、增生、肥大、出血、炎症、糜烂等的治疗。</w:t>
            </w:r>
          </w:p>
          <w:p w14:paraId="30F7F9D9">
            <w:pPr>
              <w:spacing w:line="360" w:lineRule="auto"/>
              <w:rPr>
                <w:rFonts w:ascii="宋体" w:hAnsi="宋体" w:cs="宋体"/>
                <w:color w:val="auto"/>
                <w:szCs w:val="21"/>
                <w:highlight w:val="none"/>
              </w:rPr>
            </w:pPr>
            <w:r>
              <w:rPr>
                <w:rFonts w:hint="eastAsia" w:ascii="宋体" w:hAnsi="宋体" w:cs="宋体"/>
                <w:color w:val="auto"/>
                <w:szCs w:val="21"/>
                <w:highlight w:val="none"/>
              </w:rPr>
              <w:t>2.电源：交流220V，50Hz。</w:t>
            </w:r>
          </w:p>
          <w:p w14:paraId="7C2909A3">
            <w:pPr>
              <w:spacing w:line="360" w:lineRule="auto"/>
              <w:rPr>
                <w:rFonts w:ascii="宋体" w:hAnsi="宋体" w:cs="宋体"/>
                <w:color w:val="auto"/>
                <w:szCs w:val="21"/>
                <w:highlight w:val="none"/>
              </w:rPr>
            </w:pPr>
            <w:r>
              <w:rPr>
                <w:rFonts w:hint="eastAsia" w:ascii="宋体" w:hAnsi="宋体" w:cs="宋体"/>
                <w:color w:val="auto"/>
                <w:szCs w:val="21"/>
                <w:highlight w:val="none"/>
              </w:rPr>
              <w:t>▲3.工作频率：100kHz（±≤10kHz）。</w:t>
            </w:r>
          </w:p>
          <w:p w14:paraId="5136DE7F">
            <w:pPr>
              <w:spacing w:line="360" w:lineRule="auto"/>
              <w:rPr>
                <w:rFonts w:ascii="宋体" w:hAnsi="宋体" w:cs="宋体"/>
                <w:color w:val="auto"/>
                <w:szCs w:val="21"/>
                <w:highlight w:val="none"/>
              </w:rPr>
            </w:pPr>
            <w:r>
              <w:rPr>
                <w:rFonts w:hint="eastAsia" w:ascii="宋体" w:hAnsi="宋体" w:cs="宋体"/>
                <w:color w:val="auto"/>
                <w:szCs w:val="21"/>
                <w:highlight w:val="none"/>
              </w:rPr>
              <w:t>4.输出功率：等离子汽化切割：1-10档可调，等离子汽化凝血：1-10档可调，等离子汽化打孔：1-10档可调，等离子消融凝血：1-10档可调。</w:t>
            </w:r>
          </w:p>
          <w:p w14:paraId="360D6038">
            <w:pPr>
              <w:spacing w:line="360" w:lineRule="auto"/>
              <w:rPr>
                <w:rFonts w:ascii="宋体" w:hAnsi="宋体" w:cs="宋体"/>
                <w:color w:val="auto"/>
                <w:szCs w:val="21"/>
                <w:highlight w:val="none"/>
              </w:rPr>
            </w:pPr>
            <w:r>
              <w:rPr>
                <w:rFonts w:hint="eastAsia" w:ascii="宋体" w:hAnsi="宋体" w:cs="宋体"/>
                <w:color w:val="auto"/>
                <w:szCs w:val="21"/>
                <w:highlight w:val="none"/>
              </w:rPr>
              <w:t>▲5.阻抗显示：阻抗显示为0-999，阻抗侦测和自动能量检测技术。具有热损毁深度监控系统，对治疗深度进行实时检测反馈、达到预期（设置）的消融深度和治疗范围自动提示操作者。</w:t>
            </w:r>
          </w:p>
          <w:p w14:paraId="54E6C429">
            <w:pPr>
              <w:spacing w:line="360" w:lineRule="auto"/>
              <w:rPr>
                <w:rFonts w:ascii="宋体" w:hAnsi="宋体" w:cs="宋体"/>
                <w:color w:val="auto"/>
                <w:szCs w:val="21"/>
                <w:highlight w:val="none"/>
              </w:rPr>
            </w:pPr>
            <w:r>
              <w:rPr>
                <w:rFonts w:hint="eastAsia" w:ascii="宋体" w:hAnsi="宋体" w:cs="宋体"/>
                <w:color w:val="auto"/>
                <w:szCs w:val="21"/>
                <w:highlight w:val="none"/>
              </w:rPr>
              <w:t>6.工作计时：0-99s循环计时</w:t>
            </w:r>
          </w:p>
          <w:p w14:paraId="12818EBA">
            <w:pPr>
              <w:spacing w:line="360" w:lineRule="auto"/>
              <w:rPr>
                <w:rFonts w:ascii="宋体" w:hAnsi="宋体" w:cs="宋体"/>
                <w:color w:val="auto"/>
                <w:szCs w:val="21"/>
                <w:highlight w:val="none"/>
              </w:rPr>
            </w:pPr>
            <w:r>
              <w:rPr>
                <w:rFonts w:hint="eastAsia" w:ascii="宋体" w:hAnsi="宋体" w:cs="宋体"/>
                <w:color w:val="auto"/>
                <w:szCs w:val="21"/>
                <w:highlight w:val="none"/>
              </w:rPr>
              <w:t>7.整机功耗：≤700W。</w:t>
            </w:r>
          </w:p>
          <w:p w14:paraId="6521A6D7">
            <w:pPr>
              <w:spacing w:line="360" w:lineRule="auto"/>
              <w:rPr>
                <w:rFonts w:ascii="宋体" w:hAnsi="宋体" w:cs="宋体"/>
                <w:color w:val="auto"/>
                <w:szCs w:val="21"/>
                <w:highlight w:val="none"/>
              </w:rPr>
            </w:pPr>
            <w:r>
              <w:rPr>
                <w:rFonts w:hint="eastAsia" w:ascii="宋体" w:hAnsi="宋体" w:cs="宋体"/>
                <w:color w:val="auto"/>
                <w:szCs w:val="21"/>
                <w:highlight w:val="none"/>
              </w:rPr>
              <w:t>8.输出功率：≤350W。</w:t>
            </w:r>
          </w:p>
          <w:p w14:paraId="780205F3">
            <w:pPr>
              <w:spacing w:line="360" w:lineRule="auto"/>
              <w:rPr>
                <w:rFonts w:ascii="宋体" w:hAnsi="宋体" w:cs="宋体"/>
                <w:color w:val="auto"/>
                <w:szCs w:val="21"/>
                <w:highlight w:val="none"/>
              </w:rPr>
            </w:pPr>
            <w:r>
              <w:rPr>
                <w:rFonts w:hint="eastAsia" w:ascii="宋体" w:hAnsi="宋体" w:cs="宋体"/>
                <w:color w:val="auto"/>
                <w:szCs w:val="21"/>
                <w:highlight w:val="none"/>
              </w:rPr>
              <w:t>9.界面显示及指示：按键式操作界面，采用LED数码显示，面板密封防水设计。</w:t>
            </w:r>
          </w:p>
          <w:p w14:paraId="5A936558">
            <w:pPr>
              <w:spacing w:line="360" w:lineRule="auto"/>
              <w:rPr>
                <w:rFonts w:ascii="宋体" w:hAnsi="宋体" w:cs="宋体"/>
                <w:color w:val="auto"/>
                <w:szCs w:val="21"/>
                <w:highlight w:val="none"/>
              </w:rPr>
            </w:pPr>
            <w:r>
              <w:rPr>
                <w:rFonts w:hint="eastAsia" w:ascii="宋体" w:hAnsi="宋体" w:cs="宋体"/>
                <w:color w:val="auto"/>
                <w:szCs w:val="21"/>
                <w:highlight w:val="none"/>
              </w:rPr>
              <w:t>9.1阻抗（IMPEDANCE）、功率（POWER）、时间（TIME）显示；</w:t>
            </w:r>
          </w:p>
          <w:p w14:paraId="09B8FAC1">
            <w:pPr>
              <w:spacing w:line="360" w:lineRule="auto"/>
              <w:rPr>
                <w:rFonts w:ascii="宋体" w:hAnsi="宋体" w:cs="宋体"/>
                <w:color w:val="auto"/>
                <w:szCs w:val="21"/>
                <w:highlight w:val="none"/>
              </w:rPr>
            </w:pPr>
            <w:r>
              <w:rPr>
                <w:rFonts w:hint="eastAsia" w:ascii="宋体" w:hAnsi="宋体" w:cs="宋体"/>
                <w:color w:val="auto"/>
                <w:szCs w:val="21"/>
                <w:highlight w:val="none"/>
              </w:rPr>
              <w:t>9.2切割消融（ABLATION）、止血凝固（PLACOAG）工作模式指示；</w:t>
            </w:r>
          </w:p>
          <w:p w14:paraId="47DA473C">
            <w:pPr>
              <w:spacing w:line="360" w:lineRule="auto"/>
              <w:rPr>
                <w:rFonts w:ascii="宋体" w:hAnsi="宋体" w:cs="宋体"/>
                <w:color w:val="auto"/>
                <w:szCs w:val="21"/>
                <w:highlight w:val="none"/>
              </w:rPr>
            </w:pPr>
            <w:r>
              <w:rPr>
                <w:rFonts w:hint="eastAsia" w:ascii="宋体" w:hAnsi="宋体" w:cs="宋体"/>
                <w:color w:val="auto"/>
                <w:szCs w:val="21"/>
                <w:highlight w:val="none"/>
              </w:rPr>
              <w:t>9.3刀头（ELECTRODE）、脚踏（FOOT SWITCH）、刀头寿命和等离子浓度（PLA DENSITY)连接、识别指示。</w:t>
            </w:r>
          </w:p>
          <w:p w14:paraId="05AD4D7D">
            <w:pPr>
              <w:spacing w:line="360" w:lineRule="auto"/>
              <w:rPr>
                <w:rFonts w:ascii="宋体" w:hAnsi="宋体" w:cs="宋体"/>
                <w:color w:val="auto"/>
                <w:szCs w:val="21"/>
                <w:highlight w:val="none"/>
              </w:rPr>
            </w:pPr>
            <w:r>
              <w:rPr>
                <w:rFonts w:hint="eastAsia" w:ascii="宋体" w:hAnsi="宋体" w:cs="宋体"/>
                <w:color w:val="auto"/>
                <w:szCs w:val="21"/>
                <w:highlight w:val="none"/>
              </w:rPr>
              <w:t>10.能实现双极或多极切割、低温消融、切割、止血、凝固，微创。</w:t>
            </w:r>
          </w:p>
          <w:p w14:paraId="24A0CD49">
            <w:pPr>
              <w:spacing w:line="360" w:lineRule="auto"/>
              <w:rPr>
                <w:rFonts w:ascii="宋体" w:hAnsi="宋体" w:cs="宋体"/>
                <w:color w:val="auto"/>
                <w:szCs w:val="21"/>
                <w:highlight w:val="none"/>
              </w:rPr>
            </w:pPr>
            <w:r>
              <w:rPr>
                <w:rFonts w:hint="eastAsia" w:ascii="宋体" w:hAnsi="宋体" w:cs="宋体"/>
                <w:color w:val="auto"/>
                <w:szCs w:val="21"/>
                <w:highlight w:val="none"/>
              </w:rPr>
              <w:t>▲11.两种工作模式，一种ABLATION（打孔、切割、止血、消融等功能）模式，一种PLACOAG（止血、凝固）模式。</w:t>
            </w:r>
          </w:p>
          <w:p w14:paraId="1D207A81">
            <w:pPr>
              <w:spacing w:line="360" w:lineRule="auto"/>
              <w:rPr>
                <w:rFonts w:ascii="宋体" w:hAnsi="宋体" w:cs="宋体"/>
                <w:color w:val="auto"/>
                <w:szCs w:val="21"/>
                <w:highlight w:val="none"/>
              </w:rPr>
            </w:pPr>
            <w:r>
              <w:rPr>
                <w:rFonts w:hint="eastAsia" w:ascii="宋体" w:hAnsi="宋体" w:cs="宋体"/>
                <w:color w:val="auto"/>
                <w:szCs w:val="21"/>
                <w:highlight w:val="none"/>
              </w:rPr>
              <w:t>12.配备多刀头：根据不同的部位，不同的病症配备不同长短、粗细、弧度、能量级的治疗刀头。</w:t>
            </w:r>
          </w:p>
          <w:p w14:paraId="5A3264CC">
            <w:pPr>
              <w:spacing w:line="360" w:lineRule="auto"/>
              <w:rPr>
                <w:rFonts w:ascii="宋体" w:hAnsi="宋体" w:cs="宋体"/>
                <w:color w:val="auto"/>
                <w:szCs w:val="21"/>
                <w:highlight w:val="none"/>
              </w:rPr>
            </w:pPr>
            <w:r>
              <w:rPr>
                <w:rFonts w:hint="eastAsia" w:ascii="宋体" w:hAnsi="宋体" w:cs="宋体"/>
                <w:color w:val="auto"/>
                <w:szCs w:val="21"/>
                <w:highlight w:val="none"/>
              </w:rPr>
              <w:t>▲13.一个治疗刀头能同时实现消融、凝固、止血、切割功能，在一个手柄、同一个输出接口输出。</w:t>
            </w:r>
          </w:p>
          <w:p w14:paraId="207D7E5E">
            <w:pPr>
              <w:spacing w:line="360" w:lineRule="auto"/>
              <w:rPr>
                <w:rFonts w:ascii="宋体" w:hAnsi="宋体" w:cs="宋体"/>
                <w:color w:val="auto"/>
                <w:szCs w:val="21"/>
                <w:highlight w:val="none"/>
              </w:rPr>
            </w:pPr>
            <w:r>
              <w:rPr>
                <w:rFonts w:hint="eastAsia" w:ascii="宋体" w:hAnsi="宋体" w:cs="宋体"/>
                <w:color w:val="auto"/>
                <w:szCs w:val="21"/>
                <w:highlight w:val="none"/>
              </w:rPr>
              <w:t>14.具备多极吸引切割功能及配置，适合开展扁桃体、腺样体、乳头状瘤、息肉、CAUP、UPPP等。</w:t>
            </w:r>
          </w:p>
          <w:p w14:paraId="6CD6AE5C">
            <w:pPr>
              <w:spacing w:line="360" w:lineRule="auto"/>
              <w:rPr>
                <w:rFonts w:ascii="宋体" w:hAnsi="宋体" w:cs="宋体"/>
                <w:color w:val="auto"/>
                <w:szCs w:val="21"/>
                <w:highlight w:val="none"/>
              </w:rPr>
            </w:pPr>
            <w:r>
              <w:rPr>
                <w:rFonts w:hint="eastAsia" w:ascii="宋体" w:hAnsi="宋体" w:cs="宋体"/>
                <w:color w:val="auto"/>
                <w:szCs w:val="21"/>
                <w:highlight w:val="none"/>
              </w:rPr>
              <w:t>15.配备能治疗隐蔽及深部病变组织的功能及配置，如治疗喉深部及舌根等部位。</w:t>
            </w:r>
          </w:p>
          <w:p w14:paraId="06B61F71">
            <w:pPr>
              <w:spacing w:line="360" w:lineRule="auto"/>
              <w:rPr>
                <w:rFonts w:ascii="宋体" w:hAnsi="宋体" w:cs="宋体"/>
                <w:color w:val="auto"/>
                <w:szCs w:val="21"/>
                <w:highlight w:val="none"/>
              </w:rPr>
            </w:pPr>
            <w:r>
              <w:rPr>
                <w:rFonts w:hint="eastAsia" w:ascii="宋体" w:hAnsi="宋体" w:cs="宋体"/>
                <w:color w:val="auto"/>
                <w:szCs w:val="21"/>
                <w:highlight w:val="none"/>
              </w:rPr>
              <w:t>16.治疗主机声音大小可调节，能区分ABLATION和PLACOAG的工作声音，避免踏错脚踏。</w:t>
            </w:r>
          </w:p>
          <w:p w14:paraId="0A37667E">
            <w:pPr>
              <w:spacing w:line="360" w:lineRule="auto"/>
              <w:rPr>
                <w:rFonts w:ascii="宋体" w:hAnsi="宋体" w:cs="宋体"/>
                <w:color w:val="auto"/>
                <w:szCs w:val="21"/>
                <w:highlight w:val="none"/>
              </w:rPr>
            </w:pPr>
            <w:r>
              <w:rPr>
                <w:rFonts w:hint="eastAsia" w:ascii="宋体" w:hAnsi="宋体" w:cs="宋体"/>
                <w:color w:val="auto"/>
                <w:szCs w:val="21"/>
                <w:highlight w:val="none"/>
              </w:rPr>
              <w:t>17.阻抗侦测和自动能量检测技术，具有热损毁深度监控系统。</w:t>
            </w:r>
          </w:p>
          <w:p w14:paraId="5A07B556">
            <w:pPr>
              <w:spacing w:line="360" w:lineRule="auto"/>
              <w:rPr>
                <w:rFonts w:ascii="宋体" w:hAnsi="宋体" w:cs="宋体"/>
                <w:color w:val="auto"/>
                <w:szCs w:val="21"/>
                <w:highlight w:val="none"/>
              </w:rPr>
            </w:pPr>
            <w:r>
              <w:rPr>
                <w:rFonts w:hint="eastAsia" w:ascii="宋体" w:hAnsi="宋体" w:cs="宋体"/>
                <w:color w:val="auto"/>
                <w:szCs w:val="21"/>
                <w:highlight w:val="none"/>
              </w:rPr>
              <w:t>18.治疗主机自动识别手柄、脚踏的连接状态。</w:t>
            </w:r>
          </w:p>
          <w:p w14:paraId="1E2739B0">
            <w:pPr>
              <w:spacing w:line="360" w:lineRule="auto"/>
              <w:rPr>
                <w:rFonts w:ascii="宋体" w:hAnsi="宋体" w:cs="宋体"/>
                <w:color w:val="auto"/>
                <w:szCs w:val="21"/>
                <w:highlight w:val="none"/>
              </w:rPr>
            </w:pPr>
            <w:r>
              <w:rPr>
                <w:rFonts w:hint="eastAsia" w:ascii="宋体" w:hAnsi="宋体" w:cs="宋体"/>
                <w:color w:val="auto"/>
                <w:szCs w:val="21"/>
                <w:highlight w:val="none"/>
              </w:rPr>
              <w:t>19.能在连接好脚踏和手柄后主机根据不同刀头自动设置默认功率大小。</w:t>
            </w:r>
          </w:p>
          <w:p w14:paraId="6E89B3FF">
            <w:pPr>
              <w:spacing w:line="360" w:lineRule="auto"/>
              <w:rPr>
                <w:rFonts w:ascii="宋体" w:hAnsi="宋体" w:cs="宋体"/>
                <w:color w:val="auto"/>
                <w:szCs w:val="21"/>
                <w:highlight w:val="none"/>
              </w:rPr>
            </w:pPr>
            <w:r>
              <w:rPr>
                <w:rFonts w:hint="eastAsia" w:ascii="宋体" w:hAnsi="宋体" w:cs="宋体"/>
                <w:color w:val="auto"/>
                <w:szCs w:val="21"/>
                <w:highlight w:val="none"/>
              </w:rPr>
              <w:t>▲20.主机能自动侦测并提示刀头前端等离子强度状态。</w:t>
            </w:r>
          </w:p>
          <w:p w14:paraId="24667E92">
            <w:pPr>
              <w:spacing w:line="360" w:lineRule="auto"/>
              <w:rPr>
                <w:rFonts w:ascii="宋体" w:hAnsi="宋体" w:cs="宋体"/>
                <w:color w:val="auto"/>
                <w:szCs w:val="21"/>
                <w:highlight w:val="none"/>
              </w:rPr>
            </w:pPr>
            <w:r>
              <w:rPr>
                <w:rFonts w:hint="eastAsia" w:ascii="宋体" w:hAnsi="宋体" w:cs="宋体"/>
                <w:color w:val="auto"/>
                <w:szCs w:val="21"/>
                <w:highlight w:val="none"/>
              </w:rPr>
              <w:t>21.能通过脚踏开关启动、切换ABLATION和PLACOAG模式。</w:t>
            </w:r>
          </w:p>
          <w:p w14:paraId="550A824A">
            <w:pPr>
              <w:spacing w:line="360" w:lineRule="auto"/>
              <w:rPr>
                <w:rFonts w:ascii="宋体" w:hAnsi="宋体" w:cs="宋体"/>
                <w:color w:val="auto"/>
                <w:szCs w:val="21"/>
                <w:highlight w:val="none"/>
              </w:rPr>
            </w:pPr>
            <w:r>
              <w:rPr>
                <w:rFonts w:hint="eastAsia" w:ascii="宋体" w:hAnsi="宋体" w:cs="宋体"/>
                <w:color w:val="auto"/>
                <w:szCs w:val="21"/>
                <w:highlight w:val="none"/>
              </w:rPr>
              <w:t>22.低温控制：工作温度为40-70℃，创面无碳化。</w:t>
            </w:r>
          </w:p>
          <w:p w14:paraId="589873D9">
            <w:pPr>
              <w:spacing w:line="360" w:lineRule="auto"/>
              <w:rPr>
                <w:rFonts w:ascii="宋体" w:hAnsi="宋体" w:cs="宋体"/>
                <w:color w:val="auto"/>
                <w:szCs w:val="21"/>
                <w:highlight w:val="none"/>
              </w:rPr>
            </w:pPr>
            <w:r>
              <w:rPr>
                <w:rFonts w:hint="eastAsia" w:ascii="宋体" w:hAnsi="宋体" w:cs="宋体"/>
                <w:color w:val="auto"/>
                <w:szCs w:val="21"/>
                <w:highlight w:val="none"/>
              </w:rPr>
              <w:t>23.操作精确：消融作用在靶组织表面，等离子作用为100微米。</w:t>
            </w:r>
          </w:p>
          <w:p w14:paraId="13A9DD3F">
            <w:pPr>
              <w:spacing w:line="360" w:lineRule="auto"/>
              <w:rPr>
                <w:rFonts w:ascii="宋体" w:hAnsi="宋体" w:cs="宋体"/>
                <w:strike/>
                <w:color w:val="auto"/>
                <w:szCs w:val="21"/>
                <w:highlight w:val="none"/>
              </w:rPr>
            </w:pPr>
            <w:r>
              <w:rPr>
                <w:rFonts w:hint="eastAsia" w:ascii="宋体" w:hAnsi="宋体" w:cs="宋体"/>
                <w:color w:val="auto"/>
                <w:szCs w:val="21"/>
                <w:highlight w:val="none"/>
              </w:rPr>
              <w:t>24.保障安全：电场仅局限于刀头的双极之间；工作能量控制在3-3.5eV。</w:t>
            </w:r>
          </w:p>
          <w:p w14:paraId="339B8012">
            <w:pPr>
              <w:spacing w:line="360" w:lineRule="auto"/>
              <w:rPr>
                <w:rFonts w:ascii="宋体" w:hAnsi="宋体" w:cs="宋体"/>
                <w:b/>
                <w:bCs/>
                <w:color w:val="auto"/>
                <w:szCs w:val="21"/>
                <w:highlight w:val="none"/>
              </w:rPr>
            </w:pPr>
            <w:r>
              <w:rPr>
                <w:rFonts w:hint="eastAsia" w:ascii="宋体" w:hAnsi="宋体" w:cs="宋体"/>
                <w:b/>
                <w:color w:val="auto"/>
                <w:szCs w:val="21"/>
                <w:highlight w:val="none"/>
              </w:rPr>
              <w:t>▲</w:t>
            </w:r>
            <w:r>
              <w:rPr>
                <w:rFonts w:hint="eastAsia" w:ascii="宋体" w:hAnsi="宋体" w:cs="宋体"/>
                <w:b/>
                <w:bCs/>
                <w:color w:val="auto"/>
                <w:szCs w:val="21"/>
                <w:highlight w:val="none"/>
              </w:rPr>
              <w:t>二、配置清单</w:t>
            </w:r>
          </w:p>
          <w:p w14:paraId="21832695">
            <w:pPr>
              <w:spacing w:line="360" w:lineRule="auto"/>
              <w:rPr>
                <w:rFonts w:ascii="宋体" w:hAnsi="宋体" w:cs="宋体"/>
                <w:color w:val="auto"/>
                <w:szCs w:val="21"/>
                <w:highlight w:val="none"/>
              </w:rPr>
            </w:pPr>
            <w:r>
              <w:rPr>
                <w:rFonts w:hint="eastAsia" w:ascii="宋体" w:hAnsi="宋体" w:cs="宋体"/>
                <w:color w:val="auto"/>
                <w:szCs w:val="21"/>
                <w:highlight w:val="none"/>
              </w:rPr>
              <w:t>1.系统主机1台</w:t>
            </w:r>
          </w:p>
          <w:p w14:paraId="26B2FBEB">
            <w:pPr>
              <w:spacing w:line="360" w:lineRule="auto"/>
              <w:rPr>
                <w:rFonts w:ascii="宋体" w:hAnsi="宋体" w:cs="宋体"/>
                <w:color w:val="auto"/>
                <w:szCs w:val="21"/>
                <w:highlight w:val="none"/>
              </w:rPr>
            </w:pPr>
            <w:r>
              <w:rPr>
                <w:rFonts w:hint="eastAsia" w:ascii="宋体" w:hAnsi="宋体" w:cs="宋体"/>
                <w:color w:val="auto"/>
                <w:szCs w:val="21"/>
                <w:highlight w:val="none"/>
              </w:rPr>
              <w:t>2.脚踏控制器1个</w:t>
            </w:r>
          </w:p>
          <w:p w14:paraId="7A3755CA">
            <w:pPr>
              <w:spacing w:line="360" w:lineRule="auto"/>
              <w:rPr>
                <w:rFonts w:ascii="宋体" w:hAnsi="宋体" w:cs="宋体"/>
                <w:color w:val="auto"/>
                <w:szCs w:val="21"/>
                <w:highlight w:val="none"/>
              </w:rPr>
            </w:pPr>
            <w:r>
              <w:rPr>
                <w:rFonts w:hint="eastAsia" w:ascii="宋体" w:hAnsi="宋体" w:cs="宋体"/>
                <w:color w:val="auto"/>
                <w:szCs w:val="21"/>
                <w:highlight w:val="none"/>
              </w:rPr>
              <w:t>3.等离子手柄连线1个</w:t>
            </w:r>
          </w:p>
          <w:p w14:paraId="1688ADDA">
            <w:pPr>
              <w:spacing w:line="360" w:lineRule="auto"/>
              <w:rPr>
                <w:rFonts w:ascii="宋体" w:hAnsi="宋体" w:cs="宋体"/>
                <w:color w:val="auto"/>
                <w:szCs w:val="21"/>
                <w:highlight w:val="none"/>
              </w:rPr>
            </w:pPr>
            <w:r>
              <w:rPr>
                <w:rFonts w:hint="eastAsia"/>
                <w:color w:val="auto"/>
                <w:szCs w:val="21"/>
                <w:highlight w:val="none"/>
              </w:rPr>
              <w:t>4.</w:t>
            </w:r>
            <w:r>
              <w:rPr>
                <w:rFonts w:hint="eastAsia" w:ascii="宋体" w:hAnsi="宋体" w:cs="宋体"/>
                <w:color w:val="auto"/>
                <w:szCs w:val="21"/>
                <w:highlight w:val="none"/>
              </w:rPr>
              <w:t>电源电缆1个</w:t>
            </w:r>
          </w:p>
          <w:p w14:paraId="10FE2E58">
            <w:pPr>
              <w:spacing w:line="360" w:lineRule="auto"/>
              <w:rPr>
                <w:rFonts w:ascii="宋体" w:hAnsi="宋体" w:cs="宋体"/>
                <w:color w:val="auto"/>
                <w:szCs w:val="21"/>
                <w:highlight w:val="none"/>
              </w:rPr>
            </w:pPr>
            <w:r>
              <w:rPr>
                <w:rFonts w:hint="eastAsia" w:hAnsi="宋体" w:cs="宋体"/>
                <w:b/>
                <w:color w:val="auto"/>
                <w:szCs w:val="21"/>
                <w:highlight w:val="none"/>
              </w:rPr>
              <w:t>▲</w:t>
            </w:r>
            <w:r>
              <w:rPr>
                <w:rFonts w:hint="eastAsia" w:hAnsi="宋体" w:cs="宋体"/>
                <w:color w:val="auto"/>
                <w:szCs w:val="21"/>
                <w:highlight w:val="none"/>
              </w:rPr>
              <w:t>三、</w:t>
            </w:r>
            <w:r>
              <w:rPr>
                <w:rFonts w:hint="eastAsia" w:ascii="宋体" w:hAnsi="宋体" w:cs="宋体"/>
                <w:color w:val="auto"/>
                <w:szCs w:val="21"/>
                <w:highlight w:val="none"/>
              </w:rPr>
              <w:t>本项货物特殊质保期要求：</w:t>
            </w:r>
            <w:r>
              <w:rPr>
                <w:rFonts w:hint="eastAsia" w:ascii="宋体" w:hAnsi="宋体" w:cs="宋体"/>
                <w:color w:val="auto"/>
                <w:kern w:val="0"/>
                <w:szCs w:val="21"/>
                <w:highlight w:val="none"/>
                <w:lang w:bidi="ar"/>
              </w:rPr>
              <w:t>按国家有关产品三包规定执行“三包”，质保期：整机（含配件）质保期不少于1年。</w:t>
            </w:r>
          </w:p>
        </w:tc>
      </w:tr>
      <w:tr w14:paraId="5DAE9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2AB3D794">
            <w:pPr>
              <w:numPr>
                <w:ilvl w:val="0"/>
                <w:numId w:val="3"/>
              </w:numPr>
              <w:snapToGrid w:val="0"/>
              <w:spacing w:line="360" w:lineRule="auto"/>
              <w:jc w:val="center"/>
              <w:rPr>
                <w:rFonts w:ascii="宋体" w:hAnsi="宋体" w:cs="宋体"/>
                <w:color w:val="auto"/>
                <w:szCs w:val="21"/>
                <w:highlight w:val="none"/>
              </w:rPr>
            </w:pPr>
          </w:p>
        </w:tc>
        <w:tc>
          <w:tcPr>
            <w:tcW w:w="989" w:type="dxa"/>
            <w:vAlign w:val="center"/>
          </w:tcPr>
          <w:p w14:paraId="6C78E94A">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电动产床</w:t>
            </w:r>
          </w:p>
        </w:tc>
        <w:tc>
          <w:tcPr>
            <w:tcW w:w="1338" w:type="dxa"/>
            <w:tcBorders>
              <w:right w:val="single" w:color="auto" w:sz="4" w:space="0"/>
            </w:tcBorders>
            <w:vAlign w:val="center"/>
          </w:tcPr>
          <w:p w14:paraId="07E7C7FA">
            <w:pPr>
              <w:widowControl/>
              <w:jc w:val="center"/>
              <w:textAlignment w:val="bottom"/>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7.9</w:t>
            </w:r>
          </w:p>
        </w:tc>
        <w:tc>
          <w:tcPr>
            <w:tcW w:w="937" w:type="dxa"/>
            <w:tcBorders>
              <w:right w:val="single" w:color="auto" w:sz="4" w:space="0"/>
            </w:tcBorders>
            <w:vAlign w:val="center"/>
          </w:tcPr>
          <w:p w14:paraId="03366091">
            <w:pPr>
              <w:widowControl/>
              <w:spacing w:line="360" w:lineRule="auto"/>
              <w:jc w:val="center"/>
              <w:textAlignment w:val="bottom"/>
              <w:rPr>
                <w:rFonts w:ascii="宋体" w:hAnsi="宋体" w:cs="宋体"/>
                <w:color w:val="auto"/>
                <w:szCs w:val="21"/>
                <w:highlight w:val="none"/>
              </w:rPr>
            </w:pPr>
            <w:r>
              <w:rPr>
                <w:rFonts w:hint="eastAsia" w:ascii="宋体" w:hAnsi="宋体" w:cs="宋体"/>
                <w:color w:val="auto"/>
                <w:kern w:val="0"/>
                <w:szCs w:val="21"/>
                <w:highlight w:val="none"/>
                <w:lang w:bidi="ar"/>
              </w:rPr>
              <w:t>1套</w:t>
            </w:r>
          </w:p>
        </w:tc>
        <w:tc>
          <w:tcPr>
            <w:tcW w:w="5944" w:type="dxa"/>
            <w:tcBorders>
              <w:left w:val="single" w:color="auto" w:sz="4" w:space="0"/>
            </w:tcBorders>
            <w:shd w:val="clear" w:color="auto" w:fill="auto"/>
            <w:vAlign w:val="center"/>
          </w:tcPr>
          <w:p w14:paraId="77C7C2CD">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一、技术参数</w:t>
            </w:r>
          </w:p>
          <w:p w14:paraId="2E436038">
            <w:pPr>
              <w:spacing w:line="360" w:lineRule="auto"/>
              <w:rPr>
                <w:rFonts w:ascii="宋体" w:hAnsi="宋体" w:cs="宋体"/>
                <w:color w:val="auto"/>
                <w:szCs w:val="21"/>
                <w:highlight w:val="none"/>
              </w:rPr>
            </w:pPr>
            <w:r>
              <w:rPr>
                <w:rFonts w:hint="eastAsia" w:ascii="宋体" w:hAnsi="宋体" w:cs="宋体"/>
                <w:color w:val="auto"/>
                <w:szCs w:val="21"/>
                <w:highlight w:val="none"/>
              </w:rPr>
              <w:t>▲1.整体升降、前后倾、背板折转、采用电动控制，按钮操作。床板下装有隐藏式污物盒，以及脱卸式辅助台，可根据临床的需要进行变换；</w:t>
            </w:r>
          </w:p>
          <w:p w14:paraId="4DE633D2">
            <w:pPr>
              <w:spacing w:line="360" w:lineRule="auto"/>
              <w:rPr>
                <w:rFonts w:ascii="宋体" w:hAnsi="宋体" w:cs="宋体"/>
                <w:color w:val="auto"/>
                <w:szCs w:val="21"/>
                <w:highlight w:val="none"/>
              </w:rPr>
            </w:pPr>
            <w:r>
              <w:rPr>
                <w:rFonts w:hint="eastAsia" w:ascii="宋体" w:hAnsi="宋体" w:cs="宋体"/>
                <w:color w:val="auto"/>
                <w:szCs w:val="21"/>
                <w:highlight w:val="none"/>
              </w:rPr>
              <w:t>2.具有头高脚低功能，便于顺产分娩；头低脚高功能，后倾角度≥12度。静音脚轮采用脚踏刹车中央控制系统。</w:t>
            </w:r>
          </w:p>
          <w:p w14:paraId="7EB14E32">
            <w:pPr>
              <w:spacing w:line="360" w:lineRule="auto"/>
              <w:rPr>
                <w:rFonts w:ascii="宋体" w:hAnsi="宋体" w:cs="宋体"/>
                <w:color w:val="auto"/>
                <w:szCs w:val="21"/>
                <w:highlight w:val="none"/>
              </w:rPr>
            </w:pPr>
            <w:r>
              <w:rPr>
                <w:rFonts w:hint="eastAsia" w:ascii="宋体" w:hAnsi="宋体" w:cs="宋体"/>
                <w:color w:val="auto"/>
                <w:szCs w:val="21"/>
                <w:highlight w:val="none"/>
              </w:rPr>
              <w:t>3.蹬脚采用气动结构，只需拉动手柄即可调节角度。床垫采用多层低回弹海绵、蛋状海绵制作，床垫外套防水革，可拆卸清洗，厚度≥120mm。</w:t>
            </w:r>
          </w:p>
          <w:p w14:paraId="29F3C671">
            <w:pPr>
              <w:spacing w:line="360" w:lineRule="auto"/>
              <w:rPr>
                <w:rFonts w:ascii="宋体" w:hAnsi="宋体" w:cs="宋体"/>
                <w:color w:val="auto"/>
                <w:szCs w:val="21"/>
                <w:highlight w:val="none"/>
              </w:rPr>
            </w:pPr>
            <w:r>
              <w:rPr>
                <w:rFonts w:hint="eastAsia" w:ascii="宋体" w:hAnsi="宋体" w:cs="宋体"/>
                <w:color w:val="auto"/>
                <w:szCs w:val="21"/>
                <w:highlight w:val="none"/>
              </w:rPr>
              <w:t>4.护栏可以垂直自由升降收放，升降行程≥380mm；</w:t>
            </w:r>
          </w:p>
          <w:p w14:paraId="0E349D3E">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5.床面全长≥1900mm；</w:t>
            </w:r>
          </w:p>
          <w:p w14:paraId="0AA11195">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6.床面宽度≥800mm；孕妇</w:t>
            </w:r>
            <w:r>
              <w:rPr>
                <w:rFonts w:hint="eastAsia" w:ascii="宋体" w:hAnsi="宋体" w:cs="宋体"/>
                <w:color w:val="auto"/>
                <w:szCs w:val="21"/>
                <w:highlight w:val="none"/>
              </w:rPr>
              <w:t>可</w:t>
            </w:r>
            <w:r>
              <w:rPr>
                <w:rFonts w:hint="eastAsia" w:ascii="宋体" w:hAnsi="宋体" w:cs="宋体"/>
                <w:color w:val="auto"/>
                <w:szCs w:val="21"/>
                <w:highlight w:val="none"/>
              </w:rPr>
              <w:t>坐卧，可母婴同床。</w:t>
            </w:r>
          </w:p>
          <w:p w14:paraId="6B08DE8A">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7.床身最低≤680mm；行程：≥270mm.</w:t>
            </w:r>
          </w:p>
          <w:p w14:paraId="19CC1988">
            <w:pPr>
              <w:spacing w:line="360" w:lineRule="auto"/>
              <w:rPr>
                <w:rFonts w:ascii="宋体" w:hAnsi="宋体" w:cs="宋体"/>
                <w:color w:val="auto"/>
                <w:szCs w:val="21"/>
                <w:highlight w:val="none"/>
              </w:rPr>
            </w:pPr>
            <w:r>
              <w:rPr>
                <w:rFonts w:hint="eastAsia" w:ascii="宋体" w:hAnsi="宋体" w:cs="宋体"/>
                <w:color w:val="auto"/>
                <w:szCs w:val="21"/>
                <w:highlight w:val="none"/>
              </w:rPr>
              <w:t>8.背板倾斜角度≥75°</w:t>
            </w:r>
          </w:p>
          <w:p w14:paraId="1DCF1D59">
            <w:pPr>
              <w:spacing w:line="360" w:lineRule="auto"/>
              <w:rPr>
                <w:rFonts w:ascii="宋体" w:hAnsi="宋体" w:cs="宋体"/>
                <w:color w:val="auto"/>
                <w:szCs w:val="21"/>
                <w:highlight w:val="none"/>
              </w:rPr>
            </w:pPr>
            <w:r>
              <w:rPr>
                <w:rFonts w:hint="eastAsia" w:ascii="宋体" w:hAnsi="宋体" w:cs="宋体"/>
                <w:color w:val="auto"/>
                <w:szCs w:val="21"/>
                <w:highlight w:val="none"/>
              </w:rPr>
              <w:t>8.座板上折角度≥20°</w:t>
            </w:r>
          </w:p>
          <w:p w14:paraId="57033D50">
            <w:pPr>
              <w:spacing w:line="360" w:lineRule="auto"/>
              <w:rPr>
                <w:rFonts w:ascii="宋体" w:hAnsi="宋体" w:cs="宋体"/>
                <w:color w:val="auto"/>
                <w:szCs w:val="21"/>
                <w:highlight w:val="none"/>
              </w:rPr>
            </w:pPr>
            <w:r>
              <w:rPr>
                <w:rFonts w:hint="eastAsia" w:ascii="宋体" w:hAnsi="宋体" w:cs="宋体"/>
                <w:color w:val="auto"/>
                <w:szCs w:val="21"/>
                <w:highlight w:val="none"/>
              </w:rPr>
              <w:t>9.床身倾斜角度：后倾≥12°</w:t>
            </w:r>
          </w:p>
          <w:p w14:paraId="617FF222">
            <w:pPr>
              <w:spacing w:line="360" w:lineRule="auto"/>
              <w:rPr>
                <w:rFonts w:ascii="宋体" w:hAnsi="宋体" w:cs="宋体"/>
                <w:color w:val="auto"/>
                <w:szCs w:val="21"/>
                <w:highlight w:val="none"/>
              </w:rPr>
            </w:pPr>
            <w:r>
              <w:rPr>
                <w:rFonts w:hint="eastAsia" w:ascii="宋体" w:hAnsi="宋体" w:cs="宋体"/>
                <w:color w:val="auto"/>
                <w:szCs w:val="21"/>
                <w:highlight w:val="none"/>
              </w:rPr>
              <w:t>▲10.辅助台电动升高：≥130mm</w:t>
            </w:r>
          </w:p>
          <w:p w14:paraId="4EF50BCB">
            <w:pPr>
              <w:spacing w:line="360" w:lineRule="auto"/>
              <w:rPr>
                <w:rFonts w:ascii="宋体" w:hAnsi="宋体" w:cs="宋体"/>
                <w:color w:val="auto"/>
                <w:szCs w:val="21"/>
                <w:highlight w:val="none"/>
              </w:rPr>
            </w:pPr>
            <w:r>
              <w:rPr>
                <w:rFonts w:hint="eastAsia" w:ascii="宋体" w:hAnsi="宋体" w:cs="宋体"/>
                <w:color w:val="auto"/>
                <w:szCs w:val="21"/>
                <w:highlight w:val="none"/>
              </w:rPr>
              <w:t>11.脚板上折：≥50°</w:t>
            </w:r>
          </w:p>
          <w:p w14:paraId="205C16F7">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12.脚板外展：≥90°</w:t>
            </w:r>
          </w:p>
          <w:p w14:paraId="122B9421">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13.最大承载≥150公斤。</w:t>
            </w:r>
          </w:p>
          <w:p w14:paraId="79EF4BC8">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14.设备设计使用期限≥7年。</w:t>
            </w:r>
          </w:p>
          <w:p w14:paraId="0B06BB91">
            <w:pPr>
              <w:spacing w:line="360" w:lineRule="auto"/>
              <w:jc w:val="left"/>
              <w:rPr>
                <w:rFonts w:ascii="宋体" w:hAnsi="宋体" w:cs="宋体"/>
                <w:b/>
                <w:bCs/>
                <w:color w:val="auto"/>
                <w:szCs w:val="21"/>
                <w:highlight w:val="none"/>
              </w:rPr>
            </w:pPr>
            <w:r>
              <w:rPr>
                <w:rFonts w:hint="eastAsia" w:ascii="宋体" w:hAnsi="宋体" w:cs="宋体"/>
                <w:b/>
                <w:color w:val="auto"/>
                <w:szCs w:val="21"/>
                <w:highlight w:val="none"/>
              </w:rPr>
              <w:t>▲</w:t>
            </w:r>
            <w:r>
              <w:rPr>
                <w:rFonts w:hint="eastAsia" w:ascii="宋体" w:hAnsi="宋体" w:cs="宋体"/>
                <w:b/>
                <w:bCs/>
                <w:color w:val="auto"/>
                <w:szCs w:val="21"/>
                <w:highlight w:val="none"/>
              </w:rPr>
              <w:t>二、配置清单</w:t>
            </w:r>
          </w:p>
          <w:p w14:paraId="2AA0567C">
            <w:pPr>
              <w:spacing w:line="360" w:lineRule="auto"/>
              <w:rPr>
                <w:rFonts w:ascii="宋体" w:hAnsi="宋体" w:cs="宋体"/>
                <w:color w:val="auto"/>
                <w:szCs w:val="21"/>
                <w:highlight w:val="none"/>
              </w:rPr>
            </w:pPr>
            <w:r>
              <w:rPr>
                <w:rFonts w:hint="eastAsia" w:ascii="宋体" w:hAnsi="宋体" w:cs="宋体"/>
                <w:color w:val="auto"/>
                <w:szCs w:val="21"/>
                <w:highlight w:val="none"/>
              </w:rPr>
              <w:t>1</w:t>
            </w:r>
            <w:r>
              <w:rPr>
                <w:rFonts w:hint="eastAsia"/>
                <w:color w:val="auto"/>
                <w:szCs w:val="21"/>
                <w:highlight w:val="none"/>
              </w:rPr>
              <w:t>.</w:t>
            </w:r>
            <w:r>
              <w:rPr>
                <w:rFonts w:hint="eastAsia" w:ascii="宋体" w:hAnsi="宋体" w:cs="宋体"/>
                <w:color w:val="auto"/>
                <w:szCs w:val="21"/>
                <w:highlight w:val="none"/>
              </w:rPr>
              <w:t>主床1张</w:t>
            </w:r>
          </w:p>
          <w:p w14:paraId="0EE8339A">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2.防水床垫1套    </w:t>
            </w:r>
          </w:p>
          <w:p w14:paraId="3E1FCE66">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3.边栏（护栏）2件   </w:t>
            </w:r>
          </w:p>
          <w:p w14:paraId="7ABF26E4">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4.输液架1件</w:t>
            </w:r>
            <w:r>
              <w:rPr>
                <w:rFonts w:hint="eastAsia" w:ascii="宋体" w:hAnsi="宋体" w:cs="宋体"/>
                <w:color w:val="auto"/>
                <w:szCs w:val="21"/>
                <w:highlight w:val="none"/>
              </w:rPr>
              <w:tab/>
            </w:r>
          </w:p>
          <w:p w14:paraId="0E8BBF4E">
            <w:pPr>
              <w:tabs>
                <w:tab w:val="left" w:pos="3348"/>
                <w:tab w:val="left" w:pos="4860"/>
              </w:tabs>
              <w:spacing w:after="50" w:line="360" w:lineRule="auto"/>
              <w:jc w:val="left"/>
              <w:rPr>
                <w:rFonts w:ascii="宋体" w:hAnsi="宋体" w:cs="宋体"/>
                <w:color w:val="auto"/>
                <w:szCs w:val="21"/>
                <w:highlight w:val="none"/>
              </w:rPr>
            </w:pPr>
            <w:r>
              <w:rPr>
                <w:rFonts w:hint="eastAsia" w:ascii="宋体" w:hAnsi="宋体" w:cs="宋体"/>
                <w:color w:val="auto"/>
                <w:szCs w:val="21"/>
                <w:highlight w:val="none"/>
              </w:rPr>
              <w:t>5.托腿架2件</w:t>
            </w:r>
            <w:r>
              <w:rPr>
                <w:rFonts w:hint="eastAsia" w:ascii="宋体" w:hAnsi="宋体" w:cs="宋体"/>
                <w:color w:val="auto"/>
                <w:szCs w:val="21"/>
                <w:highlight w:val="none"/>
              </w:rPr>
              <w:tab/>
            </w:r>
          </w:p>
          <w:p w14:paraId="39B950FF">
            <w:pPr>
              <w:tabs>
                <w:tab w:val="left" w:pos="3348"/>
                <w:tab w:val="left" w:pos="4860"/>
              </w:tabs>
              <w:spacing w:after="50" w:line="360" w:lineRule="auto"/>
              <w:jc w:val="left"/>
              <w:rPr>
                <w:rFonts w:ascii="宋体" w:hAnsi="宋体" w:cs="宋体"/>
                <w:color w:val="auto"/>
                <w:szCs w:val="21"/>
                <w:highlight w:val="none"/>
              </w:rPr>
            </w:pPr>
            <w:r>
              <w:rPr>
                <w:rFonts w:hint="eastAsia" w:ascii="宋体" w:hAnsi="宋体" w:cs="宋体"/>
                <w:color w:val="auto"/>
                <w:szCs w:val="21"/>
                <w:highlight w:val="none"/>
              </w:rPr>
              <w:t>6.拉手2件</w:t>
            </w:r>
            <w:r>
              <w:rPr>
                <w:rFonts w:hint="eastAsia" w:ascii="宋体" w:hAnsi="宋体" w:cs="宋体"/>
                <w:color w:val="auto"/>
                <w:szCs w:val="21"/>
                <w:highlight w:val="none"/>
              </w:rPr>
              <w:tab/>
            </w:r>
          </w:p>
          <w:p w14:paraId="031B72F6">
            <w:pPr>
              <w:tabs>
                <w:tab w:val="left" w:pos="3348"/>
                <w:tab w:val="left" w:pos="4860"/>
              </w:tabs>
              <w:spacing w:after="50" w:line="360" w:lineRule="auto"/>
              <w:jc w:val="left"/>
              <w:rPr>
                <w:rFonts w:ascii="宋体" w:hAnsi="宋体" w:cs="宋体"/>
                <w:color w:val="auto"/>
                <w:szCs w:val="21"/>
                <w:highlight w:val="none"/>
              </w:rPr>
            </w:pPr>
            <w:r>
              <w:rPr>
                <w:rFonts w:hint="eastAsia" w:ascii="宋体" w:hAnsi="宋体" w:cs="宋体"/>
                <w:color w:val="auto"/>
                <w:szCs w:val="21"/>
                <w:highlight w:val="none"/>
              </w:rPr>
              <w:t>7.污物盆1件</w:t>
            </w:r>
          </w:p>
          <w:p w14:paraId="4F457F36">
            <w:pPr>
              <w:tabs>
                <w:tab w:val="left" w:pos="3348"/>
                <w:tab w:val="left" w:pos="4860"/>
              </w:tabs>
              <w:spacing w:after="50" w:line="360" w:lineRule="auto"/>
              <w:jc w:val="left"/>
              <w:rPr>
                <w:rFonts w:ascii="宋体" w:hAnsi="宋体" w:cs="宋体"/>
                <w:color w:val="auto"/>
                <w:szCs w:val="21"/>
                <w:highlight w:val="none"/>
              </w:rPr>
            </w:pPr>
            <w:r>
              <w:rPr>
                <w:rFonts w:hint="eastAsia" w:ascii="宋体" w:hAnsi="宋体" w:cs="宋体"/>
                <w:color w:val="auto"/>
                <w:szCs w:val="21"/>
                <w:highlight w:val="none"/>
              </w:rPr>
              <w:t>8.大辅助台1件</w:t>
            </w:r>
          </w:p>
          <w:p w14:paraId="03D9512B">
            <w:pPr>
              <w:tabs>
                <w:tab w:val="left" w:pos="3348"/>
                <w:tab w:val="left" w:pos="4860"/>
              </w:tabs>
              <w:spacing w:after="50" w:line="360" w:lineRule="auto"/>
              <w:jc w:val="left"/>
              <w:rPr>
                <w:rFonts w:ascii="宋体" w:hAnsi="宋体" w:cs="宋体"/>
                <w:color w:val="auto"/>
                <w:szCs w:val="21"/>
                <w:highlight w:val="none"/>
              </w:rPr>
            </w:pPr>
            <w:r>
              <w:rPr>
                <w:rFonts w:hint="eastAsia" w:ascii="宋体" w:hAnsi="宋体" w:cs="宋体"/>
                <w:color w:val="auto"/>
                <w:szCs w:val="21"/>
                <w:highlight w:val="none"/>
              </w:rPr>
              <w:t>9.小辅助台1件</w:t>
            </w:r>
          </w:p>
          <w:p w14:paraId="7B0556B6">
            <w:pPr>
              <w:tabs>
                <w:tab w:val="left" w:pos="3348"/>
                <w:tab w:val="left" w:pos="4860"/>
              </w:tabs>
              <w:spacing w:after="50" w:line="360" w:lineRule="auto"/>
              <w:jc w:val="left"/>
              <w:rPr>
                <w:rFonts w:ascii="宋体" w:hAnsi="宋体" w:cs="宋体"/>
                <w:color w:val="auto"/>
                <w:szCs w:val="21"/>
                <w:highlight w:val="none"/>
              </w:rPr>
            </w:pPr>
            <w:r>
              <w:rPr>
                <w:rFonts w:hint="eastAsia" w:ascii="宋体" w:hAnsi="宋体" w:cs="宋体"/>
                <w:color w:val="auto"/>
                <w:szCs w:val="21"/>
                <w:highlight w:val="none"/>
              </w:rPr>
              <w:t>10.自由体位扶手杆1套</w:t>
            </w:r>
          </w:p>
          <w:p w14:paraId="180779AC">
            <w:pPr>
              <w:tabs>
                <w:tab w:val="left" w:pos="3348"/>
                <w:tab w:val="left" w:pos="4860"/>
              </w:tabs>
              <w:spacing w:after="50" w:line="360" w:lineRule="auto"/>
              <w:jc w:val="left"/>
              <w:rPr>
                <w:rFonts w:ascii="宋体" w:hAnsi="宋体" w:cs="宋体"/>
                <w:color w:val="auto"/>
                <w:szCs w:val="21"/>
                <w:highlight w:val="none"/>
              </w:rPr>
            </w:pPr>
            <w:r>
              <w:rPr>
                <w:rFonts w:hint="eastAsia" w:ascii="宋体" w:hAnsi="宋体" w:cs="宋体"/>
                <w:color w:val="auto"/>
                <w:szCs w:val="21"/>
                <w:highlight w:val="none"/>
              </w:rPr>
              <w:t>11.随机配件、说明书等</w:t>
            </w:r>
            <w:r>
              <w:rPr>
                <w:rFonts w:hint="eastAsia" w:ascii="宋体" w:hAnsi="宋体" w:cs="宋体"/>
                <w:color w:val="auto"/>
                <w:kern w:val="0"/>
                <w:szCs w:val="21"/>
                <w:highlight w:val="none"/>
              </w:rPr>
              <w:t>配套物品</w:t>
            </w:r>
            <w:r>
              <w:rPr>
                <w:rFonts w:hint="eastAsia" w:ascii="宋体" w:hAnsi="宋体" w:cs="宋体"/>
                <w:color w:val="auto"/>
                <w:szCs w:val="21"/>
                <w:highlight w:val="none"/>
              </w:rPr>
              <w:t xml:space="preserve"> 1套。</w:t>
            </w:r>
          </w:p>
          <w:p w14:paraId="7FD9D837">
            <w:pPr>
              <w:tabs>
                <w:tab w:val="left" w:pos="3348"/>
                <w:tab w:val="left" w:pos="4860"/>
              </w:tabs>
              <w:spacing w:after="50" w:line="360" w:lineRule="auto"/>
              <w:jc w:val="left"/>
              <w:rPr>
                <w:rFonts w:ascii="宋体" w:hAnsi="宋体" w:cs="宋体"/>
                <w:color w:val="auto"/>
                <w:szCs w:val="21"/>
                <w:highlight w:val="none"/>
              </w:rPr>
            </w:pPr>
            <w:r>
              <w:rPr>
                <w:rFonts w:hint="eastAsia" w:hAnsi="宋体" w:cs="宋体"/>
                <w:b/>
                <w:color w:val="auto"/>
                <w:szCs w:val="21"/>
                <w:highlight w:val="none"/>
              </w:rPr>
              <w:t>▲</w:t>
            </w:r>
            <w:r>
              <w:rPr>
                <w:rFonts w:hint="eastAsia" w:hAnsi="宋体" w:cs="宋体"/>
                <w:color w:val="auto"/>
                <w:szCs w:val="21"/>
                <w:highlight w:val="none"/>
              </w:rPr>
              <w:t>三、</w:t>
            </w:r>
            <w:r>
              <w:rPr>
                <w:rFonts w:hint="eastAsia" w:ascii="宋体" w:hAnsi="宋体" w:cs="宋体"/>
                <w:color w:val="auto"/>
                <w:szCs w:val="21"/>
                <w:highlight w:val="none"/>
              </w:rPr>
              <w:t>本项货物特殊质保期要求：</w:t>
            </w:r>
            <w:r>
              <w:rPr>
                <w:rFonts w:hint="eastAsia" w:ascii="宋体" w:hAnsi="宋体" w:cs="宋体"/>
                <w:color w:val="auto"/>
                <w:kern w:val="0"/>
                <w:szCs w:val="21"/>
                <w:highlight w:val="none"/>
                <w:lang w:bidi="ar"/>
              </w:rPr>
              <w:t>按国家有关产品三包规定执行“三包”，质保期：整机（含配件）质保期不少于3年。</w:t>
            </w:r>
          </w:p>
        </w:tc>
      </w:tr>
      <w:tr w14:paraId="45A80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5FD12F2B">
            <w:pPr>
              <w:numPr>
                <w:ilvl w:val="0"/>
                <w:numId w:val="3"/>
              </w:numPr>
              <w:snapToGrid w:val="0"/>
              <w:spacing w:line="360" w:lineRule="auto"/>
              <w:jc w:val="center"/>
              <w:rPr>
                <w:rFonts w:ascii="宋体" w:hAnsi="宋体" w:cs="宋体"/>
                <w:color w:val="auto"/>
                <w:szCs w:val="21"/>
                <w:highlight w:val="none"/>
              </w:rPr>
            </w:pPr>
          </w:p>
        </w:tc>
        <w:tc>
          <w:tcPr>
            <w:tcW w:w="989" w:type="dxa"/>
            <w:vAlign w:val="center"/>
          </w:tcPr>
          <w:p w14:paraId="711EECC3">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微量注射泵（三通道）</w:t>
            </w:r>
          </w:p>
        </w:tc>
        <w:tc>
          <w:tcPr>
            <w:tcW w:w="1338" w:type="dxa"/>
            <w:tcBorders>
              <w:right w:val="single" w:color="auto" w:sz="4" w:space="0"/>
            </w:tcBorders>
            <w:vAlign w:val="center"/>
          </w:tcPr>
          <w:p w14:paraId="09585FF8">
            <w:pPr>
              <w:widowControl/>
              <w:jc w:val="center"/>
              <w:textAlignment w:val="bottom"/>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1.2</w:t>
            </w:r>
          </w:p>
        </w:tc>
        <w:tc>
          <w:tcPr>
            <w:tcW w:w="937" w:type="dxa"/>
            <w:tcBorders>
              <w:right w:val="single" w:color="auto" w:sz="4" w:space="0"/>
            </w:tcBorders>
            <w:vAlign w:val="center"/>
          </w:tcPr>
          <w:p w14:paraId="6EB524E2">
            <w:pPr>
              <w:widowControl/>
              <w:spacing w:line="360" w:lineRule="auto"/>
              <w:jc w:val="center"/>
              <w:textAlignment w:val="bottom"/>
              <w:rPr>
                <w:rFonts w:ascii="宋体" w:hAnsi="宋体" w:cs="宋体"/>
                <w:color w:val="auto"/>
                <w:szCs w:val="21"/>
                <w:highlight w:val="none"/>
              </w:rPr>
            </w:pPr>
            <w:r>
              <w:rPr>
                <w:rFonts w:hint="eastAsia" w:ascii="宋体" w:hAnsi="宋体" w:cs="宋体"/>
                <w:color w:val="auto"/>
                <w:kern w:val="0"/>
                <w:szCs w:val="21"/>
                <w:highlight w:val="none"/>
                <w:lang w:bidi="ar"/>
              </w:rPr>
              <w:t>3套</w:t>
            </w:r>
          </w:p>
        </w:tc>
        <w:tc>
          <w:tcPr>
            <w:tcW w:w="5944" w:type="dxa"/>
            <w:tcBorders>
              <w:left w:val="single" w:color="auto" w:sz="4" w:space="0"/>
            </w:tcBorders>
            <w:shd w:val="clear" w:color="auto" w:fill="auto"/>
            <w:vAlign w:val="center"/>
          </w:tcPr>
          <w:p w14:paraId="35A2A51E">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一</w:t>
            </w:r>
            <w:r>
              <w:rPr>
                <w:rFonts w:hint="eastAsia"/>
                <w:color w:val="auto"/>
                <w:szCs w:val="21"/>
                <w:highlight w:val="none"/>
              </w:rPr>
              <w:t>、</w:t>
            </w:r>
            <w:r>
              <w:rPr>
                <w:rFonts w:hint="eastAsia" w:ascii="宋体" w:hAnsi="宋体" w:cs="宋体"/>
                <w:b/>
                <w:bCs/>
                <w:color w:val="auto"/>
                <w:szCs w:val="21"/>
                <w:highlight w:val="none"/>
              </w:rPr>
              <w:t>技术参数</w:t>
            </w:r>
          </w:p>
          <w:p w14:paraId="3E14D4E3">
            <w:pPr>
              <w:spacing w:line="360" w:lineRule="auto"/>
              <w:rPr>
                <w:rFonts w:ascii="宋体" w:hAnsi="宋体" w:cs="宋体"/>
                <w:color w:val="auto"/>
                <w:szCs w:val="21"/>
                <w:highlight w:val="none"/>
              </w:rPr>
            </w:pPr>
            <w:r>
              <w:rPr>
                <w:rFonts w:hint="eastAsia" w:ascii="宋体" w:hAnsi="宋体" w:cs="宋体"/>
                <w:color w:val="auto"/>
                <w:szCs w:val="21"/>
                <w:highlight w:val="none"/>
              </w:rPr>
              <w:t>1.自由叠加式三通道组合注射泵</w:t>
            </w:r>
          </w:p>
          <w:p w14:paraId="3A23D2C7">
            <w:pPr>
              <w:spacing w:line="360" w:lineRule="auto"/>
              <w:rPr>
                <w:rFonts w:ascii="宋体" w:hAnsi="宋体" w:cs="宋体"/>
                <w:color w:val="auto"/>
                <w:szCs w:val="21"/>
                <w:highlight w:val="none"/>
              </w:rPr>
            </w:pPr>
            <w:r>
              <w:rPr>
                <w:rFonts w:hint="eastAsia" w:ascii="宋体" w:hAnsi="宋体" w:cs="宋体"/>
                <w:color w:val="auto"/>
                <w:szCs w:val="21"/>
                <w:highlight w:val="none"/>
              </w:rPr>
              <w:t>▲2.同屏可显示：当前时间、床位号、注射器规格、注射器品牌、注射流速、 注射预置量、注射累积量、剩余时间、剩余注射量、并显示实时动态压力检测</w:t>
            </w:r>
          </w:p>
          <w:p w14:paraId="7987DB12">
            <w:pPr>
              <w:spacing w:line="360" w:lineRule="auto"/>
              <w:rPr>
                <w:rFonts w:ascii="宋体" w:hAnsi="宋体" w:cs="宋体"/>
                <w:color w:val="auto"/>
                <w:szCs w:val="21"/>
                <w:highlight w:val="none"/>
              </w:rPr>
            </w:pPr>
            <w:r>
              <w:rPr>
                <w:rFonts w:hint="eastAsia" w:ascii="宋体" w:hAnsi="宋体" w:cs="宋体"/>
                <w:color w:val="auto"/>
                <w:szCs w:val="21"/>
                <w:highlight w:val="none"/>
              </w:rPr>
              <w:t>3.在线滴定功能：安全不中断输液而更改速率</w:t>
            </w:r>
          </w:p>
          <w:p w14:paraId="2E5B7D90">
            <w:pPr>
              <w:spacing w:line="360" w:lineRule="auto"/>
              <w:rPr>
                <w:rFonts w:ascii="宋体" w:hAnsi="宋体" w:cs="宋体"/>
                <w:color w:val="auto"/>
                <w:szCs w:val="21"/>
                <w:highlight w:val="none"/>
              </w:rPr>
            </w:pPr>
            <w:r>
              <w:rPr>
                <w:rFonts w:hint="eastAsia" w:ascii="宋体" w:hAnsi="宋体" w:cs="宋体"/>
                <w:color w:val="auto"/>
                <w:szCs w:val="21"/>
                <w:highlight w:val="none"/>
              </w:rPr>
              <w:t>▲4.泵内标配内置无线模块，支持无线传输数据</w:t>
            </w:r>
          </w:p>
          <w:p w14:paraId="10BC0F88">
            <w:pPr>
              <w:spacing w:line="360" w:lineRule="auto"/>
              <w:rPr>
                <w:rFonts w:ascii="宋体" w:hAnsi="宋体" w:cs="宋体"/>
                <w:color w:val="auto"/>
                <w:szCs w:val="21"/>
                <w:highlight w:val="none"/>
              </w:rPr>
            </w:pPr>
            <w:r>
              <w:rPr>
                <w:rFonts w:hint="eastAsia" w:ascii="宋体" w:hAnsi="宋体" w:cs="宋体"/>
                <w:color w:val="auto"/>
                <w:szCs w:val="21"/>
                <w:highlight w:val="none"/>
              </w:rPr>
              <w:t>5.当管路阻塞报警时，具备自动回撤管路压力</w:t>
            </w:r>
          </w:p>
          <w:p w14:paraId="22B00D82">
            <w:pPr>
              <w:spacing w:line="360" w:lineRule="auto"/>
              <w:rPr>
                <w:rFonts w:ascii="宋体" w:hAnsi="宋体" w:cs="宋体"/>
                <w:color w:val="auto"/>
                <w:szCs w:val="21"/>
                <w:highlight w:val="none"/>
              </w:rPr>
            </w:pPr>
            <w:r>
              <w:rPr>
                <w:rFonts w:hint="eastAsia" w:ascii="宋体" w:hAnsi="宋体" w:cs="宋体"/>
                <w:color w:val="auto"/>
                <w:szCs w:val="21"/>
                <w:highlight w:val="none"/>
              </w:rPr>
              <w:t>6.具备压力平衡功能</w:t>
            </w:r>
          </w:p>
          <w:p w14:paraId="2211C027">
            <w:pPr>
              <w:spacing w:line="360" w:lineRule="auto"/>
              <w:rPr>
                <w:rFonts w:ascii="宋体" w:hAnsi="宋体" w:cs="宋体"/>
                <w:color w:val="auto"/>
                <w:szCs w:val="21"/>
                <w:highlight w:val="none"/>
              </w:rPr>
            </w:pPr>
            <w:r>
              <w:rPr>
                <w:rFonts w:hint="eastAsia" w:ascii="宋体" w:hAnsi="宋体" w:cs="宋体"/>
                <w:color w:val="auto"/>
                <w:szCs w:val="21"/>
                <w:highlight w:val="none"/>
              </w:rPr>
              <w:t>7.插拔式锂电池</w:t>
            </w:r>
          </w:p>
          <w:p w14:paraId="09D2F86F">
            <w:pPr>
              <w:spacing w:line="360" w:lineRule="auto"/>
              <w:rPr>
                <w:rFonts w:ascii="宋体" w:hAnsi="宋体" w:cs="宋体"/>
                <w:color w:val="auto"/>
                <w:szCs w:val="21"/>
                <w:highlight w:val="none"/>
              </w:rPr>
            </w:pPr>
            <w:r>
              <w:rPr>
                <w:rFonts w:hint="eastAsia" w:ascii="宋体" w:hAnsi="宋体" w:cs="宋体"/>
                <w:color w:val="auto"/>
                <w:szCs w:val="21"/>
                <w:highlight w:val="none"/>
              </w:rPr>
              <w:t>8.声，光，色三重报警，报警等级要求以不同的声光色进行直观区分，中文信息显示</w:t>
            </w:r>
          </w:p>
          <w:p w14:paraId="35C9B69A">
            <w:pPr>
              <w:spacing w:line="360" w:lineRule="auto"/>
              <w:rPr>
                <w:rFonts w:ascii="宋体" w:hAnsi="宋体" w:cs="宋体"/>
                <w:color w:val="auto"/>
                <w:szCs w:val="21"/>
                <w:highlight w:val="none"/>
              </w:rPr>
            </w:pPr>
            <w:r>
              <w:rPr>
                <w:rFonts w:hint="eastAsia" w:ascii="宋体" w:hAnsi="宋体" w:cs="宋体"/>
                <w:color w:val="auto"/>
                <w:szCs w:val="21"/>
                <w:highlight w:val="none"/>
              </w:rPr>
              <w:t>9.快速安装：支持横竖杆</w:t>
            </w:r>
          </w:p>
          <w:p w14:paraId="159C8FF0">
            <w:pPr>
              <w:spacing w:line="360" w:lineRule="auto"/>
              <w:rPr>
                <w:rFonts w:ascii="宋体" w:hAnsi="宋体" w:cs="宋体"/>
                <w:color w:val="auto"/>
                <w:szCs w:val="21"/>
                <w:highlight w:val="none"/>
              </w:rPr>
            </w:pPr>
            <w:r>
              <w:rPr>
                <w:rFonts w:hint="eastAsia" w:ascii="宋体" w:hAnsi="宋体" w:cs="宋体"/>
                <w:color w:val="auto"/>
                <w:szCs w:val="21"/>
                <w:highlight w:val="none"/>
              </w:rPr>
              <w:t>10.注射器规格：可自动识别 2mL、5mL、10mL、15mL、20mL、30mL、50/60mL等规格注射器</w:t>
            </w:r>
          </w:p>
          <w:p w14:paraId="6E894E70">
            <w:pPr>
              <w:spacing w:line="360" w:lineRule="auto"/>
              <w:rPr>
                <w:rFonts w:ascii="宋体" w:hAnsi="宋体" w:cs="宋体"/>
                <w:color w:val="auto"/>
                <w:szCs w:val="21"/>
                <w:highlight w:val="none"/>
              </w:rPr>
            </w:pPr>
            <w:r>
              <w:rPr>
                <w:rFonts w:hint="eastAsia" w:ascii="宋体" w:hAnsi="宋体" w:cs="宋体"/>
                <w:color w:val="auto"/>
                <w:szCs w:val="21"/>
                <w:highlight w:val="none"/>
              </w:rPr>
              <w:t>11.预置范围：0.01-9999.99mL，最小步进数 0.01ml</w:t>
            </w:r>
          </w:p>
          <w:p w14:paraId="76C64205">
            <w:pPr>
              <w:spacing w:line="360" w:lineRule="auto"/>
              <w:rPr>
                <w:rFonts w:ascii="宋体" w:hAnsi="宋体" w:cs="宋体"/>
                <w:color w:val="auto"/>
                <w:szCs w:val="21"/>
                <w:highlight w:val="none"/>
              </w:rPr>
            </w:pPr>
            <w:r>
              <w:rPr>
                <w:rFonts w:hint="eastAsia" w:ascii="宋体" w:hAnsi="宋体" w:cs="宋体"/>
                <w:color w:val="auto"/>
                <w:szCs w:val="21"/>
                <w:highlight w:val="none"/>
              </w:rPr>
              <w:t>▲12.注射速度：</w:t>
            </w:r>
          </w:p>
          <w:p w14:paraId="1A79A547">
            <w:pPr>
              <w:spacing w:line="360" w:lineRule="auto"/>
              <w:rPr>
                <w:rFonts w:ascii="宋体" w:hAnsi="宋体" w:cs="宋体"/>
                <w:color w:val="auto"/>
                <w:szCs w:val="21"/>
                <w:highlight w:val="none"/>
              </w:rPr>
            </w:pPr>
            <w:r>
              <w:rPr>
                <w:rFonts w:hint="eastAsia" w:ascii="宋体" w:hAnsi="宋体" w:cs="宋体"/>
                <w:color w:val="auto"/>
                <w:szCs w:val="21"/>
                <w:highlight w:val="none"/>
              </w:rPr>
              <w:t>2ml 注射器：0.01-100mL/h</w:t>
            </w:r>
          </w:p>
          <w:p w14:paraId="5A790BF1">
            <w:pPr>
              <w:spacing w:line="360" w:lineRule="auto"/>
              <w:rPr>
                <w:rFonts w:ascii="宋体" w:hAnsi="宋体" w:cs="宋体"/>
                <w:color w:val="auto"/>
                <w:szCs w:val="21"/>
                <w:highlight w:val="none"/>
              </w:rPr>
            </w:pPr>
            <w:r>
              <w:rPr>
                <w:rFonts w:hint="eastAsia" w:ascii="宋体" w:hAnsi="宋体" w:cs="宋体"/>
                <w:color w:val="auto"/>
                <w:szCs w:val="21"/>
                <w:highlight w:val="none"/>
              </w:rPr>
              <w:t>5mL 注射器：0.01-150mL/h</w:t>
            </w:r>
          </w:p>
          <w:p w14:paraId="39FB2AD3">
            <w:pPr>
              <w:spacing w:line="360" w:lineRule="auto"/>
              <w:rPr>
                <w:rFonts w:ascii="宋体" w:hAnsi="宋体" w:cs="宋体"/>
                <w:color w:val="auto"/>
                <w:szCs w:val="21"/>
                <w:highlight w:val="none"/>
              </w:rPr>
            </w:pPr>
            <w:r>
              <w:rPr>
                <w:rFonts w:hint="eastAsia" w:ascii="宋体" w:hAnsi="宋体" w:cs="宋体"/>
                <w:color w:val="auto"/>
                <w:szCs w:val="21"/>
                <w:highlight w:val="none"/>
              </w:rPr>
              <w:t>10mL 注射器：0.01-400mL/h</w:t>
            </w:r>
          </w:p>
          <w:p w14:paraId="0DB74695">
            <w:pPr>
              <w:spacing w:line="360" w:lineRule="auto"/>
              <w:rPr>
                <w:rFonts w:ascii="宋体" w:hAnsi="宋体" w:cs="宋体"/>
                <w:color w:val="auto"/>
                <w:szCs w:val="21"/>
                <w:highlight w:val="none"/>
              </w:rPr>
            </w:pPr>
            <w:r>
              <w:rPr>
                <w:rFonts w:hint="eastAsia" w:ascii="宋体" w:hAnsi="宋体" w:cs="宋体"/>
                <w:color w:val="auto"/>
                <w:szCs w:val="21"/>
                <w:highlight w:val="none"/>
              </w:rPr>
              <w:t>15mL注射器：0.01-500mL/h</w:t>
            </w:r>
          </w:p>
          <w:p w14:paraId="0233F8CA">
            <w:pPr>
              <w:spacing w:line="360" w:lineRule="auto"/>
              <w:rPr>
                <w:rFonts w:ascii="宋体" w:hAnsi="宋体" w:cs="宋体"/>
                <w:color w:val="auto"/>
                <w:szCs w:val="21"/>
                <w:highlight w:val="none"/>
              </w:rPr>
            </w:pPr>
            <w:r>
              <w:rPr>
                <w:rFonts w:hint="eastAsia" w:ascii="宋体" w:hAnsi="宋体" w:cs="宋体"/>
                <w:color w:val="auto"/>
                <w:szCs w:val="21"/>
                <w:highlight w:val="none"/>
              </w:rPr>
              <w:t>20mL 注射器：0.01-600mL/h</w:t>
            </w:r>
          </w:p>
          <w:p w14:paraId="0CDED38E">
            <w:pPr>
              <w:spacing w:line="360" w:lineRule="auto"/>
              <w:rPr>
                <w:rFonts w:ascii="宋体" w:hAnsi="宋体" w:cs="宋体"/>
                <w:color w:val="auto"/>
                <w:szCs w:val="21"/>
                <w:highlight w:val="none"/>
              </w:rPr>
            </w:pPr>
            <w:r>
              <w:rPr>
                <w:rFonts w:hint="eastAsia" w:ascii="宋体" w:hAnsi="宋体" w:cs="宋体"/>
                <w:color w:val="auto"/>
                <w:szCs w:val="21"/>
                <w:highlight w:val="none"/>
              </w:rPr>
              <w:t>30mL 注射器：0.01-1000mL/h</w:t>
            </w:r>
          </w:p>
          <w:p w14:paraId="7F39A3B1">
            <w:pPr>
              <w:spacing w:line="360" w:lineRule="auto"/>
              <w:rPr>
                <w:rFonts w:ascii="宋体" w:hAnsi="宋体" w:cs="宋体"/>
                <w:color w:val="auto"/>
                <w:szCs w:val="21"/>
                <w:highlight w:val="none"/>
              </w:rPr>
            </w:pPr>
            <w:r>
              <w:rPr>
                <w:rFonts w:hint="eastAsia" w:ascii="宋体" w:hAnsi="宋体" w:cs="宋体"/>
                <w:color w:val="auto"/>
                <w:szCs w:val="21"/>
                <w:highlight w:val="none"/>
              </w:rPr>
              <w:t>50/60mL 注射器：0.01-2100mL/h</w:t>
            </w:r>
          </w:p>
          <w:p w14:paraId="515E8D04">
            <w:pPr>
              <w:spacing w:line="360" w:lineRule="auto"/>
              <w:rPr>
                <w:rFonts w:ascii="宋体" w:hAnsi="宋体" w:cs="宋体"/>
                <w:color w:val="auto"/>
                <w:szCs w:val="21"/>
                <w:highlight w:val="none"/>
              </w:rPr>
            </w:pPr>
            <w:r>
              <w:rPr>
                <w:rFonts w:hint="eastAsia" w:ascii="宋体" w:hAnsi="宋体" w:cs="宋体"/>
                <w:color w:val="auto"/>
                <w:szCs w:val="21"/>
                <w:highlight w:val="none"/>
              </w:rPr>
              <w:t>13.注射精度：±2%（机械精度±1%）</w:t>
            </w:r>
          </w:p>
          <w:p w14:paraId="4F5D0182">
            <w:pPr>
              <w:spacing w:line="360" w:lineRule="auto"/>
              <w:rPr>
                <w:rFonts w:ascii="宋体" w:hAnsi="宋体" w:cs="宋体"/>
                <w:color w:val="auto"/>
                <w:szCs w:val="21"/>
                <w:highlight w:val="none"/>
              </w:rPr>
            </w:pPr>
            <w:r>
              <w:rPr>
                <w:rFonts w:hint="eastAsia" w:ascii="宋体" w:hAnsi="宋体" w:cs="宋体"/>
                <w:color w:val="auto"/>
                <w:szCs w:val="21"/>
                <w:highlight w:val="none"/>
              </w:rPr>
              <w:t>▲14.具有快推功能： 1-2100mL/h连续可调</w:t>
            </w:r>
          </w:p>
          <w:p w14:paraId="58589AF9">
            <w:pPr>
              <w:spacing w:line="360" w:lineRule="auto"/>
              <w:rPr>
                <w:rFonts w:ascii="宋体" w:hAnsi="宋体" w:cs="宋体"/>
                <w:color w:val="auto"/>
                <w:szCs w:val="21"/>
                <w:highlight w:val="none"/>
              </w:rPr>
            </w:pPr>
            <w:r>
              <w:rPr>
                <w:rFonts w:hint="eastAsia" w:ascii="宋体" w:hAnsi="宋体" w:cs="宋体"/>
                <w:color w:val="auto"/>
                <w:szCs w:val="21"/>
                <w:highlight w:val="none"/>
              </w:rPr>
              <w:t>15.≥六种注射模式：</w:t>
            </w:r>
          </w:p>
          <w:p w14:paraId="3FDADC95">
            <w:pPr>
              <w:spacing w:line="360" w:lineRule="auto"/>
              <w:rPr>
                <w:rFonts w:ascii="宋体" w:hAnsi="宋体" w:cs="宋体"/>
                <w:color w:val="auto"/>
                <w:szCs w:val="21"/>
                <w:highlight w:val="none"/>
              </w:rPr>
            </w:pPr>
            <w:r>
              <w:rPr>
                <w:rFonts w:hint="eastAsia" w:ascii="宋体" w:hAnsi="宋体" w:cs="宋体"/>
                <w:color w:val="auto"/>
                <w:szCs w:val="21"/>
                <w:highlight w:val="none"/>
              </w:rPr>
              <w:t>速度模式、速度-时间模式、速度-总量模式、时间-总量模式、药库模式、体重模式</w:t>
            </w:r>
          </w:p>
          <w:p w14:paraId="65A3B976">
            <w:pPr>
              <w:spacing w:line="360" w:lineRule="auto"/>
              <w:rPr>
                <w:rFonts w:ascii="宋体" w:hAnsi="宋体" w:cs="宋体"/>
                <w:color w:val="auto"/>
                <w:szCs w:val="21"/>
                <w:highlight w:val="none"/>
              </w:rPr>
            </w:pPr>
            <w:r>
              <w:rPr>
                <w:rFonts w:hint="eastAsia" w:ascii="宋体" w:hAnsi="宋体" w:cs="宋体"/>
                <w:color w:val="auto"/>
                <w:szCs w:val="21"/>
                <w:highlight w:val="none"/>
              </w:rPr>
              <w:t>16.KVO 速率：</w:t>
            </w:r>
          </w:p>
          <w:p w14:paraId="5B121D85">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输液速度≥10mL/h，KVO 速率 3mL/h </w:t>
            </w:r>
          </w:p>
          <w:p w14:paraId="784213E1">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输液速度≥1mL/h 且&lt;10mL/h，KVO 速率 1mL/h </w:t>
            </w:r>
          </w:p>
          <w:p w14:paraId="4E6288C0">
            <w:pPr>
              <w:spacing w:line="360" w:lineRule="auto"/>
              <w:rPr>
                <w:rFonts w:ascii="宋体" w:hAnsi="宋体" w:cs="宋体"/>
                <w:color w:val="auto"/>
                <w:szCs w:val="21"/>
                <w:highlight w:val="none"/>
              </w:rPr>
            </w:pPr>
            <w:r>
              <w:rPr>
                <w:rFonts w:hint="eastAsia" w:ascii="宋体" w:hAnsi="宋体" w:cs="宋体"/>
                <w:color w:val="auto"/>
                <w:szCs w:val="21"/>
                <w:highlight w:val="none"/>
              </w:rPr>
              <w:t>输液速度&lt;1mL/h，KVO 速率=设定的速率</w:t>
            </w:r>
          </w:p>
          <w:p w14:paraId="298674F2">
            <w:pPr>
              <w:spacing w:line="360" w:lineRule="auto"/>
              <w:rPr>
                <w:rFonts w:ascii="宋体" w:hAnsi="宋体" w:cs="宋体"/>
                <w:color w:val="auto"/>
                <w:szCs w:val="21"/>
                <w:highlight w:val="none"/>
              </w:rPr>
            </w:pPr>
            <w:r>
              <w:rPr>
                <w:rFonts w:hint="eastAsia" w:ascii="宋体" w:hAnsi="宋体" w:cs="宋体"/>
                <w:color w:val="auto"/>
                <w:szCs w:val="21"/>
                <w:highlight w:val="none"/>
              </w:rPr>
              <w:t>17.报警功能：规格错误、推柄错误、阻塞、输注完成、电池耗尽、电池/网电 同时断开、电机故障、通讯故障、内电通讯故障、暂停超时、内部电池欠压、接近完成</w:t>
            </w:r>
          </w:p>
          <w:p w14:paraId="3470EE5F">
            <w:pPr>
              <w:spacing w:line="360" w:lineRule="auto"/>
              <w:rPr>
                <w:rFonts w:ascii="宋体" w:hAnsi="宋体" w:cs="宋体"/>
                <w:color w:val="auto"/>
                <w:szCs w:val="21"/>
                <w:highlight w:val="none"/>
              </w:rPr>
            </w:pPr>
            <w:r>
              <w:rPr>
                <w:rFonts w:hint="eastAsia" w:ascii="宋体" w:hAnsi="宋体" w:cs="宋体"/>
                <w:color w:val="auto"/>
                <w:szCs w:val="21"/>
                <w:highlight w:val="none"/>
              </w:rPr>
              <w:t>18.阻塞报警值：最高 130kpa±30kpa，最低 26kpa±20kpa，9 档可调</w:t>
            </w:r>
          </w:p>
          <w:p w14:paraId="5129090D">
            <w:pPr>
              <w:spacing w:line="360" w:lineRule="auto"/>
              <w:rPr>
                <w:rFonts w:ascii="宋体" w:hAnsi="宋体" w:cs="宋体"/>
                <w:color w:val="auto"/>
                <w:szCs w:val="21"/>
                <w:highlight w:val="none"/>
              </w:rPr>
            </w:pPr>
            <w:r>
              <w:rPr>
                <w:rFonts w:hint="eastAsia" w:ascii="宋体" w:hAnsi="宋体" w:cs="宋体"/>
                <w:color w:val="auto"/>
                <w:szCs w:val="21"/>
                <w:highlight w:val="none"/>
              </w:rPr>
              <w:t>19.内置电池一次充足电后，设定30mL/h注射流速，可连续工作≥5小时</w:t>
            </w:r>
          </w:p>
          <w:p w14:paraId="585CE364">
            <w:pPr>
              <w:spacing w:line="360" w:lineRule="auto"/>
              <w:rPr>
                <w:rFonts w:ascii="宋体" w:hAnsi="宋体" w:cs="宋体"/>
                <w:color w:val="auto"/>
                <w:szCs w:val="21"/>
                <w:highlight w:val="none"/>
              </w:rPr>
            </w:pPr>
            <w:r>
              <w:rPr>
                <w:rFonts w:hint="eastAsia" w:ascii="宋体" w:hAnsi="宋体" w:cs="宋体"/>
                <w:color w:val="auto"/>
                <w:szCs w:val="21"/>
                <w:highlight w:val="none"/>
              </w:rPr>
              <w:t>20.设计使用年限≥10年。</w:t>
            </w:r>
          </w:p>
          <w:p w14:paraId="7AA3B912">
            <w:pPr>
              <w:spacing w:line="360" w:lineRule="auto"/>
              <w:rPr>
                <w:rFonts w:ascii="宋体" w:hAnsi="宋体" w:cs="宋体"/>
                <w:b/>
                <w:bCs/>
                <w:color w:val="auto"/>
                <w:szCs w:val="21"/>
                <w:highlight w:val="none"/>
              </w:rPr>
            </w:pPr>
            <w:r>
              <w:rPr>
                <w:rFonts w:hint="eastAsia" w:ascii="宋体" w:hAnsi="宋体" w:cs="宋体"/>
                <w:b/>
                <w:color w:val="auto"/>
                <w:szCs w:val="21"/>
                <w:highlight w:val="none"/>
              </w:rPr>
              <w:t>▲</w:t>
            </w:r>
            <w:r>
              <w:rPr>
                <w:rFonts w:hint="eastAsia" w:ascii="宋体" w:hAnsi="宋体" w:cs="宋体"/>
                <w:b/>
                <w:bCs/>
                <w:color w:val="auto"/>
                <w:szCs w:val="21"/>
                <w:highlight w:val="none"/>
              </w:rPr>
              <w:t>二、配置清单</w:t>
            </w:r>
          </w:p>
          <w:p w14:paraId="02C31192">
            <w:pPr>
              <w:spacing w:line="360" w:lineRule="auto"/>
              <w:rPr>
                <w:rFonts w:ascii="宋体" w:hAnsi="宋体" w:cs="宋体"/>
                <w:color w:val="auto"/>
                <w:szCs w:val="21"/>
                <w:highlight w:val="none"/>
              </w:rPr>
            </w:pPr>
            <w:r>
              <w:rPr>
                <w:rFonts w:hint="eastAsia" w:ascii="宋体" w:hAnsi="宋体" w:cs="宋体"/>
                <w:color w:val="auto"/>
                <w:szCs w:val="21"/>
                <w:highlight w:val="none"/>
              </w:rPr>
              <w:t>1.注射泵（三通道）3套。</w:t>
            </w:r>
          </w:p>
          <w:p w14:paraId="480DFC59">
            <w:pPr>
              <w:spacing w:line="360" w:lineRule="auto"/>
              <w:rPr>
                <w:rFonts w:ascii="宋体" w:hAnsi="宋体" w:cs="宋体"/>
                <w:color w:val="auto"/>
                <w:szCs w:val="21"/>
                <w:highlight w:val="none"/>
              </w:rPr>
            </w:pPr>
            <w:r>
              <w:rPr>
                <w:rFonts w:hint="eastAsia" w:ascii="宋体" w:hAnsi="宋体" w:cs="宋体"/>
                <w:color w:val="auto"/>
                <w:szCs w:val="21"/>
                <w:highlight w:val="none"/>
              </w:rPr>
              <w:t>2.电源适配器3套。</w:t>
            </w:r>
          </w:p>
          <w:p w14:paraId="795D26D7">
            <w:pPr>
              <w:spacing w:line="360" w:lineRule="auto"/>
              <w:rPr>
                <w:rFonts w:ascii="宋体" w:hAnsi="宋体" w:cs="宋体"/>
                <w:color w:val="auto"/>
                <w:szCs w:val="21"/>
                <w:highlight w:val="none"/>
              </w:rPr>
            </w:pPr>
            <w:r>
              <w:rPr>
                <w:rFonts w:hint="eastAsia" w:ascii="宋体" w:hAnsi="宋体" w:cs="宋体"/>
                <w:color w:val="auto"/>
                <w:szCs w:val="21"/>
                <w:highlight w:val="none"/>
              </w:rPr>
              <w:t>3.固定夹、说明书等随机配件3套。</w:t>
            </w:r>
          </w:p>
          <w:p w14:paraId="4A8705E7">
            <w:pPr>
              <w:spacing w:line="360" w:lineRule="auto"/>
              <w:rPr>
                <w:rFonts w:ascii="宋体" w:hAnsi="宋体" w:cs="宋体"/>
                <w:color w:val="auto"/>
                <w:szCs w:val="21"/>
                <w:highlight w:val="none"/>
              </w:rPr>
            </w:pPr>
            <w:r>
              <w:rPr>
                <w:rFonts w:hint="eastAsia" w:hAnsi="宋体" w:cs="宋体"/>
                <w:b/>
                <w:color w:val="auto"/>
                <w:szCs w:val="21"/>
                <w:highlight w:val="none"/>
              </w:rPr>
              <w:t>▲</w:t>
            </w:r>
            <w:r>
              <w:rPr>
                <w:rFonts w:hint="eastAsia" w:hAnsi="宋体" w:cs="宋体"/>
                <w:color w:val="auto"/>
                <w:szCs w:val="21"/>
                <w:highlight w:val="none"/>
              </w:rPr>
              <w:t>三、</w:t>
            </w:r>
            <w:r>
              <w:rPr>
                <w:rFonts w:hint="eastAsia" w:ascii="宋体" w:hAnsi="宋体" w:cs="宋体"/>
                <w:color w:val="auto"/>
                <w:szCs w:val="21"/>
                <w:highlight w:val="none"/>
              </w:rPr>
              <w:t>本项货物特殊质保期要求：</w:t>
            </w:r>
            <w:r>
              <w:rPr>
                <w:rFonts w:hint="eastAsia" w:ascii="宋体" w:hAnsi="宋体" w:cs="宋体"/>
                <w:color w:val="auto"/>
                <w:kern w:val="0"/>
                <w:szCs w:val="21"/>
                <w:highlight w:val="none"/>
                <w:lang w:bidi="ar"/>
              </w:rPr>
              <w:t>按国家有关产品三包规定执行“三包”，质保期：整机（含配件）质保期不少于5年。</w:t>
            </w:r>
          </w:p>
        </w:tc>
      </w:tr>
      <w:tr w14:paraId="2BEE54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75" w:type="dxa"/>
            <w:gridSpan w:val="5"/>
            <w:tcBorders>
              <w:top w:val="single" w:color="auto" w:sz="4" w:space="0"/>
              <w:left w:val="single" w:color="auto" w:sz="4" w:space="0"/>
              <w:bottom w:val="single" w:color="auto" w:sz="4" w:space="0"/>
              <w:right w:val="single" w:color="auto" w:sz="4" w:space="0"/>
            </w:tcBorders>
          </w:tcPr>
          <w:p w14:paraId="5D2E539A">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▲一、商务要求</w:t>
            </w:r>
          </w:p>
        </w:tc>
      </w:tr>
      <w:tr w14:paraId="6FB7A8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4" w:type="dxa"/>
            <w:gridSpan w:val="3"/>
            <w:tcBorders>
              <w:top w:val="single" w:color="auto" w:sz="4" w:space="0"/>
              <w:left w:val="single" w:color="auto" w:sz="4" w:space="0"/>
              <w:bottom w:val="single" w:color="auto" w:sz="4" w:space="0"/>
              <w:right w:val="single" w:color="auto" w:sz="4" w:space="0"/>
            </w:tcBorders>
            <w:vAlign w:val="center"/>
          </w:tcPr>
          <w:p w14:paraId="74D1C95C">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交付的时间和地点</w:t>
            </w:r>
          </w:p>
        </w:tc>
        <w:tc>
          <w:tcPr>
            <w:tcW w:w="6881" w:type="dxa"/>
            <w:gridSpan w:val="2"/>
            <w:tcBorders>
              <w:top w:val="single" w:color="auto" w:sz="4" w:space="0"/>
              <w:left w:val="single" w:color="auto" w:sz="4" w:space="0"/>
              <w:bottom w:val="single" w:color="auto" w:sz="4" w:space="0"/>
              <w:right w:val="single" w:color="auto" w:sz="4" w:space="0"/>
            </w:tcBorders>
            <w:vAlign w:val="center"/>
          </w:tcPr>
          <w:p w14:paraId="265709D0">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 交付的时间：自签订合同之日起30天内完成安装、调试、培训工作。</w:t>
            </w:r>
          </w:p>
          <w:p w14:paraId="2695F0AA">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bidi="ar"/>
              </w:rPr>
              <w:t>2. 地点：广西梧州藤县人民医院内采购人指定地点。</w:t>
            </w:r>
          </w:p>
        </w:tc>
      </w:tr>
      <w:tr w14:paraId="3A56A1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4" w:type="dxa"/>
            <w:gridSpan w:val="3"/>
            <w:tcBorders>
              <w:top w:val="single" w:color="auto" w:sz="4" w:space="0"/>
              <w:left w:val="single" w:color="auto" w:sz="4" w:space="0"/>
              <w:bottom w:val="single" w:color="auto" w:sz="4" w:space="0"/>
              <w:right w:val="single" w:color="auto" w:sz="4" w:space="0"/>
            </w:tcBorders>
            <w:vAlign w:val="center"/>
          </w:tcPr>
          <w:p w14:paraId="519DF47A">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合同签订时间</w:t>
            </w:r>
          </w:p>
        </w:tc>
        <w:tc>
          <w:tcPr>
            <w:tcW w:w="6881" w:type="dxa"/>
            <w:gridSpan w:val="2"/>
            <w:tcBorders>
              <w:top w:val="single" w:color="auto" w:sz="4" w:space="0"/>
              <w:left w:val="single" w:color="auto" w:sz="4" w:space="0"/>
              <w:bottom w:val="single" w:color="auto" w:sz="4" w:space="0"/>
              <w:right w:val="single" w:color="auto" w:sz="4" w:space="0"/>
            </w:tcBorders>
            <w:vAlign w:val="center"/>
          </w:tcPr>
          <w:p w14:paraId="4F46C8D7">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发出中标通知书之日起25日内。</w:t>
            </w:r>
          </w:p>
        </w:tc>
      </w:tr>
      <w:tr w14:paraId="459CF0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4" w:type="dxa"/>
            <w:gridSpan w:val="3"/>
            <w:tcBorders>
              <w:top w:val="single" w:color="auto" w:sz="4" w:space="0"/>
              <w:left w:val="single" w:color="auto" w:sz="4" w:space="0"/>
              <w:bottom w:val="single" w:color="auto" w:sz="4" w:space="0"/>
              <w:right w:val="single" w:color="auto" w:sz="4" w:space="0"/>
            </w:tcBorders>
            <w:vAlign w:val="center"/>
          </w:tcPr>
          <w:p w14:paraId="1493F5B6">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付款条件</w:t>
            </w:r>
          </w:p>
        </w:tc>
        <w:tc>
          <w:tcPr>
            <w:tcW w:w="6881" w:type="dxa"/>
            <w:gridSpan w:val="2"/>
            <w:tcBorders>
              <w:top w:val="single" w:color="auto" w:sz="4" w:space="0"/>
              <w:left w:val="single" w:color="auto" w:sz="4" w:space="0"/>
              <w:bottom w:val="single" w:color="auto" w:sz="4" w:space="0"/>
              <w:right w:val="single" w:color="auto" w:sz="4" w:space="0"/>
            </w:tcBorders>
            <w:vAlign w:val="center"/>
          </w:tcPr>
          <w:p w14:paraId="070BC72F">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1.首期款（20%）：设备安装调试完成后，采购人及中标供应商双方共同组织验收，验收合格且中标供应商提供符合国家税务规定的全额完税发票后20个工作日内，采购人支付合同总金额20%。</w:t>
            </w:r>
          </w:p>
          <w:p w14:paraId="2228A17A">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2.分期款（75%）：验收款支付完成后，采购人自次月起，凭中标供应商的请款函分12个月向中标供应商支付合同总金额的75%，分12个月平均支付。</w:t>
            </w:r>
          </w:p>
          <w:p w14:paraId="0C9BD209">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bidi="ar"/>
              </w:rPr>
              <w:t>3.设备尾款（5%）：中标供应商完全履行合同义务且招标文件要求的货物质保期满后，采购人凭中标供应商的请款函30个工作日内无息支付尾款5%。若质保期内设备出现质量问题，中标供应商未按约定维修或更换，采购人有权从尾款中扣除相应维修费用或损失赔偿款。</w:t>
            </w:r>
          </w:p>
        </w:tc>
      </w:tr>
      <w:tr w14:paraId="20F0C8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4" w:type="dxa"/>
            <w:gridSpan w:val="3"/>
            <w:tcBorders>
              <w:top w:val="single" w:color="auto" w:sz="4" w:space="0"/>
              <w:left w:val="single" w:color="auto" w:sz="4" w:space="0"/>
              <w:bottom w:val="single" w:color="auto" w:sz="4" w:space="0"/>
              <w:right w:val="single" w:color="auto" w:sz="4" w:space="0"/>
            </w:tcBorders>
            <w:vAlign w:val="center"/>
          </w:tcPr>
          <w:p w14:paraId="46C10FF7">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产品要求</w:t>
            </w:r>
          </w:p>
        </w:tc>
        <w:tc>
          <w:tcPr>
            <w:tcW w:w="6881" w:type="dxa"/>
            <w:gridSpan w:val="2"/>
            <w:tcBorders>
              <w:top w:val="single" w:color="auto" w:sz="4" w:space="0"/>
              <w:left w:val="single" w:color="auto" w:sz="4" w:space="0"/>
              <w:bottom w:val="single" w:color="auto" w:sz="4" w:space="0"/>
              <w:right w:val="single" w:color="auto" w:sz="4" w:space="0"/>
            </w:tcBorders>
            <w:vAlign w:val="center"/>
          </w:tcPr>
          <w:p w14:paraId="3AEFF009">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1.以上产品必须是具备合法资质的制造商生产的全新未使用的原装正品（合同签订之日前6个月内生产），并满足采购文件的要求，若产品在运输或安装过程中损坏或擦伤须无条件调换相同产品。</w:t>
            </w:r>
          </w:p>
          <w:p w14:paraId="07FAAEDA">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2.供应商所投产品、辅材及生产工艺符合国家相关规范。</w:t>
            </w:r>
          </w:p>
          <w:p w14:paraId="7AF7506E">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3.供应商应保证所提供的货物或其任何一部分均不会侵犯任何第三方的专利权、商标权等，如在使用过程中出现的一切经济和法律责任均由供应商负责。</w:t>
            </w:r>
          </w:p>
          <w:p w14:paraId="6D245A47">
            <w:pPr>
              <w:widowControl/>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4.投标文件中提供产品《医疗器械注册证》复印件并加盖投标人公章，否则按投标无效处理。</w:t>
            </w:r>
          </w:p>
          <w:p w14:paraId="5352AA28">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5.投标产品名称、规格型号与《医疗器械注册证》相一致。</w:t>
            </w:r>
          </w:p>
          <w:p w14:paraId="754B23B2">
            <w:pPr>
              <w:widowControl/>
              <w:spacing w:line="360" w:lineRule="auto"/>
              <w:jc w:val="left"/>
              <w:rPr>
                <w:rFonts w:ascii="宋体" w:hAnsi="宋体" w:cs="宋体"/>
                <w:color w:val="auto"/>
                <w:szCs w:val="21"/>
                <w:highlight w:val="none"/>
              </w:rPr>
            </w:pPr>
            <w:bookmarkStart w:id="61" w:name="OLE_LINK1"/>
            <w:r>
              <w:rPr>
                <w:rFonts w:hint="eastAsia" w:ascii="宋体" w:hAnsi="宋体" w:cs="宋体"/>
                <w:b/>
                <w:bCs/>
                <w:color w:val="auto"/>
                <w:szCs w:val="21"/>
                <w:highlight w:val="none"/>
              </w:rPr>
              <w:t>6.</w:t>
            </w:r>
            <w:r>
              <w:rPr>
                <w:rFonts w:hint="eastAsia" w:ascii="宋体" w:hAnsi="宋体" w:cs="宋体"/>
                <w:b/>
                <w:bCs/>
                <w:color w:val="auto"/>
                <w:szCs w:val="21"/>
                <w:highlight w:val="none"/>
                <w:lang w:val="en-US" w:eastAsia="zh-CN"/>
              </w:rPr>
              <w:t>开标一览表中</w:t>
            </w:r>
            <w:r>
              <w:rPr>
                <w:rFonts w:hint="eastAsia" w:ascii="宋体" w:hAnsi="宋体" w:eastAsia="宋体" w:cs="宋体"/>
                <w:b/>
                <w:bCs/>
                <w:color w:val="auto"/>
                <w:szCs w:val="21"/>
                <w:highlight w:val="none"/>
                <w:lang w:val="en-US" w:eastAsia="zh-CN"/>
              </w:rPr>
              <w:t>的品牌必须与设备上标识品牌或铭牌上的品牌相一致（</w:t>
            </w:r>
            <w:r>
              <w:rPr>
                <w:rFonts w:hint="eastAsia" w:ascii="宋体" w:hAnsi="宋体" w:cs="宋体"/>
                <w:b/>
                <w:bCs/>
                <w:color w:val="auto"/>
                <w:szCs w:val="21"/>
                <w:highlight w:val="none"/>
                <w:lang w:val="en-US" w:eastAsia="zh-CN"/>
              </w:rPr>
              <w:t>投标文件中</w:t>
            </w:r>
            <w:r>
              <w:rPr>
                <w:rFonts w:hint="eastAsia" w:ascii="宋体" w:hAnsi="宋体" w:eastAsia="宋体" w:cs="宋体"/>
                <w:b/>
                <w:bCs/>
                <w:color w:val="auto"/>
                <w:szCs w:val="21"/>
                <w:highlight w:val="none"/>
                <w:lang w:val="en-US" w:eastAsia="zh-CN"/>
              </w:rPr>
              <w:t>提供设备上标识品牌或铭牌截图并加盖投标人公章</w:t>
            </w:r>
            <w:r>
              <w:rPr>
                <w:rFonts w:hint="eastAsia" w:ascii="宋体" w:hAnsi="宋体" w:cs="宋体"/>
                <w:b/>
                <w:bCs/>
                <w:color w:val="auto"/>
                <w:szCs w:val="21"/>
                <w:highlight w:val="none"/>
              </w:rPr>
              <w:t>，否则按投标无效处理</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w:t>
            </w:r>
            <w:bookmarkEnd w:id="61"/>
          </w:p>
        </w:tc>
      </w:tr>
      <w:tr w14:paraId="497999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4" w:type="dxa"/>
            <w:gridSpan w:val="3"/>
            <w:tcBorders>
              <w:top w:val="single" w:color="auto" w:sz="4" w:space="0"/>
              <w:left w:val="single" w:color="auto" w:sz="4" w:space="0"/>
              <w:bottom w:val="single" w:color="auto" w:sz="4" w:space="0"/>
              <w:right w:val="single" w:color="auto" w:sz="4" w:space="0"/>
            </w:tcBorders>
            <w:vAlign w:val="center"/>
          </w:tcPr>
          <w:p w14:paraId="62B6C81A">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质保期</w:t>
            </w:r>
          </w:p>
        </w:tc>
        <w:tc>
          <w:tcPr>
            <w:tcW w:w="6881" w:type="dxa"/>
            <w:gridSpan w:val="2"/>
            <w:tcBorders>
              <w:top w:val="single" w:color="auto" w:sz="4" w:space="0"/>
              <w:left w:val="single" w:color="auto" w:sz="4" w:space="0"/>
              <w:bottom w:val="single" w:color="auto" w:sz="4" w:space="0"/>
              <w:right w:val="single" w:color="auto" w:sz="4" w:space="0"/>
            </w:tcBorders>
            <w:vAlign w:val="center"/>
          </w:tcPr>
          <w:p w14:paraId="3C7D042F">
            <w:pPr>
              <w:widowControl/>
              <w:spacing w:line="360" w:lineRule="auto"/>
              <w:jc w:val="left"/>
              <w:rPr>
                <w:rFonts w:ascii="宋体" w:hAnsi="宋体" w:cs="宋体"/>
                <w:b/>
                <w:bCs/>
                <w:color w:val="auto"/>
                <w:szCs w:val="21"/>
                <w:highlight w:val="none"/>
              </w:rPr>
            </w:pPr>
            <w:r>
              <w:rPr>
                <w:rFonts w:hint="eastAsia" w:ascii="宋体" w:hAnsi="宋体" w:cs="宋体"/>
                <w:color w:val="auto"/>
                <w:kern w:val="0"/>
                <w:sz w:val="22"/>
                <w:szCs w:val="22"/>
                <w:highlight w:val="none"/>
                <w:lang w:bidi="ar"/>
              </w:rPr>
              <w:t>按国家有关产品三包规定执行“三包”，整机（含配件）质保期最低不少于1年。</w:t>
            </w:r>
            <w:r>
              <w:rPr>
                <w:rFonts w:hint="eastAsia" w:ascii="宋体" w:hAnsi="宋体" w:cs="宋体"/>
                <w:b/>
                <w:bCs/>
                <w:color w:val="auto"/>
                <w:kern w:val="0"/>
                <w:sz w:val="22"/>
                <w:szCs w:val="22"/>
                <w:highlight w:val="none"/>
                <w:lang w:bidi="ar"/>
              </w:rPr>
              <w:t>各设备具体质保期限要求详见其技术要求。</w:t>
            </w:r>
            <w:r>
              <w:rPr>
                <w:rFonts w:hint="eastAsia" w:ascii="宋体" w:hAnsi="宋体" w:cs="宋体"/>
                <w:color w:val="auto"/>
                <w:kern w:val="0"/>
                <w:szCs w:val="21"/>
                <w:highlight w:val="none"/>
                <w:lang w:bidi="ar"/>
              </w:rPr>
              <w:t>质保期内，厂家应每年不少于2次对设备进行维护保养，设备出现故障，须派出技术工程师到达现场处理故障，承担一切费用，并提供备用产品。质保期外不收维修费，只收零件费，并保证备件如期供应。</w:t>
            </w:r>
          </w:p>
        </w:tc>
      </w:tr>
      <w:tr w14:paraId="513AE0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4" w:type="dxa"/>
            <w:gridSpan w:val="3"/>
            <w:tcBorders>
              <w:top w:val="single" w:color="auto" w:sz="4" w:space="0"/>
              <w:left w:val="single" w:color="auto" w:sz="4" w:space="0"/>
              <w:bottom w:val="single" w:color="auto" w:sz="4" w:space="0"/>
              <w:right w:val="single" w:color="auto" w:sz="4" w:space="0"/>
            </w:tcBorders>
            <w:vAlign w:val="center"/>
          </w:tcPr>
          <w:p w14:paraId="78736C3F">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售后服务及培训要求</w:t>
            </w:r>
          </w:p>
        </w:tc>
        <w:tc>
          <w:tcPr>
            <w:tcW w:w="6881" w:type="dxa"/>
            <w:gridSpan w:val="2"/>
            <w:tcBorders>
              <w:top w:val="single" w:color="auto" w:sz="4" w:space="0"/>
              <w:left w:val="single" w:color="auto" w:sz="4" w:space="0"/>
              <w:bottom w:val="single" w:color="auto" w:sz="4" w:space="0"/>
              <w:right w:val="single" w:color="auto" w:sz="4" w:space="0"/>
            </w:tcBorders>
            <w:vAlign w:val="center"/>
          </w:tcPr>
          <w:p w14:paraId="61627B82">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1.中标供应商负责送货上门，安装调试。从通过验收即日起质保期内所有由于质量问题导致的软、硬件产品故障负责保修、人工及更换备件标准上门服务，并提供终身维护。 </w:t>
            </w:r>
          </w:p>
          <w:p w14:paraId="0D7C1986">
            <w:pPr>
              <w:spacing w:line="360" w:lineRule="auto"/>
              <w:rPr>
                <w:rFonts w:ascii="宋体" w:hAnsi="宋体" w:cs="宋体"/>
                <w:bCs/>
                <w:color w:val="auto"/>
                <w:szCs w:val="21"/>
                <w:highlight w:val="none"/>
              </w:rPr>
            </w:pPr>
            <w:r>
              <w:rPr>
                <w:rFonts w:hint="eastAsia" w:ascii="宋体" w:hAnsi="宋体" w:cs="宋体"/>
                <w:bCs/>
                <w:color w:val="auto"/>
                <w:szCs w:val="21"/>
                <w:highlight w:val="none"/>
              </w:rPr>
              <w:t>2.中标供应商或制造商须提供针对不同岗位人员的系统培训和上岗人员的操作培训，确保使用设备的所有工作人员熟练掌握，保证使用人员正常操作设备的各种功能。此项所产生的费用已包含在中标价中，不另行支付。培训内容须包括设备日常操作、工作原理、注意事项、简单故障排除、维护保养等。</w:t>
            </w:r>
          </w:p>
          <w:p w14:paraId="4E52748A">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3.技术及维修服务：中标供应商或制造商应配置技术人员，随时提供开箱验货、安装、调试或维修、系统平台接入、维护等服务。 </w:t>
            </w:r>
          </w:p>
          <w:p w14:paraId="41ABC424">
            <w:pPr>
              <w:spacing w:line="360" w:lineRule="auto"/>
              <w:rPr>
                <w:rFonts w:ascii="宋体" w:hAnsi="宋体" w:cs="宋体"/>
                <w:bCs/>
                <w:color w:val="auto"/>
                <w:szCs w:val="21"/>
                <w:highlight w:val="none"/>
              </w:rPr>
            </w:pPr>
            <w:r>
              <w:rPr>
                <w:rFonts w:hint="eastAsia" w:ascii="宋体" w:hAnsi="宋体" w:cs="宋体"/>
                <w:bCs/>
                <w:color w:val="auto"/>
                <w:szCs w:val="21"/>
                <w:highlight w:val="none"/>
              </w:rPr>
              <w:t>4.故障处理：</w:t>
            </w:r>
            <w:r>
              <w:rPr>
                <w:rFonts w:hint="eastAsia" w:ascii="宋体" w:hAnsi="宋体" w:cs="宋体"/>
                <w:color w:val="auto"/>
                <w:szCs w:val="21"/>
                <w:highlight w:val="none"/>
              </w:rPr>
              <w:t>在使用过程中若产品发生质量问题或故障，提供无条件远程诊断、维修；如需现场处理，24小时内到达故障现场处理，一般故障处理时限不超过24小时修复；重大故障处理时限不超过48小时修复；保证质保期内开机率不低于95%，即1年停机时间不超过18个日历天，若超过一个停机日历天则设备质保期顺延2天</w:t>
            </w:r>
            <w:r>
              <w:rPr>
                <w:rFonts w:hint="eastAsia" w:ascii="宋体" w:hAnsi="宋体" w:cs="宋体"/>
                <w:bCs/>
                <w:color w:val="auto"/>
                <w:szCs w:val="21"/>
                <w:highlight w:val="none"/>
              </w:rPr>
              <w:t>。</w:t>
            </w:r>
          </w:p>
          <w:p w14:paraId="3A8894EB">
            <w:pPr>
              <w:spacing w:line="360" w:lineRule="auto"/>
              <w:rPr>
                <w:rFonts w:ascii="宋体" w:hAnsi="宋体" w:cs="宋体"/>
                <w:bCs/>
                <w:color w:val="auto"/>
                <w:szCs w:val="21"/>
                <w:highlight w:val="none"/>
              </w:rPr>
            </w:pPr>
            <w:r>
              <w:rPr>
                <w:rFonts w:hint="eastAsia" w:ascii="宋体" w:hAnsi="宋体" w:cs="宋体"/>
                <w:bCs/>
                <w:color w:val="auto"/>
                <w:szCs w:val="21"/>
                <w:highlight w:val="none"/>
              </w:rPr>
              <w:t>5.维修备件必须是原厂备件。</w:t>
            </w:r>
          </w:p>
          <w:p w14:paraId="529220ED">
            <w:pPr>
              <w:spacing w:line="360" w:lineRule="auto"/>
              <w:rPr>
                <w:rFonts w:ascii="宋体" w:hAnsi="宋体" w:cs="宋体"/>
                <w:color w:val="auto"/>
                <w:szCs w:val="21"/>
                <w:highlight w:val="none"/>
              </w:rPr>
            </w:pPr>
            <w:r>
              <w:rPr>
                <w:rFonts w:hint="eastAsia" w:ascii="宋体" w:hAnsi="宋体" w:cs="宋体"/>
                <w:bCs/>
                <w:color w:val="auto"/>
                <w:szCs w:val="21"/>
                <w:highlight w:val="none"/>
              </w:rPr>
              <w:t>6.其余按厂家承诺。</w:t>
            </w:r>
          </w:p>
        </w:tc>
      </w:tr>
      <w:tr w14:paraId="17BF75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4" w:type="dxa"/>
            <w:gridSpan w:val="3"/>
            <w:tcBorders>
              <w:top w:val="single" w:color="auto" w:sz="4" w:space="0"/>
              <w:left w:val="single" w:color="auto" w:sz="4" w:space="0"/>
              <w:bottom w:val="single" w:color="auto" w:sz="4" w:space="0"/>
              <w:right w:val="single" w:color="auto" w:sz="4" w:space="0"/>
            </w:tcBorders>
            <w:vAlign w:val="center"/>
          </w:tcPr>
          <w:p w14:paraId="0F035918">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投标报价要求</w:t>
            </w:r>
          </w:p>
        </w:tc>
        <w:tc>
          <w:tcPr>
            <w:tcW w:w="6881" w:type="dxa"/>
            <w:gridSpan w:val="2"/>
            <w:tcBorders>
              <w:top w:val="single" w:color="auto" w:sz="4" w:space="0"/>
              <w:left w:val="single" w:color="auto" w:sz="4" w:space="0"/>
              <w:bottom w:val="single" w:color="auto" w:sz="4" w:space="0"/>
              <w:right w:val="single" w:color="auto" w:sz="4" w:space="0"/>
            </w:tcBorders>
            <w:vAlign w:val="center"/>
          </w:tcPr>
          <w:p w14:paraId="7826252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次报价须为人民币报价，包括但不限于投标货物及其配件（附件）价款、系统平台、包装费、运费、装卸费、保险费、搬运费、安装费、调试费、检验及检定验收费、计量检测费、售后服务费、培训费（如有）、税金等招标文件和投标文件规定及合同包含的所有风险、责任等应有的全部费用。</w:t>
            </w:r>
          </w:p>
        </w:tc>
      </w:tr>
      <w:tr w14:paraId="2CE29F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4" w:type="dxa"/>
            <w:gridSpan w:val="3"/>
            <w:tcBorders>
              <w:top w:val="single" w:color="auto" w:sz="4" w:space="0"/>
              <w:left w:val="single" w:color="auto" w:sz="4" w:space="0"/>
              <w:bottom w:val="single" w:color="auto" w:sz="4" w:space="0"/>
              <w:right w:val="single" w:color="auto" w:sz="4" w:space="0"/>
            </w:tcBorders>
            <w:vAlign w:val="center"/>
          </w:tcPr>
          <w:p w14:paraId="2E025AE3">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验收标准</w:t>
            </w:r>
          </w:p>
        </w:tc>
        <w:tc>
          <w:tcPr>
            <w:tcW w:w="6881" w:type="dxa"/>
            <w:gridSpan w:val="2"/>
            <w:tcBorders>
              <w:top w:val="single" w:color="auto" w:sz="4" w:space="0"/>
              <w:left w:val="single" w:color="auto" w:sz="4" w:space="0"/>
              <w:bottom w:val="single" w:color="auto" w:sz="4" w:space="0"/>
              <w:right w:val="single" w:color="auto" w:sz="4" w:space="0"/>
            </w:tcBorders>
            <w:vAlign w:val="center"/>
          </w:tcPr>
          <w:p w14:paraId="1C6AF5B1">
            <w:pPr>
              <w:spacing w:line="360" w:lineRule="auto"/>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验收标准</w:t>
            </w:r>
          </w:p>
          <w:p w14:paraId="45DC0A5A">
            <w:pPr>
              <w:spacing w:line="360" w:lineRule="auto"/>
              <w:rPr>
                <w:rFonts w:ascii="宋体" w:hAnsi="宋体" w:cs="宋体"/>
                <w:color w:val="auto"/>
                <w:szCs w:val="21"/>
                <w:highlight w:val="none"/>
              </w:rPr>
            </w:pPr>
            <w:r>
              <w:rPr>
                <w:rFonts w:hint="eastAsia" w:ascii="宋体" w:hAnsi="宋体" w:cs="宋体"/>
                <w:color w:val="auto"/>
                <w:szCs w:val="21"/>
                <w:highlight w:val="none"/>
              </w:rPr>
              <w:t>1.验收标准：符合现行国家相关标准、行业标准、地方标准或者其他标准、规范。标准适用按照“就高不就低”原则执行，有强制性标准的必须优先适用强制性标准。</w:t>
            </w:r>
          </w:p>
          <w:p w14:paraId="40F5CF25">
            <w:pPr>
              <w:spacing w:line="360" w:lineRule="auto"/>
              <w:rPr>
                <w:rFonts w:ascii="宋体" w:hAnsi="宋体" w:cs="宋体"/>
                <w:color w:val="auto"/>
                <w:szCs w:val="21"/>
                <w:highlight w:val="none"/>
              </w:rPr>
            </w:pPr>
            <w:r>
              <w:rPr>
                <w:rFonts w:hint="eastAsia" w:ascii="宋体" w:hAnsi="宋体" w:cs="宋体"/>
                <w:color w:val="auto"/>
                <w:szCs w:val="21"/>
                <w:highlight w:val="none"/>
              </w:rPr>
              <w:t>2.中标供应商在项目交付验收时，由验收小组对照招标文件的项目要求及技术需求，全面核对检验。如不符合招标文件的技术需求及要求以及提供虚假承诺的，按相关规定做违约处理，中标供应商承担所有责任和费用，采购人保留进一步追究责任的权利。</w:t>
            </w:r>
          </w:p>
          <w:p w14:paraId="6BEBB320">
            <w:pPr>
              <w:spacing w:line="360" w:lineRule="auto"/>
              <w:rPr>
                <w:rFonts w:ascii="宋体" w:hAnsi="宋体" w:cs="宋体"/>
                <w:color w:val="auto"/>
                <w:szCs w:val="21"/>
                <w:highlight w:val="none"/>
              </w:rPr>
            </w:pPr>
            <w:r>
              <w:rPr>
                <w:rFonts w:hint="eastAsia" w:ascii="宋体" w:hAnsi="宋体" w:cs="宋体"/>
                <w:color w:val="auto"/>
                <w:szCs w:val="21"/>
                <w:highlight w:val="none"/>
              </w:rPr>
              <w:t>3.验收时间: 采购人收到中标供应商验收申请之日起5个工作日内进行验收（如有特殊情况，按采购人指定的时间，另行验收）。</w:t>
            </w:r>
          </w:p>
          <w:p w14:paraId="62C286DC">
            <w:pPr>
              <w:spacing w:line="360" w:lineRule="auto"/>
              <w:rPr>
                <w:rFonts w:ascii="宋体" w:hAnsi="宋体" w:cs="宋体"/>
                <w:color w:val="auto"/>
                <w:szCs w:val="21"/>
                <w:highlight w:val="none"/>
              </w:rPr>
            </w:pPr>
            <w:r>
              <w:rPr>
                <w:rFonts w:hint="eastAsia" w:ascii="宋体" w:hAnsi="宋体" w:cs="宋体"/>
                <w:color w:val="auto"/>
                <w:szCs w:val="21"/>
                <w:highlight w:val="none"/>
              </w:rPr>
              <w:t>4.验收地点：广西梧州市采购人指定交货地点。</w:t>
            </w:r>
          </w:p>
          <w:p w14:paraId="0F6E8074">
            <w:pPr>
              <w:spacing w:line="360" w:lineRule="auto"/>
              <w:rPr>
                <w:rFonts w:ascii="宋体" w:hAnsi="宋体" w:cs="宋体"/>
                <w:color w:val="auto"/>
                <w:szCs w:val="21"/>
                <w:highlight w:val="none"/>
              </w:rPr>
            </w:pPr>
            <w:r>
              <w:rPr>
                <w:rFonts w:hint="eastAsia" w:ascii="宋体" w:hAnsi="宋体" w:cs="宋体"/>
                <w:color w:val="auto"/>
                <w:szCs w:val="21"/>
                <w:highlight w:val="none"/>
              </w:rPr>
              <w:t>5.验收方式：</w:t>
            </w:r>
          </w:p>
          <w:p w14:paraId="34CB9658">
            <w:pPr>
              <w:spacing w:line="360" w:lineRule="auto"/>
              <w:rPr>
                <w:rFonts w:ascii="宋体" w:hAnsi="宋体" w:cs="宋体"/>
                <w:color w:val="auto"/>
                <w:szCs w:val="21"/>
                <w:highlight w:val="none"/>
              </w:rPr>
            </w:pPr>
            <w:r>
              <w:rPr>
                <w:rFonts w:hint="eastAsia" w:ascii="宋体" w:hAnsi="宋体" w:cs="宋体"/>
                <w:color w:val="auto"/>
                <w:szCs w:val="21"/>
                <w:highlight w:val="none"/>
              </w:rPr>
              <w:t>1）中标供应商完成货物及系统安装调试和培训后，书面向采购人提交验收申请。</w:t>
            </w:r>
          </w:p>
          <w:p w14:paraId="059515C7">
            <w:pPr>
              <w:spacing w:line="360" w:lineRule="auto"/>
              <w:rPr>
                <w:rFonts w:ascii="宋体" w:hAnsi="宋体" w:cs="宋体"/>
                <w:color w:val="auto"/>
                <w:szCs w:val="21"/>
                <w:highlight w:val="none"/>
              </w:rPr>
            </w:pPr>
            <w:r>
              <w:rPr>
                <w:rFonts w:hint="eastAsia" w:ascii="宋体" w:hAnsi="宋体" w:cs="宋体"/>
                <w:color w:val="auto"/>
                <w:szCs w:val="21"/>
                <w:highlight w:val="none"/>
              </w:rPr>
              <w:t>2）本项目验收由验收小组按照采购合同约定对每一项技术和商务要求的履约情况进行确认，作为验收依据；</w:t>
            </w:r>
          </w:p>
          <w:p w14:paraId="0226BCEF">
            <w:pPr>
              <w:spacing w:line="360" w:lineRule="auto"/>
              <w:rPr>
                <w:rFonts w:ascii="宋体" w:hAnsi="宋体" w:cs="宋体"/>
                <w:color w:val="auto"/>
                <w:szCs w:val="21"/>
                <w:highlight w:val="none"/>
              </w:rPr>
            </w:pPr>
            <w:r>
              <w:rPr>
                <w:rFonts w:hint="eastAsia" w:ascii="宋体" w:hAnsi="宋体" w:cs="宋体"/>
                <w:color w:val="auto"/>
                <w:szCs w:val="21"/>
                <w:highlight w:val="none"/>
              </w:rPr>
              <w:t>3）验收结束后，验收小组出具采购验收书，验收书应当包括每一项技术和商务要求的履约情况，并列明项目总体评价，由验收小组、采购人和中标供应商共同签署。</w:t>
            </w:r>
          </w:p>
          <w:p w14:paraId="3625BAB3">
            <w:pPr>
              <w:spacing w:line="360" w:lineRule="auto"/>
              <w:rPr>
                <w:rFonts w:ascii="宋体" w:hAnsi="宋体" w:cs="宋体"/>
                <w:color w:val="auto"/>
                <w:szCs w:val="21"/>
                <w:highlight w:val="none"/>
              </w:rPr>
            </w:pPr>
            <w:r>
              <w:rPr>
                <w:rFonts w:hint="eastAsia" w:ascii="宋体" w:hAnsi="宋体" w:cs="宋体"/>
                <w:color w:val="auto"/>
                <w:szCs w:val="21"/>
                <w:highlight w:val="none"/>
              </w:rPr>
              <w:t>4）验收过程中所产生的一切费用均由中标供应商承担。</w:t>
            </w:r>
          </w:p>
          <w:p w14:paraId="70D397F3">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5）验收书一式肆份，双方各执两份。 </w:t>
            </w:r>
          </w:p>
          <w:p w14:paraId="382D8A7A">
            <w:pPr>
              <w:spacing w:line="360" w:lineRule="auto"/>
              <w:rPr>
                <w:rFonts w:ascii="宋体" w:hAnsi="宋体" w:cs="宋体"/>
                <w:color w:val="auto"/>
                <w:szCs w:val="21"/>
                <w:highlight w:val="none"/>
              </w:rPr>
            </w:pPr>
            <w:r>
              <w:rPr>
                <w:rFonts w:hint="eastAsia" w:ascii="宋体" w:hAnsi="宋体" w:cs="宋体"/>
                <w:color w:val="auto"/>
                <w:szCs w:val="21"/>
                <w:highlight w:val="none"/>
              </w:rPr>
              <w:t>6）验收结论不合格的，中标供应商应自收到验收书后5日内及时予以解决。经中标供应商对验收结论不合格的货物进行整改后，仍然达不到要求的，经双方协商，可按以下办法处理：</w:t>
            </w:r>
          </w:p>
          <w:p w14:paraId="38A245B6">
            <w:pPr>
              <w:spacing w:line="360" w:lineRule="auto"/>
              <w:rPr>
                <w:rFonts w:ascii="宋体" w:hAnsi="宋体" w:cs="宋体"/>
                <w:color w:val="auto"/>
                <w:szCs w:val="21"/>
                <w:highlight w:val="none"/>
              </w:rPr>
            </w:pPr>
            <w:r>
              <w:rPr>
                <w:rFonts w:hint="eastAsia" w:ascii="宋体" w:hAnsi="宋体" w:cs="宋体"/>
                <w:color w:val="auto"/>
                <w:szCs w:val="21"/>
                <w:highlight w:val="none"/>
              </w:rPr>
              <w:t>（1）更换：由中标供应商承担所发生的全部费用；</w:t>
            </w:r>
          </w:p>
          <w:p w14:paraId="65AE6738">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（2）退货处理：中标供应商应退还采购人支付的合同款，同时应承担与该货物相关的直接费用（运输、保险、检验、合同款利息及银行手续费等）。</w:t>
            </w:r>
          </w:p>
          <w:p w14:paraId="0A57279B">
            <w:pPr>
              <w:pStyle w:val="59"/>
              <w:spacing w:line="360" w:lineRule="auto"/>
              <w:ind w:firstLine="0" w:firstLineChars="0"/>
              <w:rPr>
                <w:rFonts w:ascii="宋体" w:hAnsi="宋体" w:cs="宋体"/>
                <w:b/>
                <w:bCs/>
                <w:color w:val="auto"/>
                <w:sz w:val="21"/>
                <w:szCs w:val="21"/>
                <w:highlight w:val="none"/>
                <w:lang w:bidi="ar"/>
              </w:rPr>
            </w:pPr>
            <w:r>
              <w:rPr>
                <w:rFonts w:hint="eastAsia" w:ascii="宋体" w:hAnsi="宋体" w:cs="宋体"/>
                <w:b/>
                <w:bCs/>
                <w:color w:val="auto"/>
                <w:sz w:val="21"/>
                <w:szCs w:val="21"/>
                <w:highlight w:val="none"/>
                <w:lang w:bidi="ar"/>
              </w:rPr>
              <w:t>履约验收其他事项</w:t>
            </w:r>
          </w:p>
          <w:p w14:paraId="6C5B5E8A">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1.验收过程中所产生的一切费用均由中标供应商承担。报价时应考虑相关费用。</w:t>
            </w:r>
          </w:p>
          <w:p w14:paraId="34AA30F4">
            <w:pPr>
              <w:pStyle w:val="59"/>
              <w:spacing w:line="360" w:lineRule="auto"/>
              <w:ind w:firstLine="0" w:firstLineChars="0"/>
              <w:rPr>
                <w:rFonts w:ascii="宋体" w:hAnsi="宋体" w:cs="宋体"/>
                <w:color w:val="auto"/>
                <w:sz w:val="21"/>
                <w:szCs w:val="21"/>
                <w:highlight w:val="none"/>
                <w:lang w:bidi="ar"/>
              </w:rPr>
            </w:pPr>
            <w:r>
              <w:rPr>
                <w:rFonts w:hint="eastAsia" w:ascii="宋体" w:hAnsi="宋体" w:cs="宋体"/>
                <w:bCs/>
                <w:color w:val="auto"/>
                <w:sz w:val="21"/>
                <w:szCs w:val="21"/>
                <w:highlight w:val="none"/>
              </w:rPr>
              <w:t>2</w:t>
            </w:r>
            <w:r>
              <w:rPr>
                <w:rFonts w:hint="eastAsia" w:ascii="宋体" w:hAnsi="宋体" w:cs="宋体"/>
                <w:bCs/>
                <w:color w:val="auto"/>
                <w:sz w:val="21"/>
                <w:szCs w:val="21"/>
                <w:highlight w:val="none"/>
                <w:lang w:val="en-US"/>
              </w:rPr>
              <w:t>.</w:t>
            </w:r>
            <w:r>
              <w:rPr>
                <w:rFonts w:hint="eastAsia" w:ascii="宋体" w:hAnsi="宋体" w:cs="宋体"/>
                <w:bCs/>
                <w:color w:val="auto"/>
                <w:sz w:val="21"/>
                <w:szCs w:val="21"/>
                <w:highlight w:val="none"/>
              </w:rPr>
              <w:t>中标供应商在货物交付验收时，由采购人对照采购文件的项目要求及技术需求，全面核对检验。如不符合采购文件的技术需求及要求以及提供虚假承诺的，按相关规定做违约处理，中标供应商承担所有责任和费用，采购人保留进一步追究责任的权利。</w:t>
            </w:r>
          </w:p>
        </w:tc>
      </w:tr>
      <w:tr w14:paraId="150004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75" w:type="dxa"/>
            <w:gridSpan w:val="5"/>
            <w:tcBorders>
              <w:top w:val="single" w:color="auto" w:sz="4" w:space="0"/>
              <w:left w:val="single" w:color="auto" w:sz="4" w:space="0"/>
              <w:bottom w:val="single" w:color="auto" w:sz="4" w:space="0"/>
              <w:right w:val="single" w:color="auto" w:sz="4" w:space="0"/>
            </w:tcBorders>
            <w:vAlign w:val="center"/>
          </w:tcPr>
          <w:p w14:paraId="04D77E60">
            <w:pPr>
              <w:widowControl/>
              <w:spacing w:line="360" w:lineRule="auto"/>
              <w:jc w:val="left"/>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二、与实现项目目标相关的其他要求</w:t>
            </w:r>
          </w:p>
        </w:tc>
      </w:tr>
      <w:tr w14:paraId="5BDF5C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75" w:type="dxa"/>
            <w:gridSpan w:val="5"/>
            <w:tcBorders>
              <w:top w:val="single" w:color="auto" w:sz="4" w:space="0"/>
              <w:left w:val="single" w:color="auto" w:sz="4" w:space="0"/>
              <w:bottom w:val="single" w:color="auto" w:sz="4" w:space="0"/>
              <w:right w:val="single" w:color="auto" w:sz="4" w:space="0"/>
            </w:tcBorders>
          </w:tcPr>
          <w:p w14:paraId="1FC99B58">
            <w:pPr>
              <w:widowControl/>
              <w:spacing w:line="360" w:lineRule="auto"/>
              <w:jc w:val="left"/>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（一）政策性加分条件</w:t>
            </w:r>
          </w:p>
        </w:tc>
      </w:tr>
      <w:tr w14:paraId="4EC916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75" w:type="dxa"/>
            <w:gridSpan w:val="5"/>
            <w:tcBorders>
              <w:top w:val="single" w:color="auto" w:sz="4" w:space="0"/>
              <w:left w:val="single" w:color="auto" w:sz="4" w:space="0"/>
              <w:bottom w:val="single" w:color="auto" w:sz="4" w:space="0"/>
              <w:right w:val="single" w:color="auto" w:sz="4" w:space="0"/>
            </w:tcBorders>
            <w:vAlign w:val="center"/>
          </w:tcPr>
          <w:p w14:paraId="516237EF">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符合节能环保等国家政策要求</w:t>
            </w:r>
          </w:p>
        </w:tc>
      </w:tr>
      <w:tr w14:paraId="7AB31F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75" w:type="dxa"/>
            <w:gridSpan w:val="5"/>
            <w:tcBorders>
              <w:top w:val="single" w:color="auto" w:sz="4" w:space="0"/>
              <w:left w:val="single" w:color="auto" w:sz="4" w:space="0"/>
              <w:bottom w:val="single" w:color="auto" w:sz="4" w:space="0"/>
              <w:right w:val="single" w:color="auto" w:sz="4" w:space="0"/>
            </w:tcBorders>
            <w:vAlign w:val="center"/>
          </w:tcPr>
          <w:p w14:paraId="1783F8F8">
            <w:pPr>
              <w:widowControl/>
              <w:spacing w:line="360" w:lineRule="auto"/>
              <w:jc w:val="left"/>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（二）进口产品说明</w:t>
            </w:r>
          </w:p>
        </w:tc>
      </w:tr>
      <w:tr w14:paraId="241353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4" w:type="dxa"/>
            <w:gridSpan w:val="3"/>
            <w:tcBorders>
              <w:top w:val="single" w:color="auto" w:sz="4" w:space="0"/>
              <w:left w:val="single" w:color="auto" w:sz="4" w:space="0"/>
              <w:bottom w:val="single" w:color="auto" w:sz="4" w:space="0"/>
              <w:right w:val="single" w:color="auto" w:sz="4" w:space="0"/>
            </w:tcBorders>
            <w:vAlign w:val="center"/>
          </w:tcPr>
          <w:p w14:paraId="5CF26B6E">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进口产品说明</w:t>
            </w:r>
          </w:p>
        </w:tc>
        <w:tc>
          <w:tcPr>
            <w:tcW w:w="6881" w:type="dxa"/>
            <w:gridSpan w:val="2"/>
            <w:tcBorders>
              <w:top w:val="single" w:color="auto" w:sz="4" w:space="0"/>
              <w:left w:val="single" w:color="auto" w:sz="4" w:space="0"/>
              <w:bottom w:val="single" w:color="auto" w:sz="4" w:space="0"/>
              <w:right w:val="single" w:color="auto" w:sz="4" w:space="0"/>
            </w:tcBorders>
            <w:vAlign w:val="center"/>
          </w:tcPr>
          <w:p w14:paraId="5CF3C383">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bidi="ar"/>
              </w:rPr>
              <w:t>本项目货物不接受进口产品（即通过中国海关报关验放进入中国境内且产自关境外的产品）参与投标，如有进口产品参与投标的，其投标文件按无效投标处理。</w:t>
            </w:r>
          </w:p>
        </w:tc>
      </w:tr>
      <w:tr w14:paraId="695984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75" w:type="dxa"/>
            <w:gridSpan w:val="5"/>
            <w:tcBorders>
              <w:top w:val="single" w:color="auto" w:sz="4" w:space="0"/>
              <w:left w:val="single" w:color="auto" w:sz="4" w:space="0"/>
              <w:bottom w:val="single" w:color="auto" w:sz="4" w:space="0"/>
              <w:right w:val="single" w:color="auto" w:sz="4" w:space="0"/>
            </w:tcBorders>
            <w:vAlign w:val="center"/>
          </w:tcPr>
          <w:p w14:paraId="6EF5427D">
            <w:pPr>
              <w:widowControl/>
              <w:spacing w:line="360" w:lineRule="auto"/>
              <w:jc w:val="left"/>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（三）其他</w:t>
            </w:r>
          </w:p>
        </w:tc>
      </w:tr>
      <w:tr w14:paraId="6E54A6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75" w:type="dxa"/>
            <w:gridSpan w:val="5"/>
            <w:tcBorders>
              <w:top w:val="single" w:color="auto" w:sz="4" w:space="0"/>
              <w:left w:val="single" w:color="auto" w:sz="4" w:space="0"/>
              <w:bottom w:val="single" w:color="auto" w:sz="4" w:space="0"/>
              <w:right w:val="single" w:color="auto" w:sz="4" w:space="0"/>
            </w:tcBorders>
            <w:vAlign w:val="center"/>
          </w:tcPr>
          <w:p w14:paraId="37E3868A">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投标人可根据本项目需求编制本项目的技术方案，包含但不限于以下方案内容，以作为评审依据：</w:t>
            </w:r>
          </w:p>
          <w:p w14:paraId="45552EE7">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1.实施方案：投标人可结合本项目采购需求及服务质量要求，结合自身实际情况编制针对本项目的项目实施方案，包括</w:t>
            </w:r>
            <w:r>
              <w:rPr>
                <w:rFonts w:hint="eastAsia" w:ascii="宋体" w:hAnsi="宋体" w:cs="宋体"/>
                <w:color w:val="auto"/>
                <w:szCs w:val="21"/>
                <w:highlight w:val="none"/>
              </w:rPr>
              <w:t>管理措施、质量保证措施、风险防范等措施等</w:t>
            </w:r>
            <w:r>
              <w:rPr>
                <w:rFonts w:hint="eastAsia" w:ascii="宋体" w:hAnsi="宋体" w:cs="宋体"/>
                <w:bCs/>
                <w:color w:val="auto"/>
                <w:szCs w:val="21"/>
                <w:highlight w:val="none"/>
              </w:rPr>
              <w:t>。</w:t>
            </w:r>
          </w:p>
          <w:p w14:paraId="0587665D">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2.售后服务方案：投标人可结合本项目采购需求及服务质量要求，结合自身实际情况编制针对本项目的售后服务方案，包括</w:t>
            </w:r>
            <w:r>
              <w:rPr>
                <w:rFonts w:hint="eastAsia" w:ascii="宋体" w:hAnsi="宋体" w:cs="宋体"/>
                <w:color w:val="auto"/>
                <w:szCs w:val="21"/>
                <w:highlight w:val="none"/>
              </w:rPr>
              <w:t>设备的维护保养方案及质保期外的含零配件的优惠供应等</w:t>
            </w:r>
            <w:r>
              <w:rPr>
                <w:rFonts w:hint="eastAsia" w:ascii="宋体" w:hAnsi="宋体" w:cs="宋体"/>
                <w:bCs/>
                <w:color w:val="auto"/>
                <w:szCs w:val="21"/>
                <w:highlight w:val="none"/>
              </w:rPr>
              <w:t>。</w:t>
            </w:r>
          </w:p>
          <w:p w14:paraId="72D82D48">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3.</w:t>
            </w:r>
            <w:r>
              <w:rPr>
                <w:rFonts w:hint="eastAsia" w:ascii="宋体" w:hAnsi="宋体" w:cs="宋体"/>
                <w:color w:val="auto"/>
                <w:szCs w:val="21"/>
                <w:highlight w:val="none"/>
              </w:rPr>
              <w:t>技术培训方案</w:t>
            </w:r>
            <w:r>
              <w:rPr>
                <w:rFonts w:hint="eastAsia" w:ascii="宋体" w:hAnsi="宋体" w:cs="宋体"/>
                <w:bCs/>
                <w:color w:val="auto"/>
                <w:szCs w:val="21"/>
                <w:highlight w:val="none"/>
              </w:rPr>
              <w:t>：投标人可结合本项目采购需求的相关要求以及服务质量要求，结合自身实际情况编制针对本项目的</w:t>
            </w:r>
            <w:r>
              <w:rPr>
                <w:rFonts w:hint="eastAsia" w:ascii="宋体" w:hAnsi="宋体" w:cs="宋体"/>
                <w:color w:val="auto"/>
                <w:szCs w:val="21"/>
                <w:highlight w:val="none"/>
              </w:rPr>
              <w:t>技术培训方案，包括培训计划及流程安排、培训课程及内容等</w:t>
            </w:r>
            <w:r>
              <w:rPr>
                <w:rFonts w:hint="eastAsia" w:ascii="宋体" w:hAnsi="宋体" w:cs="宋体"/>
                <w:bCs/>
                <w:color w:val="auto"/>
                <w:szCs w:val="21"/>
                <w:highlight w:val="none"/>
              </w:rPr>
              <w:t>。</w:t>
            </w:r>
          </w:p>
          <w:p w14:paraId="203742E7">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具体见本招标文件第四章“评标方法及评标标准”。</w:t>
            </w:r>
          </w:p>
        </w:tc>
      </w:tr>
    </w:tbl>
    <w:p w14:paraId="031F1352">
      <w:pPr>
        <w:pStyle w:val="17"/>
        <w:rPr>
          <w:color w:val="auto"/>
          <w:highlight w:val="none"/>
        </w:rPr>
      </w:pPr>
    </w:p>
    <w:p w14:paraId="028533A9">
      <w:pPr>
        <w:rPr>
          <w:rFonts w:ascii="黑体" w:hAnsi="黑体" w:eastAsia="黑体" w:cs="黑体"/>
          <w:color w:val="auto"/>
          <w:sz w:val="32"/>
          <w:szCs w:val="32"/>
          <w:highlight w:val="none"/>
        </w:rPr>
      </w:pPr>
      <w:r>
        <w:rPr>
          <w:color w:val="auto"/>
          <w:highlight w:val="none"/>
        </w:rPr>
        <w:br w:type="page"/>
      </w:r>
    </w:p>
    <w:p w14:paraId="32E5411C">
      <w:pPr>
        <w:spacing w:line="360" w:lineRule="auto"/>
        <w:ind w:firstLine="308" w:firstLineChars="147"/>
        <w:jc w:val="left"/>
        <w:rPr>
          <w:rFonts w:ascii="宋体" w:hAnsi="宋体" w:cs="Arial"/>
          <w:bCs/>
          <w:color w:val="auto"/>
          <w:szCs w:val="21"/>
          <w:highlight w:val="none"/>
          <w:u w:val="single"/>
        </w:rPr>
      </w:pPr>
      <w:r>
        <w:rPr>
          <w:rFonts w:hint="eastAsia" w:ascii="宋体" w:hAnsi="宋体" w:cs="Arial"/>
          <w:bCs/>
          <w:color w:val="auto"/>
          <w:szCs w:val="21"/>
          <w:highlight w:val="none"/>
          <w:u w:val="single"/>
        </w:rPr>
        <w:t>2</w:t>
      </w:r>
      <w:r>
        <w:rPr>
          <w:rFonts w:hint="eastAsia" w:ascii="宋体" w:hAnsi="宋体"/>
          <w:b/>
          <w:color w:val="auto"/>
          <w:szCs w:val="21"/>
          <w:highlight w:val="none"/>
        </w:rPr>
        <w:t>分标      最高限价</w:t>
      </w:r>
      <w:r>
        <w:rPr>
          <w:rFonts w:hint="eastAsia" w:ascii="宋体" w:hAnsi="宋体" w:cs="宋体"/>
          <w:b/>
          <w:bCs/>
          <w:color w:val="auto"/>
          <w:szCs w:val="21"/>
          <w:highlight w:val="none"/>
        </w:rPr>
        <w:t>56.60</w:t>
      </w:r>
      <w:r>
        <w:rPr>
          <w:rFonts w:hint="eastAsia" w:ascii="宋体" w:hAnsi="宋体" w:cs="宋体"/>
          <w:b/>
          <w:color w:val="auto"/>
          <w:szCs w:val="21"/>
          <w:highlight w:val="none"/>
        </w:rPr>
        <w:t>万元</w:t>
      </w:r>
    </w:p>
    <w:p w14:paraId="25641071">
      <w:pPr>
        <w:spacing w:line="360" w:lineRule="auto"/>
        <w:ind w:firstLine="310" w:firstLineChars="147"/>
        <w:jc w:val="left"/>
        <w:rPr>
          <w:rFonts w:ascii="宋体" w:hAnsi="宋体" w:cs="Arial"/>
          <w:bCs/>
          <w:color w:val="auto"/>
          <w:szCs w:val="21"/>
          <w:highlight w:val="none"/>
          <w:u w:val="single"/>
        </w:rPr>
      </w:pPr>
      <w:r>
        <w:rPr>
          <w:rFonts w:hint="eastAsia" w:ascii="宋体" w:hAnsi="宋体"/>
          <w:b/>
          <w:color w:val="auto"/>
          <w:szCs w:val="21"/>
          <w:highlight w:val="none"/>
        </w:rPr>
        <w:t>本分标的核心产品为“</w:t>
      </w:r>
      <w:r>
        <w:rPr>
          <w:rFonts w:hint="eastAsia" w:ascii="宋体" w:hAnsi="宋体" w:cs="Arial"/>
          <w:b/>
          <w:color w:val="auto"/>
          <w:szCs w:val="21"/>
          <w:highlight w:val="none"/>
        </w:rPr>
        <w:t>全自动染色封片一体机”</w:t>
      </w:r>
      <w:r>
        <w:rPr>
          <w:rFonts w:hint="eastAsia" w:ascii="宋体" w:hAnsi="宋体"/>
          <w:b/>
          <w:color w:val="auto"/>
          <w:szCs w:val="21"/>
          <w:highlight w:val="none"/>
        </w:rPr>
        <w:t>。</w:t>
      </w:r>
    </w:p>
    <w:tbl>
      <w:tblPr>
        <w:tblStyle w:val="49"/>
        <w:tblW w:w="97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944"/>
        <w:gridCol w:w="1320"/>
        <w:gridCol w:w="64"/>
        <w:gridCol w:w="933"/>
        <w:gridCol w:w="5932"/>
      </w:tblGrid>
      <w:tr w14:paraId="795C1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567" w:type="dxa"/>
            <w:vAlign w:val="center"/>
          </w:tcPr>
          <w:p w14:paraId="778479F9">
            <w:pPr>
              <w:tabs>
                <w:tab w:val="left" w:pos="180"/>
                <w:tab w:val="left" w:pos="1620"/>
              </w:tabs>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944" w:type="dxa"/>
            <w:vAlign w:val="center"/>
          </w:tcPr>
          <w:p w14:paraId="13285941">
            <w:pPr>
              <w:spacing w:line="360" w:lineRule="auto"/>
              <w:jc w:val="center"/>
              <w:rPr>
                <w:rFonts w:ascii="宋体" w:hAnsi="宋体" w:cs="宋体"/>
                <w:b/>
                <w:bCs/>
                <w:color w:val="auto"/>
                <w:szCs w:val="21"/>
                <w:highlight w:val="none"/>
              </w:rPr>
            </w:pPr>
            <w:r>
              <w:rPr>
                <w:rFonts w:hint="eastAsia" w:ascii="宋体" w:hAnsi="宋体" w:cs="宋体"/>
                <w:b/>
                <w:color w:val="auto"/>
                <w:szCs w:val="21"/>
                <w:highlight w:val="none"/>
              </w:rPr>
              <w:t>标的的名称</w:t>
            </w:r>
          </w:p>
        </w:tc>
        <w:tc>
          <w:tcPr>
            <w:tcW w:w="1320" w:type="dxa"/>
            <w:tcBorders>
              <w:right w:val="single" w:color="auto" w:sz="4" w:space="0"/>
            </w:tcBorders>
            <w:vAlign w:val="center"/>
          </w:tcPr>
          <w:p w14:paraId="6693A02A">
            <w:pPr>
              <w:keepNext/>
              <w:widowControl/>
              <w:wordWrap w:val="0"/>
              <w:jc w:val="center"/>
              <w:textAlignment w:val="center"/>
              <w:rPr>
                <w:rFonts w:ascii="宋体" w:hAnsi="宋体" w:cs="宋体"/>
                <w:b/>
                <w:color w:val="auto"/>
                <w:szCs w:val="21"/>
                <w:highlight w:val="none"/>
              </w:rPr>
            </w:pPr>
            <w:r>
              <w:rPr>
                <w:rFonts w:hint="eastAsia" w:ascii="宋体" w:hAnsi="宋体" w:cs="宋体"/>
                <w:b/>
                <w:color w:val="auto"/>
                <w:szCs w:val="21"/>
                <w:highlight w:val="none"/>
              </w:rPr>
              <w:t>单价</w:t>
            </w:r>
          </w:p>
          <w:p w14:paraId="087007C6">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（万元/套）</w:t>
            </w:r>
          </w:p>
        </w:tc>
        <w:tc>
          <w:tcPr>
            <w:tcW w:w="997" w:type="dxa"/>
            <w:gridSpan w:val="2"/>
            <w:tcBorders>
              <w:right w:val="single" w:color="auto" w:sz="4" w:space="0"/>
            </w:tcBorders>
            <w:vAlign w:val="center"/>
          </w:tcPr>
          <w:p w14:paraId="3481F45E">
            <w:pPr>
              <w:spacing w:line="360" w:lineRule="auto"/>
              <w:jc w:val="center"/>
              <w:rPr>
                <w:rFonts w:ascii="宋体" w:hAnsi="宋体" w:cs="宋体"/>
                <w:b/>
                <w:bCs/>
                <w:color w:val="auto"/>
                <w:szCs w:val="21"/>
                <w:highlight w:val="none"/>
              </w:rPr>
            </w:pPr>
            <w:r>
              <w:rPr>
                <w:rFonts w:hint="eastAsia" w:ascii="宋体" w:hAnsi="宋体" w:cs="宋体"/>
                <w:b/>
                <w:color w:val="auto"/>
                <w:szCs w:val="21"/>
                <w:highlight w:val="none"/>
              </w:rPr>
              <w:t>数量及单位</w:t>
            </w:r>
          </w:p>
        </w:tc>
        <w:tc>
          <w:tcPr>
            <w:tcW w:w="5932" w:type="dxa"/>
            <w:tcBorders>
              <w:left w:val="single" w:color="auto" w:sz="4" w:space="0"/>
            </w:tcBorders>
            <w:vAlign w:val="center"/>
          </w:tcPr>
          <w:p w14:paraId="114FFED8">
            <w:pPr>
              <w:spacing w:line="360" w:lineRule="auto"/>
              <w:jc w:val="center"/>
              <w:rPr>
                <w:rFonts w:ascii="宋体" w:hAnsi="宋体" w:cs="宋体"/>
                <w:b/>
                <w:bCs/>
                <w:color w:val="auto"/>
                <w:szCs w:val="21"/>
                <w:highlight w:val="none"/>
              </w:rPr>
            </w:pPr>
            <w:r>
              <w:rPr>
                <w:rFonts w:hint="eastAsia" w:ascii="宋体" w:hAnsi="宋体" w:cs="宋体"/>
                <w:b/>
                <w:color w:val="auto"/>
                <w:szCs w:val="21"/>
                <w:highlight w:val="none"/>
              </w:rPr>
              <w:t>技术要求</w:t>
            </w:r>
          </w:p>
        </w:tc>
      </w:tr>
      <w:tr w14:paraId="5CDC6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77157D64">
            <w:pPr>
              <w:numPr>
                <w:ilvl w:val="0"/>
                <w:numId w:val="5"/>
              </w:numPr>
              <w:snapToGrid w:val="0"/>
              <w:spacing w:line="360" w:lineRule="auto"/>
              <w:jc w:val="center"/>
              <w:rPr>
                <w:rFonts w:ascii="宋体" w:hAnsi="宋体" w:cs="宋体"/>
                <w:color w:val="auto"/>
                <w:szCs w:val="21"/>
                <w:highlight w:val="none"/>
              </w:rPr>
            </w:pPr>
          </w:p>
        </w:tc>
        <w:tc>
          <w:tcPr>
            <w:tcW w:w="944" w:type="dxa"/>
            <w:vAlign w:val="center"/>
          </w:tcPr>
          <w:p w14:paraId="58798936">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全自动染色封片一体机</w:t>
            </w:r>
          </w:p>
        </w:tc>
        <w:tc>
          <w:tcPr>
            <w:tcW w:w="1320" w:type="dxa"/>
            <w:tcBorders>
              <w:right w:val="single" w:color="auto" w:sz="4" w:space="0"/>
            </w:tcBorders>
            <w:vAlign w:val="center"/>
          </w:tcPr>
          <w:p w14:paraId="1BADFA74">
            <w:pPr>
              <w:widowControl/>
              <w:jc w:val="center"/>
              <w:textAlignment w:val="bottom"/>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39</w:t>
            </w:r>
          </w:p>
        </w:tc>
        <w:tc>
          <w:tcPr>
            <w:tcW w:w="997" w:type="dxa"/>
            <w:gridSpan w:val="2"/>
            <w:tcBorders>
              <w:right w:val="single" w:color="auto" w:sz="4" w:space="0"/>
            </w:tcBorders>
            <w:vAlign w:val="center"/>
          </w:tcPr>
          <w:p w14:paraId="1F5FEED1">
            <w:pPr>
              <w:widowControl/>
              <w:spacing w:line="360" w:lineRule="auto"/>
              <w:jc w:val="center"/>
              <w:textAlignment w:val="bottom"/>
              <w:rPr>
                <w:rFonts w:ascii="宋体" w:hAnsi="宋体" w:cs="宋体"/>
                <w:color w:val="auto"/>
                <w:szCs w:val="21"/>
                <w:highlight w:val="none"/>
              </w:rPr>
            </w:pPr>
            <w:r>
              <w:rPr>
                <w:rFonts w:hint="eastAsia" w:ascii="宋体" w:hAnsi="宋体" w:cs="宋体"/>
                <w:color w:val="auto"/>
                <w:szCs w:val="21"/>
                <w:highlight w:val="none"/>
              </w:rPr>
              <w:t>1套</w:t>
            </w:r>
          </w:p>
        </w:tc>
        <w:tc>
          <w:tcPr>
            <w:tcW w:w="5932" w:type="dxa"/>
            <w:tcBorders>
              <w:left w:val="single" w:color="auto" w:sz="4" w:space="0"/>
            </w:tcBorders>
            <w:shd w:val="clear" w:color="auto" w:fill="auto"/>
            <w:vAlign w:val="center"/>
          </w:tcPr>
          <w:p w14:paraId="4D10AA74">
            <w:pPr>
              <w:pStyle w:val="46"/>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一、技术参数</w:t>
            </w:r>
          </w:p>
          <w:p w14:paraId="3717C172">
            <w:pPr>
              <w:spacing w:line="360" w:lineRule="auto"/>
              <w:rPr>
                <w:rFonts w:ascii="宋体" w:hAnsi="宋体" w:cs="宋体"/>
                <w:color w:val="auto"/>
                <w:szCs w:val="21"/>
                <w:highlight w:val="none"/>
              </w:rPr>
            </w:pPr>
            <w:r>
              <w:rPr>
                <w:rFonts w:hint="eastAsia" w:ascii="宋体" w:hAnsi="宋体" w:cs="宋体"/>
                <w:color w:val="auto"/>
                <w:szCs w:val="21"/>
                <w:highlight w:val="none"/>
              </w:rPr>
              <w:t>1.染色机：</w:t>
            </w:r>
          </w:p>
          <w:p w14:paraId="6FEA9A06">
            <w:pPr>
              <w:spacing w:line="360" w:lineRule="auto"/>
              <w:rPr>
                <w:rFonts w:ascii="宋体" w:hAnsi="宋体" w:cs="宋体"/>
                <w:color w:val="auto"/>
                <w:szCs w:val="21"/>
                <w:highlight w:val="none"/>
              </w:rPr>
            </w:pPr>
            <w:r>
              <w:rPr>
                <w:rFonts w:hint="eastAsia" w:ascii="宋体" w:hAnsi="宋体" w:cs="宋体"/>
                <w:color w:val="auto"/>
                <w:szCs w:val="21"/>
                <w:highlight w:val="none"/>
              </w:rPr>
              <w:t>▲1.1</w:t>
            </w:r>
            <w:r>
              <w:rPr>
                <w:rFonts w:hint="eastAsia" w:ascii="宋体" w:hAnsi="宋体" w:cs="宋体"/>
                <w:color w:val="auto"/>
                <w:szCs w:val="21"/>
                <w:highlight w:val="none"/>
                <w:lang w:eastAsia="uk-UA"/>
              </w:rPr>
              <w:t>全自动化设计；每小时处理标本≥600张玻片</w:t>
            </w:r>
            <w:r>
              <w:rPr>
                <w:rFonts w:hint="eastAsia" w:ascii="宋体" w:hAnsi="宋体" w:cs="宋体"/>
                <w:color w:val="auto"/>
                <w:szCs w:val="21"/>
                <w:highlight w:val="none"/>
              </w:rPr>
              <w:t>，可连续追加染色架。</w:t>
            </w:r>
          </w:p>
          <w:p w14:paraId="38D05691">
            <w:pPr>
              <w:spacing w:line="360" w:lineRule="auto"/>
              <w:rPr>
                <w:rFonts w:ascii="宋体" w:hAnsi="宋体" w:cs="宋体"/>
                <w:color w:val="auto"/>
                <w:szCs w:val="21"/>
                <w:highlight w:val="none"/>
              </w:rPr>
            </w:pPr>
            <w:r>
              <w:rPr>
                <w:rFonts w:hint="eastAsia" w:ascii="宋体" w:hAnsi="宋体" w:cs="宋体"/>
                <w:color w:val="auto"/>
                <w:szCs w:val="21"/>
                <w:highlight w:val="none"/>
              </w:rPr>
              <w:t>1.2连续处理能力：同时染色≥36架。</w:t>
            </w:r>
          </w:p>
          <w:p w14:paraId="65B1FF17">
            <w:pPr>
              <w:spacing w:line="360" w:lineRule="auto"/>
              <w:rPr>
                <w:rFonts w:ascii="宋体" w:hAnsi="宋体" w:cs="宋体"/>
                <w:color w:val="auto"/>
                <w:szCs w:val="21"/>
                <w:highlight w:val="none"/>
                <w:lang w:eastAsia="uk-UA"/>
              </w:rPr>
            </w:pPr>
            <w:r>
              <w:rPr>
                <w:rFonts w:hint="eastAsia" w:ascii="宋体" w:hAnsi="宋体" w:cs="宋体"/>
                <w:color w:val="auto"/>
                <w:szCs w:val="21"/>
                <w:highlight w:val="none"/>
              </w:rPr>
              <w:t>1.3</w:t>
            </w:r>
            <w:r>
              <w:rPr>
                <w:rFonts w:hint="eastAsia" w:ascii="宋体" w:hAnsi="宋体" w:cs="宋体"/>
                <w:color w:val="auto"/>
                <w:szCs w:val="21"/>
                <w:highlight w:val="none"/>
                <w:lang w:eastAsia="uk-UA"/>
              </w:rPr>
              <w:t>单独或可同时进行常规 HE 染色、快速冰冻 HE 染色及细胞学染色；</w:t>
            </w:r>
          </w:p>
          <w:p w14:paraId="542D35C4">
            <w:pPr>
              <w:spacing w:line="360" w:lineRule="auto"/>
              <w:rPr>
                <w:rFonts w:ascii="宋体" w:hAnsi="宋体" w:cs="宋体"/>
                <w:color w:val="auto"/>
                <w:szCs w:val="21"/>
                <w:highlight w:val="none"/>
              </w:rPr>
            </w:pPr>
            <w:r>
              <w:rPr>
                <w:rFonts w:hint="eastAsia" w:ascii="宋体" w:hAnsi="宋体" w:cs="宋体"/>
                <w:color w:val="auto"/>
                <w:szCs w:val="21"/>
                <w:highlight w:val="none"/>
              </w:rPr>
              <w:t>1.4</w:t>
            </w:r>
            <w:r>
              <w:rPr>
                <w:rFonts w:hint="eastAsia" w:ascii="宋体" w:hAnsi="宋体" w:cs="宋体"/>
                <w:color w:val="auto"/>
                <w:szCs w:val="21"/>
                <w:highlight w:val="none"/>
                <w:lang w:eastAsia="uk-UA"/>
              </w:rPr>
              <w:t>彩色触摸控制屏，纯中文操作界面</w:t>
            </w:r>
            <w:r>
              <w:rPr>
                <w:rFonts w:hint="eastAsia" w:ascii="宋体" w:hAnsi="宋体" w:cs="宋体"/>
                <w:color w:val="auto"/>
                <w:szCs w:val="21"/>
                <w:highlight w:val="none"/>
              </w:rPr>
              <w:t>。</w:t>
            </w:r>
          </w:p>
          <w:p w14:paraId="64E6E766">
            <w:pPr>
              <w:spacing w:line="360" w:lineRule="auto"/>
              <w:rPr>
                <w:rFonts w:ascii="宋体" w:hAnsi="宋体" w:cs="宋体"/>
                <w:color w:val="auto"/>
                <w:szCs w:val="21"/>
                <w:highlight w:val="none"/>
              </w:rPr>
            </w:pPr>
            <w:r>
              <w:rPr>
                <w:rFonts w:hint="eastAsia" w:ascii="宋体" w:hAnsi="宋体" w:cs="宋体"/>
                <w:color w:val="auto"/>
                <w:szCs w:val="21"/>
                <w:highlight w:val="none"/>
              </w:rPr>
              <w:t>▲1.5站点数：总站点数≥30个，其中包括试剂站点≥18个，水洗站点≥4个，烤缸≥3个，加载/卸载站点≥6个（可智能配置，其中4个缸可设置为试剂缸）。</w:t>
            </w:r>
          </w:p>
          <w:p w14:paraId="1EEC04E4">
            <w:pPr>
              <w:spacing w:line="360" w:lineRule="auto"/>
              <w:rPr>
                <w:rFonts w:ascii="宋体" w:hAnsi="宋体" w:cs="宋体"/>
                <w:color w:val="auto"/>
                <w:szCs w:val="21"/>
                <w:highlight w:val="none"/>
              </w:rPr>
            </w:pPr>
            <w:r>
              <w:rPr>
                <w:rFonts w:hint="eastAsia" w:ascii="宋体" w:hAnsi="宋体" w:cs="宋体"/>
                <w:color w:val="auto"/>
                <w:szCs w:val="21"/>
                <w:highlight w:val="none"/>
              </w:rPr>
              <w:t>1.6具有加温功能的试剂缸≥4个，</w:t>
            </w:r>
            <w:r>
              <w:rPr>
                <w:rFonts w:hint="eastAsia" w:ascii="宋体" w:hAnsi="宋体" w:cs="宋体"/>
                <w:color w:val="auto"/>
                <w:szCs w:val="21"/>
                <w:highlight w:val="none"/>
                <w:lang w:eastAsia="uk-UA"/>
              </w:rPr>
              <w:t>温度范围为室温至 60℃可调</w:t>
            </w:r>
            <w:r>
              <w:rPr>
                <w:rFonts w:hint="eastAsia" w:ascii="宋体" w:hAnsi="宋体" w:cs="宋体"/>
                <w:color w:val="auto"/>
                <w:szCs w:val="21"/>
                <w:highlight w:val="none"/>
              </w:rPr>
              <w:t xml:space="preserve"> 。</w:t>
            </w:r>
          </w:p>
          <w:p w14:paraId="06DC8A61">
            <w:pPr>
              <w:spacing w:line="360" w:lineRule="auto"/>
              <w:rPr>
                <w:rFonts w:ascii="宋体" w:hAnsi="宋体" w:cs="宋体"/>
                <w:color w:val="auto"/>
                <w:szCs w:val="21"/>
                <w:highlight w:val="none"/>
              </w:rPr>
            </w:pPr>
            <w:r>
              <w:rPr>
                <w:rFonts w:hint="eastAsia" w:ascii="宋体" w:hAnsi="宋体" w:cs="宋体"/>
                <w:color w:val="auto"/>
                <w:szCs w:val="21"/>
                <w:highlight w:val="none"/>
              </w:rPr>
              <w:t>1.7标准试剂缸容量≥750ml。</w:t>
            </w:r>
          </w:p>
          <w:p w14:paraId="56667DC2">
            <w:pPr>
              <w:spacing w:line="360" w:lineRule="auto"/>
              <w:rPr>
                <w:rFonts w:ascii="宋体" w:hAnsi="宋体" w:cs="宋体"/>
                <w:color w:val="auto"/>
                <w:szCs w:val="21"/>
                <w:highlight w:val="none"/>
              </w:rPr>
            </w:pPr>
            <w:r>
              <w:rPr>
                <w:rFonts w:hint="eastAsia" w:ascii="宋体" w:hAnsi="宋体" w:cs="宋体"/>
                <w:color w:val="auto"/>
                <w:szCs w:val="21"/>
                <w:highlight w:val="none"/>
              </w:rPr>
              <w:t>1.8三排试剂缸位+一排多功能缸位设计。</w:t>
            </w:r>
          </w:p>
          <w:p w14:paraId="2EA31677">
            <w:pPr>
              <w:spacing w:line="360" w:lineRule="auto"/>
              <w:rPr>
                <w:rFonts w:ascii="宋体" w:hAnsi="宋体" w:cs="宋体"/>
                <w:color w:val="auto"/>
                <w:szCs w:val="21"/>
                <w:highlight w:val="none"/>
              </w:rPr>
            </w:pPr>
            <w:r>
              <w:rPr>
                <w:rFonts w:hint="eastAsia" w:ascii="宋体" w:hAnsi="宋体" w:cs="宋体"/>
                <w:color w:val="auto"/>
                <w:szCs w:val="21"/>
                <w:highlight w:val="none"/>
              </w:rPr>
              <w:t>1.9染色架运行方式：X-Y-Z运行轨迹。</w:t>
            </w:r>
          </w:p>
          <w:p w14:paraId="6B164B6C">
            <w:pPr>
              <w:spacing w:line="360" w:lineRule="auto"/>
              <w:rPr>
                <w:rFonts w:ascii="宋体" w:hAnsi="宋体" w:cs="宋体"/>
                <w:color w:val="auto"/>
                <w:szCs w:val="21"/>
                <w:highlight w:val="none"/>
              </w:rPr>
            </w:pPr>
            <w:r>
              <w:rPr>
                <w:rFonts w:hint="eastAsia" w:ascii="宋体" w:hAnsi="宋体" w:cs="宋体"/>
                <w:color w:val="auto"/>
                <w:szCs w:val="21"/>
                <w:highlight w:val="none"/>
              </w:rPr>
              <w:t>1.10 可编辑程序数量≥200套；每套可编程步骤≥200步。</w:t>
            </w:r>
          </w:p>
          <w:p w14:paraId="45D7F0A1">
            <w:pPr>
              <w:spacing w:line="360" w:lineRule="auto"/>
              <w:rPr>
                <w:rFonts w:ascii="宋体" w:hAnsi="宋体" w:cs="宋体"/>
                <w:color w:val="auto"/>
                <w:szCs w:val="21"/>
                <w:highlight w:val="none"/>
              </w:rPr>
            </w:pPr>
            <w:r>
              <w:rPr>
                <w:rFonts w:hint="eastAsia" w:ascii="宋体" w:hAnsi="宋体" w:cs="宋体"/>
                <w:color w:val="auto"/>
                <w:szCs w:val="21"/>
                <w:highlight w:val="none"/>
              </w:rPr>
              <w:t>1.11 具有语音提示功能：发生故障或者工作完成后，语音提示，提示频率、音量、次数可调。</w:t>
            </w:r>
          </w:p>
          <w:p w14:paraId="556611E1">
            <w:pPr>
              <w:spacing w:line="360" w:lineRule="auto"/>
              <w:rPr>
                <w:rFonts w:ascii="宋体" w:hAnsi="宋体" w:cs="宋体"/>
                <w:color w:val="auto"/>
                <w:szCs w:val="21"/>
                <w:highlight w:val="none"/>
              </w:rPr>
            </w:pPr>
            <w:r>
              <w:rPr>
                <w:rFonts w:hint="eastAsia" w:ascii="宋体" w:hAnsi="宋体" w:cs="宋体"/>
                <w:color w:val="auto"/>
                <w:szCs w:val="21"/>
                <w:highlight w:val="none"/>
              </w:rPr>
              <w:t>1.12 具备质控功能，记录并可导出机器运转情况记录。</w:t>
            </w:r>
          </w:p>
          <w:p w14:paraId="300D7AB3">
            <w:pPr>
              <w:spacing w:line="360" w:lineRule="auto"/>
              <w:rPr>
                <w:rFonts w:ascii="宋体" w:hAnsi="宋体" w:cs="宋体"/>
                <w:color w:val="auto"/>
                <w:szCs w:val="21"/>
                <w:highlight w:val="none"/>
              </w:rPr>
            </w:pPr>
            <w:r>
              <w:rPr>
                <w:rFonts w:hint="eastAsia" w:ascii="宋体" w:hAnsi="宋体" w:cs="宋体"/>
                <w:color w:val="auto"/>
                <w:szCs w:val="21"/>
                <w:highlight w:val="none"/>
              </w:rPr>
              <w:t>1.13</w:t>
            </w:r>
            <w:r>
              <w:rPr>
                <w:rFonts w:hint="eastAsia" w:ascii="宋体" w:hAnsi="宋体" w:cs="宋体"/>
                <w:color w:val="auto"/>
                <w:szCs w:val="21"/>
                <w:highlight w:val="none"/>
                <w:lang w:eastAsia="uk-UA"/>
              </w:rPr>
              <w:t>具有断电记忆功能，来电后提醒用户选择继续染色或重新开始，可任意缸开始；</w:t>
            </w:r>
          </w:p>
          <w:p w14:paraId="391DDFE1">
            <w:pPr>
              <w:spacing w:line="360" w:lineRule="auto"/>
              <w:rPr>
                <w:rFonts w:ascii="宋体" w:hAnsi="宋体" w:cs="宋体"/>
                <w:color w:val="auto"/>
                <w:szCs w:val="21"/>
                <w:highlight w:val="none"/>
              </w:rPr>
            </w:pPr>
            <w:r>
              <w:rPr>
                <w:rFonts w:hint="eastAsia" w:ascii="宋体" w:hAnsi="宋体" w:cs="宋体"/>
                <w:color w:val="auto"/>
                <w:szCs w:val="21"/>
                <w:highlight w:val="none"/>
              </w:rPr>
              <w:t>▲1.14试剂缸一次容纳≥60张玻片。</w:t>
            </w:r>
          </w:p>
          <w:p w14:paraId="21C956D4">
            <w:pPr>
              <w:spacing w:line="360" w:lineRule="auto"/>
              <w:rPr>
                <w:rFonts w:ascii="宋体" w:hAnsi="宋体" w:cs="宋体"/>
                <w:color w:val="auto"/>
                <w:szCs w:val="21"/>
                <w:highlight w:val="none"/>
              </w:rPr>
            </w:pPr>
            <w:r>
              <w:rPr>
                <w:rFonts w:hint="eastAsia" w:ascii="宋体" w:hAnsi="宋体" w:cs="宋体"/>
                <w:color w:val="auto"/>
                <w:szCs w:val="21"/>
                <w:highlight w:val="none"/>
              </w:rPr>
              <w:t>1.15 具有试剂管理功能，对试剂使用次数、天数进行精确管理，提醒用户及时更换试剂。</w:t>
            </w:r>
          </w:p>
          <w:p w14:paraId="071A51FE">
            <w:pPr>
              <w:spacing w:line="360" w:lineRule="auto"/>
              <w:rPr>
                <w:rFonts w:ascii="宋体" w:hAnsi="宋体" w:cs="宋体"/>
                <w:color w:val="auto"/>
                <w:szCs w:val="21"/>
                <w:highlight w:val="none"/>
              </w:rPr>
            </w:pPr>
            <w:r>
              <w:rPr>
                <w:rFonts w:hint="eastAsia" w:ascii="宋体" w:hAnsi="宋体" w:cs="宋体"/>
                <w:color w:val="auto"/>
                <w:szCs w:val="21"/>
                <w:highlight w:val="none"/>
              </w:rPr>
              <w:t>1.16 具有置换功能，提高染色效果，防止染色不均或者串色。</w:t>
            </w:r>
          </w:p>
          <w:p w14:paraId="10D02724">
            <w:pPr>
              <w:spacing w:line="360" w:lineRule="auto"/>
              <w:rPr>
                <w:rFonts w:ascii="宋体" w:hAnsi="宋体" w:cs="宋体"/>
                <w:color w:val="auto"/>
                <w:szCs w:val="21"/>
                <w:highlight w:val="none"/>
              </w:rPr>
            </w:pPr>
            <w:r>
              <w:rPr>
                <w:rFonts w:hint="eastAsia" w:ascii="宋体" w:hAnsi="宋体" w:cs="宋体"/>
                <w:color w:val="auto"/>
                <w:szCs w:val="21"/>
                <w:highlight w:val="none"/>
              </w:rPr>
              <w:t>1.17 具备废气浓度监测功能，具备活性碳吸附和排放废气功能。</w:t>
            </w:r>
          </w:p>
          <w:p w14:paraId="41DD1345">
            <w:pPr>
              <w:spacing w:line="360" w:lineRule="auto"/>
              <w:rPr>
                <w:rFonts w:ascii="宋体" w:hAnsi="宋体" w:cs="宋体"/>
                <w:color w:val="auto"/>
                <w:szCs w:val="21"/>
                <w:highlight w:val="none"/>
              </w:rPr>
            </w:pPr>
            <w:r>
              <w:rPr>
                <w:rFonts w:hint="eastAsia" w:ascii="宋体" w:hAnsi="宋体" w:cs="宋体"/>
                <w:color w:val="auto"/>
                <w:szCs w:val="21"/>
                <w:highlight w:val="none"/>
              </w:rPr>
              <w:t>▲1.18可以连接盖片机组成一体化染色盖片工作站，染色机与盖片机之间无连接桥，染色后的玻片通过转运车直接传送至盖片机内，盖好的玻片自动传送至内置储存系统内，容量≥220张玻片。可任意时间取走阅片。</w:t>
            </w:r>
          </w:p>
          <w:p w14:paraId="469F4443">
            <w:pPr>
              <w:spacing w:line="360" w:lineRule="auto"/>
              <w:rPr>
                <w:rFonts w:ascii="宋体" w:hAnsi="宋体" w:cs="宋体"/>
                <w:color w:val="auto"/>
                <w:szCs w:val="21"/>
                <w:highlight w:val="none"/>
              </w:rPr>
            </w:pPr>
            <w:r>
              <w:rPr>
                <w:rFonts w:hint="eastAsia" w:ascii="宋体" w:hAnsi="宋体" w:cs="宋体"/>
                <w:color w:val="auto"/>
                <w:szCs w:val="21"/>
                <w:highlight w:val="none"/>
              </w:rPr>
              <w:t>1.19 智能化速度匹配设计，染色盖片两台机器无时间差流水线作业功能。</w:t>
            </w:r>
          </w:p>
          <w:p w14:paraId="19CBAA28">
            <w:pPr>
              <w:spacing w:line="360" w:lineRule="auto"/>
              <w:rPr>
                <w:rFonts w:ascii="宋体" w:hAnsi="宋体" w:cs="宋体"/>
                <w:color w:val="auto"/>
                <w:szCs w:val="21"/>
                <w:highlight w:val="none"/>
              </w:rPr>
            </w:pPr>
            <w:r>
              <w:rPr>
                <w:rFonts w:hint="eastAsia" w:ascii="宋体" w:hAnsi="宋体" w:cs="宋体"/>
                <w:color w:val="auto"/>
                <w:szCs w:val="21"/>
                <w:highlight w:val="none"/>
              </w:rPr>
              <w:t>1.20工作站的染色、盖片功能，既可单独使用，也可组合使用。</w:t>
            </w:r>
          </w:p>
          <w:p w14:paraId="481D1145">
            <w:pPr>
              <w:spacing w:line="360" w:lineRule="auto"/>
              <w:rPr>
                <w:rFonts w:ascii="宋体" w:hAnsi="宋体" w:cs="宋体"/>
                <w:color w:val="auto"/>
                <w:szCs w:val="21"/>
                <w:highlight w:val="none"/>
              </w:rPr>
            </w:pPr>
            <w:r>
              <w:rPr>
                <w:rFonts w:hint="eastAsia" w:ascii="宋体" w:hAnsi="宋体" w:cs="宋体"/>
                <w:color w:val="auto"/>
                <w:szCs w:val="21"/>
                <w:highlight w:val="none"/>
              </w:rPr>
              <w:t>2.盖片机：</w:t>
            </w:r>
          </w:p>
          <w:p w14:paraId="5E897159">
            <w:pPr>
              <w:spacing w:line="360" w:lineRule="auto"/>
              <w:rPr>
                <w:rFonts w:ascii="宋体" w:hAnsi="宋体" w:cs="宋体"/>
                <w:color w:val="auto"/>
                <w:szCs w:val="21"/>
                <w:highlight w:val="none"/>
              </w:rPr>
            </w:pPr>
            <w:r>
              <w:rPr>
                <w:rFonts w:hint="eastAsia" w:ascii="宋体" w:hAnsi="宋体" w:cs="宋体"/>
                <w:color w:val="auto"/>
                <w:szCs w:val="21"/>
                <w:highlight w:val="none"/>
              </w:rPr>
              <w:t>2.1 盖片机配置≥8寸彩色触摸控制屏。</w:t>
            </w:r>
          </w:p>
          <w:p w14:paraId="18B87BBC">
            <w:pPr>
              <w:spacing w:line="360" w:lineRule="auto"/>
              <w:rPr>
                <w:rFonts w:ascii="宋体" w:hAnsi="宋体" w:cs="宋体"/>
                <w:color w:val="auto"/>
                <w:szCs w:val="21"/>
                <w:highlight w:val="none"/>
              </w:rPr>
            </w:pPr>
            <w:r>
              <w:rPr>
                <w:rFonts w:hint="eastAsia" w:ascii="宋体" w:hAnsi="宋体" w:cs="宋体"/>
                <w:color w:val="auto"/>
                <w:szCs w:val="21"/>
                <w:highlight w:val="none"/>
              </w:rPr>
              <w:t>2.2 玻璃盖玻片盖片模式，降低科室耗材消耗，提高读片质量。</w:t>
            </w:r>
          </w:p>
          <w:p w14:paraId="7ED8C290">
            <w:pPr>
              <w:spacing w:line="360" w:lineRule="auto"/>
              <w:rPr>
                <w:rFonts w:ascii="宋体" w:hAnsi="宋体" w:cs="宋体"/>
                <w:color w:val="auto"/>
                <w:szCs w:val="21"/>
                <w:highlight w:val="none"/>
              </w:rPr>
            </w:pPr>
            <w:r>
              <w:rPr>
                <w:rFonts w:hint="eastAsia" w:ascii="宋体" w:hAnsi="宋体" w:cs="宋体"/>
                <w:color w:val="auto"/>
                <w:szCs w:val="21"/>
                <w:highlight w:val="none"/>
              </w:rPr>
              <w:t>2.3 圆弧运动盖片，盖片均匀，防止溢胶。</w:t>
            </w:r>
          </w:p>
          <w:p w14:paraId="7F6429D7">
            <w:pPr>
              <w:spacing w:line="360" w:lineRule="auto"/>
              <w:rPr>
                <w:rFonts w:ascii="宋体" w:hAnsi="宋体" w:cs="宋体"/>
                <w:color w:val="auto"/>
                <w:szCs w:val="21"/>
                <w:highlight w:val="none"/>
              </w:rPr>
            </w:pPr>
            <w:r>
              <w:rPr>
                <w:rFonts w:hint="eastAsia" w:ascii="宋体" w:hAnsi="宋体" w:cs="宋体"/>
                <w:color w:val="auto"/>
                <w:szCs w:val="21"/>
                <w:highlight w:val="none"/>
              </w:rPr>
              <w:t>▲2.4具备快捷盖片程序≥4个，可根据标本类型选择相应的盖片程序，实现个性化盖片。</w:t>
            </w:r>
          </w:p>
          <w:p w14:paraId="7BEDB229">
            <w:pPr>
              <w:spacing w:line="360" w:lineRule="auto"/>
              <w:rPr>
                <w:rFonts w:ascii="宋体" w:hAnsi="宋体" w:cs="宋体"/>
                <w:color w:val="auto"/>
                <w:szCs w:val="21"/>
                <w:highlight w:val="none"/>
              </w:rPr>
            </w:pPr>
            <w:r>
              <w:rPr>
                <w:rFonts w:hint="eastAsia" w:ascii="宋体" w:hAnsi="宋体" w:cs="宋体"/>
                <w:color w:val="auto"/>
                <w:szCs w:val="21"/>
                <w:highlight w:val="none"/>
              </w:rPr>
              <w:t>2.5 具有破损盖玻片、无盖玻片智能检测。破损盖玻片自动检测并移除；无盖玻片时自动报警并停止工作。</w:t>
            </w:r>
          </w:p>
          <w:p w14:paraId="318D6E48">
            <w:pPr>
              <w:spacing w:line="360" w:lineRule="auto"/>
              <w:rPr>
                <w:rFonts w:ascii="宋体" w:hAnsi="宋体" w:cs="宋体"/>
                <w:color w:val="auto"/>
                <w:szCs w:val="21"/>
                <w:highlight w:val="none"/>
              </w:rPr>
            </w:pPr>
            <w:r>
              <w:rPr>
                <w:rFonts w:hint="eastAsia" w:ascii="宋体" w:hAnsi="宋体" w:cs="宋体"/>
                <w:color w:val="auto"/>
                <w:szCs w:val="21"/>
                <w:highlight w:val="none"/>
              </w:rPr>
              <w:t>2.6 喷胶针工作位置实时检测，喷胶针不在工作位置时机器不运行并自动报警。关机时显示屏自动提示喷胶针复位浸泡至二甲苯瓶内，不复位无法关机，避免喷胶针堵塞。</w:t>
            </w:r>
          </w:p>
          <w:p w14:paraId="07C34C50">
            <w:pPr>
              <w:spacing w:line="360" w:lineRule="auto"/>
              <w:rPr>
                <w:rFonts w:ascii="宋体" w:hAnsi="宋体" w:cs="宋体"/>
                <w:color w:val="auto"/>
                <w:szCs w:val="21"/>
                <w:highlight w:val="none"/>
              </w:rPr>
            </w:pPr>
            <w:r>
              <w:rPr>
                <w:rFonts w:hint="eastAsia" w:ascii="宋体" w:hAnsi="宋体" w:cs="宋体"/>
                <w:color w:val="auto"/>
                <w:szCs w:val="21"/>
                <w:highlight w:val="none"/>
              </w:rPr>
              <w:t>2.7 设备故障自检功能。</w:t>
            </w:r>
          </w:p>
          <w:p w14:paraId="11E58D90">
            <w:pPr>
              <w:spacing w:line="360" w:lineRule="auto"/>
              <w:rPr>
                <w:rFonts w:ascii="宋体" w:hAnsi="宋体" w:cs="宋体"/>
                <w:color w:val="auto"/>
                <w:szCs w:val="21"/>
                <w:highlight w:val="none"/>
              </w:rPr>
            </w:pPr>
            <w:r>
              <w:rPr>
                <w:rFonts w:hint="eastAsia" w:ascii="宋体" w:hAnsi="宋体" w:cs="宋体"/>
                <w:color w:val="auto"/>
                <w:szCs w:val="21"/>
                <w:highlight w:val="none"/>
              </w:rPr>
              <w:t>2.8 具备质控功能，实时记录盖片数量和收集盒数量，自动存储，随时查阅，后可导出数据。</w:t>
            </w:r>
          </w:p>
          <w:p w14:paraId="2F6913D5">
            <w:pPr>
              <w:spacing w:line="360" w:lineRule="auto"/>
              <w:rPr>
                <w:rFonts w:ascii="宋体" w:hAnsi="宋体" w:cs="宋体"/>
                <w:color w:val="auto"/>
                <w:szCs w:val="21"/>
                <w:highlight w:val="none"/>
              </w:rPr>
            </w:pPr>
            <w:r>
              <w:rPr>
                <w:rFonts w:hint="eastAsia" w:ascii="宋体" w:hAnsi="宋体" w:cs="宋体"/>
                <w:color w:val="auto"/>
                <w:szCs w:val="21"/>
                <w:highlight w:val="none"/>
              </w:rPr>
              <w:t>2.9 语音提示功能：联机后发生故障或者工作完成，有语音提示功能，提示频率、音量、次数可调。</w:t>
            </w:r>
          </w:p>
          <w:p w14:paraId="26C45592">
            <w:pPr>
              <w:spacing w:line="360" w:lineRule="auto"/>
              <w:rPr>
                <w:rFonts w:ascii="宋体" w:hAnsi="宋体" w:cs="宋体"/>
                <w:color w:val="auto"/>
                <w:szCs w:val="21"/>
                <w:highlight w:val="none"/>
              </w:rPr>
            </w:pPr>
            <w:r>
              <w:rPr>
                <w:rFonts w:hint="eastAsia" w:ascii="宋体" w:hAnsi="宋体" w:cs="宋体"/>
                <w:color w:val="auto"/>
                <w:szCs w:val="21"/>
                <w:highlight w:val="none"/>
              </w:rPr>
              <w:t>▲2.10盖片机内置收集系统。</w:t>
            </w:r>
          </w:p>
          <w:p w14:paraId="2C5A97A4">
            <w:pPr>
              <w:spacing w:line="360" w:lineRule="auto"/>
              <w:rPr>
                <w:rFonts w:ascii="宋体" w:hAnsi="宋体" w:cs="宋体"/>
                <w:color w:val="auto"/>
                <w:szCs w:val="21"/>
                <w:highlight w:val="none"/>
              </w:rPr>
            </w:pPr>
            <w:r>
              <w:rPr>
                <w:rFonts w:hint="eastAsia" w:ascii="宋体" w:hAnsi="宋体" w:cs="宋体"/>
                <w:color w:val="auto"/>
                <w:szCs w:val="21"/>
                <w:highlight w:val="none"/>
              </w:rPr>
              <w:t>2.11 盖片机配置载玻片自动风干功能。</w:t>
            </w:r>
          </w:p>
          <w:p w14:paraId="24EC6681">
            <w:pPr>
              <w:spacing w:line="360" w:lineRule="auto"/>
              <w:rPr>
                <w:rFonts w:ascii="宋体" w:hAnsi="宋体" w:cs="宋体"/>
                <w:color w:val="auto"/>
                <w:szCs w:val="21"/>
                <w:highlight w:val="none"/>
              </w:rPr>
            </w:pPr>
            <w:r>
              <w:rPr>
                <w:rFonts w:hint="eastAsia" w:ascii="宋体" w:hAnsi="宋体" w:cs="宋体"/>
                <w:color w:val="auto"/>
                <w:szCs w:val="21"/>
                <w:highlight w:val="none"/>
              </w:rPr>
              <w:t>▲2.12盖片速度≥ 700片/小时。</w:t>
            </w:r>
          </w:p>
          <w:p w14:paraId="7A19898F">
            <w:pPr>
              <w:spacing w:line="360" w:lineRule="auto"/>
              <w:rPr>
                <w:rFonts w:ascii="宋体" w:hAnsi="宋体" w:cs="宋体"/>
                <w:color w:val="auto"/>
                <w:szCs w:val="21"/>
                <w:highlight w:val="none"/>
              </w:rPr>
            </w:pPr>
            <w:r>
              <w:rPr>
                <w:rFonts w:hint="eastAsia" w:ascii="宋体" w:hAnsi="宋体" w:cs="宋体"/>
                <w:color w:val="auto"/>
                <w:szCs w:val="21"/>
                <w:highlight w:val="none"/>
              </w:rPr>
              <w:t>▲3.使用年限≥8年</w:t>
            </w:r>
          </w:p>
          <w:p w14:paraId="59A7EF5B">
            <w:pPr>
              <w:spacing w:line="360" w:lineRule="auto"/>
              <w:rPr>
                <w:rFonts w:ascii="宋体" w:hAnsi="宋体" w:cs="宋体"/>
                <w:b/>
                <w:bCs/>
                <w:color w:val="auto"/>
                <w:szCs w:val="21"/>
                <w:highlight w:val="none"/>
              </w:rPr>
            </w:pPr>
            <w:r>
              <w:rPr>
                <w:rFonts w:hint="eastAsia" w:ascii="宋体" w:hAnsi="宋体" w:cs="宋体"/>
                <w:b/>
                <w:color w:val="auto"/>
                <w:szCs w:val="21"/>
                <w:highlight w:val="none"/>
              </w:rPr>
              <w:t>▲</w:t>
            </w:r>
            <w:r>
              <w:rPr>
                <w:rFonts w:hint="eastAsia" w:ascii="宋体" w:hAnsi="宋体" w:cs="宋体"/>
                <w:b/>
                <w:bCs/>
                <w:color w:val="auto"/>
                <w:szCs w:val="21"/>
                <w:highlight w:val="none"/>
              </w:rPr>
              <w:t>二、配置清单</w:t>
            </w:r>
          </w:p>
          <w:p w14:paraId="71FBB5EE">
            <w:pPr>
              <w:spacing w:line="360" w:lineRule="auto"/>
              <w:rPr>
                <w:rFonts w:ascii="宋体" w:hAnsi="宋体" w:cs="宋体"/>
                <w:color w:val="auto"/>
                <w:szCs w:val="21"/>
                <w:highlight w:val="none"/>
              </w:rPr>
            </w:pPr>
            <w:r>
              <w:rPr>
                <w:rFonts w:hint="eastAsia" w:ascii="宋体" w:hAnsi="宋体" w:cs="宋体"/>
                <w:color w:val="auto"/>
                <w:szCs w:val="21"/>
                <w:highlight w:val="none"/>
              </w:rPr>
              <w:t>1.自动染色机主机1台</w:t>
            </w:r>
          </w:p>
          <w:p w14:paraId="72968A79">
            <w:pPr>
              <w:spacing w:line="360" w:lineRule="auto"/>
              <w:rPr>
                <w:rFonts w:ascii="宋体" w:hAnsi="宋体" w:cs="宋体"/>
                <w:color w:val="auto"/>
                <w:szCs w:val="21"/>
                <w:highlight w:val="none"/>
              </w:rPr>
            </w:pPr>
            <w:r>
              <w:rPr>
                <w:rFonts w:hint="eastAsia" w:ascii="宋体" w:hAnsi="宋体" w:cs="宋体"/>
                <w:color w:val="auto"/>
                <w:szCs w:val="21"/>
                <w:highlight w:val="none"/>
              </w:rPr>
              <w:t>2.封片机主机1台</w:t>
            </w:r>
          </w:p>
          <w:p w14:paraId="1741103D">
            <w:pPr>
              <w:spacing w:line="360" w:lineRule="auto"/>
              <w:rPr>
                <w:rFonts w:ascii="宋体" w:hAnsi="宋体" w:cs="宋体"/>
                <w:color w:val="auto"/>
                <w:szCs w:val="21"/>
                <w:highlight w:val="none"/>
              </w:rPr>
            </w:pPr>
            <w:r>
              <w:rPr>
                <w:rFonts w:hint="eastAsia" w:ascii="宋体" w:hAnsi="宋体" w:cs="宋体"/>
                <w:color w:val="auto"/>
                <w:szCs w:val="21"/>
                <w:highlight w:val="none"/>
              </w:rPr>
              <w:t>3.染色架20个</w:t>
            </w:r>
          </w:p>
          <w:p w14:paraId="17F1BF52">
            <w:pPr>
              <w:spacing w:line="360" w:lineRule="auto"/>
              <w:rPr>
                <w:rFonts w:ascii="宋体" w:hAnsi="宋体" w:cs="宋体"/>
                <w:color w:val="auto"/>
                <w:szCs w:val="21"/>
                <w:highlight w:val="none"/>
              </w:rPr>
            </w:pPr>
            <w:r>
              <w:rPr>
                <w:rFonts w:hint="eastAsia" w:ascii="宋体" w:hAnsi="宋体" w:cs="宋体"/>
                <w:color w:val="auto"/>
                <w:szCs w:val="21"/>
                <w:highlight w:val="none"/>
              </w:rPr>
              <w:t>4.染色挂钩20个</w:t>
            </w:r>
          </w:p>
          <w:p w14:paraId="7D8DFE50">
            <w:pPr>
              <w:pStyle w:val="46"/>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5.试剂缸10个</w:t>
            </w:r>
          </w:p>
          <w:p w14:paraId="2E48FA7F">
            <w:pPr>
              <w:pStyle w:val="46"/>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6.盖玻片盒1个</w:t>
            </w:r>
          </w:p>
          <w:p w14:paraId="3E1F1221">
            <w:pPr>
              <w:pStyle w:val="46"/>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7.点胶瓶1个</w:t>
            </w:r>
          </w:p>
          <w:p w14:paraId="0CD3BB12">
            <w:pPr>
              <w:pStyle w:val="46"/>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8.点胶针6个</w:t>
            </w:r>
          </w:p>
          <w:p w14:paraId="3A110D75">
            <w:pPr>
              <w:pStyle w:val="46"/>
              <w:spacing w:line="360" w:lineRule="auto"/>
              <w:ind w:firstLine="0" w:firstLineChars="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9.小试剂瓶1个</w:t>
            </w:r>
          </w:p>
          <w:p w14:paraId="15DAD7BA">
            <w:pPr>
              <w:pStyle w:val="46"/>
              <w:spacing w:line="360" w:lineRule="auto"/>
              <w:ind w:firstLine="0" w:firstLineChars="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10.清洗瓶1个</w:t>
            </w:r>
          </w:p>
          <w:p w14:paraId="032E3AAA">
            <w:pPr>
              <w:pStyle w:val="46"/>
              <w:spacing w:line="360" w:lineRule="auto"/>
              <w:ind w:firstLine="0" w:firstLineChars="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11.随机配件、安装附件等1套</w:t>
            </w:r>
          </w:p>
          <w:p w14:paraId="2E6DE6AF">
            <w:pPr>
              <w:pStyle w:val="46"/>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三、保证质保期内开机率不低于95%，即1年停机时间不超过18个日历天，若超过一个停机日历天则设备质保期顺延2天。</w:t>
            </w:r>
          </w:p>
          <w:p w14:paraId="2B555CB2">
            <w:pPr>
              <w:pStyle w:val="46"/>
              <w:spacing w:line="360" w:lineRule="auto"/>
              <w:ind w:firstLine="0" w:firstLineChars="0"/>
              <w:rPr>
                <w:rFonts w:ascii="宋体" w:hAnsi="宋体" w:cs="宋体"/>
                <w:b/>
                <w:bCs/>
                <w:color w:val="auto"/>
                <w:szCs w:val="21"/>
                <w:highlight w:val="none"/>
              </w:rPr>
            </w:pPr>
            <w:r>
              <w:rPr>
                <w:rFonts w:hint="eastAsia" w:hAnsi="宋体" w:cs="宋体"/>
                <w:b/>
                <w:color w:val="auto"/>
                <w:szCs w:val="21"/>
                <w:highlight w:val="none"/>
              </w:rPr>
              <w:t>▲四</w:t>
            </w:r>
            <w:r>
              <w:rPr>
                <w:rFonts w:hint="eastAsia" w:hAnsi="宋体" w:cs="宋体"/>
                <w:color w:val="auto"/>
                <w:szCs w:val="21"/>
                <w:highlight w:val="none"/>
              </w:rPr>
              <w:t>、</w:t>
            </w:r>
            <w:r>
              <w:rPr>
                <w:rFonts w:hint="eastAsia" w:ascii="宋体" w:hAnsi="宋体" w:cs="宋体"/>
                <w:color w:val="auto"/>
                <w:szCs w:val="21"/>
                <w:highlight w:val="none"/>
              </w:rPr>
              <w:t>本项货物特殊质保期要求：</w:t>
            </w:r>
            <w:r>
              <w:rPr>
                <w:rFonts w:hint="eastAsia" w:ascii="宋体" w:hAnsi="宋体" w:cs="宋体"/>
                <w:color w:val="auto"/>
                <w:kern w:val="0"/>
                <w:szCs w:val="21"/>
                <w:highlight w:val="none"/>
                <w:lang w:bidi="ar"/>
              </w:rPr>
              <w:t>按国家有关产品三包规定执行“三包”，质保期：整机（含配件）质保期不少于3年。</w:t>
            </w:r>
          </w:p>
        </w:tc>
      </w:tr>
      <w:tr w14:paraId="1AFB2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56E86666">
            <w:pPr>
              <w:numPr>
                <w:ilvl w:val="0"/>
                <w:numId w:val="5"/>
              </w:numPr>
              <w:snapToGrid w:val="0"/>
              <w:spacing w:line="360" w:lineRule="auto"/>
              <w:jc w:val="center"/>
              <w:rPr>
                <w:rFonts w:ascii="宋体" w:hAnsi="宋体" w:cs="宋体"/>
                <w:color w:val="auto"/>
                <w:szCs w:val="21"/>
                <w:highlight w:val="none"/>
              </w:rPr>
            </w:pPr>
          </w:p>
        </w:tc>
        <w:tc>
          <w:tcPr>
            <w:tcW w:w="944" w:type="dxa"/>
            <w:vAlign w:val="center"/>
          </w:tcPr>
          <w:p w14:paraId="31EF4E0A">
            <w:pPr>
              <w:widowControl/>
              <w:spacing w:line="360" w:lineRule="auto"/>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全自动血液流变快测仪</w:t>
            </w:r>
          </w:p>
        </w:tc>
        <w:tc>
          <w:tcPr>
            <w:tcW w:w="1320" w:type="dxa"/>
            <w:tcBorders>
              <w:right w:val="single" w:color="auto" w:sz="4" w:space="0"/>
            </w:tcBorders>
            <w:vAlign w:val="center"/>
          </w:tcPr>
          <w:p w14:paraId="2329D3A8">
            <w:pPr>
              <w:widowControl/>
              <w:jc w:val="center"/>
              <w:textAlignment w:val="bottom"/>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17.6</w:t>
            </w:r>
          </w:p>
        </w:tc>
        <w:tc>
          <w:tcPr>
            <w:tcW w:w="997" w:type="dxa"/>
            <w:gridSpan w:val="2"/>
            <w:tcBorders>
              <w:right w:val="single" w:color="auto" w:sz="4" w:space="0"/>
            </w:tcBorders>
            <w:vAlign w:val="center"/>
          </w:tcPr>
          <w:p w14:paraId="628142C5">
            <w:pPr>
              <w:widowControl/>
              <w:spacing w:line="360" w:lineRule="auto"/>
              <w:jc w:val="center"/>
              <w:textAlignment w:val="bottom"/>
              <w:rPr>
                <w:rFonts w:ascii="宋体" w:hAnsi="宋体" w:cs="宋体"/>
                <w:color w:val="auto"/>
                <w:szCs w:val="21"/>
                <w:highlight w:val="none"/>
              </w:rPr>
            </w:pPr>
            <w:r>
              <w:rPr>
                <w:rFonts w:hint="eastAsia" w:ascii="宋体" w:hAnsi="宋体" w:cs="宋体"/>
                <w:color w:val="auto"/>
                <w:szCs w:val="21"/>
                <w:highlight w:val="none"/>
              </w:rPr>
              <w:t>1套</w:t>
            </w:r>
          </w:p>
        </w:tc>
        <w:tc>
          <w:tcPr>
            <w:tcW w:w="5932" w:type="dxa"/>
            <w:tcBorders>
              <w:left w:val="single" w:color="auto" w:sz="4" w:space="0"/>
            </w:tcBorders>
            <w:shd w:val="clear" w:color="auto" w:fill="auto"/>
            <w:vAlign w:val="center"/>
          </w:tcPr>
          <w:p w14:paraId="36FDE7FB">
            <w:pPr>
              <w:numPr>
                <w:ilvl w:val="0"/>
                <w:numId w:val="6"/>
              </w:num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功能用途</w:t>
            </w:r>
          </w:p>
          <w:p w14:paraId="0F84556C">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采用非接触式压力传感式检测原理自动化检测全血及血浆粘度。</w:t>
            </w:r>
          </w:p>
          <w:p w14:paraId="578728D8">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二、技术参数</w:t>
            </w:r>
          </w:p>
          <w:p w14:paraId="35A3F5A9">
            <w:pPr>
              <w:pStyle w:val="42"/>
              <w:spacing w:before="0" w:beforeAutospacing="0" w:after="0" w:afterAutospacing="0" w:line="360" w:lineRule="auto"/>
              <w:ind w:left="425" w:hanging="425"/>
              <w:jc w:val="both"/>
              <w:rPr>
                <w:rFonts w:cs="宋体"/>
                <w:color w:val="auto"/>
                <w:sz w:val="21"/>
                <w:szCs w:val="21"/>
                <w:highlight w:val="none"/>
              </w:rPr>
            </w:pPr>
            <w:r>
              <w:rPr>
                <w:rFonts w:hint="eastAsia" w:cs="宋体"/>
                <w:color w:val="auto"/>
                <w:sz w:val="21"/>
                <w:szCs w:val="21"/>
                <w:highlight w:val="none"/>
              </w:rPr>
              <w:t>1．可扩展</w:t>
            </w:r>
            <w:r>
              <w:rPr>
                <w:rStyle w:val="52"/>
                <w:rFonts w:hint="eastAsia" w:cs="宋体"/>
                <w:b w:val="0"/>
                <w:color w:val="auto"/>
                <w:sz w:val="21"/>
                <w:szCs w:val="21"/>
                <w:highlight w:val="none"/>
              </w:rPr>
              <w:t>----300S－1—400S－1</w:t>
            </w:r>
          </w:p>
          <w:p w14:paraId="77C14724">
            <w:pPr>
              <w:pStyle w:val="42"/>
              <w:spacing w:before="0" w:beforeAutospacing="0" w:after="0" w:afterAutospacing="0" w:line="360" w:lineRule="auto"/>
              <w:jc w:val="both"/>
              <w:rPr>
                <w:rFonts w:cs="宋体"/>
                <w:color w:val="auto"/>
                <w:sz w:val="21"/>
                <w:szCs w:val="21"/>
                <w:highlight w:val="none"/>
              </w:rPr>
            </w:pPr>
            <w:r>
              <w:rPr>
                <w:rFonts w:hint="eastAsia" w:cs="宋体"/>
                <w:bCs/>
                <w:color w:val="auto"/>
                <w:sz w:val="21"/>
                <w:szCs w:val="21"/>
                <w:highlight w:val="none"/>
              </w:rPr>
              <w:t>2</w:t>
            </w:r>
            <w:r>
              <w:rPr>
                <w:rFonts w:hint="eastAsia" w:cs="宋体"/>
                <w:color w:val="auto"/>
                <w:sz w:val="21"/>
                <w:szCs w:val="21"/>
                <w:highlight w:val="none"/>
              </w:rPr>
              <w:t>．测量范围 ---</w:t>
            </w:r>
            <w:r>
              <w:rPr>
                <w:rStyle w:val="52"/>
                <w:rFonts w:hint="eastAsia" w:cs="宋体"/>
                <w:b w:val="0"/>
                <w:color w:val="auto"/>
                <w:sz w:val="21"/>
                <w:szCs w:val="21"/>
                <w:highlight w:val="none"/>
              </w:rPr>
              <w:t>-0mpa.s—60 mpa.s</w:t>
            </w:r>
          </w:p>
          <w:p w14:paraId="2BF85DE7">
            <w:pPr>
              <w:pStyle w:val="42"/>
              <w:spacing w:before="0" w:beforeAutospacing="0" w:after="0" w:afterAutospacing="0" w:line="360" w:lineRule="auto"/>
              <w:ind w:left="425" w:hanging="425"/>
              <w:jc w:val="both"/>
              <w:rPr>
                <w:rFonts w:cs="宋体"/>
                <w:color w:val="auto"/>
                <w:sz w:val="21"/>
                <w:szCs w:val="21"/>
                <w:highlight w:val="none"/>
              </w:rPr>
            </w:pPr>
            <w:r>
              <w:rPr>
                <w:rFonts w:hint="eastAsia" w:cs="宋体"/>
                <w:color w:val="auto"/>
                <w:sz w:val="21"/>
                <w:szCs w:val="21"/>
                <w:highlight w:val="none"/>
              </w:rPr>
              <w:t>3．全血重复性----高切变率：</w:t>
            </w:r>
            <w:r>
              <w:rPr>
                <w:rStyle w:val="52"/>
                <w:rFonts w:hint="eastAsia" w:cs="宋体"/>
                <w:b w:val="0"/>
                <w:color w:val="auto"/>
                <w:sz w:val="21"/>
                <w:szCs w:val="21"/>
                <w:highlight w:val="none"/>
              </w:rPr>
              <w:t>≤1.1%</w:t>
            </w:r>
            <w:r>
              <w:rPr>
                <w:rFonts w:hint="eastAsia" w:cs="宋体"/>
                <w:color w:val="auto"/>
                <w:sz w:val="21"/>
                <w:szCs w:val="21"/>
                <w:highlight w:val="none"/>
              </w:rPr>
              <w:t xml:space="preserve"> </w:t>
            </w:r>
          </w:p>
          <w:p w14:paraId="3758562F">
            <w:pPr>
              <w:pStyle w:val="42"/>
              <w:spacing w:before="0" w:beforeAutospacing="0" w:after="0" w:afterAutospacing="0" w:line="360" w:lineRule="auto"/>
              <w:ind w:left="425" w:hanging="425"/>
              <w:jc w:val="both"/>
              <w:rPr>
                <w:rFonts w:cs="宋体"/>
                <w:color w:val="auto"/>
                <w:sz w:val="21"/>
                <w:szCs w:val="21"/>
                <w:highlight w:val="none"/>
              </w:rPr>
            </w:pPr>
            <w:r>
              <w:rPr>
                <w:rFonts w:hint="eastAsia" w:cs="宋体"/>
                <w:color w:val="auto"/>
                <w:sz w:val="21"/>
                <w:szCs w:val="21"/>
                <w:highlight w:val="none"/>
              </w:rPr>
              <w:t>4．低切变率：</w:t>
            </w:r>
            <w:r>
              <w:rPr>
                <w:rStyle w:val="52"/>
                <w:rFonts w:hint="eastAsia" w:cs="宋体"/>
                <w:b w:val="0"/>
                <w:color w:val="auto"/>
                <w:sz w:val="21"/>
                <w:szCs w:val="21"/>
                <w:highlight w:val="none"/>
              </w:rPr>
              <w:t>≤1.3%</w:t>
            </w:r>
          </w:p>
          <w:p w14:paraId="0F7682FE">
            <w:pPr>
              <w:pStyle w:val="42"/>
              <w:spacing w:before="0" w:beforeAutospacing="0" w:after="0" w:afterAutospacing="0" w:line="360" w:lineRule="auto"/>
              <w:ind w:left="425" w:hanging="425"/>
              <w:jc w:val="both"/>
              <w:rPr>
                <w:rFonts w:cs="宋体"/>
                <w:color w:val="auto"/>
                <w:sz w:val="21"/>
                <w:szCs w:val="21"/>
                <w:highlight w:val="none"/>
              </w:rPr>
            </w:pPr>
            <w:r>
              <w:rPr>
                <w:rFonts w:hint="eastAsia" w:cs="宋体"/>
                <w:color w:val="auto"/>
                <w:sz w:val="21"/>
                <w:szCs w:val="21"/>
                <w:highlight w:val="none"/>
              </w:rPr>
              <w:t>5．</w:t>
            </w:r>
            <w:r>
              <w:rPr>
                <w:rStyle w:val="52"/>
                <w:rFonts w:hint="eastAsia" w:cs="宋体"/>
                <w:b w:val="0"/>
                <w:color w:val="auto"/>
                <w:sz w:val="21"/>
                <w:szCs w:val="21"/>
                <w:highlight w:val="none"/>
              </w:rPr>
              <w:t>血浆重复性---- ≤1.3%</w:t>
            </w:r>
          </w:p>
          <w:p w14:paraId="1D564A5C">
            <w:pPr>
              <w:pStyle w:val="42"/>
              <w:spacing w:before="0" w:beforeAutospacing="0" w:after="0" w:afterAutospacing="0" w:line="360" w:lineRule="auto"/>
              <w:ind w:left="425" w:hanging="425"/>
              <w:jc w:val="both"/>
              <w:rPr>
                <w:rFonts w:cs="宋体"/>
                <w:color w:val="auto"/>
                <w:sz w:val="21"/>
                <w:szCs w:val="21"/>
                <w:highlight w:val="none"/>
              </w:rPr>
            </w:pPr>
            <w:r>
              <w:rPr>
                <w:rFonts w:hint="eastAsia" w:cs="宋体"/>
                <w:color w:val="auto"/>
                <w:sz w:val="21"/>
                <w:szCs w:val="21"/>
                <w:highlight w:val="none"/>
              </w:rPr>
              <w:t>6．温度控制 -----</w:t>
            </w:r>
            <w:r>
              <w:rPr>
                <w:rStyle w:val="52"/>
                <w:rFonts w:hint="eastAsia" w:cs="宋体"/>
                <w:b w:val="0"/>
                <w:color w:val="auto"/>
                <w:sz w:val="21"/>
                <w:szCs w:val="21"/>
                <w:highlight w:val="none"/>
              </w:rPr>
              <w:t>37℃±0.1℃</w:t>
            </w:r>
          </w:p>
          <w:p w14:paraId="1B9D4302">
            <w:pPr>
              <w:pStyle w:val="42"/>
              <w:spacing w:before="0" w:beforeAutospacing="0" w:after="0" w:afterAutospacing="0" w:line="360" w:lineRule="auto"/>
              <w:ind w:left="425" w:hanging="425"/>
              <w:jc w:val="both"/>
              <w:rPr>
                <w:rFonts w:cs="宋体"/>
                <w:color w:val="auto"/>
                <w:sz w:val="21"/>
                <w:szCs w:val="21"/>
                <w:highlight w:val="none"/>
              </w:rPr>
            </w:pPr>
            <w:r>
              <w:rPr>
                <w:rFonts w:hint="eastAsia" w:cs="宋体"/>
                <w:color w:val="auto"/>
                <w:sz w:val="21"/>
                <w:szCs w:val="21"/>
                <w:highlight w:val="none"/>
              </w:rPr>
              <w:t>7．</w:t>
            </w:r>
            <w:r>
              <w:rPr>
                <w:rStyle w:val="52"/>
                <w:rFonts w:hint="eastAsia" w:cs="宋体"/>
                <w:b w:val="0"/>
                <w:color w:val="auto"/>
                <w:sz w:val="21"/>
                <w:szCs w:val="21"/>
                <w:highlight w:val="none"/>
              </w:rPr>
              <w:t>全血样品量------＜1.2ml</w:t>
            </w:r>
          </w:p>
          <w:p w14:paraId="0887E19A">
            <w:pPr>
              <w:pStyle w:val="42"/>
              <w:spacing w:before="0" w:beforeAutospacing="0" w:after="0" w:afterAutospacing="0" w:line="360" w:lineRule="auto"/>
              <w:ind w:left="425" w:hanging="425"/>
              <w:jc w:val="both"/>
              <w:rPr>
                <w:rFonts w:cs="宋体"/>
                <w:color w:val="auto"/>
                <w:sz w:val="21"/>
                <w:szCs w:val="21"/>
                <w:highlight w:val="none"/>
              </w:rPr>
            </w:pPr>
            <w:r>
              <w:rPr>
                <w:rFonts w:hint="eastAsia" w:cs="宋体"/>
                <w:color w:val="auto"/>
                <w:sz w:val="21"/>
                <w:szCs w:val="21"/>
                <w:highlight w:val="none"/>
              </w:rPr>
              <w:t>8．</w:t>
            </w:r>
            <w:r>
              <w:rPr>
                <w:rStyle w:val="52"/>
                <w:rFonts w:hint="eastAsia" w:cs="宋体"/>
                <w:b w:val="0"/>
                <w:color w:val="auto"/>
                <w:sz w:val="21"/>
                <w:szCs w:val="21"/>
                <w:highlight w:val="none"/>
              </w:rPr>
              <w:t>血浆样品量------＜1.0mI</w:t>
            </w:r>
          </w:p>
          <w:p w14:paraId="43967F84">
            <w:pPr>
              <w:pStyle w:val="42"/>
              <w:spacing w:before="0" w:beforeAutospacing="0" w:after="0" w:afterAutospacing="0" w:line="360" w:lineRule="auto"/>
              <w:ind w:left="425" w:hanging="425"/>
              <w:jc w:val="both"/>
              <w:rPr>
                <w:rFonts w:cs="宋体"/>
                <w:color w:val="auto"/>
                <w:sz w:val="21"/>
                <w:szCs w:val="21"/>
                <w:highlight w:val="none"/>
              </w:rPr>
            </w:pPr>
            <w:r>
              <w:rPr>
                <w:rFonts w:hint="eastAsia" w:cs="宋体"/>
                <w:color w:val="auto"/>
                <w:sz w:val="21"/>
                <w:szCs w:val="21"/>
                <w:highlight w:val="none"/>
              </w:rPr>
              <w:t>9．</w:t>
            </w:r>
            <w:r>
              <w:rPr>
                <w:rStyle w:val="52"/>
                <w:rFonts w:hint="eastAsia" w:cs="宋体"/>
                <w:b w:val="0"/>
                <w:color w:val="auto"/>
                <w:sz w:val="21"/>
                <w:szCs w:val="21"/>
                <w:highlight w:val="none"/>
              </w:rPr>
              <w:t>全血测量时间：≤40S／个</w:t>
            </w:r>
          </w:p>
          <w:p w14:paraId="6867A771">
            <w:pPr>
              <w:pStyle w:val="42"/>
              <w:spacing w:before="0" w:beforeAutospacing="0" w:after="0" w:afterAutospacing="0" w:line="360" w:lineRule="auto"/>
              <w:ind w:left="425" w:hanging="425"/>
              <w:jc w:val="both"/>
              <w:rPr>
                <w:rFonts w:cs="宋体"/>
                <w:color w:val="auto"/>
                <w:sz w:val="21"/>
                <w:szCs w:val="21"/>
                <w:highlight w:val="none"/>
              </w:rPr>
            </w:pPr>
            <w:r>
              <w:rPr>
                <w:rFonts w:hint="eastAsia" w:cs="宋体"/>
                <w:color w:val="auto"/>
                <w:sz w:val="21"/>
                <w:szCs w:val="21"/>
                <w:highlight w:val="none"/>
              </w:rPr>
              <w:t>10．血浆测量时间：≤20S／个</w:t>
            </w:r>
          </w:p>
          <w:p w14:paraId="63216A2C">
            <w:pPr>
              <w:pStyle w:val="42"/>
              <w:spacing w:before="0" w:beforeAutospacing="0" w:after="0" w:afterAutospacing="0" w:line="360" w:lineRule="auto"/>
              <w:jc w:val="both"/>
              <w:rPr>
                <w:rFonts w:cs="宋体"/>
                <w:color w:val="auto"/>
                <w:sz w:val="21"/>
                <w:szCs w:val="21"/>
                <w:highlight w:val="none"/>
              </w:rPr>
            </w:pPr>
            <w:r>
              <w:rPr>
                <w:rFonts w:hint="eastAsia" w:cs="宋体"/>
                <w:b/>
                <w:color w:val="auto"/>
                <w:sz w:val="21"/>
                <w:szCs w:val="21"/>
                <w:highlight w:val="none"/>
              </w:rPr>
              <w:t>▲</w:t>
            </w:r>
            <w:r>
              <w:rPr>
                <w:rFonts w:hint="eastAsia" w:cs="宋体"/>
                <w:color w:val="auto"/>
                <w:sz w:val="21"/>
                <w:szCs w:val="21"/>
                <w:highlight w:val="none"/>
              </w:rPr>
              <w:t>11．采用非接触式压力传感原理。</w:t>
            </w:r>
          </w:p>
          <w:p w14:paraId="2677C9FA">
            <w:pPr>
              <w:spacing w:line="360" w:lineRule="auto"/>
              <w:rPr>
                <w:rFonts w:ascii="宋体" w:hAnsi="宋体" w:cs="宋体"/>
                <w:color w:val="auto"/>
                <w:szCs w:val="21"/>
                <w:highlight w:val="none"/>
              </w:rPr>
            </w:pPr>
            <w:r>
              <w:rPr>
                <w:rFonts w:hint="eastAsia" w:ascii="宋体" w:hAnsi="宋体" w:cs="宋体"/>
                <w:bCs/>
                <w:color w:val="auto"/>
                <w:szCs w:val="21"/>
                <w:highlight w:val="none"/>
              </w:rPr>
              <w:t>12.具有</w:t>
            </w:r>
            <w:r>
              <w:rPr>
                <w:rFonts w:hint="eastAsia" w:ascii="宋体" w:hAnsi="宋体" w:cs="宋体"/>
                <w:color w:val="auto"/>
                <w:szCs w:val="21"/>
                <w:highlight w:val="none"/>
              </w:rPr>
              <w:t>自动冲洗系统。</w:t>
            </w:r>
          </w:p>
          <w:p w14:paraId="188274CE">
            <w:pPr>
              <w:pStyle w:val="46"/>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13．样品用量采用液面感应技术，血浆自动判位，免分离检测原管上机，标本可回收复查。</w:t>
            </w:r>
          </w:p>
          <w:p w14:paraId="690FD2AA">
            <w:pPr>
              <w:pStyle w:val="46"/>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14．自动混匀，且在主体内采用颠倒混匀，克服溶血现象，消除血沉影响因素造成的误差。</w:t>
            </w:r>
          </w:p>
          <w:p w14:paraId="0B583E3B">
            <w:pPr>
              <w:pStyle w:val="46"/>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15．拥有两套测试程序：1、自动检测血沉压积、红细胞电泳时间、纤维蛋白原。2、联机血沉压积仪。支持LIS/HIS系统。</w:t>
            </w:r>
          </w:p>
          <w:p w14:paraId="16E82C1B">
            <w:pPr>
              <w:pStyle w:val="46"/>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16．主体恒温和增加转盘预加热装置两套恒温加热系统，PID（积分式）精确温度控制。</w:t>
            </w:r>
          </w:p>
          <w:p w14:paraId="1ED6BAB0">
            <w:pPr>
              <w:pStyle w:val="46"/>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17．报警功能、测量清洗过程中异常自动提示，具备整机和各部件故障的自动诊断功能。样品可回收复查，使用后台控制技术，测量的同时可填写报告单。</w:t>
            </w:r>
          </w:p>
          <w:p w14:paraId="3B545DFD">
            <w:pPr>
              <w:pStyle w:val="46"/>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18.样本位≥45个。</w:t>
            </w:r>
          </w:p>
          <w:p w14:paraId="2371147D">
            <w:pPr>
              <w:spacing w:line="360" w:lineRule="auto"/>
              <w:rPr>
                <w:rFonts w:ascii="宋体" w:hAnsi="宋体" w:cs="宋体"/>
                <w:b/>
                <w:color w:val="auto"/>
                <w:szCs w:val="21"/>
                <w:highlight w:val="none"/>
              </w:rPr>
            </w:pPr>
            <w:r>
              <w:rPr>
                <w:rFonts w:hint="eastAsia" w:ascii="宋体" w:hAnsi="宋体" w:cs="宋体"/>
                <w:b/>
                <w:color w:val="auto"/>
                <w:szCs w:val="21"/>
                <w:highlight w:val="none"/>
              </w:rPr>
              <w:t>▲三、配置清单</w:t>
            </w:r>
          </w:p>
          <w:p w14:paraId="23F39252">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1.血液流变仪主机1台</w:t>
            </w:r>
          </w:p>
          <w:p w14:paraId="79EDC38B">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2.控制终端1台</w:t>
            </w:r>
          </w:p>
          <w:p w14:paraId="441E36C6">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3.≥19寸检测结果液晶输出端1台 </w:t>
            </w:r>
          </w:p>
          <w:p w14:paraId="12650BC3">
            <w:pPr>
              <w:spacing w:line="360" w:lineRule="auto"/>
              <w:ind w:left="1050" w:hanging="1050" w:hangingChars="500"/>
              <w:jc w:val="left"/>
              <w:rPr>
                <w:rFonts w:ascii="宋体" w:hAnsi="宋体" w:cs="宋体"/>
                <w:color w:val="auto"/>
                <w:szCs w:val="21"/>
                <w:highlight w:val="none"/>
              </w:rPr>
            </w:pPr>
            <w:r>
              <w:rPr>
                <w:rFonts w:hint="eastAsia" w:ascii="宋体" w:hAnsi="宋体" w:cs="宋体"/>
                <w:color w:val="auto"/>
                <w:szCs w:val="21"/>
                <w:highlight w:val="none"/>
              </w:rPr>
              <w:t xml:space="preserve">4.检测结果纸质输出设备1台                                                    </w:t>
            </w:r>
          </w:p>
          <w:p w14:paraId="76E1F1E9">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5.血流变U盘1个          </w:t>
            </w:r>
          </w:p>
          <w:p w14:paraId="5EB534D6">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6.使用说明书 1本</w:t>
            </w:r>
          </w:p>
          <w:p w14:paraId="6B076133">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7.质控液（全血、血浆各一瓶）1套 </w:t>
            </w:r>
          </w:p>
          <w:p w14:paraId="2646E83E">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8.备用硅胶泵管 1.0米</w:t>
            </w:r>
          </w:p>
          <w:p w14:paraId="3D5155AF">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9.保险管 2个</w:t>
            </w:r>
          </w:p>
          <w:p w14:paraId="7CA4B740">
            <w:pPr>
              <w:spacing w:line="360" w:lineRule="auto"/>
              <w:jc w:val="left"/>
              <w:rPr>
                <w:rFonts w:ascii="宋体" w:hAnsi="宋体" w:cs="宋体"/>
                <w:color w:val="auto"/>
                <w:szCs w:val="21"/>
                <w:highlight w:val="none"/>
              </w:rPr>
            </w:pPr>
            <w:r>
              <w:rPr>
                <w:rFonts w:hint="eastAsia" w:hAnsi="宋体" w:cs="宋体"/>
                <w:b/>
                <w:color w:val="auto"/>
                <w:szCs w:val="21"/>
                <w:highlight w:val="none"/>
              </w:rPr>
              <w:t>▲四</w:t>
            </w:r>
            <w:r>
              <w:rPr>
                <w:rFonts w:hint="eastAsia" w:hAnsi="宋体" w:cs="宋体"/>
                <w:color w:val="auto"/>
                <w:szCs w:val="21"/>
                <w:highlight w:val="none"/>
              </w:rPr>
              <w:t>、</w:t>
            </w:r>
            <w:r>
              <w:rPr>
                <w:rFonts w:hint="eastAsia" w:ascii="宋体" w:hAnsi="宋体" w:cs="宋体"/>
                <w:color w:val="auto"/>
                <w:szCs w:val="21"/>
                <w:highlight w:val="none"/>
              </w:rPr>
              <w:t>本项货物特殊质保期要求：</w:t>
            </w:r>
            <w:r>
              <w:rPr>
                <w:rFonts w:hint="eastAsia" w:ascii="宋体" w:hAnsi="宋体" w:cs="宋体"/>
                <w:color w:val="auto"/>
                <w:kern w:val="0"/>
                <w:szCs w:val="21"/>
                <w:highlight w:val="none"/>
                <w:lang w:bidi="ar"/>
              </w:rPr>
              <w:t>按国家有关产品三包规定执行“三包”，质保期：整机（含配件）质保期不少于1年。</w:t>
            </w:r>
          </w:p>
        </w:tc>
      </w:tr>
      <w:tr w14:paraId="584B65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60" w:type="dxa"/>
            <w:gridSpan w:val="6"/>
            <w:tcBorders>
              <w:top w:val="single" w:color="auto" w:sz="4" w:space="0"/>
              <w:left w:val="single" w:color="auto" w:sz="4" w:space="0"/>
              <w:bottom w:val="single" w:color="auto" w:sz="4" w:space="0"/>
              <w:right w:val="single" w:color="auto" w:sz="4" w:space="0"/>
            </w:tcBorders>
          </w:tcPr>
          <w:p w14:paraId="66935742">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▲一、商务要求</w:t>
            </w:r>
          </w:p>
        </w:tc>
      </w:tr>
      <w:tr w14:paraId="7AFAA4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7B3E27BF">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交付的时间和地点</w:t>
            </w:r>
          </w:p>
        </w:tc>
        <w:tc>
          <w:tcPr>
            <w:tcW w:w="6865" w:type="dxa"/>
            <w:gridSpan w:val="2"/>
            <w:tcBorders>
              <w:top w:val="single" w:color="auto" w:sz="4" w:space="0"/>
              <w:left w:val="single" w:color="auto" w:sz="4" w:space="0"/>
              <w:bottom w:val="single" w:color="auto" w:sz="4" w:space="0"/>
              <w:right w:val="single" w:color="auto" w:sz="4" w:space="0"/>
            </w:tcBorders>
            <w:vAlign w:val="center"/>
          </w:tcPr>
          <w:p w14:paraId="0F31BB4F">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 交付的时间：自签订合同之日起30天内完成安装、调试、培训工作。</w:t>
            </w:r>
          </w:p>
          <w:p w14:paraId="314F53CC">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bidi="ar"/>
              </w:rPr>
              <w:t>2. 地点：广西梧州藤县人民医院内采购人指定地点。</w:t>
            </w:r>
          </w:p>
        </w:tc>
      </w:tr>
      <w:tr w14:paraId="293FBD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00DF5732">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合同签订时间</w:t>
            </w:r>
          </w:p>
        </w:tc>
        <w:tc>
          <w:tcPr>
            <w:tcW w:w="6865" w:type="dxa"/>
            <w:gridSpan w:val="2"/>
            <w:tcBorders>
              <w:top w:val="single" w:color="auto" w:sz="4" w:space="0"/>
              <w:left w:val="single" w:color="auto" w:sz="4" w:space="0"/>
              <w:bottom w:val="single" w:color="auto" w:sz="4" w:space="0"/>
              <w:right w:val="single" w:color="auto" w:sz="4" w:space="0"/>
            </w:tcBorders>
            <w:vAlign w:val="center"/>
          </w:tcPr>
          <w:p w14:paraId="49CF1498">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发出中标通知书之日起25日内。</w:t>
            </w:r>
          </w:p>
        </w:tc>
      </w:tr>
      <w:tr w14:paraId="2079CC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4A5E476A">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付款条件</w:t>
            </w:r>
          </w:p>
        </w:tc>
        <w:tc>
          <w:tcPr>
            <w:tcW w:w="6865" w:type="dxa"/>
            <w:gridSpan w:val="2"/>
            <w:tcBorders>
              <w:top w:val="single" w:color="auto" w:sz="4" w:space="0"/>
              <w:left w:val="single" w:color="auto" w:sz="4" w:space="0"/>
              <w:bottom w:val="single" w:color="auto" w:sz="4" w:space="0"/>
              <w:right w:val="single" w:color="auto" w:sz="4" w:space="0"/>
            </w:tcBorders>
            <w:vAlign w:val="center"/>
          </w:tcPr>
          <w:p w14:paraId="7F182AD3">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1.首期款（20%）：设备安装调试完成后，采购人及中标供应商双方共同组织验收，验收合格且中标供应商提供符合国家税务规定的全额完税发票后20个工作日内，采购人支付合同总金额20%。</w:t>
            </w:r>
          </w:p>
          <w:p w14:paraId="5CE78893">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2.分期款（75%）：验收款支付完成后，采购人自次月起，凭中标供应商的请款函分12个月向中标供应商支付合同总金额的75%，分12个月平均支付。</w:t>
            </w:r>
          </w:p>
          <w:p w14:paraId="2FDF1CC0">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bidi="ar"/>
              </w:rPr>
              <w:t>3.设备尾款（5%）：中标供应商完全履行合同义务且招标文件要求的货物质保期满后，采购人凭中标供应商的请款函30个工作日内无息支付尾款5%。若质保期内设备出现质量问题，中标供应商未按约定维修或更换，采购人有权从尾款中扣除相应维修费用或损失赔偿款。</w:t>
            </w:r>
          </w:p>
        </w:tc>
      </w:tr>
      <w:tr w14:paraId="7182E5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7E1881BA">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产品要求</w:t>
            </w:r>
          </w:p>
        </w:tc>
        <w:tc>
          <w:tcPr>
            <w:tcW w:w="6865" w:type="dxa"/>
            <w:gridSpan w:val="2"/>
            <w:tcBorders>
              <w:top w:val="single" w:color="auto" w:sz="4" w:space="0"/>
              <w:left w:val="single" w:color="auto" w:sz="4" w:space="0"/>
              <w:bottom w:val="single" w:color="auto" w:sz="4" w:space="0"/>
              <w:right w:val="single" w:color="auto" w:sz="4" w:space="0"/>
            </w:tcBorders>
            <w:vAlign w:val="center"/>
          </w:tcPr>
          <w:p w14:paraId="0983C210">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1.以上产品必须是具备合法资质的制造商生产的全新未使用的原装正品（合同签订之日前6个月内生产），并满足采购文件的要求，若产品在运输或安装过程中损坏或擦伤须无条件调换相同产品。</w:t>
            </w:r>
          </w:p>
          <w:p w14:paraId="75366255">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2.供应商所投产品、辅材及生产工艺符合国家相关规范。</w:t>
            </w:r>
          </w:p>
          <w:p w14:paraId="69D55764">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3.供应商应保证所提供的货物或其任何一部分均不会侵犯任何第三方的专利权、商标权等，如在使用过程中出现的一切经济和法律责任均由供应商负责。</w:t>
            </w:r>
          </w:p>
          <w:p w14:paraId="37F199C9">
            <w:pPr>
              <w:widowControl/>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4.投标文件中提供产品《医疗器械注册证》复印件并加盖投标人公章，否则按投标无效处理。</w:t>
            </w:r>
          </w:p>
          <w:p w14:paraId="51602B0C">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5.投标产品名称、规格型号与《医疗器械注册证》相一致。</w:t>
            </w:r>
          </w:p>
          <w:p w14:paraId="5EB88454">
            <w:pPr>
              <w:widowControl/>
              <w:spacing w:line="360" w:lineRule="auto"/>
              <w:jc w:val="left"/>
              <w:rPr>
                <w:color w:val="auto"/>
                <w:highlight w:val="none"/>
              </w:rPr>
            </w:pPr>
            <w:r>
              <w:rPr>
                <w:rFonts w:hint="eastAsia" w:ascii="宋体" w:hAnsi="宋体" w:cs="宋体"/>
                <w:b/>
                <w:bCs/>
                <w:color w:val="auto"/>
                <w:szCs w:val="21"/>
                <w:highlight w:val="none"/>
              </w:rPr>
              <w:t>6.</w:t>
            </w:r>
            <w:r>
              <w:rPr>
                <w:rFonts w:hint="eastAsia" w:ascii="宋体" w:hAnsi="宋体" w:cs="宋体"/>
                <w:b/>
                <w:bCs/>
                <w:color w:val="auto"/>
                <w:szCs w:val="21"/>
                <w:highlight w:val="none"/>
                <w:lang w:val="en-US" w:eastAsia="zh-CN"/>
              </w:rPr>
              <w:t>开标一览表中</w:t>
            </w:r>
            <w:r>
              <w:rPr>
                <w:rFonts w:hint="eastAsia" w:ascii="宋体" w:hAnsi="宋体" w:eastAsia="宋体" w:cs="宋体"/>
                <w:b/>
                <w:bCs/>
                <w:color w:val="auto"/>
                <w:szCs w:val="21"/>
                <w:highlight w:val="none"/>
                <w:lang w:val="en-US" w:eastAsia="zh-CN"/>
              </w:rPr>
              <w:t>的品牌必须与设备上标识品牌或铭牌上的品牌相一致（</w:t>
            </w:r>
            <w:r>
              <w:rPr>
                <w:rFonts w:hint="eastAsia" w:ascii="宋体" w:hAnsi="宋体" w:cs="宋体"/>
                <w:b/>
                <w:bCs/>
                <w:color w:val="auto"/>
                <w:szCs w:val="21"/>
                <w:highlight w:val="none"/>
                <w:lang w:val="en-US" w:eastAsia="zh-CN"/>
              </w:rPr>
              <w:t>投标文件中</w:t>
            </w:r>
            <w:r>
              <w:rPr>
                <w:rFonts w:hint="eastAsia" w:ascii="宋体" w:hAnsi="宋体" w:eastAsia="宋体" w:cs="宋体"/>
                <w:b/>
                <w:bCs/>
                <w:color w:val="auto"/>
                <w:szCs w:val="21"/>
                <w:highlight w:val="none"/>
                <w:lang w:val="en-US" w:eastAsia="zh-CN"/>
              </w:rPr>
              <w:t>提供设备上标识品牌或铭牌截图并加盖投标人公章</w:t>
            </w:r>
            <w:r>
              <w:rPr>
                <w:rFonts w:hint="eastAsia" w:ascii="宋体" w:hAnsi="宋体" w:cs="宋体"/>
                <w:b/>
                <w:bCs/>
                <w:color w:val="auto"/>
                <w:szCs w:val="21"/>
                <w:highlight w:val="none"/>
              </w:rPr>
              <w:t>，否则按投标无效处理</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w:t>
            </w:r>
          </w:p>
        </w:tc>
      </w:tr>
      <w:tr w14:paraId="0DEC40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0A1F8CDD">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质保期</w:t>
            </w:r>
          </w:p>
        </w:tc>
        <w:tc>
          <w:tcPr>
            <w:tcW w:w="6865" w:type="dxa"/>
            <w:gridSpan w:val="2"/>
            <w:tcBorders>
              <w:top w:val="single" w:color="auto" w:sz="4" w:space="0"/>
              <w:left w:val="single" w:color="auto" w:sz="4" w:space="0"/>
              <w:bottom w:val="single" w:color="auto" w:sz="4" w:space="0"/>
              <w:right w:val="single" w:color="auto" w:sz="4" w:space="0"/>
            </w:tcBorders>
            <w:vAlign w:val="center"/>
          </w:tcPr>
          <w:p w14:paraId="24A7E9FC">
            <w:pPr>
              <w:widowControl/>
              <w:spacing w:line="360" w:lineRule="auto"/>
              <w:jc w:val="left"/>
              <w:rPr>
                <w:rFonts w:ascii="宋体" w:hAnsi="宋体" w:cs="宋体"/>
                <w:b/>
                <w:bCs/>
                <w:color w:val="auto"/>
                <w:szCs w:val="21"/>
                <w:highlight w:val="none"/>
              </w:rPr>
            </w:pPr>
            <w:r>
              <w:rPr>
                <w:rFonts w:hint="eastAsia" w:ascii="宋体" w:hAnsi="宋体" w:cs="宋体"/>
                <w:color w:val="auto"/>
                <w:kern w:val="0"/>
                <w:sz w:val="22"/>
                <w:szCs w:val="22"/>
                <w:highlight w:val="none"/>
                <w:lang w:bidi="ar"/>
              </w:rPr>
              <w:t>按国家有关产品三包规定执行“三包”，整机（含配件）质保期最低不少于1年。</w:t>
            </w:r>
            <w:r>
              <w:rPr>
                <w:rFonts w:hint="eastAsia" w:ascii="宋体" w:hAnsi="宋体" w:cs="宋体"/>
                <w:b/>
                <w:bCs/>
                <w:color w:val="auto"/>
                <w:kern w:val="0"/>
                <w:sz w:val="22"/>
                <w:szCs w:val="22"/>
                <w:highlight w:val="none"/>
                <w:lang w:bidi="ar"/>
              </w:rPr>
              <w:t>各设备具体质保期限要求详见其技术要求。</w:t>
            </w:r>
            <w:r>
              <w:rPr>
                <w:rFonts w:hint="eastAsia" w:ascii="宋体" w:hAnsi="宋体" w:cs="宋体"/>
                <w:color w:val="auto"/>
                <w:kern w:val="0"/>
                <w:szCs w:val="21"/>
                <w:highlight w:val="none"/>
                <w:lang w:bidi="ar"/>
              </w:rPr>
              <w:t>质保期内，厂家应每年不少于2次对设备进行维护保养，设备出现故障，须派出技术工程师到达现场处理故障，承担一切费用，并提供备用产品。质保期外不收维修费，只收零件费，并保证备件如期供应。</w:t>
            </w:r>
          </w:p>
        </w:tc>
      </w:tr>
      <w:tr w14:paraId="6EC2CF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3BE0D376">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售后服务及培训要求</w:t>
            </w:r>
          </w:p>
        </w:tc>
        <w:tc>
          <w:tcPr>
            <w:tcW w:w="6865" w:type="dxa"/>
            <w:gridSpan w:val="2"/>
            <w:tcBorders>
              <w:top w:val="single" w:color="auto" w:sz="4" w:space="0"/>
              <w:left w:val="single" w:color="auto" w:sz="4" w:space="0"/>
              <w:bottom w:val="single" w:color="auto" w:sz="4" w:space="0"/>
              <w:right w:val="single" w:color="auto" w:sz="4" w:space="0"/>
            </w:tcBorders>
            <w:vAlign w:val="center"/>
          </w:tcPr>
          <w:p w14:paraId="5DB29FCA">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1.中标供应商负责送货上门，安装调试。从通过验收即日起质保期内所有由于质量问题导致的软、硬件产品故障负责保修、人工及更换备件标准上门服务，并提供终身维护。 </w:t>
            </w:r>
          </w:p>
          <w:p w14:paraId="4D02A4F6">
            <w:pPr>
              <w:spacing w:line="360" w:lineRule="auto"/>
              <w:rPr>
                <w:rFonts w:ascii="宋体" w:hAnsi="宋体" w:cs="宋体"/>
                <w:bCs/>
                <w:color w:val="auto"/>
                <w:szCs w:val="21"/>
                <w:highlight w:val="none"/>
              </w:rPr>
            </w:pPr>
            <w:r>
              <w:rPr>
                <w:rFonts w:hint="eastAsia" w:ascii="宋体" w:hAnsi="宋体" w:cs="宋体"/>
                <w:bCs/>
                <w:color w:val="auto"/>
                <w:szCs w:val="21"/>
                <w:highlight w:val="none"/>
              </w:rPr>
              <w:t>2.中标供应商或制造商须提供针对不同岗位人员的系统培训和上岗人员的操作培训，确保使用设备的所有工作人员熟练掌握，保证使用人员正常操作设备的各种功能。此项所产生的费用已包含在中标价中，不另行支付。培训内容须包括设备日常操作、工作原理、注意事项、简单故障排除、维护保养等。</w:t>
            </w:r>
          </w:p>
          <w:p w14:paraId="620B8D31">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3.技术及维修服务：中标供应商或制造商应配置技术人员，随时提供开箱验货、安装、调试或维修、系统平台接入、维护等服务。 </w:t>
            </w:r>
          </w:p>
          <w:p w14:paraId="3670A7AF">
            <w:pPr>
              <w:spacing w:line="360" w:lineRule="auto"/>
              <w:rPr>
                <w:rFonts w:ascii="宋体" w:hAnsi="宋体" w:cs="宋体"/>
                <w:bCs/>
                <w:color w:val="auto"/>
                <w:szCs w:val="21"/>
                <w:highlight w:val="none"/>
              </w:rPr>
            </w:pPr>
            <w:r>
              <w:rPr>
                <w:rFonts w:hint="eastAsia" w:ascii="宋体" w:hAnsi="宋体" w:cs="宋体"/>
                <w:bCs/>
                <w:color w:val="auto"/>
                <w:szCs w:val="21"/>
                <w:highlight w:val="none"/>
              </w:rPr>
              <w:t>4.故障处理：</w:t>
            </w:r>
            <w:r>
              <w:rPr>
                <w:rFonts w:hint="eastAsia" w:ascii="宋体" w:hAnsi="宋体" w:cs="宋体"/>
                <w:color w:val="auto"/>
                <w:szCs w:val="21"/>
                <w:highlight w:val="none"/>
              </w:rPr>
              <w:t>在使用过程中若产品发生质量问题或故障，提供无条件远程诊断、维修；如需现场处理，24小时内到达故障现场处理，一般故障处理时限不超过24小时修复；重大故障处理时限不超过48小时修复</w:t>
            </w:r>
            <w:r>
              <w:rPr>
                <w:rFonts w:hint="eastAsia" w:ascii="宋体" w:hAnsi="宋体" w:cs="宋体"/>
                <w:bCs/>
                <w:color w:val="auto"/>
                <w:szCs w:val="21"/>
                <w:highlight w:val="none"/>
              </w:rPr>
              <w:t>。</w:t>
            </w:r>
          </w:p>
          <w:p w14:paraId="2BBC744E">
            <w:pPr>
              <w:spacing w:line="360" w:lineRule="auto"/>
              <w:rPr>
                <w:rFonts w:ascii="宋体" w:hAnsi="宋体" w:cs="宋体"/>
                <w:bCs/>
                <w:color w:val="auto"/>
                <w:szCs w:val="21"/>
                <w:highlight w:val="none"/>
              </w:rPr>
            </w:pPr>
            <w:r>
              <w:rPr>
                <w:rFonts w:hint="eastAsia" w:ascii="宋体" w:hAnsi="宋体" w:cs="宋体"/>
                <w:bCs/>
                <w:color w:val="auto"/>
                <w:szCs w:val="21"/>
                <w:highlight w:val="none"/>
              </w:rPr>
              <w:t>5.维修备件必须是原厂备件。</w:t>
            </w:r>
          </w:p>
          <w:p w14:paraId="1E06E556">
            <w:pPr>
              <w:spacing w:line="360" w:lineRule="auto"/>
              <w:rPr>
                <w:rFonts w:ascii="宋体" w:hAnsi="宋体" w:cs="宋体"/>
                <w:color w:val="auto"/>
                <w:szCs w:val="21"/>
                <w:highlight w:val="none"/>
              </w:rPr>
            </w:pPr>
            <w:r>
              <w:rPr>
                <w:rFonts w:hint="eastAsia" w:ascii="宋体" w:hAnsi="宋体" w:cs="宋体"/>
                <w:bCs/>
                <w:color w:val="auto"/>
                <w:szCs w:val="21"/>
                <w:highlight w:val="none"/>
              </w:rPr>
              <w:t>6.其余按厂家承诺。</w:t>
            </w:r>
          </w:p>
        </w:tc>
      </w:tr>
      <w:tr w14:paraId="41EC92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688CFFE5">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投标报价要求</w:t>
            </w:r>
          </w:p>
        </w:tc>
        <w:tc>
          <w:tcPr>
            <w:tcW w:w="6865" w:type="dxa"/>
            <w:gridSpan w:val="2"/>
            <w:tcBorders>
              <w:top w:val="single" w:color="auto" w:sz="4" w:space="0"/>
              <w:left w:val="single" w:color="auto" w:sz="4" w:space="0"/>
              <w:bottom w:val="single" w:color="auto" w:sz="4" w:space="0"/>
              <w:right w:val="single" w:color="auto" w:sz="4" w:space="0"/>
            </w:tcBorders>
            <w:vAlign w:val="center"/>
          </w:tcPr>
          <w:p w14:paraId="449838C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次报价须为人民币报价，包括但不限于投标货物及其配件（附件）价款、系统平台、包装费、运费、装卸费、保险费、搬运费、安装费、调试费、检验及检定验收费、计量检测费、售后服务费、培训费（如有）、税金等招标文件和投标文件规定及合同包含的所有风险、责任等应有的全部费用。</w:t>
            </w:r>
          </w:p>
        </w:tc>
      </w:tr>
      <w:tr w14:paraId="23E6A0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4FA24C61">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验收标准</w:t>
            </w:r>
          </w:p>
        </w:tc>
        <w:tc>
          <w:tcPr>
            <w:tcW w:w="6865" w:type="dxa"/>
            <w:gridSpan w:val="2"/>
            <w:tcBorders>
              <w:top w:val="single" w:color="auto" w:sz="4" w:space="0"/>
              <w:left w:val="single" w:color="auto" w:sz="4" w:space="0"/>
              <w:bottom w:val="single" w:color="auto" w:sz="4" w:space="0"/>
              <w:right w:val="single" w:color="auto" w:sz="4" w:space="0"/>
            </w:tcBorders>
            <w:vAlign w:val="center"/>
          </w:tcPr>
          <w:p w14:paraId="0CF2F211">
            <w:pPr>
              <w:spacing w:line="360" w:lineRule="auto"/>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验收标准</w:t>
            </w:r>
          </w:p>
          <w:p w14:paraId="77F40F49">
            <w:pPr>
              <w:spacing w:line="360" w:lineRule="auto"/>
              <w:rPr>
                <w:rFonts w:ascii="宋体" w:hAnsi="宋体" w:cs="宋体"/>
                <w:color w:val="auto"/>
                <w:szCs w:val="21"/>
                <w:highlight w:val="none"/>
              </w:rPr>
            </w:pPr>
            <w:r>
              <w:rPr>
                <w:rFonts w:hint="eastAsia" w:ascii="宋体" w:hAnsi="宋体" w:cs="宋体"/>
                <w:color w:val="auto"/>
                <w:szCs w:val="21"/>
                <w:highlight w:val="none"/>
              </w:rPr>
              <w:t>1.验收标准：符合现行国家相关标准、行业标准、地方标准或者其他标准、规范。标准适用按照“就高不就低”原则执行，有强制性标准的必须优先适用强制性标准。</w:t>
            </w:r>
          </w:p>
          <w:p w14:paraId="110729DF">
            <w:pPr>
              <w:spacing w:line="360" w:lineRule="auto"/>
              <w:rPr>
                <w:rFonts w:ascii="宋体" w:hAnsi="宋体" w:cs="宋体"/>
                <w:color w:val="auto"/>
                <w:szCs w:val="21"/>
                <w:highlight w:val="none"/>
              </w:rPr>
            </w:pPr>
            <w:r>
              <w:rPr>
                <w:rFonts w:hint="eastAsia" w:ascii="宋体" w:hAnsi="宋体" w:cs="宋体"/>
                <w:color w:val="auto"/>
                <w:szCs w:val="21"/>
                <w:highlight w:val="none"/>
              </w:rPr>
              <w:t>2.中标供应商在项目交付验收时，由验收小组对照招标文件的项目要求及技术需求，全面核对检验。如不符合招标文件的技术需求及要求以及提供虚假承诺的，按相关规定做违约处理，中标供应商承担所有责任和费用，采购人保留进一步追究责任的权利。</w:t>
            </w:r>
          </w:p>
          <w:p w14:paraId="454B22B4">
            <w:pPr>
              <w:spacing w:line="360" w:lineRule="auto"/>
              <w:rPr>
                <w:rFonts w:ascii="宋体" w:hAnsi="宋体" w:cs="宋体"/>
                <w:color w:val="auto"/>
                <w:szCs w:val="21"/>
                <w:highlight w:val="none"/>
              </w:rPr>
            </w:pPr>
            <w:r>
              <w:rPr>
                <w:rFonts w:hint="eastAsia" w:ascii="宋体" w:hAnsi="宋体" w:cs="宋体"/>
                <w:color w:val="auto"/>
                <w:szCs w:val="21"/>
                <w:highlight w:val="none"/>
              </w:rPr>
              <w:t>3.验收时间: 采购人收到中标供应商验收申请之日起5个工作日内进行验收（如有特殊情况，按采购人指定的时间，另行验收）。</w:t>
            </w:r>
          </w:p>
          <w:p w14:paraId="4E273C0C">
            <w:pPr>
              <w:spacing w:line="360" w:lineRule="auto"/>
              <w:rPr>
                <w:rFonts w:ascii="宋体" w:hAnsi="宋体" w:cs="宋体"/>
                <w:color w:val="auto"/>
                <w:szCs w:val="21"/>
                <w:highlight w:val="none"/>
              </w:rPr>
            </w:pPr>
            <w:r>
              <w:rPr>
                <w:rFonts w:hint="eastAsia" w:ascii="宋体" w:hAnsi="宋体" w:cs="宋体"/>
                <w:color w:val="auto"/>
                <w:szCs w:val="21"/>
                <w:highlight w:val="none"/>
              </w:rPr>
              <w:t>4.验收地点：广西梧州市采购人指定交货地点。</w:t>
            </w:r>
          </w:p>
          <w:p w14:paraId="58DD3414">
            <w:pPr>
              <w:spacing w:line="360" w:lineRule="auto"/>
              <w:rPr>
                <w:rFonts w:ascii="宋体" w:hAnsi="宋体" w:cs="宋体"/>
                <w:color w:val="auto"/>
                <w:szCs w:val="21"/>
                <w:highlight w:val="none"/>
              </w:rPr>
            </w:pPr>
            <w:r>
              <w:rPr>
                <w:rFonts w:hint="eastAsia" w:ascii="宋体" w:hAnsi="宋体" w:cs="宋体"/>
                <w:color w:val="auto"/>
                <w:szCs w:val="21"/>
                <w:highlight w:val="none"/>
              </w:rPr>
              <w:t>5.验收方式：</w:t>
            </w:r>
          </w:p>
          <w:p w14:paraId="258B55FC">
            <w:pPr>
              <w:spacing w:line="360" w:lineRule="auto"/>
              <w:rPr>
                <w:rFonts w:ascii="宋体" w:hAnsi="宋体" w:cs="宋体"/>
                <w:color w:val="auto"/>
                <w:szCs w:val="21"/>
                <w:highlight w:val="none"/>
              </w:rPr>
            </w:pPr>
            <w:r>
              <w:rPr>
                <w:rFonts w:hint="eastAsia" w:ascii="宋体" w:hAnsi="宋体" w:cs="宋体"/>
                <w:color w:val="auto"/>
                <w:szCs w:val="21"/>
                <w:highlight w:val="none"/>
              </w:rPr>
              <w:t>1）中标供应商完成货物及系统安装调试和培训后，书面向采购人提交验收申请。</w:t>
            </w:r>
          </w:p>
          <w:p w14:paraId="2655C019">
            <w:pPr>
              <w:spacing w:line="360" w:lineRule="auto"/>
              <w:rPr>
                <w:rFonts w:ascii="宋体" w:hAnsi="宋体" w:cs="宋体"/>
                <w:color w:val="auto"/>
                <w:szCs w:val="21"/>
                <w:highlight w:val="none"/>
              </w:rPr>
            </w:pPr>
            <w:r>
              <w:rPr>
                <w:rFonts w:hint="eastAsia" w:ascii="宋体" w:hAnsi="宋体" w:cs="宋体"/>
                <w:color w:val="auto"/>
                <w:szCs w:val="21"/>
                <w:highlight w:val="none"/>
              </w:rPr>
              <w:t>2）本项目验收由验收小组按照采购合同约定对每一项技术和商务要求的履约情况进行确认，作为验收依据；</w:t>
            </w:r>
          </w:p>
          <w:p w14:paraId="30610FB5">
            <w:pPr>
              <w:spacing w:line="360" w:lineRule="auto"/>
              <w:rPr>
                <w:rFonts w:ascii="宋体" w:hAnsi="宋体" w:cs="宋体"/>
                <w:color w:val="auto"/>
                <w:szCs w:val="21"/>
                <w:highlight w:val="none"/>
              </w:rPr>
            </w:pPr>
            <w:r>
              <w:rPr>
                <w:rFonts w:hint="eastAsia" w:ascii="宋体" w:hAnsi="宋体" w:cs="宋体"/>
                <w:color w:val="auto"/>
                <w:szCs w:val="21"/>
                <w:highlight w:val="none"/>
              </w:rPr>
              <w:t>3）验收结束后，验收小组出具采购验收书，验收书应当包括每一项技术和商务要求的履约情况，并列明项目总体评价，由验收小组、采购人和中标供应商共同签署。</w:t>
            </w:r>
          </w:p>
          <w:p w14:paraId="7F9A3203">
            <w:pPr>
              <w:spacing w:line="360" w:lineRule="auto"/>
              <w:rPr>
                <w:rFonts w:ascii="宋体" w:hAnsi="宋体" w:cs="宋体"/>
                <w:color w:val="auto"/>
                <w:szCs w:val="21"/>
                <w:highlight w:val="none"/>
              </w:rPr>
            </w:pPr>
            <w:r>
              <w:rPr>
                <w:rFonts w:hint="eastAsia" w:ascii="宋体" w:hAnsi="宋体" w:cs="宋体"/>
                <w:color w:val="auto"/>
                <w:szCs w:val="21"/>
                <w:highlight w:val="none"/>
              </w:rPr>
              <w:t>4）验收过程中所产生的一切费用均由中标供应商承担。</w:t>
            </w:r>
          </w:p>
          <w:p w14:paraId="40B4367F">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5）验收书一式肆份，双方各执两份。 </w:t>
            </w:r>
          </w:p>
          <w:p w14:paraId="43BBC5B6">
            <w:pPr>
              <w:spacing w:line="360" w:lineRule="auto"/>
              <w:rPr>
                <w:rFonts w:ascii="宋体" w:hAnsi="宋体" w:cs="宋体"/>
                <w:color w:val="auto"/>
                <w:szCs w:val="21"/>
                <w:highlight w:val="none"/>
              </w:rPr>
            </w:pPr>
            <w:r>
              <w:rPr>
                <w:rFonts w:hint="eastAsia" w:ascii="宋体" w:hAnsi="宋体" w:cs="宋体"/>
                <w:color w:val="auto"/>
                <w:szCs w:val="21"/>
                <w:highlight w:val="none"/>
              </w:rPr>
              <w:t>6）验收结论不合格的，中标供应商应自收到验收书后5日内及时予以解决。经中标供应商对验收结论不合格的货物进行整改后，仍然达不到要求的，经双方协商，可按以下办法处理：</w:t>
            </w:r>
          </w:p>
          <w:p w14:paraId="5B262B67">
            <w:pPr>
              <w:spacing w:line="360" w:lineRule="auto"/>
              <w:rPr>
                <w:rFonts w:ascii="宋体" w:hAnsi="宋体" w:cs="宋体"/>
                <w:color w:val="auto"/>
                <w:szCs w:val="21"/>
                <w:highlight w:val="none"/>
              </w:rPr>
            </w:pPr>
            <w:r>
              <w:rPr>
                <w:rFonts w:hint="eastAsia" w:ascii="宋体" w:hAnsi="宋体" w:cs="宋体"/>
                <w:color w:val="auto"/>
                <w:szCs w:val="21"/>
                <w:highlight w:val="none"/>
              </w:rPr>
              <w:t>（1）更换：由中标供应商承担所发生的全部费用；</w:t>
            </w:r>
          </w:p>
          <w:p w14:paraId="33BDBCEE">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（2）退货处理：中标供应商应退还采购人支付的合同款，同时应承担与该货物相关的直接费用（运输、保险、检验、合同款利息及银行手续费等）。</w:t>
            </w:r>
          </w:p>
          <w:p w14:paraId="55BABCBF">
            <w:pPr>
              <w:pStyle w:val="59"/>
              <w:spacing w:line="360" w:lineRule="auto"/>
              <w:ind w:firstLine="0" w:firstLineChars="0"/>
              <w:rPr>
                <w:rFonts w:ascii="宋体" w:hAnsi="宋体" w:cs="宋体"/>
                <w:b/>
                <w:bCs/>
                <w:color w:val="auto"/>
                <w:sz w:val="21"/>
                <w:szCs w:val="21"/>
                <w:highlight w:val="none"/>
                <w:lang w:bidi="ar"/>
              </w:rPr>
            </w:pPr>
            <w:r>
              <w:rPr>
                <w:rFonts w:hint="eastAsia" w:ascii="宋体" w:hAnsi="宋体" w:cs="宋体"/>
                <w:b/>
                <w:bCs/>
                <w:color w:val="auto"/>
                <w:sz w:val="21"/>
                <w:szCs w:val="21"/>
                <w:highlight w:val="none"/>
                <w:lang w:bidi="ar"/>
              </w:rPr>
              <w:t>履约验收其他事项</w:t>
            </w:r>
          </w:p>
          <w:p w14:paraId="2F346F13">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1.验收过程中所产生的一切费用均由中标供应商承担。报价时应考虑相关费用。</w:t>
            </w:r>
          </w:p>
          <w:p w14:paraId="50694352">
            <w:pPr>
              <w:pStyle w:val="59"/>
              <w:spacing w:line="360" w:lineRule="auto"/>
              <w:ind w:firstLine="0" w:firstLineChars="0"/>
              <w:rPr>
                <w:rFonts w:ascii="宋体" w:hAnsi="宋体" w:cs="宋体"/>
                <w:color w:val="auto"/>
                <w:sz w:val="21"/>
                <w:szCs w:val="21"/>
                <w:highlight w:val="none"/>
                <w:lang w:bidi="ar"/>
              </w:rPr>
            </w:pPr>
            <w:r>
              <w:rPr>
                <w:rFonts w:hint="eastAsia" w:ascii="宋体" w:hAnsi="宋体" w:cs="宋体"/>
                <w:bCs/>
                <w:color w:val="auto"/>
                <w:sz w:val="21"/>
                <w:szCs w:val="21"/>
                <w:highlight w:val="none"/>
              </w:rPr>
              <w:t>2</w:t>
            </w:r>
            <w:r>
              <w:rPr>
                <w:rFonts w:hint="eastAsia" w:ascii="宋体" w:hAnsi="宋体" w:cs="宋体"/>
                <w:bCs/>
                <w:color w:val="auto"/>
                <w:sz w:val="21"/>
                <w:szCs w:val="21"/>
                <w:highlight w:val="none"/>
                <w:lang w:val="en-US"/>
              </w:rPr>
              <w:t>.</w:t>
            </w:r>
            <w:r>
              <w:rPr>
                <w:rFonts w:hint="eastAsia" w:ascii="宋体" w:hAnsi="宋体" w:cs="宋体"/>
                <w:bCs/>
                <w:color w:val="auto"/>
                <w:sz w:val="21"/>
                <w:szCs w:val="21"/>
                <w:highlight w:val="none"/>
              </w:rPr>
              <w:t>中标供应商在货物交付验收时，由采购人对照采购文件的项目要求及技术需求，全面核对检验。如不符合采购文件的技术需求及要求以及提供虚假承诺的，按相关规定做违约处理，中标供应商承担所有责任和费用，采购人保留进一步追究责任的权利。</w:t>
            </w:r>
          </w:p>
        </w:tc>
      </w:tr>
      <w:tr w14:paraId="14A9A1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60" w:type="dxa"/>
            <w:gridSpan w:val="6"/>
            <w:tcBorders>
              <w:top w:val="single" w:color="auto" w:sz="4" w:space="0"/>
              <w:left w:val="single" w:color="auto" w:sz="4" w:space="0"/>
              <w:bottom w:val="single" w:color="auto" w:sz="4" w:space="0"/>
              <w:right w:val="single" w:color="auto" w:sz="4" w:space="0"/>
            </w:tcBorders>
            <w:vAlign w:val="center"/>
          </w:tcPr>
          <w:p w14:paraId="46D76CE7">
            <w:pPr>
              <w:widowControl/>
              <w:spacing w:line="360" w:lineRule="auto"/>
              <w:jc w:val="left"/>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二、与实现项目目标相关的其他要求</w:t>
            </w:r>
          </w:p>
        </w:tc>
      </w:tr>
      <w:tr w14:paraId="7A93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60" w:type="dxa"/>
            <w:gridSpan w:val="6"/>
            <w:tcBorders>
              <w:top w:val="single" w:color="auto" w:sz="4" w:space="0"/>
              <w:left w:val="single" w:color="auto" w:sz="4" w:space="0"/>
              <w:bottom w:val="single" w:color="auto" w:sz="4" w:space="0"/>
              <w:right w:val="single" w:color="auto" w:sz="4" w:space="0"/>
            </w:tcBorders>
          </w:tcPr>
          <w:p w14:paraId="2E8274E7">
            <w:pPr>
              <w:widowControl/>
              <w:spacing w:line="360" w:lineRule="auto"/>
              <w:jc w:val="left"/>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（一）政策性加分条件</w:t>
            </w:r>
          </w:p>
        </w:tc>
      </w:tr>
      <w:tr w14:paraId="05F692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60" w:type="dxa"/>
            <w:gridSpan w:val="6"/>
            <w:tcBorders>
              <w:top w:val="single" w:color="auto" w:sz="4" w:space="0"/>
              <w:left w:val="single" w:color="auto" w:sz="4" w:space="0"/>
              <w:bottom w:val="single" w:color="auto" w:sz="4" w:space="0"/>
              <w:right w:val="single" w:color="auto" w:sz="4" w:space="0"/>
            </w:tcBorders>
            <w:vAlign w:val="center"/>
          </w:tcPr>
          <w:p w14:paraId="57BDB3DF">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符合节能环保等国家政策要求</w:t>
            </w:r>
          </w:p>
        </w:tc>
      </w:tr>
      <w:tr w14:paraId="796484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60" w:type="dxa"/>
            <w:gridSpan w:val="6"/>
            <w:tcBorders>
              <w:top w:val="single" w:color="auto" w:sz="4" w:space="0"/>
              <w:left w:val="single" w:color="auto" w:sz="4" w:space="0"/>
              <w:bottom w:val="single" w:color="auto" w:sz="4" w:space="0"/>
              <w:right w:val="single" w:color="auto" w:sz="4" w:space="0"/>
            </w:tcBorders>
            <w:vAlign w:val="center"/>
          </w:tcPr>
          <w:p w14:paraId="6B3433B2">
            <w:pPr>
              <w:widowControl/>
              <w:spacing w:line="360" w:lineRule="auto"/>
              <w:jc w:val="left"/>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（二）进口产品说明</w:t>
            </w:r>
          </w:p>
        </w:tc>
      </w:tr>
      <w:tr w14:paraId="66C9BE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95" w:type="dxa"/>
            <w:gridSpan w:val="4"/>
            <w:tcBorders>
              <w:top w:val="single" w:color="auto" w:sz="4" w:space="0"/>
              <w:left w:val="single" w:color="auto" w:sz="4" w:space="0"/>
              <w:bottom w:val="single" w:color="auto" w:sz="4" w:space="0"/>
              <w:right w:val="single" w:color="auto" w:sz="4" w:space="0"/>
            </w:tcBorders>
            <w:vAlign w:val="center"/>
          </w:tcPr>
          <w:p w14:paraId="21AADB57">
            <w:pPr>
              <w:widowControl/>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进口产品说明</w:t>
            </w:r>
          </w:p>
        </w:tc>
        <w:tc>
          <w:tcPr>
            <w:tcW w:w="6865" w:type="dxa"/>
            <w:gridSpan w:val="2"/>
            <w:tcBorders>
              <w:top w:val="single" w:color="auto" w:sz="4" w:space="0"/>
              <w:left w:val="single" w:color="auto" w:sz="4" w:space="0"/>
              <w:bottom w:val="single" w:color="auto" w:sz="4" w:space="0"/>
              <w:right w:val="single" w:color="auto" w:sz="4" w:space="0"/>
            </w:tcBorders>
            <w:vAlign w:val="center"/>
          </w:tcPr>
          <w:p w14:paraId="442D4696">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bidi="ar"/>
              </w:rPr>
              <w:t>本项目货物不接受进口产品（即通过中国海关报关验放进入中国境内且产自关境外的产品）参与投标，如有进口产品参与投标的，其投标文件按无效投标处理。</w:t>
            </w:r>
          </w:p>
        </w:tc>
      </w:tr>
      <w:tr w14:paraId="0A66A6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60" w:type="dxa"/>
            <w:gridSpan w:val="6"/>
            <w:tcBorders>
              <w:top w:val="single" w:color="auto" w:sz="4" w:space="0"/>
              <w:left w:val="single" w:color="auto" w:sz="4" w:space="0"/>
              <w:bottom w:val="single" w:color="auto" w:sz="4" w:space="0"/>
              <w:right w:val="single" w:color="auto" w:sz="4" w:space="0"/>
            </w:tcBorders>
            <w:vAlign w:val="center"/>
          </w:tcPr>
          <w:p w14:paraId="48D75840">
            <w:pPr>
              <w:widowControl/>
              <w:spacing w:line="360" w:lineRule="auto"/>
              <w:jc w:val="left"/>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（三）其他</w:t>
            </w:r>
          </w:p>
        </w:tc>
      </w:tr>
      <w:tr w14:paraId="1750C9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60" w:type="dxa"/>
            <w:gridSpan w:val="6"/>
            <w:tcBorders>
              <w:top w:val="single" w:color="auto" w:sz="4" w:space="0"/>
              <w:left w:val="single" w:color="auto" w:sz="4" w:space="0"/>
              <w:bottom w:val="single" w:color="auto" w:sz="4" w:space="0"/>
              <w:right w:val="single" w:color="auto" w:sz="4" w:space="0"/>
            </w:tcBorders>
            <w:vAlign w:val="center"/>
          </w:tcPr>
          <w:p w14:paraId="443E1F53">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投标人可根据本项目需求编制本项目的技术方案，包含但不限于以下方案内容，以作为评审依据：</w:t>
            </w:r>
          </w:p>
          <w:p w14:paraId="0BA4A094">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1.实施方案：投标人可结合本项目采购需求及服务质量要求，结合自身实际情况编制针对本项目的项目实施方案，包括</w:t>
            </w:r>
            <w:r>
              <w:rPr>
                <w:rFonts w:hint="eastAsia" w:ascii="宋体" w:hAnsi="宋体" w:cs="宋体"/>
                <w:color w:val="auto"/>
                <w:szCs w:val="21"/>
                <w:highlight w:val="none"/>
              </w:rPr>
              <w:t>管理措施、质量保证措施、风险防范等措施等</w:t>
            </w:r>
            <w:r>
              <w:rPr>
                <w:rFonts w:hint="eastAsia" w:ascii="宋体" w:hAnsi="宋体" w:cs="宋体"/>
                <w:bCs/>
                <w:color w:val="auto"/>
                <w:szCs w:val="21"/>
                <w:highlight w:val="none"/>
              </w:rPr>
              <w:t>。</w:t>
            </w:r>
          </w:p>
          <w:p w14:paraId="1FCE8C6E">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2.售后服务方案：投标人可结合本项目采购需求及服务质量要求，结合自身实际情况编制针对本项目的售后服务方案，包括</w:t>
            </w:r>
            <w:r>
              <w:rPr>
                <w:rFonts w:hint="eastAsia" w:ascii="宋体" w:hAnsi="宋体" w:cs="宋体"/>
                <w:color w:val="auto"/>
                <w:szCs w:val="21"/>
                <w:highlight w:val="none"/>
              </w:rPr>
              <w:t>设备的维护保养方案及质保期外的含零配件的优惠供应等</w:t>
            </w:r>
            <w:r>
              <w:rPr>
                <w:rFonts w:hint="eastAsia" w:ascii="宋体" w:hAnsi="宋体" w:cs="宋体"/>
                <w:bCs/>
                <w:color w:val="auto"/>
                <w:szCs w:val="21"/>
                <w:highlight w:val="none"/>
              </w:rPr>
              <w:t>。</w:t>
            </w:r>
          </w:p>
          <w:p w14:paraId="24C66AF1">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3.</w:t>
            </w:r>
            <w:r>
              <w:rPr>
                <w:rFonts w:hint="eastAsia" w:ascii="宋体" w:hAnsi="宋体" w:cs="宋体"/>
                <w:color w:val="auto"/>
                <w:szCs w:val="21"/>
                <w:highlight w:val="none"/>
              </w:rPr>
              <w:t>技术培训方案</w:t>
            </w:r>
            <w:r>
              <w:rPr>
                <w:rFonts w:hint="eastAsia" w:ascii="宋体" w:hAnsi="宋体" w:cs="宋体"/>
                <w:bCs/>
                <w:color w:val="auto"/>
                <w:szCs w:val="21"/>
                <w:highlight w:val="none"/>
              </w:rPr>
              <w:t>：投标人可结合本项目采购需求的相关要求以及服务质量要求，结合自身实际情况编制针对本项目的</w:t>
            </w:r>
            <w:r>
              <w:rPr>
                <w:rFonts w:hint="eastAsia" w:ascii="宋体" w:hAnsi="宋体" w:cs="宋体"/>
                <w:color w:val="auto"/>
                <w:szCs w:val="21"/>
                <w:highlight w:val="none"/>
              </w:rPr>
              <w:t>技术培训方案，包括培训计划及流程安排、培训课程及内容等</w:t>
            </w:r>
            <w:r>
              <w:rPr>
                <w:rFonts w:hint="eastAsia" w:ascii="宋体" w:hAnsi="宋体" w:cs="宋体"/>
                <w:bCs/>
                <w:color w:val="auto"/>
                <w:szCs w:val="21"/>
                <w:highlight w:val="none"/>
              </w:rPr>
              <w:t>。</w:t>
            </w:r>
          </w:p>
          <w:p w14:paraId="5AC12233">
            <w:pPr>
              <w:widowControl/>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具体见本招标文件第四章“评标方法及评标标准”。</w:t>
            </w:r>
          </w:p>
        </w:tc>
      </w:tr>
    </w:tbl>
    <w:p w14:paraId="788D9D43">
      <w:pPr>
        <w:rPr>
          <w:color w:val="auto"/>
          <w:highlight w:val="none"/>
        </w:rPr>
      </w:pPr>
      <w:r>
        <w:rPr>
          <w:rFonts w:hint="eastAsia"/>
          <w:color w:val="auto"/>
          <w:highlight w:val="none"/>
        </w:rPr>
        <w:br w:type="page"/>
      </w:r>
    </w:p>
    <w:p w14:paraId="6B25CA2C">
      <w:pPr>
        <w:rPr>
          <w:color w:val="auto"/>
          <w:highlight w:val="none"/>
        </w:rPr>
      </w:pPr>
    </w:p>
    <w:p w14:paraId="7752EA17">
      <w:pPr>
        <w:pStyle w:val="17"/>
        <w:rPr>
          <w:rFonts w:ascii="Arial Unicode MS" w:hAnsi="Arial Unicode MS" w:eastAsia="Arial Unicode MS" w:cs="Arial Unicode MS"/>
          <w:color w:val="auto"/>
          <w:highlight w:val="none"/>
        </w:rPr>
      </w:pPr>
      <w:r>
        <w:rPr>
          <w:rFonts w:hint="eastAsia"/>
          <w:color w:val="auto"/>
          <w:highlight w:val="none"/>
        </w:rPr>
        <w:t>附件1：</w:t>
      </w:r>
    </w:p>
    <w:p w14:paraId="2BD45642">
      <w:pPr>
        <w:spacing w:before="7"/>
        <w:rPr>
          <w:rFonts w:ascii="Arial Unicode MS" w:hAnsi="Arial Unicode MS" w:eastAsia="Arial Unicode MS" w:cs="Arial Unicode MS"/>
          <w:color w:val="auto"/>
          <w:sz w:val="17"/>
          <w:szCs w:val="17"/>
          <w:highlight w:val="none"/>
        </w:rPr>
      </w:pPr>
    </w:p>
    <w:p w14:paraId="1327902D">
      <w:pPr>
        <w:spacing w:line="528" w:lineRule="exact"/>
        <w:ind w:left="1871"/>
        <w:rPr>
          <w:rFonts w:ascii="Arial Unicode MS" w:hAnsi="Arial Unicode MS" w:eastAsia="Arial Unicode MS" w:cs="Arial Unicode MS"/>
          <w:color w:val="auto"/>
          <w:sz w:val="40"/>
          <w:szCs w:val="40"/>
          <w:highlight w:val="none"/>
        </w:rPr>
      </w:pPr>
      <w:r>
        <w:rPr>
          <w:rFonts w:hint="eastAsia" w:ascii="方正小标宋简体" w:hAnsi="方正小标宋简体" w:eastAsia="方正小标宋简体" w:cs="方正小标宋简体"/>
          <w:color w:val="auto"/>
          <w:sz w:val="44"/>
          <w:szCs w:val="44"/>
          <w:highlight w:val="none"/>
        </w:rPr>
        <w:t>节能产品政府采购品目清单</w:t>
      </w:r>
    </w:p>
    <w:tbl>
      <w:tblPr>
        <w:tblStyle w:val="4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422"/>
        <w:gridCol w:w="1496"/>
        <w:gridCol w:w="1481"/>
        <w:gridCol w:w="3452"/>
      </w:tblGrid>
      <w:tr w14:paraId="369FB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8F60812">
            <w:pPr>
              <w:jc w:val="center"/>
              <w:rPr>
                <w:rFonts w:ascii="Calibri" w:hAnsi="Calibri"/>
                <w:color w:val="auto"/>
                <w:szCs w:val="22"/>
                <w:highlight w:val="none"/>
              </w:rPr>
            </w:pPr>
            <w:r>
              <w:rPr>
                <w:rFonts w:hint="eastAsia" w:ascii="宋体" w:hAnsi="宋体" w:cs="宋体"/>
                <w:b/>
                <w:bCs/>
                <w:color w:val="auto"/>
                <w:w w:val="99"/>
                <w:highlight w:val="none"/>
              </w:rPr>
              <w:t>品目序号</w:t>
            </w:r>
          </w:p>
        </w:tc>
        <w:tc>
          <w:tcPr>
            <w:tcW w:w="4399" w:type="dxa"/>
            <w:gridSpan w:val="3"/>
            <w:tcBorders>
              <w:top w:val="single" w:color="000000" w:sz="4" w:space="0"/>
              <w:left w:val="single" w:color="000000" w:sz="4" w:space="0"/>
              <w:bottom w:val="single" w:color="000000" w:sz="4" w:space="0"/>
              <w:right w:val="single" w:color="000000" w:sz="4" w:space="0"/>
            </w:tcBorders>
            <w:vAlign w:val="center"/>
          </w:tcPr>
          <w:p w14:paraId="0EF47042">
            <w:pPr>
              <w:jc w:val="center"/>
              <w:rPr>
                <w:rFonts w:ascii="Calibri" w:hAnsi="Calibri"/>
                <w:color w:val="auto"/>
                <w:szCs w:val="22"/>
                <w:highlight w:val="none"/>
              </w:rPr>
            </w:pPr>
            <w:r>
              <w:rPr>
                <w:rFonts w:hint="eastAsia" w:ascii="宋体" w:hAnsi="宋体" w:cs="宋体"/>
                <w:b/>
                <w:bCs/>
                <w:color w:val="auto"/>
                <w:w w:val="99"/>
                <w:highlight w:val="none"/>
              </w:rPr>
              <w:t>名称</w:t>
            </w:r>
          </w:p>
        </w:tc>
        <w:tc>
          <w:tcPr>
            <w:tcW w:w="3452" w:type="dxa"/>
            <w:tcBorders>
              <w:top w:val="single" w:color="000000" w:sz="4" w:space="0"/>
              <w:left w:val="single" w:color="000000" w:sz="4" w:space="0"/>
              <w:bottom w:val="single" w:color="000000" w:sz="4" w:space="0"/>
              <w:right w:val="single" w:color="000000" w:sz="4" w:space="0"/>
            </w:tcBorders>
            <w:vAlign w:val="center"/>
          </w:tcPr>
          <w:p w14:paraId="50E99116">
            <w:pPr>
              <w:jc w:val="center"/>
              <w:rPr>
                <w:rFonts w:ascii="Calibri" w:hAnsi="Calibri"/>
                <w:color w:val="auto"/>
                <w:szCs w:val="22"/>
                <w:highlight w:val="none"/>
              </w:rPr>
            </w:pPr>
            <w:r>
              <w:rPr>
                <w:rFonts w:hint="eastAsia" w:ascii="宋体" w:hAnsi="宋体" w:cs="宋体"/>
                <w:b/>
                <w:bCs/>
                <w:color w:val="auto"/>
                <w:w w:val="99"/>
                <w:highlight w:val="none"/>
              </w:rPr>
              <w:t>依据的标准</w:t>
            </w:r>
          </w:p>
        </w:tc>
      </w:tr>
      <w:tr w14:paraId="06D4E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104A84F2">
            <w:pPr>
              <w:jc w:val="center"/>
              <w:rPr>
                <w:rFonts w:ascii="宋体" w:hAnsi="宋体"/>
                <w:color w:val="auto"/>
                <w:szCs w:val="21"/>
                <w:highlight w:val="none"/>
              </w:rPr>
            </w:pPr>
            <w:r>
              <w:rPr>
                <w:rFonts w:hint="eastAsia" w:ascii="宋体" w:hAnsi="宋体"/>
                <w:color w:val="auto"/>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3F9B92D0">
            <w:pPr>
              <w:jc w:val="center"/>
              <w:rPr>
                <w:rFonts w:ascii="宋体" w:hAnsi="宋体"/>
                <w:color w:val="auto"/>
                <w:szCs w:val="21"/>
                <w:highlight w:val="none"/>
              </w:rPr>
            </w:pPr>
            <w:r>
              <w:rPr>
                <w:rFonts w:hint="eastAsia" w:ascii="宋体" w:hAnsi="宋体" w:cs="仿宋_GB2312"/>
                <w:color w:val="auto"/>
                <w:szCs w:val="21"/>
                <w:highlight w:val="none"/>
              </w:rPr>
              <w:t>A02010100</w:t>
            </w:r>
            <w:r>
              <w:rPr>
                <w:rFonts w:hint="eastAsia" w:ascii="宋体" w:hAnsi="宋体" w:cs="宋体"/>
                <w:color w:val="auto"/>
                <w:w w:val="99"/>
                <w:szCs w:val="21"/>
                <w:highlight w:val="none"/>
              </w:rPr>
              <w:t>计算机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0132FF57">
            <w:pPr>
              <w:pStyle w:val="108"/>
              <w:spacing w:before="93"/>
              <w:ind w:left="7"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A02010105</w:t>
            </w:r>
            <w:r>
              <w:rPr>
                <w:rFonts w:hint="eastAsia" w:ascii="宋体" w:hAnsi="宋体" w:cs="宋体"/>
                <w:color w:val="auto"/>
                <w:w w:val="99"/>
                <w:kern w:val="2"/>
                <w:sz w:val="21"/>
                <w:szCs w:val="21"/>
                <w:highlight w:val="none"/>
              </w:rPr>
              <w:t>台式计算机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045C894D">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CAA609A">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79271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D6F5683">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43DCB3E">
            <w:pPr>
              <w:widowControl/>
              <w:jc w:val="left"/>
              <w:rPr>
                <w:rFonts w:ascii="宋体" w:hAnsi="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1320DC4">
            <w:pPr>
              <w:pStyle w:val="108"/>
              <w:spacing w:before="44"/>
              <w:ind w:left="7"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A02010108</w:t>
            </w:r>
            <w:r>
              <w:rPr>
                <w:rFonts w:hint="eastAsia" w:ascii="宋体" w:hAnsi="宋体" w:cs="宋体"/>
                <w:color w:val="auto"/>
                <w:w w:val="99"/>
                <w:kern w:val="2"/>
                <w:sz w:val="21"/>
                <w:szCs w:val="21"/>
                <w:highlight w:val="none"/>
              </w:rPr>
              <w:t>便携式计算机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0F16E4BF">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52E800D5">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53DF4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BEE01EC">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47F772D">
            <w:pPr>
              <w:widowControl/>
              <w:jc w:val="left"/>
              <w:rPr>
                <w:rFonts w:ascii="宋体" w:hAnsi="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D7BE256">
            <w:pPr>
              <w:pStyle w:val="108"/>
              <w:spacing w:before="64"/>
              <w:ind w:left="7" w:right="5"/>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w:t>
            </w:r>
            <w:r>
              <w:rPr>
                <w:rFonts w:hint="eastAsia" w:ascii="宋体" w:hAnsi="宋体" w:cs="仿宋_GB2312"/>
                <w:color w:val="auto"/>
                <w:kern w:val="2"/>
                <w:sz w:val="21"/>
                <w:szCs w:val="21"/>
                <w:highlight w:val="none"/>
                <w:lang w:eastAsia="zh-CN"/>
              </w:rPr>
              <w:t>A02010109平板式计算机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6F1679B0">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7F61261B">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02254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6DCA8806">
            <w:pPr>
              <w:jc w:val="center"/>
              <w:rPr>
                <w:rFonts w:ascii="宋体" w:hAnsi="宋体"/>
                <w:color w:val="auto"/>
                <w:szCs w:val="21"/>
                <w:highlight w:val="none"/>
              </w:rPr>
            </w:pPr>
            <w:r>
              <w:rPr>
                <w:rFonts w:hint="eastAsia" w:ascii="宋体" w:hAnsi="宋体"/>
                <w:color w:val="auto"/>
                <w:szCs w:val="21"/>
                <w:highlight w:val="none"/>
              </w:rPr>
              <w:t>2</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1B01D3AE">
            <w:pPr>
              <w:pStyle w:val="108"/>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A02020000</w:t>
            </w:r>
            <w:r>
              <w:rPr>
                <w:rFonts w:hint="eastAsia" w:ascii="宋体" w:hAnsi="宋体" w:cs="宋体"/>
                <w:color w:val="auto"/>
                <w:w w:val="99"/>
                <w:kern w:val="2"/>
                <w:sz w:val="21"/>
                <w:szCs w:val="21"/>
                <w:highlight w:val="none"/>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1BB43762">
            <w:pPr>
              <w:jc w:val="center"/>
              <w:rPr>
                <w:rFonts w:ascii="宋体" w:hAnsi="宋体"/>
                <w:color w:val="auto"/>
                <w:szCs w:val="21"/>
                <w:highlight w:val="none"/>
              </w:rPr>
            </w:pPr>
            <w:r>
              <w:rPr>
                <w:rFonts w:hint="eastAsia" w:ascii="宋体" w:hAnsi="宋体" w:cs="宋体"/>
                <w:color w:val="auto"/>
                <w:spacing w:val="1"/>
                <w:w w:val="99"/>
                <w:szCs w:val="21"/>
                <w:highlight w:val="none"/>
              </w:rPr>
              <w:t>A02021000</w:t>
            </w:r>
            <w:r>
              <w:rPr>
                <w:rFonts w:hint="eastAsia" w:ascii="宋体" w:hAnsi="宋体" w:cs="Arial"/>
                <w:color w:val="auto"/>
                <w:szCs w:val="21"/>
                <w:highlight w:val="none"/>
                <w:shd w:val="clear" w:color="auto" w:fill="FFFFFF"/>
              </w:rPr>
              <w:t>打印机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34E9F3B0">
            <w:pPr>
              <w:jc w:val="center"/>
              <w:rPr>
                <w:rFonts w:ascii="宋体" w:hAnsi="宋体"/>
                <w:color w:val="auto"/>
                <w:szCs w:val="21"/>
                <w:highlight w:val="none"/>
              </w:rPr>
            </w:pPr>
            <w:r>
              <w:rPr>
                <w:rFonts w:hint="eastAsia" w:ascii="宋体" w:hAnsi="宋体"/>
                <w:color w:val="auto"/>
                <w:szCs w:val="21"/>
                <w:highlight w:val="none"/>
              </w:rPr>
              <w:t>A02021001 A3黑白打印机</w:t>
            </w:r>
          </w:p>
        </w:tc>
        <w:tc>
          <w:tcPr>
            <w:tcW w:w="3452" w:type="dxa"/>
            <w:tcBorders>
              <w:top w:val="single" w:color="000000" w:sz="4" w:space="0"/>
              <w:left w:val="single" w:color="000000" w:sz="4" w:space="0"/>
              <w:bottom w:val="single" w:color="000000" w:sz="4" w:space="0"/>
              <w:right w:val="single" w:color="000000" w:sz="4" w:space="0"/>
            </w:tcBorders>
          </w:tcPr>
          <w:p w14:paraId="7C8D885D">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2738A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CA809FE">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F4F6768">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11CE1765">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1216C84">
            <w:pPr>
              <w:jc w:val="center"/>
              <w:rPr>
                <w:rFonts w:ascii="宋体" w:hAnsi="宋体"/>
                <w:color w:val="auto"/>
                <w:szCs w:val="21"/>
                <w:highlight w:val="none"/>
              </w:rPr>
            </w:pPr>
            <w:r>
              <w:rPr>
                <w:rFonts w:hint="eastAsia" w:ascii="宋体" w:hAnsi="宋体"/>
                <w:color w:val="auto"/>
                <w:szCs w:val="21"/>
                <w:highlight w:val="none"/>
              </w:rPr>
              <w:t>A02021002 A3彩色打印机</w:t>
            </w:r>
          </w:p>
        </w:tc>
        <w:tc>
          <w:tcPr>
            <w:tcW w:w="3452" w:type="dxa"/>
            <w:tcBorders>
              <w:top w:val="single" w:color="000000" w:sz="4" w:space="0"/>
              <w:left w:val="single" w:color="000000" w:sz="4" w:space="0"/>
              <w:bottom w:val="single" w:color="000000" w:sz="4" w:space="0"/>
              <w:right w:val="single" w:color="000000" w:sz="4" w:space="0"/>
            </w:tcBorders>
          </w:tcPr>
          <w:p w14:paraId="6FBCACC7">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36F54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492D6CE">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8D7EC14">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EF738D5">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B8F187E">
            <w:pPr>
              <w:jc w:val="center"/>
              <w:rPr>
                <w:rFonts w:ascii="宋体" w:hAnsi="宋体"/>
                <w:color w:val="auto"/>
                <w:szCs w:val="21"/>
                <w:highlight w:val="none"/>
              </w:rPr>
            </w:pPr>
            <w:r>
              <w:rPr>
                <w:rFonts w:hint="eastAsia" w:ascii="宋体" w:hAnsi="宋体"/>
                <w:color w:val="auto"/>
                <w:szCs w:val="21"/>
                <w:highlight w:val="none"/>
              </w:rPr>
              <w:t>A02021003 A4黑白打印机</w:t>
            </w:r>
          </w:p>
        </w:tc>
        <w:tc>
          <w:tcPr>
            <w:tcW w:w="3452" w:type="dxa"/>
            <w:tcBorders>
              <w:top w:val="single" w:color="000000" w:sz="4" w:space="0"/>
              <w:left w:val="single" w:color="000000" w:sz="4" w:space="0"/>
              <w:bottom w:val="single" w:color="000000" w:sz="4" w:space="0"/>
              <w:right w:val="single" w:color="000000" w:sz="4" w:space="0"/>
            </w:tcBorders>
          </w:tcPr>
          <w:p w14:paraId="4276C8BA">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49E8E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491DFAC">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3E18F7A">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1E5E3EB4">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25C7844">
            <w:pPr>
              <w:jc w:val="center"/>
              <w:rPr>
                <w:rFonts w:ascii="宋体" w:hAnsi="宋体"/>
                <w:color w:val="auto"/>
                <w:szCs w:val="21"/>
                <w:highlight w:val="none"/>
              </w:rPr>
            </w:pPr>
            <w:r>
              <w:rPr>
                <w:rFonts w:hint="eastAsia" w:ascii="宋体" w:hAnsi="宋体"/>
                <w:color w:val="auto"/>
                <w:szCs w:val="21"/>
                <w:highlight w:val="none"/>
              </w:rPr>
              <w:t>A02021004 A4彩色打印机</w:t>
            </w:r>
          </w:p>
        </w:tc>
        <w:tc>
          <w:tcPr>
            <w:tcW w:w="3452" w:type="dxa"/>
            <w:tcBorders>
              <w:top w:val="single" w:color="000000" w:sz="4" w:space="0"/>
              <w:left w:val="single" w:color="000000" w:sz="4" w:space="0"/>
              <w:bottom w:val="single" w:color="000000" w:sz="4" w:space="0"/>
              <w:right w:val="single" w:color="000000" w:sz="4" w:space="0"/>
            </w:tcBorders>
          </w:tcPr>
          <w:p w14:paraId="0636F3D1">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3D447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5A90242">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D45E109">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50B0139F">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9FD4473">
            <w:pPr>
              <w:jc w:val="center"/>
              <w:rPr>
                <w:rFonts w:ascii="宋体" w:hAnsi="宋体"/>
                <w:color w:val="auto"/>
                <w:szCs w:val="21"/>
                <w:highlight w:val="none"/>
              </w:rPr>
            </w:pPr>
            <w:r>
              <w:rPr>
                <w:rFonts w:hint="eastAsia" w:ascii="宋体" w:hAnsi="宋体"/>
                <w:color w:val="auto"/>
                <w:szCs w:val="21"/>
                <w:highlight w:val="none"/>
              </w:rPr>
              <w:t>A02021005 3D打印机</w:t>
            </w:r>
          </w:p>
        </w:tc>
        <w:tc>
          <w:tcPr>
            <w:tcW w:w="3452" w:type="dxa"/>
            <w:tcBorders>
              <w:top w:val="single" w:color="000000" w:sz="4" w:space="0"/>
              <w:left w:val="single" w:color="000000" w:sz="4" w:space="0"/>
              <w:bottom w:val="single" w:color="000000" w:sz="4" w:space="0"/>
              <w:right w:val="single" w:color="000000" w:sz="4" w:space="0"/>
            </w:tcBorders>
          </w:tcPr>
          <w:p w14:paraId="54D84C68">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377D8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42E9FD6">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349099B">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6A9DBC1">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493120C">
            <w:pPr>
              <w:jc w:val="center"/>
              <w:rPr>
                <w:rFonts w:ascii="宋体" w:hAnsi="宋体"/>
                <w:color w:val="auto"/>
                <w:szCs w:val="21"/>
                <w:highlight w:val="none"/>
              </w:rPr>
            </w:pPr>
            <w:r>
              <w:rPr>
                <w:rFonts w:hint="eastAsia" w:ascii="宋体" w:hAnsi="宋体"/>
                <w:color w:val="auto"/>
                <w:szCs w:val="21"/>
                <w:highlight w:val="none"/>
              </w:rPr>
              <w:t>A02021006票据打印机</w:t>
            </w:r>
          </w:p>
        </w:tc>
        <w:tc>
          <w:tcPr>
            <w:tcW w:w="3452" w:type="dxa"/>
            <w:tcBorders>
              <w:top w:val="single" w:color="000000" w:sz="4" w:space="0"/>
              <w:left w:val="single" w:color="000000" w:sz="4" w:space="0"/>
              <w:bottom w:val="single" w:color="000000" w:sz="4" w:space="0"/>
              <w:right w:val="single" w:color="000000" w:sz="4" w:space="0"/>
            </w:tcBorders>
          </w:tcPr>
          <w:p w14:paraId="63BBCECC">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4B655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5E7D3CB">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AF39CDE">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34F3C03A">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32D5AAF">
            <w:pPr>
              <w:jc w:val="center"/>
              <w:rPr>
                <w:rFonts w:ascii="宋体" w:hAnsi="宋体"/>
                <w:color w:val="auto"/>
                <w:szCs w:val="21"/>
                <w:highlight w:val="none"/>
              </w:rPr>
            </w:pPr>
            <w:r>
              <w:rPr>
                <w:rFonts w:hint="eastAsia" w:ascii="宋体" w:hAnsi="宋体"/>
                <w:color w:val="auto"/>
                <w:szCs w:val="21"/>
                <w:highlight w:val="none"/>
              </w:rPr>
              <w:t>A02021007条码打印机</w:t>
            </w:r>
          </w:p>
        </w:tc>
        <w:tc>
          <w:tcPr>
            <w:tcW w:w="3452" w:type="dxa"/>
            <w:tcBorders>
              <w:top w:val="single" w:color="000000" w:sz="4" w:space="0"/>
              <w:left w:val="single" w:color="000000" w:sz="4" w:space="0"/>
              <w:bottom w:val="single" w:color="000000" w:sz="4" w:space="0"/>
              <w:right w:val="single" w:color="000000" w:sz="4" w:space="0"/>
            </w:tcBorders>
          </w:tcPr>
          <w:p w14:paraId="19AF9145">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35A8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4CC903E">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4FDFACA">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3960AD21">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4449102">
            <w:pPr>
              <w:jc w:val="center"/>
              <w:rPr>
                <w:rFonts w:ascii="宋体" w:hAnsi="宋体"/>
                <w:color w:val="auto"/>
                <w:szCs w:val="21"/>
                <w:highlight w:val="none"/>
              </w:rPr>
            </w:pPr>
            <w:r>
              <w:rPr>
                <w:rFonts w:hint="eastAsia" w:ascii="宋体" w:hAnsi="宋体"/>
                <w:color w:val="auto"/>
                <w:szCs w:val="21"/>
                <w:highlight w:val="none"/>
              </w:rPr>
              <w:t>A02021008地址打印机</w:t>
            </w:r>
          </w:p>
        </w:tc>
        <w:tc>
          <w:tcPr>
            <w:tcW w:w="3452" w:type="dxa"/>
            <w:tcBorders>
              <w:top w:val="single" w:color="000000" w:sz="4" w:space="0"/>
              <w:left w:val="single" w:color="000000" w:sz="4" w:space="0"/>
              <w:bottom w:val="single" w:color="000000" w:sz="4" w:space="0"/>
              <w:right w:val="single" w:color="000000" w:sz="4" w:space="0"/>
            </w:tcBorders>
          </w:tcPr>
          <w:p w14:paraId="29A3EF17">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60E3D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E678CB7">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D01672D">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59608E71">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066BD8C">
            <w:pPr>
              <w:jc w:val="center"/>
              <w:rPr>
                <w:rFonts w:ascii="宋体" w:hAnsi="宋体"/>
                <w:color w:val="auto"/>
                <w:szCs w:val="21"/>
                <w:highlight w:val="none"/>
              </w:rPr>
            </w:pPr>
            <w:r>
              <w:rPr>
                <w:rFonts w:hint="eastAsia" w:ascii="宋体" w:hAnsi="宋体"/>
                <w:color w:val="auto"/>
                <w:szCs w:val="21"/>
                <w:highlight w:val="none"/>
              </w:rPr>
              <w:t>A02021099其他打印机</w:t>
            </w:r>
          </w:p>
        </w:tc>
        <w:tc>
          <w:tcPr>
            <w:tcW w:w="3452" w:type="dxa"/>
            <w:tcBorders>
              <w:top w:val="single" w:color="000000" w:sz="4" w:space="0"/>
              <w:left w:val="single" w:color="000000" w:sz="4" w:space="0"/>
              <w:bottom w:val="single" w:color="000000" w:sz="4" w:space="0"/>
              <w:right w:val="single" w:color="000000" w:sz="4" w:space="0"/>
            </w:tcBorders>
          </w:tcPr>
          <w:p w14:paraId="02A4226D">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37C9C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CCFBCA0">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354F83E">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133CEAB4">
            <w:pPr>
              <w:jc w:val="center"/>
              <w:rPr>
                <w:rFonts w:ascii="宋体" w:hAnsi="宋体"/>
                <w:color w:val="auto"/>
                <w:szCs w:val="21"/>
                <w:highlight w:val="none"/>
              </w:rPr>
            </w:pPr>
            <w:r>
              <w:rPr>
                <w:rFonts w:hint="eastAsia" w:ascii="宋体" w:hAnsi="宋体"/>
                <w:color w:val="auto"/>
                <w:szCs w:val="21"/>
                <w:highlight w:val="none"/>
              </w:rPr>
              <w:t>A02021100输入输出设备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6439C8D7">
            <w:pPr>
              <w:jc w:val="center"/>
              <w:rPr>
                <w:rFonts w:ascii="宋体" w:hAnsi="宋体"/>
                <w:color w:val="auto"/>
                <w:szCs w:val="21"/>
                <w:highlight w:val="none"/>
              </w:rPr>
            </w:pPr>
            <w:r>
              <w:rPr>
                <w:rFonts w:hint="eastAsia" w:ascii="宋体" w:hAnsi="宋体" w:cs="宋体"/>
                <w:color w:val="auto"/>
                <w:w w:val="99"/>
                <w:szCs w:val="21"/>
                <w:highlight w:val="none"/>
              </w:rPr>
              <w:t>★</w:t>
            </w:r>
            <w:r>
              <w:rPr>
                <w:rFonts w:hint="eastAsia" w:ascii="宋体" w:hAnsi="宋体"/>
                <w:color w:val="auto"/>
                <w:szCs w:val="21"/>
                <w:highlight w:val="none"/>
              </w:rPr>
              <w:t>A02021104液晶显示器</w:t>
            </w:r>
          </w:p>
        </w:tc>
        <w:tc>
          <w:tcPr>
            <w:tcW w:w="3452" w:type="dxa"/>
            <w:tcBorders>
              <w:top w:val="single" w:color="000000" w:sz="4" w:space="0"/>
              <w:left w:val="single" w:color="000000" w:sz="4" w:space="0"/>
              <w:bottom w:val="single" w:color="000000" w:sz="4" w:space="0"/>
              <w:right w:val="single" w:color="000000" w:sz="4" w:space="0"/>
            </w:tcBorders>
            <w:vAlign w:val="center"/>
          </w:tcPr>
          <w:p w14:paraId="30628863">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《计算机显示器能效限定值及能效等级》（GB21520）</w:t>
            </w:r>
          </w:p>
        </w:tc>
      </w:tr>
      <w:tr w14:paraId="5D2AF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64ECF92">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9F3C31E">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511E542">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17DA5A1">
            <w:pPr>
              <w:jc w:val="center"/>
              <w:rPr>
                <w:rFonts w:ascii="宋体" w:hAnsi="宋体"/>
                <w:color w:val="auto"/>
                <w:szCs w:val="21"/>
                <w:highlight w:val="none"/>
              </w:rPr>
            </w:pPr>
            <w:r>
              <w:rPr>
                <w:rFonts w:hint="eastAsia" w:ascii="宋体" w:hAnsi="宋体"/>
                <w:color w:val="auto"/>
                <w:szCs w:val="21"/>
                <w:highlight w:val="none"/>
              </w:rPr>
              <w:t>A02021118扫描仪</w:t>
            </w:r>
          </w:p>
        </w:tc>
        <w:tc>
          <w:tcPr>
            <w:tcW w:w="3452" w:type="dxa"/>
            <w:tcBorders>
              <w:top w:val="single" w:color="000000" w:sz="4" w:space="0"/>
              <w:left w:val="single" w:color="000000" w:sz="4" w:space="0"/>
              <w:bottom w:val="single" w:color="000000" w:sz="4" w:space="0"/>
              <w:right w:val="single" w:color="000000" w:sz="4" w:space="0"/>
            </w:tcBorders>
            <w:vAlign w:val="center"/>
          </w:tcPr>
          <w:p w14:paraId="10BCA204">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参照《复印机、打印机和传真机能效限定值及能效等级》（GB21521）中打印速度为15页/分的针式打印机相关要求</w:t>
            </w:r>
          </w:p>
        </w:tc>
      </w:tr>
      <w:tr w14:paraId="4B11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78FB737">
            <w:pPr>
              <w:jc w:val="center"/>
              <w:rPr>
                <w:rFonts w:ascii="宋体" w:hAnsi="宋体"/>
                <w:color w:val="auto"/>
                <w:szCs w:val="21"/>
                <w:highlight w:val="none"/>
              </w:rPr>
            </w:pPr>
            <w:r>
              <w:rPr>
                <w:rFonts w:hint="eastAsia" w:ascii="宋体" w:hAnsi="宋体"/>
                <w:color w:val="auto"/>
                <w:w w:val="99"/>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40D70CDC">
            <w:pPr>
              <w:jc w:val="center"/>
              <w:rPr>
                <w:rFonts w:ascii="宋体" w:hAnsi="宋体"/>
                <w:color w:val="auto"/>
                <w:szCs w:val="21"/>
                <w:highlight w:val="none"/>
              </w:rPr>
            </w:pPr>
            <w:r>
              <w:rPr>
                <w:rFonts w:hint="eastAsia" w:ascii="宋体" w:hAnsi="宋体"/>
                <w:color w:val="auto"/>
                <w:szCs w:val="21"/>
                <w:highlight w:val="none"/>
              </w:rPr>
              <w:t>A02020200投影仪</w:t>
            </w:r>
          </w:p>
        </w:tc>
        <w:tc>
          <w:tcPr>
            <w:tcW w:w="1496" w:type="dxa"/>
            <w:tcBorders>
              <w:top w:val="single" w:color="000000" w:sz="4" w:space="0"/>
              <w:left w:val="single" w:color="000000" w:sz="4" w:space="0"/>
              <w:bottom w:val="single" w:color="000000" w:sz="4" w:space="0"/>
              <w:right w:val="single" w:color="000000" w:sz="4" w:space="0"/>
            </w:tcBorders>
            <w:vAlign w:val="center"/>
          </w:tcPr>
          <w:p w14:paraId="7A56B551">
            <w:pPr>
              <w:jc w:val="center"/>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E5681D1">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3D5A7D5B">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《投影机能效限定值及能效等级》（GB32028）</w:t>
            </w:r>
          </w:p>
        </w:tc>
      </w:tr>
      <w:tr w14:paraId="7F01D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4B0F8F5">
            <w:pPr>
              <w:jc w:val="center"/>
              <w:rPr>
                <w:rFonts w:ascii="宋体" w:hAnsi="宋体"/>
                <w:color w:val="auto"/>
                <w:szCs w:val="21"/>
                <w:highlight w:val="none"/>
              </w:rPr>
            </w:pPr>
            <w:r>
              <w:rPr>
                <w:rFonts w:hint="eastAsia" w:ascii="宋体" w:hAnsi="宋体"/>
                <w:color w:val="auto"/>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2F7AC56D">
            <w:pPr>
              <w:pStyle w:val="108"/>
              <w:spacing w:before="66"/>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A02020400</w:t>
            </w:r>
            <w:r>
              <w:rPr>
                <w:rFonts w:hint="eastAsia" w:ascii="宋体" w:hAnsi="宋体" w:cs="宋体"/>
                <w:color w:val="auto"/>
                <w:w w:val="99"/>
                <w:kern w:val="2"/>
                <w:sz w:val="21"/>
                <w:szCs w:val="21"/>
                <w:highlight w:val="none"/>
              </w:rPr>
              <w:t>多功能一体机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727458FA">
            <w:pPr>
              <w:jc w:val="center"/>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2111F20">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5ABFAE76">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64708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19686B2">
            <w:pPr>
              <w:pStyle w:val="108"/>
              <w:spacing w:before="160"/>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5</w:t>
            </w:r>
          </w:p>
        </w:tc>
        <w:tc>
          <w:tcPr>
            <w:tcW w:w="1422" w:type="dxa"/>
            <w:tcBorders>
              <w:top w:val="single" w:color="000000" w:sz="4" w:space="0"/>
              <w:left w:val="single" w:color="000000" w:sz="4" w:space="0"/>
              <w:bottom w:val="single" w:color="000000" w:sz="4" w:space="0"/>
              <w:right w:val="single" w:color="000000" w:sz="4" w:space="0"/>
            </w:tcBorders>
            <w:vAlign w:val="center"/>
          </w:tcPr>
          <w:p w14:paraId="213BCE97">
            <w:pPr>
              <w:pStyle w:val="108"/>
              <w:spacing w:before="160"/>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A02051900</w:t>
            </w:r>
            <w:r>
              <w:rPr>
                <w:rFonts w:hint="eastAsia" w:ascii="宋体" w:hAnsi="宋体" w:cs="宋体"/>
                <w:color w:val="auto"/>
                <w:w w:val="99"/>
                <w:kern w:val="2"/>
                <w:sz w:val="21"/>
                <w:szCs w:val="21"/>
                <w:highlight w:val="none"/>
              </w:rPr>
              <w:t>泵</w:t>
            </w:r>
          </w:p>
        </w:tc>
        <w:tc>
          <w:tcPr>
            <w:tcW w:w="1496" w:type="dxa"/>
            <w:tcBorders>
              <w:top w:val="single" w:color="000000" w:sz="4" w:space="0"/>
              <w:left w:val="single" w:color="000000" w:sz="4" w:space="0"/>
              <w:bottom w:val="single" w:color="000000" w:sz="4" w:space="0"/>
              <w:right w:val="single" w:color="000000" w:sz="4" w:space="0"/>
            </w:tcBorders>
            <w:vAlign w:val="center"/>
          </w:tcPr>
          <w:p w14:paraId="366E376D">
            <w:pPr>
              <w:pStyle w:val="108"/>
              <w:spacing w:before="160"/>
              <w:ind w:left="7"/>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05</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901离心泵</w:t>
            </w:r>
          </w:p>
        </w:tc>
        <w:tc>
          <w:tcPr>
            <w:tcW w:w="1481" w:type="dxa"/>
            <w:tcBorders>
              <w:top w:val="single" w:color="000000" w:sz="4" w:space="0"/>
              <w:left w:val="single" w:color="000000" w:sz="4" w:space="0"/>
              <w:bottom w:val="single" w:color="000000" w:sz="4" w:space="0"/>
              <w:right w:val="single" w:color="000000" w:sz="4" w:space="0"/>
            </w:tcBorders>
            <w:vAlign w:val="center"/>
          </w:tcPr>
          <w:p w14:paraId="12212D6C">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4A9A4D2E">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《清水离心泵能效限定值及节能评价值》（GB19762）</w:t>
            </w:r>
          </w:p>
        </w:tc>
      </w:tr>
      <w:tr w14:paraId="79A8F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771D73C2">
            <w:pPr>
              <w:jc w:val="center"/>
              <w:rPr>
                <w:rFonts w:ascii="宋体" w:hAnsi="宋体"/>
                <w:color w:val="auto"/>
                <w:szCs w:val="21"/>
                <w:highlight w:val="none"/>
              </w:rPr>
            </w:pPr>
            <w:r>
              <w:rPr>
                <w:rFonts w:hint="eastAsia" w:ascii="宋体" w:hAnsi="宋体"/>
                <w:color w:val="auto"/>
                <w:szCs w:val="21"/>
                <w:highlight w:val="none"/>
              </w:rPr>
              <w:t>6</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221B4EE9">
            <w:pPr>
              <w:pStyle w:val="108"/>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A02052300</w:t>
            </w:r>
            <w:r>
              <w:rPr>
                <w:rFonts w:hint="eastAsia" w:ascii="宋体" w:hAnsi="宋体" w:cs="宋体"/>
                <w:color w:val="auto"/>
                <w:w w:val="99"/>
                <w:kern w:val="2"/>
                <w:sz w:val="21"/>
                <w:szCs w:val="21"/>
                <w:highlight w:val="none"/>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3EB18D6B">
            <w:pPr>
              <w:pStyle w:val="108"/>
              <w:spacing w:line="276" w:lineRule="auto"/>
              <w:ind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52</w:t>
            </w:r>
            <w:r>
              <w:rPr>
                <w:rFonts w:hint="eastAsia" w:ascii="宋体" w:hAnsi="宋体" w:cs="宋体"/>
                <w:color w:val="auto"/>
                <w:spacing w:val="1"/>
                <w:w w:val="99"/>
                <w:kern w:val="2"/>
                <w:sz w:val="21"/>
                <w:szCs w:val="21"/>
                <w:highlight w:val="none"/>
              </w:rPr>
              <w:t>3</w:t>
            </w:r>
            <w:r>
              <w:rPr>
                <w:rFonts w:hint="eastAsia" w:ascii="宋体" w:hAnsi="宋体" w:cs="宋体"/>
                <w:color w:val="auto"/>
                <w:w w:val="99"/>
                <w:kern w:val="2"/>
                <w:sz w:val="21"/>
                <w:szCs w:val="21"/>
                <w:highlight w:val="none"/>
              </w:rPr>
              <w:t>01制冷压缩机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3A75703A">
            <w:pPr>
              <w:pStyle w:val="10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冷水机组</w:t>
            </w:r>
          </w:p>
        </w:tc>
        <w:tc>
          <w:tcPr>
            <w:tcW w:w="3452" w:type="dxa"/>
            <w:tcBorders>
              <w:top w:val="single" w:color="000000" w:sz="4" w:space="0"/>
              <w:left w:val="single" w:color="000000" w:sz="4" w:space="0"/>
              <w:bottom w:val="single" w:color="000000" w:sz="4" w:space="0"/>
              <w:right w:val="single" w:color="000000" w:sz="4" w:space="0"/>
            </w:tcBorders>
          </w:tcPr>
          <w:p w14:paraId="6BEFAE29">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《冷水机组能效限定值及能效等级》（GB19577），《低环境温度空气源热泵（冷水）机组能效限定值及能效等级》（GB37480）</w:t>
            </w:r>
          </w:p>
        </w:tc>
      </w:tr>
      <w:tr w14:paraId="7F4BB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D2AA1DF">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6512C5C">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18356BA0">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6F08058">
            <w:pPr>
              <w:jc w:val="center"/>
              <w:rPr>
                <w:rFonts w:ascii="宋体" w:hAnsi="宋体"/>
                <w:color w:val="auto"/>
                <w:szCs w:val="21"/>
                <w:highlight w:val="none"/>
              </w:rPr>
            </w:pPr>
            <w:r>
              <w:rPr>
                <w:rFonts w:hint="eastAsia" w:ascii="宋体" w:hAnsi="宋体"/>
                <w:color w:val="auto"/>
                <w:szCs w:val="21"/>
                <w:highlight w:val="none"/>
              </w:rPr>
              <w:t>溴化锂吸收式冷水机组</w:t>
            </w:r>
          </w:p>
        </w:tc>
        <w:tc>
          <w:tcPr>
            <w:tcW w:w="3452" w:type="dxa"/>
            <w:tcBorders>
              <w:top w:val="single" w:color="000000" w:sz="4" w:space="0"/>
              <w:left w:val="single" w:color="000000" w:sz="4" w:space="0"/>
              <w:bottom w:val="single" w:color="000000" w:sz="4" w:space="0"/>
              <w:right w:val="single" w:color="000000" w:sz="4" w:space="0"/>
            </w:tcBorders>
            <w:vAlign w:val="center"/>
          </w:tcPr>
          <w:p w14:paraId="57276212">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《溴化锂吸收式冷水机组能效限</w:t>
            </w:r>
          </w:p>
          <w:p w14:paraId="6A6C967E">
            <w:pPr>
              <w:spacing w:before="131" w:line="276" w:lineRule="auto"/>
              <w:ind w:right="4"/>
              <w:rPr>
                <w:rFonts w:ascii="宋体" w:hAnsi="宋体" w:cs="宋体"/>
                <w:color w:val="auto"/>
                <w:spacing w:val="10"/>
                <w:szCs w:val="21"/>
                <w:highlight w:val="none"/>
              </w:rPr>
            </w:pPr>
            <w:r>
              <w:rPr>
                <w:rFonts w:hint="eastAsia" w:ascii="宋体" w:hAnsi="宋体" w:cs="宋体"/>
                <w:color w:val="auto"/>
                <w:spacing w:val="10"/>
                <w:szCs w:val="21"/>
                <w:highlight w:val="none"/>
              </w:rPr>
              <w:t>定值及能效等级》（GB29540）</w:t>
            </w:r>
          </w:p>
        </w:tc>
      </w:tr>
      <w:tr w14:paraId="41169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B99BC9E">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B8F804B">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412DC306">
            <w:pPr>
              <w:pStyle w:val="108"/>
              <w:spacing w:line="276" w:lineRule="auto"/>
              <w:ind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★A02052305空调机组</w:t>
            </w:r>
          </w:p>
        </w:tc>
        <w:tc>
          <w:tcPr>
            <w:tcW w:w="1481" w:type="dxa"/>
            <w:tcBorders>
              <w:top w:val="single" w:color="000000" w:sz="4" w:space="0"/>
              <w:left w:val="single" w:color="000000" w:sz="4" w:space="0"/>
              <w:bottom w:val="single" w:color="000000" w:sz="4" w:space="0"/>
              <w:right w:val="single" w:color="000000" w:sz="4" w:space="0"/>
            </w:tcBorders>
            <w:vAlign w:val="center"/>
          </w:tcPr>
          <w:p w14:paraId="2759BCFD">
            <w:pPr>
              <w:pStyle w:val="108"/>
              <w:spacing w:before="4" w:line="276" w:lineRule="auto"/>
              <w:ind w:left="7" w:right="7"/>
              <w:jc w:val="center"/>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多联式空调（热泵）机组（制冷量&gt;14000W）</w:t>
            </w:r>
          </w:p>
        </w:tc>
        <w:tc>
          <w:tcPr>
            <w:tcW w:w="3452" w:type="dxa"/>
            <w:tcBorders>
              <w:top w:val="single" w:color="000000" w:sz="4" w:space="0"/>
              <w:left w:val="single" w:color="000000" w:sz="4" w:space="0"/>
              <w:bottom w:val="single" w:color="000000" w:sz="4" w:space="0"/>
              <w:right w:val="single" w:color="000000" w:sz="4" w:space="0"/>
            </w:tcBorders>
          </w:tcPr>
          <w:p w14:paraId="7261762E">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《多联式空调（热泵）机组能效限定值及能源效率等级》（GB21454）</w:t>
            </w:r>
          </w:p>
        </w:tc>
      </w:tr>
      <w:tr w14:paraId="68D48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C48580F">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4CB64DC">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312EB651">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1AAEB9D">
            <w:pPr>
              <w:jc w:val="center"/>
              <w:rPr>
                <w:rFonts w:ascii="宋体" w:hAnsi="宋体"/>
                <w:color w:val="auto"/>
                <w:szCs w:val="21"/>
                <w:highlight w:val="none"/>
              </w:rPr>
            </w:pPr>
            <w:r>
              <w:rPr>
                <w:rFonts w:hint="eastAsia" w:ascii="宋体" w:hAnsi="宋体" w:cs="宋体"/>
                <w:color w:val="auto"/>
                <w:w w:val="99"/>
                <w:szCs w:val="21"/>
                <w:highlight w:val="none"/>
              </w:rPr>
              <w:t>单元式空气调节机</w:t>
            </w:r>
          </w:p>
        </w:tc>
        <w:tc>
          <w:tcPr>
            <w:tcW w:w="3452" w:type="dxa"/>
            <w:tcBorders>
              <w:top w:val="single" w:color="000000" w:sz="4" w:space="0"/>
              <w:left w:val="single" w:color="000000" w:sz="4" w:space="0"/>
              <w:bottom w:val="single" w:color="000000" w:sz="4" w:space="0"/>
              <w:right w:val="single" w:color="000000" w:sz="4" w:space="0"/>
            </w:tcBorders>
          </w:tcPr>
          <w:p w14:paraId="2AEDAC8D">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《单元式空气调节机能效限定值及能效等级》（GB19576）《风管送风式空调机组能效限定值及能效等级》（GB37479）</w:t>
            </w:r>
          </w:p>
        </w:tc>
      </w:tr>
      <w:tr w14:paraId="4EAE2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FD545E9">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F684C28">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F83EA24">
            <w:pPr>
              <w:pStyle w:val="108"/>
              <w:spacing w:before="83"/>
              <w:ind w:left="7"/>
              <w:jc w:val="center"/>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29B33DAC">
            <w:pPr>
              <w:pStyle w:val="10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机房空调</w:t>
            </w:r>
          </w:p>
        </w:tc>
        <w:tc>
          <w:tcPr>
            <w:tcW w:w="3452" w:type="dxa"/>
            <w:tcBorders>
              <w:top w:val="single" w:color="000000" w:sz="4" w:space="0"/>
              <w:left w:val="single" w:color="000000" w:sz="4" w:space="0"/>
              <w:bottom w:val="single" w:color="000000" w:sz="4" w:space="0"/>
              <w:right w:val="single" w:color="000000" w:sz="4" w:space="0"/>
            </w:tcBorders>
          </w:tcPr>
          <w:p w14:paraId="3659FD02">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w:t>
            </w:r>
          </w:p>
          <w:p w14:paraId="2BE970A3">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及能效等级》（GB19576）</w:t>
            </w:r>
          </w:p>
        </w:tc>
      </w:tr>
      <w:tr w14:paraId="504BB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EFFD5EF">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978B984">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7ED3A98">
            <w:pPr>
              <w:pStyle w:val="108"/>
              <w:spacing w:line="254" w:lineRule="exact"/>
              <w:ind w:left="7"/>
              <w:jc w:val="center"/>
              <w:rPr>
                <w:rFonts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A02052399其他制冷</w:t>
            </w:r>
          </w:p>
          <w:p w14:paraId="507446A0">
            <w:pPr>
              <w:pStyle w:val="108"/>
              <w:spacing w:line="254" w:lineRule="exact"/>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03AA8115">
            <w:pPr>
              <w:widowControl/>
              <w:jc w:val="center"/>
              <w:rPr>
                <w:rFonts w:ascii="宋体" w:hAnsi="宋体" w:cs="宋体"/>
                <w:color w:val="auto"/>
                <w:szCs w:val="21"/>
                <w:highlight w:val="none"/>
                <w:lang w:eastAsia="en-US"/>
              </w:rPr>
            </w:pPr>
            <w:r>
              <w:rPr>
                <w:rFonts w:hint="eastAsia" w:ascii="宋体" w:hAnsi="宋体" w:cs="宋体"/>
                <w:color w:val="auto"/>
                <w:w w:val="99"/>
                <w:szCs w:val="21"/>
                <w:highlight w:val="none"/>
              </w:rPr>
              <w:t>冷却塔</w:t>
            </w:r>
          </w:p>
        </w:tc>
        <w:tc>
          <w:tcPr>
            <w:tcW w:w="3452" w:type="dxa"/>
            <w:tcBorders>
              <w:top w:val="single" w:color="000000" w:sz="4" w:space="0"/>
              <w:left w:val="single" w:color="000000" w:sz="4" w:space="0"/>
              <w:bottom w:val="single" w:color="000000" w:sz="4" w:space="0"/>
              <w:right w:val="single" w:color="000000" w:sz="4" w:space="0"/>
            </w:tcBorders>
          </w:tcPr>
          <w:p w14:paraId="1CE6ADEB">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《机械通风冷却塔第1部分：中小型开式冷却塔》（GB/T7190.1）</w:t>
            </w:r>
          </w:p>
          <w:p w14:paraId="24AEB438">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《机械通风冷却塔第2部分：大型开式冷却塔》（GB/T7190.2）</w:t>
            </w:r>
          </w:p>
        </w:tc>
      </w:tr>
      <w:tr w14:paraId="2613D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96BD372">
            <w:pPr>
              <w:pStyle w:val="108"/>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7</w:t>
            </w:r>
          </w:p>
        </w:tc>
        <w:tc>
          <w:tcPr>
            <w:tcW w:w="1422" w:type="dxa"/>
            <w:tcBorders>
              <w:top w:val="single" w:color="000000" w:sz="4" w:space="0"/>
              <w:left w:val="single" w:color="000000" w:sz="4" w:space="0"/>
              <w:bottom w:val="single" w:color="000000" w:sz="4" w:space="0"/>
              <w:right w:val="single" w:color="000000" w:sz="4" w:space="0"/>
            </w:tcBorders>
            <w:vAlign w:val="center"/>
          </w:tcPr>
          <w:p w14:paraId="62FD2D2C">
            <w:pPr>
              <w:pStyle w:val="108"/>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A02060100</w:t>
            </w:r>
            <w:r>
              <w:rPr>
                <w:rFonts w:hint="eastAsia" w:ascii="宋体" w:hAnsi="宋体" w:cs="宋体"/>
                <w:color w:val="auto"/>
                <w:w w:val="99"/>
                <w:kern w:val="2"/>
                <w:sz w:val="21"/>
                <w:szCs w:val="21"/>
                <w:highlight w:val="none"/>
              </w:rPr>
              <w:t>电机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30B6FC53">
            <w:pPr>
              <w:jc w:val="center"/>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D2E65D3">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3ECBF00E">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《中小型三相异步电动机能效限定值及能效等级》（GB18613）</w:t>
            </w:r>
          </w:p>
        </w:tc>
      </w:tr>
      <w:tr w14:paraId="3C141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EDC0D3E">
            <w:pPr>
              <w:pStyle w:val="108"/>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8</w:t>
            </w:r>
          </w:p>
        </w:tc>
        <w:tc>
          <w:tcPr>
            <w:tcW w:w="1422" w:type="dxa"/>
            <w:tcBorders>
              <w:top w:val="single" w:color="000000" w:sz="4" w:space="0"/>
              <w:left w:val="single" w:color="000000" w:sz="4" w:space="0"/>
              <w:bottom w:val="single" w:color="000000" w:sz="4" w:space="0"/>
              <w:right w:val="single" w:color="000000" w:sz="4" w:space="0"/>
            </w:tcBorders>
            <w:vAlign w:val="center"/>
          </w:tcPr>
          <w:p w14:paraId="5032C5F2">
            <w:pPr>
              <w:pStyle w:val="108"/>
              <w:spacing w:before="30"/>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A02060200</w:t>
            </w:r>
            <w:r>
              <w:rPr>
                <w:rFonts w:hint="eastAsia" w:ascii="宋体" w:hAnsi="宋体" w:cs="宋体"/>
                <w:color w:val="auto"/>
                <w:w w:val="99"/>
                <w:kern w:val="2"/>
                <w:sz w:val="21"/>
                <w:szCs w:val="21"/>
                <w:highlight w:val="none"/>
              </w:rPr>
              <w:t>变压</w:t>
            </w:r>
          </w:p>
        </w:tc>
        <w:tc>
          <w:tcPr>
            <w:tcW w:w="1496" w:type="dxa"/>
            <w:tcBorders>
              <w:top w:val="single" w:color="000000" w:sz="4" w:space="0"/>
              <w:left w:val="single" w:color="000000" w:sz="4" w:space="0"/>
              <w:bottom w:val="single" w:color="000000" w:sz="4" w:space="0"/>
              <w:right w:val="single" w:color="000000" w:sz="4" w:space="0"/>
            </w:tcBorders>
            <w:vAlign w:val="center"/>
          </w:tcPr>
          <w:p w14:paraId="617A2FAB">
            <w:pPr>
              <w:pStyle w:val="10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配电变压器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1EECA7AE">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15CE30A9">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《三相配电变压器能效限定值及能效等级》（GB 20052）</w:t>
            </w:r>
          </w:p>
        </w:tc>
      </w:tr>
      <w:tr w14:paraId="15BA3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8371ECB">
            <w:pPr>
              <w:pStyle w:val="108"/>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9</w:t>
            </w:r>
          </w:p>
        </w:tc>
        <w:tc>
          <w:tcPr>
            <w:tcW w:w="1422" w:type="dxa"/>
            <w:tcBorders>
              <w:top w:val="single" w:color="000000" w:sz="4" w:space="0"/>
              <w:left w:val="single" w:color="000000" w:sz="4" w:space="0"/>
              <w:bottom w:val="single" w:color="000000" w:sz="4" w:space="0"/>
              <w:right w:val="single" w:color="000000" w:sz="4" w:space="0"/>
            </w:tcBorders>
            <w:vAlign w:val="center"/>
          </w:tcPr>
          <w:p w14:paraId="7A5B6E8E">
            <w:pPr>
              <w:pStyle w:val="108"/>
              <w:spacing w:before="126"/>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★A02060900镇流器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7E604BC4">
            <w:pPr>
              <w:pStyle w:val="10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管型荧光灯镇流器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4F7A2589">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0C8623E3">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《管形荧光灯镇流器能效限定值及能效等级》（GB17896）</w:t>
            </w:r>
          </w:p>
        </w:tc>
      </w:tr>
      <w:tr w14:paraId="3E4C3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3DCF70BA">
            <w:pPr>
              <w:pStyle w:val="108"/>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10</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14609967">
            <w:pPr>
              <w:pStyle w:val="10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A02061800生活用电器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4BA9CBC0">
            <w:pPr>
              <w:pStyle w:val="10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A02061801电冰箱</w:t>
            </w:r>
          </w:p>
        </w:tc>
        <w:tc>
          <w:tcPr>
            <w:tcW w:w="1481" w:type="dxa"/>
            <w:tcBorders>
              <w:top w:val="single" w:color="000000" w:sz="4" w:space="0"/>
              <w:left w:val="single" w:color="000000" w:sz="4" w:space="0"/>
              <w:bottom w:val="single" w:color="000000" w:sz="4" w:space="0"/>
              <w:right w:val="single" w:color="000000" w:sz="4" w:space="0"/>
            </w:tcBorders>
            <w:vAlign w:val="center"/>
          </w:tcPr>
          <w:p w14:paraId="47013A19">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C375AD9">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《家用电冰箱耗电量限定值及能效等级》（GB12021.2）</w:t>
            </w:r>
          </w:p>
        </w:tc>
      </w:tr>
      <w:tr w14:paraId="0755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8A0A26E">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48CBB60">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493D8702">
            <w:pPr>
              <w:pStyle w:val="108"/>
              <w:spacing w:before="17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A02061804</w:t>
            </w:r>
            <w:r>
              <w:rPr>
                <w:rFonts w:hint="eastAsia" w:ascii="宋体" w:hAnsi="宋体" w:cs="宋体"/>
                <w:color w:val="auto"/>
                <w:w w:val="99"/>
                <w:kern w:val="2"/>
                <w:sz w:val="21"/>
                <w:szCs w:val="21"/>
                <w:highlight w:val="none"/>
              </w:rPr>
              <w:t>空调机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32935F47">
            <w:pPr>
              <w:pStyle w:val="10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房间空气调节器</w:t>
            </w:r>
          </w:p>
        </w:tc>
        <w:tc>
          <w:tcPr>
            <w:tcW w:w="3452" w:type="dxa"/>
            <w:tcBorders>
              <w:top w:val="single" w:color="000000" w:sz="4" w:space="0"/>
              <w:left w:val="single" w:color="000000" w:sz="4" w:space="0"/>
              <w:bottom w:val="single" w:color="000000" w:sz="4" w:space="0"/>
              <w:right w:val="single" w:color="000000" w:sz="4" w:space="0"/>
            </w:tcBorders>
          </w:tcPr>
          <w:p w14:paraId="234389A1">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《房间空气调节器能效限定值及能效等级》（GB21455-2019）</w:t>
            </w:r>
          </w:p>
        </w:tc>
      </w:tr>
      <w:tr w14:paraId="53413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B40AD3D">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21FF42F">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981C746">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C41BCAD">
            <w:pPr>
              <w:pStyle w:val="108"/>
              <w:spacing w:before="4" w:line="276" w:lineRule="auto"/>
              <w:ind w:left="7"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 14000W）</w:t>
            </w:r>
          </w:p>
        </w:tc>
        <w:tc>
          <w:tcPr>
            <w:tcW w:w="3452" w:type="dxa"/>
            <w:tcBorders>
              <w:top w:val="single" w:color="000000" w:sz="4" w:space="0"/>
              <w:left w:val="single" w:color="000000" w:sz="4" w:space="0"/>
              <w:bottom w:val="single" w:color="000000" w:sz="4" w:space="0"/>
              <w:right w:val="single" w:color="000000" w:sz="4" w:space="0"/>
            </w:tcBorders>
          </w:tcPr>
          <w:p w14:paraId="259197DB">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《多联式空调（热泵）机组能效限定值及能源效率等级》（GB21454）</w:t>
            </w:r>
          </w:p>
        </w:tc>
      </w:tr>
      <w:tr w14:paraId="0F2E4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1B34CA5">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9E31542">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38BC341C">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B439276">
            <w:pPr>
              <w:pStyle w:val="108"/>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单元式空气调节机（制冷量≤ 14000W）</w:t>
            </w:r>
          </w:p>
        </w:tc>
        <w:tc>
          <w:tcPr>
            <w:tcW w:w="3452" w:type="dxa"/>
            <w:tcBorders>
              <w:top w:val="single" w:color="000000" w:sz="4" w:space="0"/>
              <w:left w:val="single" w:color="000000" w:sz="4" w:space="0"/>
              <w:bottom w:val="single" w:color="000000" w:sz="4" w:space="0"/>
              <w:right w:val="single" w:color="000000" w:sz="4" w:space="0"/>
            </w:tcBorders>
          </w:tcPr>
          <w:p w14:paraId="0FEDDADD">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《单元式空气调节机能效限定值及能源效率等级》（GB19576）《风管送风式空调机组能效限定值及能效等级》（GB37479）</w:t>
            </w:r>
          </w:p>
        </w:tc>
      </w:tr>
      <w:tr w14:paraId="4B3C0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3E258F7">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B4B9275">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279538C">
            <w:pPr>
              <w:pStyle w:val="108"/>
              <w:spacing w:before="162"/>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A02061810</w:t>
            </w:r>
            <w:r>
              <w:rPr>
                <w:rFonts w:hint="eastAsia" w:ascii="宋体" w:hAnsi="宋体" w:cs="宋体"/>
                <w:color w:val="auto"/>
                <w:w w:val="99"/>
                <w:kern w:val="2"/>
                <w:sz w:val="21"/>
                <w:szCs w:val="21"/>
                <w:highlight w:val="none"/>
              </w:rPr>
              <w:t>洗衣机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55F7E2C7">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1B26A379">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《电动洗衣机能效水效限定值及等级》（GB12021.4）</w:t>
            </w:r>
          </w:p>
        </w:tc>
      </w:tr>
      <w:tr w14:paraId="417FE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D2992BA">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43CB598">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2B0B345F">
            <w:pPr>
              <w:pStyle w:val="108"/>
              <w:spacing w:before="161"/>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A02061819</w:t>
            </w:r>
            <w:r>
              <w:rPr>
                <w:rFonts w:hint="eastAsia" w:ascii="宋体" w:hAnsi="宋体" w:cs="宋体"/>
                <w:color w:val="auto"/>
                <w:w w:val="99"/>
                <w:kern w:val="2"/>
                <w:sz w:val="21"/>
                <w:szCs w:val="21"/>
                <w:highlight w:val="none"/>
              </w:rPr>
              <w:t>热水器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4C077693">
            <w:pPr>
              <w:pStyle w:val="10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4F4317E8">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《储水式电热水器能效限定值及能效等级》（GB21519）</w:t>
            </w:r>
          </w:p>
        </w:tc>
      </w:tr>
      <w:tr w14:paraId="03F9E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4476918">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2EF16E6">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C0D37CB">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A1B324D">
            <w:pPr>
              <w:pStyle w:val="10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燃气热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0281E08F">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《家用燃气快速热水器和燃气采暖热水炉能效限定值及能效等级》（GB20665）</w:t>
            </w:r>
          </w:p>
        </w:tc>
      </w:tr>
      <w:tr w14:paraId="21C2A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C30122B">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15A1640">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B2DB918">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6867BF0">
            <w:pPr>
              <w:pStyle w:val="10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热泵热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12E53BC1">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《热泵热水机（器）能效限定值及能效等级》（GB29541）</w:t>
            </w:r>
          </w:p>
        </w:tc>
      </w:tr>
      <w:tr w14:paraId="1042A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83C8D59">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0A1DE3C">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6771C3FA">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CB9870B">
            <w:pPr>
              <w:pStyle w:val="10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太阳能</w:t>
            </w:r>
            <w:r>
              <w:rPr>
                <w:rFonts w:hint="eastAsia" w:ascii="宋体" w:hAnsi="宋体" w:cs="宋体"/>
                <w:color w:val="auto"/>
                <w:spacing w:val="2"/>
                <w:w w:val="99"/>
                <w:kern w:val="2"/>
                <w:sz w:val="21"/>
                <w:szCs w:val="21"/>
                <w:highlight w:val="none"/>
              </w:rPr>
              <w:t>热</w:t>
            </w:r>
            <w:r>
              <w:rPr>
                <w:rFonts w:hint="eastAsia" w:ascii="宋体" w:hAnsi="宋体" w:cs="宋体"/>
                <w:color w:val="auto"/>
                <w:w w:val="99"/>
                <w:kern w:val="2"/>
                <w:sz w:val="21"/>
                <w:szCs w:val="21"/>
                <w:highlight w:val="none"/>
              </w:rPr>
              <w:t>水系统</w:t>
            </w:r>
          </w:p>
        </w:tc>
        <w:tc>
          <w:tcPr>
            <w:tcW w:w="3452" w:type="dxa"/>
            <w:tcBorders>
              <w:top w:val="single" w:color="000000" w:sz="4" w:space="0"/>
              <w:left w:val="single" w:color="000000" w:sz="4" w:space="0"/>
              <w:bottom w:val="single" w:color="000000" w:sz="4" w:space="0"/>
              <w:right w:val="single" w:color="000000" w:sz="4" w:space="0"/>
            </w:tcBorders>
          </w:tcPr>
          <w:p w14:paraId="1B76D43A">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《家用太阳能热水系统能效限定值及能效等级》（GB26969）</w:t>
            </w:r>
          </w:p>
        </w:tc>
      </w:tr>
      <w:tr w14:paraId="41053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5FE0C930">
            <w:pPr>
              <w:pStyle w:val="108"/>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24A3015D">
            <w:pPr>
              <w:pStyle w:val="108"/>
              <w:spacing w:before="157"/>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06</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900照明设备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060E66AC">
            <w:pPr>
              <w:pStyle w:val="108"/>
              <w:spacing w:before="133" w:line="276" w:lineRule="auto"/>
              <w:ind w:left="7"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★普通照明用双端荧光灯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6CD8072F">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FE17AE8">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《普通照明用双端荧光灯能效限定值及能效等级》（GB19043）</w:t>
            </w:r>
          </w:p>
        </w:tc>
      </w:tr>
      <w:tr w14:paraId="48BC6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5C81638">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DBC0389">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C709787">
            <w:pPr>
              <w:pStyle w:val="108"/>
              <w:spacing w:before="92" w:line="276" w:lineRule="auto"/>
              <w:ind w:left="7" w:right="2"/>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w:t>
            </w:r>
            <w:r>
              <w:rPr>
                <w:rFonts w:hint="eastAsia" w:ascii="宋体" w:hAnsi="宋体" w:cs="宋体"/>
                <w:color w:val="auto"/>
                <w:spacing w:val="12"/>
                <w:w w:val="99"/>
                <w:kern w:val="2"/>
                <w:sz w:val="21"/>
                <w:szCs w:val="21"/>
                <w:highlight w:val="none"/>
              </w:rPr>
              <w:t>道</w:t>
            </w:r>
            <w:r>
              <w:rPr>
                <w:rFonts w:hint="eastAsia" w:ascii="宋体" w:hAnsi="宋体" w:cs="宋体"/>
                <w:color w:val="auto"/>
                <w:spacing w:val="9"/>
                <w:w w:val="99"/>
                <w:kern w:val="2"/>
                <w:sz w:val="21"/>
                <w:szCs w:val="21"/>
                <w:highlight w:val="none"/>
              </w:rPr>
              <w:t>路</w:t>
            </w:r>
            <w:r>
              <w:rPr>
                <w:rFonts w:hint="eastAsia" w:ascii="宋体" w:hAnsi="宋体" w:cs="宋体"/>
                <w:color w:val="auto"/>
                <w:spacing w:val="13"/>
                <w:w w:val="99"/>
                <w:kern w:val="2"/>
                <w:sz w:val="21"/>
                <w:szCs w:val="21"/>
                <w:highlight w:val="none"/>
              </w:rPr>
              <w:t>/</w:t>
            </w:r>
            <w:r>
              <w:rPr>
                <w:rFonts w:hint="eastAsia" w:ascii="宋体" w:hAnsi="宋体" w:cs="宋体"/>
                <w:color w:val="auto"/>
                <w:spacing w:val="12"/>
                <w:w w:val="99"/>
                <w:kern w:val="2"/>
                <w:sz w:val="21"/>
                <w:szCs w:val="21"/>
                <w:highlight w:val="none"/>
              </w:rPr>
              <w:t>隧道照</w:t>
            </w:r>
            <w:r>
              <w:rPr>
                <w:rFonts w:hint="eastAsia" w:ascii="宋体" w:hAnsi="宋体" w:cs="宋体"/>
                <w:color w:val="auto"/>
                <w:w w:val="99"/>
                <w:kern w:val="2"/>
                <w:sz w:val="21"/>
                <w:szCs w:val="21"/>
                <w:highlight w:val="none"/>
              </w:rPr>
              <w:t>明产品</w:t>
            </w:r>
          </w:p>
        </w:tc>
        <w:tc>
          <w:tcPr>
            <w:tcW w:w="1481" w:type="dxa"/>
            <w:tcBorders>
              <w:top w:val="single" w:color="000000" w:sz="4" w:space="0"/>
              <w:left w:val="single" w:color="000000" w:sz="4" w:space="0"/>
              <w:bottom w:val="single" w:color="000000" w:sz="4" w:space="0"/>
              <w:right w:val="single" w:color="000000" w:sz="4" w:space="0"/>
            </w:tcBorders>
            <w:vAlign w:val="center"/>
          </w:tcPr>
          <w:p w14:paraId="7166DFCF">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1BD00C20">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《道路和隧道照明用LED灯具能效限定值及能效等级》（GB37478</w:t>
            </w:r>
            <w:r>
              <w:rPr>
                <w:rFonts w:ascii="宋体" w:hAnsi="宋体" w:cs="宋体"/>
                <w:color w:val="auto"/>
                <w:spacing w:val="10"/>
                <w:kern w:val="2"/>
                <w:sz w:val="21"/>
                <w:szCs w:val="21"/>
                <w:highlight w:val="none"/>
                <w:lang w:eastAsia="zh-CN"/>
              </w:rPr>
              <w:t>）</w:t>
            </w:r>
          </w:p>
        </w:tc>
      </w:tr>
      <w:tr w14:paraId="61B6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5DCDDE6">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57E57D6">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913D15E">
            <w:pPr>
              <w:pStyle w:val="108"/>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D筒灯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2A733439">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065187FE">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《室内照明用LED产品能效限定值及能效等级》（GB30255）</w:t>
            </w:r>
          </w:p>
        </w:tc>
      </w:tr>
      <w:tr w14:paraId="647F4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4F83D24">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2DB9C29">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3386632">
            <w:pPr>
              <w:pStyle w:val="108"/>
              <w:spacing w:line="276" w:lineRule="auto"/>
              <w:ind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w:t>
            </w:r>
            <w:r>
              <w:rPr>
                <w:rFonts w:hint="eastAsia" w:ascii="宋体" w:hAnsi="宋体" w:cs="宋体"/>
                <w:color w:val="auto"/>
                <w:spacing w:val="24"/>
                <w:w w:val="99"/>
                <w:kern w:val="2"/>
                <w:sz w:val="21"/>
                <w:szCs w:val="21"/>
                <w:highlight w:val="none"/>
                <w:lang w:eastAsia="zh-CN"/>
              </w:rPr>
              <w:t>通</w:t>
            </w:r>
            <w:r>
              <w:rPr>
                <w:rFonts w:hint="eastAsia" w:ascii="宋体" w:hAnsi="宋体" w:cs="宋体"/>
                <w:color w:val="auto"/>
                <w:w w:val="99"/>
                <w:kern w:val="2"/>
                <w:sz w:val="21"/>
                <w:szCs w:val="21"/>
                <w:highlight w:val="none"/>
                <w:lang w:eastAsia="zh-CN"/>
              </w:rPr>
              <w:t>照明用非</w:t>
            </w:r>
            <w:r>
              <w:rPr>
                <w:rFonts w:hint="eastAsia" w:ascii="宋体" w:hAnsi="宋体" w:cs="宋体"/>
                <w:color w:val="auto"/>
                <w:spacing w:val="24"/>
                <w:w w:val="99"/>
                <w:kern w:val="2"/>
                <w:sz w:val="21"/>
                <w:szCs w:val="21"/>
                <w:highlight w:val="none"/>
                <w:lang w:eastAsia="zh-CN"/>
              </w:rPr>
              <w:t>定</w:t>
            </w:r>
            <w:r>
              <w:rPr>
                <w:rFonts w:hint="eastAsia" w:ascii="宋体" w:hAnsi="宋体" w:cs="宋体"/>
                <w:color w:val="auto"/>
                <w:w w:val="99"/>
                <w:kern w:val="2"/>
                <w:sz w:val="21"/>
                <w:szCs w:val="21"/>
                <w:highlight w:val="none"/>
                <w:lang w:eastAsia="zh-CN"/>
              </w:rPr>
              <w:t>向自镇流</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3C9B902C">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78A906C9">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《室内照明用LED产品能效限定值及能效等级》（GB30255）</w:t>
            </w:r>
          </w:p>
        </w:tc>
      </w:tr>
      <w:tr w14:paraId="6815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AECB8BA">
            <w:pPr>
              <w:pStyle w:val="108"/>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2</w:t>
            </w:r>
          </w:p>
        </w:tc>
        <w:tc>
          <w:tcPr>
            <w:tcW w:w="1422" w:type="dxa"/>
            <w:tcBorders>
              <w:top w:val="single" w:color="000000" w:sz="4" w:space="0"/>
              <w:left w:val="single" w:color="000000" w:sz="4" w:space="0"/>
              <w:bottom w:val="single" w:color="000000" w:sz="4" w:space="0"/>
              <w:right w:val="single" w:color="000000" w:sz="4" w:space="0"/>
            </w:tcBorders>
            <w:vAlign w:val="center"/>
          </w:tcPr>
          <w:p w14:paraId="7D3C83E6">
            <w:pPr>
              <w:pStyle w:val="108"/>
              <w:spacing w:before="81"/>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91000电视设备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43DD2EB0">
            <w:pPr>
              <w:pStyle w:val="108"/>
              <w:spacing w:before="81" w:line="276" w:lineRule="auto"/>
              <w:ind w:left="7" w:right="5"/>
              <w:jc w:val="center"/>
              <w:rPr>
                <w:rFonts w:ascii="宋体" w:hAnsi="宋体" w:cs="宋体"/>
                <w:color w:val="auto"/>
                <w:kern w:val="2"/>
                <w:sz w:val="21"/>
                <w:szCs w:val="21"/>
                <w:highlight w:val="none"/>
                <w:lang w:eastAsia="zh-CN"/>
              </w:rPr>
            </w:pPr>
            <w:r>
              <w:rPr>
                <w:rFonts w:hint="eastAsia" w:ascii="宋体" w:hAnsi="宋体" w:cs="宋体"/>
                <w:color w:val="auto"/>
                <w:spacing w:val="1"/>
                <w:w w:val="99"/>
                <w:kern w:val="2"/>
                <w:sz w:val="21"/>
                <w:szCs w:val="21"/>
                <w:highlight w:val="none"/>
                <w:lang w:eastAsia="zh-CN"/>
              </w:rPr>
              <w:t>A02</w:t>
            </w:r>
            <w:r>
              <w:rPr>
                <w:rFonts w:hint="eastAsia" w:ascii="宋体" w:hAnsi="宋体" w:cs="宋体"/>
                <w:color w:val="auto"/>
                <w:w w:val="99"/>
                <w:kern w:val="2"/>
                <w:sz w:val="21"/>
                <w:szCs w:val="21"/>
                <w:highlight w:val="none"/>
                <w:lang w:eastAsia="zh-CN"/>
              </w:rPr>
              <w:t>09</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001普通电视设备（</w:t>
            </w:r>
            <w:r>
              <w:rPr>
                <w:rFonts w:hint="eastAsia" w:ascii="宋体" w:hAnsi="宋体" w:cs="宋体"/>
                <w:color w:val="auto"/>
                <w:spacing w:val="2"/>
                <w:w w:val="99"/>
                <w:kern w:val="2"/>
                <w:sz w:val="21"/>
                <w:szCs w:val="21"/>
                <w:highlight w:val="none"/>
                <w:lang w:eastAsia="zh-CN"/>
              </w:rPr>
              <w:t>电</w:t>
            </w:r>
            <w:r>
              <w:rPr>
                <w:rFonts w:hint="eastAsia" w:ascii="宋体" w:hAnsi="宋体" w:cs="宋体"/>
                <w:color w:val="auto"/>
                <w:w w:val="99"/>
                <w:kern w:val="2"/>
                <w:sz w:val="21"/>
                <w:szCs w:val="21"/>
                <w:highlight w:val="none"/>
                <w:lang w:eastAsia="zh-CN"/>
              </w:rPr>
              <w:t>视机）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18377347">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A7E817C">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《平板电视能效限定值及能效等级》（GB24850）</w:t>
            </w:r>
          </w:p>
        </w:tc>
      </w:tr>
      <w:tr w14:paraId="2C71E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388AC79">
            <w:pPr>
              <w:pStyle w:val="108"/>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1A035950">
            <w:pPr>
              <w:pStyle w:val="10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91100视频设备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7A9D9680">
            <w:pPr>
              <w:pStyle w:val="108"/>
              <w:spacing w:line="276" w:lineRule="auto"/>
              <w:ind w:right="5"/>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09</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107视频监控设备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5AA07B93">
            <w:pPr>
              <w:pStyle w:val="10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监视器</w:t>
            </w:r>
          </w:p>
        </w:tc>
        <w:tc>
          <w:tcPr>
            <w:tcW w:w="3452" w:type="dxa"/>
            <w:tcBorders>
              <w:top w:val="single" w:color="000000" w:sz="4" w:space="0"/>
              <w:left w:val="single" w:color="000000" w:sz="4" w:space="0"/>
              <w:bottom w:val="single" w:color="000000" w:sz="4" w:space="0"/>
              <w:right w:val="single" w:color="000000" w:sz="4" w:space="0"/>
            </w:tcBorders>
          </w:tcPr>
          <w:p w14:paraId="4B454FB5">
            <w:pPr>
              <w:pStyle w:val="108"/>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以射频信号为主要信号输入的监视器应符合《平板电视能效限定值及能效等级》（GB24850），以数字信号为主要信号输入的监视器应符合《计算机显示器能效限定值及能效等级》（GB21520）</w:t>
            </w:r>
          </w:p>
        </w:tc>
      </w:tr>
      <w:tr w14:paraId="5BEC1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5962088">
            <w:pPr>
              <w:pStyle w:val="108"/>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1D1C1CD8">
            <w:pPr>
              <w:pStyle w:val="108"/>
              <w:spacing w:before="76"/>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A02241000</w:t>
            </w:r>
            <w:r>
              <w:rPr>
                <w:rFonts w:hint="eastAsia" w:ascii="宋体" w:hAnsi="宋体" w:cs="宋体"/>
                <w:color w:val="auto"/>
                <w:w w:val="99"/>
                <w:kern w:val="2"/>
                <w:sz w:val="21"/>
                <w:szCs w:val="21"/>
                <w:highlight w:val="none"/>
              </w:rPr>
              <w:t>饮食炊事机械</w:t>
            </w:r>
          </w:p>
        </w:tc>
        <w:tc>
          <w:tcPr>
            <w:tcW w:w="1496" w:type="dxa"/>
            <w:tcBorders>
              <w:top w:val="single" w:color="000000" w:sz="4" w:space="0"/>
              <w:left w:val="single" w:color="000000" w:sz="4" w:space="0"/>
              <w:bottom w:val="single" w:color="000000" w:sz="4" w:space="0"/>
              <w:right w:val="single" w:color="000000" w:sz="4" w:space="0"/>
            </w:tcBorders>
            <w:vAlign w:val="center"/>
          </w:tcPr>
          <w:p w14:paraId="69CC979B">
            <w:pPr>
              <w:pStyle w:val="10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商用燃</w:t>
            </w:r>
            <w:r>
              <w:rPr>
                <w:rFonts w:hint="eastAsia" w:ascii="宋体" w:hAnsi="宋体" w:cs="宋体"/>
                <w:color w:val="auto"/>
                <w:spacing w:val="2"/>
                <w:w w:val="99"/>
                <w:kern w:val="2"/>
                <w:sz w:val="21"/>
                <w:szCs w:val="21"/>
                <w:highlight w:val="none"/>
              </w:rPr>
              <w:t>气</w:t>
            </w:r>
            <w:r>
              <w:rPr>
                <w:rFonts w:hint="eastAsia" w:ascii="宋体" w:hAnsi="宋体" w:cs="宋体"/>
                <w:color w:val="auto"/>
                <w:w w:val="99"/>
                <w:kern w:val="2"/>
                <w:sz w:val="21"/>
                <w:szCs w:val="21"/>
                <w:highlight w:val="none"/>
              </w:rPr>
              <w:t>灶具</w:t>
            </w:r>
          </w:p>
        </w:tc>
        <w:tc>
          <w:tcPr>
            <w:tcW w:w="1481" w:type="dxa"/>
            <w:tcBorders>
              <w:top w:val="single" w:color="000000" w:sz="4" w:space="0"/>
              <w:left w:val="single" w:color="000000" w:sz="4" w:space="0"/>
              <w:bottom w:val="single" w:color="000000" w:sz="4" w:space="0"/>
              <w:right w:val="single" w:color="000000" w:sz="4" w:space="0"/>
            </w:tcBorders>
            <w:vAlign w:val="center"/>
          </w:tcPr>
          <w:p w14:paraId="6F36FF6D">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190AC688">
            <w:pPr>
              <w:pStyle w:val="108"/>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《商用燃气灶具能效限定值及能效等级》（GB30531）</w:t>
            </w:r>
          </w:p>
        </w:tc>
      </w:tr>
      <w:tr w14:paraId="3A6D6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4DBEA9AF">
            <w:pPr>
              <w:jc w:val="center"/>
              <w:rPr>
                <w:rFonts w:ascii="宋体" w:hAnsi="宋体"/>
                <w:color w:val="auto"/>
                <w:szCs w:val="21"/>
                <w:highlight w:val="none"/>
              </w:rPr>
            </w:pPr>
            <w:r>
              <w:rPr>
                <w:rFonts w:hint="eastAsia" w:ascii="宋体" w:hAnsi="宋体"/>
                <w:color w:val="auto"/>
                <w:szCs w:val="21"/>
                <w:highlight w:val="none"/>
              </w:rPr>
              <w:t>15</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10B82EA4">
            <w:pPr>
              <w:pStyle w:val="108"/>
              <w:jc w:val="center"/>
              <w:rPr>
                <w:rFonts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A05020105</w:t>
            </w:r>
            <w:r>
              <w:rPr>
                <w:rFonts w:hint="eastAsia" w:ascii="宋体" w:hAnsi="宋体" w:cs="宋体"/>
                <w:color w:val="auto"/>
                <w:w w:val="99"/>
                <w:kern w:val="2"/>
                <w:sz w:val="21"/>
                <w:szCs w:val="21"/>
                <w:highlight w:val="none"/>
              </w:rPr>
              <w:t>便器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7C4CFC4C">
            <w:pPr>
              <w:pStyle w:val="10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坐便器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56D70327">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2282D181">
            <w:pPr>
              <w:pStyle w:val="108"/>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《坐便器水效限定值及水效等级》</w:t>
            </w:r>
          </w:p>
          <w:p w14:paraId="3073950A">
            <w:pPr>
              <w:pStyle w:val="108"/>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（GB25502）</w:t>
            </w:r>
          </w:p>
        </w:tc>
      </w:tr>
      <w:tr w14:paraId="71444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83335AE">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A95062B">
            <w:pPr>
              <w:widowControl/>
              <w:jc w:val="left"/>
              <w:rPr>
                <w:rFonts w:ascii="宋体" w:hAnsi="宋体" w:cs="宋体"/>
                <w:color w:val="auto"/>
                <w:w w:val="99"/>
                <w:szCs w:val="21"/>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613378D">
            <w:pPr>
              <w:pStyle w:val="10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蹲便器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11B14316">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7D44E99C">
            <w:pPr>
              <w:pStyle w:val="108"/>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《蹲便器用水效率限定值及用水效率等级》（GB30717）</w:t>
            </w:r>
          </w:p>
        </w:tc>
      </w:tr>
      <w:tr w14:paraId="5B3CB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0356B7A">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C670455">
            <w:pPr>
              <w:widowControl/>
              <w:jc w:val="left"/>
              <w:rPr>
                <w:rFonts w:ascii="宋体" w:hAnsi="宋体" w:cs="宋体"/>
                <w:color w:val="auto"/>
                <w:w w:val="99"/>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508284B">
            <w:pPr>
              <w:pStyle w:val="108"/>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小便器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177B4B03">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06DDB4D">
            <w:pPr>
              <w:pStyle w:val="108"/>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《小便器用水效率限定值及用水效率等级》（GB28377）</w:t>
            </w:r>
          </w:p>
        </w:tc>
      </w:tr>
      <w:tr w14:paraId="20144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3564BF0">
            <w:pPr>
              <w:pStyle w:val="108"/>
              <w:jc w:val="center"/>
              <w:rPr>
                <w:rFonts w:ascii="宋体" w:hAnsi="宋体" w:cs="宋体"/>
                <w:color w:val="auto"/>
                <w:kern w:val="2"/>
                <w:sz w:val="21"/>
                <w:szCs w:val="21"/>
                <w:highlight w:val="none"/>
              </w:rPr>
            </w:pPr>
            <w:r>
              <w:rPr>
                <w:rFonts w:hint="eastAsia" w:ascii="宋体" w:hAnsi="宋体"/>
                <w:color w:val="auto"/>
                <w:kern w:val="2"/>
                <w:sz w:val="21"/>
                <w:szCs w:val="21"/>
                <w:highlight w:val="none"/>
              </w:rPr>
              <w:t>16</w:t>
            </w:r>
          </w:p>
        </w:tc>
        <w:tc>
          <w:tcPr>
            <w:tcW w:w="1422" w:type="dxa"/>
            <w:tcBorders>
              <w:top w:val="single" w:color="000000" w:sz="4" w:space="0"/>
              <w:left w:val="single" w:color="000000" w:sz="4" w:space="0"/>
              <w:bottom w:val="single" w:color="000000" w:sz="4" w:space="0"/>
              <w:right w:val="single" w:color="000000" w:sz="4" w:space="0"/>
            </w:tcBorders>
            <w:vAlign w:val="center"/>
          </w:tcPr>
          <w:p w14:paraId="74CFAF69">
            <w:pPr>
              <w:pStyle w:val="108"/>
              <w:spacing w:before="153"/>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w:t>
            </w:r>
            <w:r>
              <w:rPr>
                <w:rFonts w:hint="eastAsia" w:ascii="宋体" w:hAnsi="宋体" w:cs="仿宋_GB2312"/>
                <w:color w:val="auto"/>
                <w:kern w:val="2"/>
                <w:sz w:val="21"/>
                <w:szCs w:val="21"/>
                <w:highlight w:val="none"/>
              </w:rPr>
              <w:t>A05020106</w:t>
            </w:r>
            <w:r>
              <w:rPr>
                <w:rFonts w:hint="eastAsia" w:ascii="宋体" w:hAnsi="宋体" w:cs="宋体"/>
                <w:color w:val="auto"/>
                <w:kern w:val="2"/>
                <w:sz w:val="21"/>
                <w:szCs w:val="21"/>
                <w:highlight w:val="none"/>
              </w:rPr>
              <w:t>水</w:t>
            </w:r>
            <w:r>
              <w:rPr>
                <w:rFonts w:hint="eastAsia" w:ascii="宋体" w:hAnsi="宋体" w:cs="宋体"/>
                <w:color w:val="auto"/>
                <w:w w:val="99"/>
                <w:kern w:val="2"/>
                <w:sz w:val="21"/>
                <w:szCs w:val="21"/>
                <w:highlight w:val="none"/>
              </w:rPr>
              <w:t>嘴</w:t>
            </w:r>
          </w:p>
        </w:tc>
        <w:tc>
          <w:tcPr>
            <w:tcW w:w="1496" w:type="dxa"/>
            <w:tcBorders>
              <w:top w:val="single" w:color="000000" w:sz="4" w:space="0"/>
              <w:left w:val="single" w:color="000000" w:sz="4" w:space="0"/>
              <w:bottom w:val="single" w:color="000000" w:sz="4" w:space="0"/>
              <w:right w:val="single" w:color="000000" w:sz="4" w:space="0"/>
            </w:tcBorders>
            <w:vAlign w:val="center"/>
          </w:tcPr>
          <w:p w14:paraId="7B7EEEFF">
            <w:pPr>
              <w:jc w:val="center"/>
              <w:rPr>
                <w:rFonts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D9DBA63">
            <w:pPr>
              <w:jc w:val="center"/>
              <w:rPr>
                <w:rFonts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0563111C">
            <w:pPr>
              <w:pStyle w:val="108"/>
              <w:spacing w:before="153"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《水嘴用水效率限定值及用水效</w:t>
            </w:r>
            <w:r>
              <w:rPr>
                <w:rFonts w:hint="eastAsia" w:ascii="宋体" w:hAnsi="宋体" w:cs="宋体"/>
                <w:color w:val="auto"/>
                <w:kern w:val="2"/>
                <w:sz w:val="21"/>
                <w:szCs w:val="21"/>
                <w:highlight w:val="none"/>
                <w:lang w:eastAsia="zh-CN"/>
              </w:rPr>
              <w:t>率等级》（GB 25501）</w:t>
            </w:r>
          </w:p>
        </w:tc>
      </w:tr>
      <w:tr w14:paraId="2F7E0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D7132E5">
            <w:pPr>
              <w:pStyle w:val="108"/>
              <w:jc w:val="center"/>
              <w:rPr>
                <w:rFonts w:ascii="宋体" w:hAnsi="宋体" w:cs="宋体"/>
                <w:color w:val="auto"/>
                <w:kern w:val="2"/>
                <w:sz w:val="21"/>
                <w:szCs w:val="21"/>
                <w:highlight w:val="none"/>
              </w:rPr>
            </w:pPr>
            <w:r>
              <w:rPr>
                <w:rFonts w:hint="eastAsia" w:ascii="宋体" w:hAnsi="宋体"/>
                <w:color w:val="auto"/>
                <w:kern w:val="2"/>
                <w:sz w:val="21"/>
                <w:szCs w:val="21"/>
                <w:highlight w:val="none"/>
              </w:rPr>
              <w:t>17</w:t>
            </w:r>
          </w:p>
        </w:tc>
        <w:tc>
          <w:tcPr>
            <w:tcW w:w="1422" w:type="dxa"/>
            <w:tcBorders>
              <w:top w:val="single" w:color="000000" w:sz="4" w:space="0"/>
              <w:left w:val="single" w:color="000000" w:sz="4" w:space="0"/>
              <w:bottom w:val="single" w:color="000000" w:sz="4" w:space="0"/>
              <w:right w:val="single" w:color="000000" w:sz="4" w:space="0"/>
            </w:tcBorders>
            <w:vAlign w:val="center"/>
          </w:tcPr>
          <w:p w14:paraId="0B5E3FE9">
            <w:pPr>
              <w:pStyle w:val="108"/>
              <w:spacing w:before="112"/>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A05020107</w:t>
            </w:r>
            <w:r>
              <w:rPr>
                <w:rFonts w:hint="eastAsia" w:ascii="宋体" w:hAnsi="宋体" w:cs="宋体"/>
                <w:color w:val="auto"/>
                <w:kern w:val="2"/>
                <w:sz w:val="21"/>
                <w:szCs w:val="21"/>
                <w:highlight w:val="none"/>
              </w:rPr>
              <w:t>便器冲洗阀</w:t>
            </w:r>
          </w:p>
        </w:tc>
        <w:tc>
          <w:tcPr>
            <w:tcW w:w="1496" w:type="dxa"/>
            <w:tcBorders>
              <w:top w:val="single" w:color="000000" w:sz="4" w:space="0"/>
              <w:left w:val="single" w:color="000000" w:sz="4" w:space="0"/>
              <w:bottom w:val="single" w:color="000000" w:sz="4" w:space="0"/>
              <w:right w:val="single" w:color="000000" w:sz="4" w:space="0"/>
            </w:tcBorders>
            <w:vAlign w:val="center"/>
          </w:tcPr>
          <w:p w14:paraId="2B11E07D">
            <w:pPr>
              <w:jc w:val="center"/>
              <w:rPr>
                <w:rFonts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FC8F5DC">
            <w:pPr>
              <w:jc w:val="center"/>
              <w:rPr>
                <w:rFonts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6070A1D2">
            <w:pPr>
              <w:pStyle w:val="108"/>
              <w:spacing w:before="112"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《便器冲洗阀用水效率限定值及</w:t>
            </w:r>
            <w:r>
              <w:rPr>
                <w:rFonts w:hint="eastAsia" w:ascii="宋体" w:hAnsi="宋体" w:cs="宋体"/>
                <w:color w:val="auto"/>
                <w:kern w:val="2"/>
                <w:sz w:val="21"/>
                <w:szCs w:val="21"/>
                <w:highlight w:val="none"/>
                <w:lang w:eastAsia="zh-CN"/>
              </w:rPr>
              <w:t>用水效率等级》（GB28379）</w:t>
            </w:r>
          </w:p>
        </w:tc>
      </w:tr>
      <w:tr w14:paraId="1555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B4EDBEA">
            <w:pPr>
              <w:pStyle w:val="108"/>
              <w:jc w:val="center"/>
              <w:rPr>
                <w:rFonts w:ascii="宋体" w:hAnsi="宋体" w:cs="宋体"/>
                <w:color w:val="auto"/>
                <w:kern w:val="2"/>
                <w:sz w:val="21"/>
                <w:szCs w:val="21"/>
                <w:highlight w:val="none"/>
              </w:rPr>
            </w:pPr>
            <w:r>
              <w:rPr>
                <w:rFonts w:hint="eastAsia" w:ascii="宋体" w:hAnsi="宋体"/>
                <w:color w:val="auto"/>
                <w:kern w:val="2"/>
                <w:sz w:val="21"/>
                <w:szCs w:val="21"/>
                <w:highlight w:val="none"/>
              </w:rPr>
              <w:t>18</w:t>
            </w:r>
          </w:p>
        </w:tc>
        <w:tc>
          <w:tcPr>
            <w:tcW w:w="1422" w:type="dxa"/>
            <w:tcBorders>
              <w:top w:val="single" w:color="000000" w:sz="4" w:space="0"/>
              <w:left w:val="single" w:color="000000" w:sz="4" w:space="0"/>
              <w:bottom w:val="single" w:color="000000" w:sz="4" w:space="0"/>
              <w:right w:val="single" w:color="000000" w:sz="4" w:space="0"/>
            </w:tcBorders>
            <w:vAlign w:val="center"/>
          </w:tcPr>
          <w:p w14:paraId="1C2A6735">
            <w:pPr>
              <w:pStyle w:val="108"/>
              <w:spacing w:before="131"/>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A05020110</w:t>
            </w:r>
            <w:r>
              <w:rPr>
                <w:rFonts w:hint="eastAsia" w:ascii="宋体" w:hAnsi="宋体" w:cs="宋体"/>
                <w:color w:val="auto"/>
                <w:kern w:val="2"/>
                <w:sz w:val="21"/>
                <w:szCs w:val="21"/>
                <w:highlight w:val="none"/>
              </w:rPr>
              <w:t>淋浴</w:t>
            </w:r>
            <w:r>
              <w:rPr>
                <w:rFonts w:hint="eastAsia" w:ascii="宋体" w:hAnsi="宋体" w:cs="宋体"/>
                <w:color w:val="auto"/>
                <w:w w:val="99"/>
                <w:kern w:val="2"/>
                <w:sz w:val="21"/>
                <w:szCs w:val="21"/>
                <w:highlight w:val="none"/>
              </w:rPr>
              <w:t>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2A9A4E31">
            <w:pPr>
              <w:jc w:val="center"/>
              <w:rPr>
                <w:rFonts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8B8644E">
            <w:pPr>
              <w:jc w:val="center"/>
              <w:rPr>
                <w:rFonts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05BA0F45">
            <w:pPr>
              <w:pStyle w:val="108"/>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《淋浴器用水效率限定值及用水</w:t>
            </w:r>
            <w:r>
              <w:rPr>
                <w:rFonts w:hint="eastAsia" w:ascii="宋体" w:hAnsi="宋体" w:cs="宋体"/>
                <w:color w:val="auto"/>
                <w:kern w:val="2"/>
                <w:sz w:val="21"/>
                <w:szCs w:val="21"/>
                <w:highlight w:val="none"/>
                <w:lang w:eastAsia="zh-CN"/>
              </w:rPr>
              <w:t>效率等级》（GB28378）</w:t>
            </w:r>
          </w:p>
        </w:tc>
      </w:tr>
    </w:tbl>
    <w:p w14:paraId="5F0F59D7">
      <w:pPr>
        <w:pStyle w:val="17"/>
        <w:spacing w:line="360" w:lineRule="auto"/>
        <w:rPr>
          <w:rFonts w:ascii="宋体" w:hAnsi="宋体"/>
          <w:color w:val="auto"/>
          <w:kern w:val="2"/>
          <w:sz w:val="21"/>
          <w:szCs w:val="21"/>
          <w:highlight w:val="none"/>
        </w:rPr>
      </w:pPr>
      <w:r>
        <w:rPr>
          <w:rFonts w:hint="eastAsia" w:ascii="宋体" w:hAnsi="宋体"/>
          <w:color w:val="auto"/>
          <w:spacing w:val="-3"/>
          <w:sz w:val="21"/>
          <w:szCs w:val="21"/>
          <w:highlight w:val="none"/>
        </w:rPr>
        <w:t>注：</w:t>
      </w:r>
      <w:r>
        <w:rPr>
          <w:rFonts w:ascii="宋体" w:hAnsi="宋体"/>
          <w:color w:val="auto"/>
          <w:spacing w:val="-3"/>
          <w:sz w:val="21"/>
          <w:szCs w:val="21"/>
          <w:highlight w:val="none"/>
        </w:rPr>
        <w:t>1.</w:t>
      </w:r>
      <w:r>
        <w:rPr>
          <w:rFonts w:hint="eastAsia" w:ascii="宋体" w:hAnsi="宋体"/>
          <w:color w:val="auto"/>
          <w:spacing w:val="-3"/>
          <w:sz w:val="21"/>
          <w:szCs w:val="21"/>
          <w:highlight w:val="none"/>
        </w:rPr>
        <w:t>节能产品认证应依据相关国家标准的最新版本，依据国家标准中二级能效（水效）</w:t>
      </w:r>
      <w:r>
        <w:rPr>
          <w:rFonts w:hint="eastAsia" w:ascii="宋体" w:hAnsi="宋体"/>
          <w:color w:val="auto"/>
          <w:sz w:val="21"/>
          <w:szCs w:val="21"/>
          <w:highlight w:val="none"/>
        </w:rPr>
        <w:t>指标。</w:t>
      </w:r>
    </w:p>
    <w:p w14:paraId="12B0BC53">
      <w:pPr>
        <w:pStyle w:val="17"/>
        <w:spacing w:line="360" w:lineRule="auto"/>
        <w:ind w:firstLine="465"/>
        <w:rPr>
          <w:rFonts w:ascii="宋体" w:hAnsi="宋体"/>
          <w:color w:val="auto"/>
          <w:sz w:val="21"/>
          <w:szCs w:val="21"/>
          <w:highlight w:val="none"/>
        </w:rPr>
      </w:pPr>
      <w:r>
        <w:rPr>
          <w:rFonts w:ascii="宋体" w:hAnsi="宋体"/>
          <w:color w:val="auto"/>
          <w:sz w:val="21"/>
          <w:szCs w:val="21"/>
          <w:highlight w:val="none"/>
        </w:rPr>
        <w:t>2</w:t>
      </w:r>
      <w:r>
        <w:rPr>
          <w:rFonts w:hint="eastAsia" w:ascii="宋体" w:hAnsi="宋体"/>
          <w:color w:val="auto"/>
          <w:sz w:val="21"/>
          <w:szCs w:val="21"/>
          <w:highlight w:val="none"/>
        </w:rPr>
        <w:t>.以</w:t>
      </w:r>
      <w:r>
        <w:rPr>
          <w:rFonts w:ascii="宋体" w:hAnsi="宋体"/>
          <w:color w:val="auto"/>
          <w:sz w:val="21"/>
          <w:szCs w:val="21"/>
          <w:highlight w:val="none"/>
        </w:rPr>
        <w:t>“</w:t>
      </w:r>
      <w:r>
        <w:rPr>
          <w:rFonts w:hint="eastAsia" w:ascii="宋体" w:hAnsi="宋体"/>
          <w:color w:val="auto"/>
          <w:sz w:val="21"/>
          <w:szCs w:val="21"/>
          <w:highlight w:val="none"/>
        </w:rPr>
        <w:t>★</w:t>
      </w:r>
      <w:r>
        <w:rPr>
          <w:rFonts w:ascii="宋体" w:hAnsi="宋体"/>
          <w:color w:val="auto"/>
          <w:sz w:val="21"/>
          <w:szCs w:val="21"/>
          <w:highlight w:val="none"/>
        </w:rPr>
        <w:t>”</w:t>
      </w:r>
      <w:r>
        <w:rPr>
          <w:rFonts w:hint="eastAsia" w:ascii="宋体" w:hAnsi="宋体"/>
          <w:color w:val="auto"/>
          <w:sz w:val="21"/>
          <w:szCs w:val="21"/>
          <w:highlight w:val="none"/>
        </w:rPr>
        <w:t>标注的为政府强制采购产品。</w:t>
      </w:r>
    </w:p>
    <w:p w14:paraId="6ACC05D9">
      <w:pPr>
        <w:pStyle w:val="17"/>
        <w:spacing w:line="360" w:lineRule="auto"/>
        <w:ind w:firstLine="465"/>
        <w:rPr>
          <w:rFonts w:ascii="宋体" w:hAnsi="宋体"/>
          <w:color w:val="auto"/>
          <w:sz w:val="21"/>
          <w:szCs w:val="21"/>
          <w:highlight w:val="none"/>
        </w:rPr>
      </w:pPr>
      <w:r>
        <w:rPr>
          <w:rFonts w:hint="eastAsia" w:ascii="宋体" w:hAnsi="宋体"/>
          <w:color w:val="auto"/>
          <w:sz w:val="21"/>
          <w:szCs w:val="21"/>
          <w:highlight w:val="none"/>
        </w:rPr>
        <w:t>3.本表格原为《关于印发节能产品政府采购品目清单的通知》（财库〔2019〕19号）规定的表格附件，其中名称及编码已根据《财政部关于印发〈政府采购品目分类目录〉的通知》（财库〔2022〕31号）修改。</w:t>
      </w:r>
    </w:p>
    <w:p w14:paraId="1B5FB234">
      <w:pPr>
        <w:widowControl/>
        <w:jc w:val="left"/>
        <w:rPr>
          <w:rFonts w:ascii="宋体" w:hAnsi="宋体" w:cs="宋体"/>
          <w:color w:val="auto"/>
          <w:sz w:val="20"/>
          <w:szCs w:val="20"/>
          <w:highlight w:val="none"/>
        </w:rPr>
      </w:pPr>
    </w:p>
    <w:p w14:paraId="750BDAE9">
      <w:pPr>
        <w:widowControl/>
        <w:jc w:val="left"/>
        <w:rPr>
          <w:rFonts w:ascii="宋体" w:hAnsi="宋体" w:cs="宋体"/>
          <w:color w:val="auto"/>
          <w:sz w:val="20"/>
          <w:szCs w:val="20"/>
          <w:highlight w:val="none"/>
        </w:rPr>
      </w:pPr>
    </w:p>
    <w:p w14:paraId="012E1F75">
      <w:pPr>
        <w:widowControl/>
        <w:jc w:val="left"/>
        <w:rPr>
          <w:rFonts w:ascii="黑体" w:hAnsi="黑体" w:eastAsia="黑体" w:cs="黑体"/>
          <w:color w:val="auto"/>
          <w:sz w:val="32"/>
          <w:szCs w:val="32"/>
          <w:highlight w:val="none"/>
        </w:rPr>
      </w:pPr>
      <w:r>
        <w:rPr>
          <w:rFonts w:ascii="宋体" w:hAnsi="宋体" w:cs="宋体"/>
          <w:color w:val="auto"/>
          <w:sz w:val="20"/>
          <w:szCs w:val="20"/>
          <w:highlight w:val="none"/>
        </w:rPr>
        <w:br w:type="page"/>
      </w:r>
      <w:r>
        <w:rPr>
          <w:rFonts w:hint="eastAsia" w:ascii="黑体" w:hAnsi="黑体" w:eastAsia="黑体" w:cs="黑体"/>
          <w:color w:val="auto"/>
          <w:sz w:val="32"/>
          <w:szCs w:val="32"/>
          <w:highlight w:val="none"/>
        </w:rPr>
        <w:t>附件2：</w:t>
      </w:r>
    </w:p>
    <w:p w14:paraId="7526C16D">
      <w:pPr>
        <w:pStyle w:val="17"/>
        <w:jc w:val="center"/>
        <w:rPr>
          <w:b/>
          <w:color w:val="auto"/>
          <w:sz w:val="28"/>
          <w:szCs w:val="28"/>
          <w:highlight w:val="none"/>
        </w:rPr>
      </w:pPr>
      <w:r>
        <w:rPr>
          <w:rFonts w:hint="eastAsia"/>
          <w:b/>
          <w:color w:val="auto"/>
          <w:sz w:val="28"/>
          <w:szCs w:val="28"/>
          <w:highlight w:val="none"/>
        </w:rPr>
        <w:t>中小企业划型标准规定</w:t>
      </w:r>
    </w:p>
    <w:p w14:paraId="2DD16C31">
      <w:pPr>
        <w:pStyle w:val="17"/>
        <w:jc w:val="center"/>
        <w:rPr>
          <w:rFonts w:ascii="宋体" w:hAnsi="宋体"/>
          <w:color w:val="auto"/>
          <w:sz w:val="21"/>
          <w:szCs w:val="21"/>
          <w:highlight w:val="none"/>
        </w:rPr>
      </w:pPr>
      <w:r>
        <w:rPr>
          <w:rFonts w:hint="eastAsia" w:ascii="宋体" w:hAnsi="宋体"/>
          <w:color w:val="auto"/>
          <w:sz w:val="21"/>
          <w:szCs w:val="21"/>
          <w:highlight w:val="none"/>
        </w:rPr>
        <w:t>工信部联企业[2011]300号</w:t>
      </w:r>
    </w:p>
    <w:p w14:paraId="554133FE">
      <w:pPr>
        <w:pStyle w:val="17"/>
        <w:rPr>
          <w:color w:val="auto"/>
          <w:sz w:val="21"/>
          <w:szCs w:val="21"/>
          <w:highlight w:val="none"/>
        </w:rPr>
      </w:pPr>
    </w:p>
    <w:p w14:paraId="206C6855">
      <w:pPr>
        <w:pStyle w:val="17"/>
        <w:rPr>
          <w:color w:val="auto"/>
          <w:sz w:val="21"/>
          <w:szCs w:val="21"/>
          <w:highlight w:val="none"/>
        </w:rPr>
      </w:pPr>
      <w:r>
        <w:rPr>
          <w:rFonts w:hint="eastAsia"/>
          <w:color w:val="auto"/>
          <w:sz w:val="21"/>
          <w:szCs w:val="21"/>
          <w:highlight w:val="none"/>
        </w:rPr>
        <w:t>　　一、根据《中华人民共和国中小企业促进法》和《国务院关于进一步促进中小企业发展的若干意见》(国发[2009]36号)，制定本规定。</w:t>
      </w:r>
    </w:p>
    <w:p w14:paraId="3FD2CFEE">
      <w:pPr>
        <w:pStyle w:val="17"/>
        <w:rPr>
          <w:color w:val="auto"/>
          <w:sz w:val="21"/>
          <w:szCs w:val="21"/>
          <w:highlight w:val="none"/>
        </w:rPr>
      </w:pPr>
      <w:r>
        <w:rPr>
          <w:rFonts w:hint="eastAsia"/>
          <w:color w:val="auto"/>
          <w:sz w:val="21"/>
          <w:szCs w:val="21"/>
          <w:highlight w:val="none"/>
        </w:rPr>
        <w:t>　　二、中小企业划分为中型、小型、微型三种类型，具体标准根据企业从业人员、营业收入、资产总额等指标，结合行业特点制定。</w:t>
      </w:r>
    </w:p>
    <w:p w14:paraId="794613DF">
      <w:pPr>
        <w:pStyle w:val="17"/>
        <w:rPr>
          <w:color w:val="auto"/>
          <w:sz w:val="21"/>
          <w:szCs w:val="21"/>
          <w:highlight w:val="none"/>
        </w:rPr>
      </w:pPr>
      <w:r>
        <w:rPr>
          <w:rFonts w:hint="eastAsia"/>
          <w:color w:val="auto"/>
          <w:sz w:val="2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6FE545F">
      <w:pPr>
        <w:pStyle w:val="17"/>
        <w:rPr>
          <w:color w:val="auto"/>
          <w:sz w:val="21"/>
          <w:szCs w:val="21"/>
          <w:highlight w:val="none"/>
        </w:rPr>
      </w:pPr>
      <w:r>
        <w:rPr>
          <w:rFonts w:hint="eastAsia"/>
          <w:color w:val="auto"/>
          <w:sz w:val="21"/>
          <w:szCs w:val="21"/>
          <w:highlight w:val="none"/>
        </w:rPr>
        <w:t>　　四、各行业划型标准为：</w:t>
      </w:r>
    </w:p>
    <w:p w14:paraId="28CA059F">
      <w:pPr>
        <w:pStyle w:val="17"/>
        <w:rPr>
          <w:color w:val="auto"/>
          <w:sz w:val="21"/>
          <w:szCs w:val="21"/>
          <w:highlight w:val="none"/>
        </w:rPr>
      </w:pPr>
      <w:r>
        <w:rPr>
          <w:rFonts w:hint="eastAsia"/>
          <w:color w:val="auto"/>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14:paraId="72D96140">
      <w:pPr>
        <w:pStyle w:val="17"/>
        <w:rPr>
          <w:color w:val="auto"/>
          <w:sz w:val="21"/>
          <w:szCs w:val="21"/>
          <w:highlight w:val="none"/>
        </w:rPr>
      </w:pPr>
      <w:r>
        <w:rPr>
          <w:rFonts w:hint="eastAsia"/>
          <w:color w:val="auto"/>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4352DBC">
      <w:pPr>
        <w:pStyle w:val="17"/>
        <w:rPr>
          <w:color w:val="auto"/>
          <w:sz w:val="21"/>
          <w:szCs w:val="21"/>
          <w:highlight w:val="none"/>
        </w:rPr>
      </w:pPr>
      <w:r>
        <w:rPr>
          <w:rFonts w:hint="eastAsia"/>
          <w:color w:val="auto"/>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1DB0313">
      <w:pPr>
        <w:pStyle w:val="17"/>
        <w:rPr>
          <w:color w:val="auto"/>
          <w:sz w:val="21"/>
          <w:szCs w:val="21"/>
          <w:highlight w:val="none"/>
        </w:rPr>
      </w:pPr>
      <w:r>
        <w:rPr>
          <w:rFonts w:hint="eastAsia"/>
          <w:color w:val="auto"/>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9FCC1E2">
      <w:pPr>
        <w:pStyle w:val="17"/>
        <w:rPr>
          <w:color w:val="auto"/>
          <w:sz w:val="21"/>
          <w:szCs w:val="21"/>
          <w:highlight w:val="none"/>
        </w:rPr>
      </w:pPr>
      <w:r>
        <w:rPr>
          <w:rFonts w:hint="eastAsia"/>
          <w:color w:val="auto"/>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5CD8EDD">
      <w:pPr>
        <w:pStyle w:val="17"/>
        <w:rPr>
          <w:color w:val="auto"/>
          <w:sz w:val="21"/>
          <w:szCs w:val="21"/>
          <w:highlight w:val="none"/>
        </w:rPr>
      </w:pPr>
      <w:r>
        <w:rPr>
          <w:rFonts w:hint="eastAsia"/>
          <w:color w:val="auto"/>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A5F393C">
      <w:pPr>
        <w:pStyle w:val="17"/>
        <w:rPr>
          <w:color w:val="auto"/>
          <w:sz w:val="21"/>
          <w:szCs w:val="21"/>
          <w:highlight w:val="none"/>
        </w:rPr>
      </w:pPr>
      <w:r>
        <w:rPr>
          <w:rFonts w:hint="eastAsia"/>
          <w:color w:val="auto"/>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459DDFD">
      <w:pPr>
        <w:pStyle w:val="17"/>
        <w:rPr>
          <w:color w:val="auto"/>
          <w:sz w:val="21"/>
          <w:szCs w:val="21"/>
          <w:highlight w:val="none"/>
        </w:rPr>
      </w:pPr>
      <w:r>
        <w:rPr>
          <w:rFonts w:hint="eastAsia"/>
          <w:color w:val="auto"/>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37EFAC8">
      <w:pPr>
        <w:pStyle w:val="17"/>
        <w:rPr>
          <w:color w:val="auto"/>
          <w:sz w:val="21"/>
          <w:szCs w:val="21"/>
          <w:highlight w:val="none"/>
        </w:rPr>
      </w:pPr>
      <w:r>
        <w:rPr>
          <w:rFonts w:hint="eastAsia"/>
          <w:color w:val="auto"/>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1F2A945">
      <w:pPr>
        <w:pStyle w:val="17"/>
        <w:rPr>
          <w:color w:val="auto"/>
          <w:sz w:val="21"/>
          <w:szCs w:val="21"/>
          <w:highlight w:val="none"/>
        </w:rPr>
      </w:pPr>
      <w:r>
        <w:rPr>
          <w:rFonts w:hint="eastAsia"/>
          <w:color w:val="auto"/>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BD67D3D">
      <w:pPr>
        <w:pStyle w:val="17"/>
        <w:rPr>
          <w:color w:val="auto"/>
          <w:sz w:val="21"/>
          <w:szCs w:val="21"/>
          <w:highlight w:val="none"/>
        </w:rPr>
      </w:pPr>
      <w:r>
        <w:rPr>
          <w:rFonts w:hint="eastAsia"/>
          <w:color w:val="auto"/>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F3EDDC5">
      <w:pPr>
        <w:pStyle w:val="17"/>
        <w:rPr>
          <w:color w:val="auto"/>
          <w:sz w:val="21"/>
          <w:szCs w:val="21"/>
          <w:highlight w:val="none"/>
        </w:rPr>
      </w:pPr>
      <w:r>
        <w:rPr>
          <w:rFonts w:hint="eastAsia"/>
          <w:color w:val="auto"/>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AF6A2BA">
      <w:pPr>
        <w:pStyle w:val="17"/>
        <w:rPr>
          <w:color w:val="auto"/>
          <w:sz w:val="21"/>
          <w:szCs w:val="21"/>
          <w:highlight w:val="none"/>
        </w:rPr>
      </w:pPr>
      <w:r>
        <w:rPr>
          <w:rFonts w:hint="eastAsia"/>
          <w:color w:val="auto"/>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B8E8EEC">
      <w:pPr>
        <w:pStyle w:val="17"/>
        <w:rPr>
          <w:color w:val="auto"/>
          <w:sz w:val="21"/>
          <w:szCs w:val="21"/>
          <w:highlight w:val="none"/>
        </w:rPr>
      </w:pPr>
      <w:r>
        <w:rPr>
          <w:rFonts w:hint="eastAsia"/>
          <w:color w:val="auto"/>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FA25785">
      <w:pPr>
        <w:pStyle w:val="17"/>
        <w:rPr>
          <w:color w:val="auto"/>
          <w:sz w:val="21"/>
          <w:szCs w:val="21"/>
          <w:highlight w:val="none"/>
        </w:rPr>
      </w:pPr>
      <w:r>
        <w:rPr>
          <w:rFonts w:hint="eastAsia"/>
          <w:color w:val="auto"/>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B85BBB7">
      <w:pPr>
        <w:pStyle w:val="17"/>
        <w:rPr>
          <w:color w:val="auto"/>
          <w:sz w:val="21"/>
          <w:szCs w:val="21"/>
          <w:highlight w:val="none"/>
        </w:rPr>
      </w:pPr>
      <w:r>
        <w:rPr>
          <w:rFonts w:hint="eastAsia"/>
          <w:color w:val="auto"/>
          <w:sz w:val="21"/>
          <w:szCs w:val="21"/>
          <w:highlight w:val="none"/>
        </w:rPr>
        <w:t>　　（十六）其他未列明行业。从业人员300人以下的为中小微型企业。其中，从业人员100人及以上的为中型企业；从业人员10人及以上的为小型企业；从业人员10人以下的为微型企业。</w:t>
      </w:r>
    </w:p>
    <w:p w14:paraId="383B0273">
      <w:pPr>
        <w:pStyle w:val="17"/>
        <w:rPr>
          <w:color w:val="auto"/>
          <w:sz w:val="21"/>
          <w:szCs w:val="21"/>
          <w:highlight w:val="none"/>
        </w:rPr>
      </w:pPr>
      <w:r>
        <w:rPr>
          <w:rFonts w:hint="eastAsia"/>
          <w:color w:val="auto"/>
          <w:sz w:val="21"/>
          <w:szCs w:val="21"/>
          <w:highlight w:val="none"/>
        </w:rPr>
        <w:t>　　五、企业类型的划分以统计部门的统计数据为依据。</w:t>
      </w:r>
    </w:p>
    <w:p w14:paraId="7786695B">
      <w:pPr>
        <w:pStyle w:val="17"/>
        <w:rPr>
          <w:color w:val="auto"/>
          <w:sz w:val="21"/>
          <w:szCs w:val="21"/>
          <w:highlight w:val="none"/>
        </w:rPr>
      </w:pPr>
      <w:r>
        <w:rPr>
          <w:rFonts w:hint="eastAsia"/>
          <w:color w:val="auto"/>
          <w:sz w:val="21"/>
          <w:szCs w:val="21"/>
          <w:highlight w:val="none"/>
        </w:rPr>
        <w:t>　　六、本规定适用于在中华人民共和国境内依法设立的各类所有制和各种组织形式的企业。个体工商户和本规定以外的行业，参照本规定进行划型。</w:t>
      </w:r>
    </w:p>
    <w:p w14:paraId="68BF425F">
      <w:pPr>
        <w:pStyle w:val="17"/>
        <w:rPr>
          <w:color w:val="auto"/>
          <w:sz w:val="21"/>
          <w:szCs w:val="21"/>
          <w:highlight w:val="none"/>
        </w:rPr>
      </w:pPr>
      <w:r>
        <w:rPr>
          <w:rFonts w:hint="eastAsia"/>
          <w:color w:val="auto"/>
          <w:sz w:val="2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2FBA4DF">
      <w:pPr>
        <w:pStyle w:val="17"/>
        <w:rPr>
          <w:color w:val="auto"/>
          <w:sz w:val="21"/>
          <w:szCs w:val="21"/>
          <w:highlight w:val="none"/>
        </w:rPr>
      </w:pPr>
      <w:r>
        <w:rPr>
          <w:rFonts w:hint="eastAsia"/>
          <w:color w:val="auto"/>
          <w:sz w:val="21"/>
          <w:szCs w:val="21"/>
          <w:highlight w:val="none"/>
        </w:rPr>
        <w:t>　　八、本规定由工业和信息化部、国家统计局会同有关部门根据《国民经济行业分类》修订情况和企业发展变化情况适时修订。</w:t>
      </w:r>
    </w:p>
    <w:p w14:paraId="29D5C359">
      <w:pPr>
        <w:pStyle w:val="17"/>
        <w:rPr>
          <w:color w:val="auto"/>
          <w:sz w:val="21"/>
          <w:szCs w:val="21"/>
          <w:highlight w:val="none"/>
        </w:rPr>
      </w:pPr>
      <w:r>
        <w:rPr>
          <w:rFonts w:hint="eastAsia"/>
          <w:color w:val="auto"/>
          <w:sz w:val="21"/>
          <w:szCs w:val="21"/>
          <w:highlight w:val="none"/>
        </w:rPr>
        <w:t>　　九、本规定由工业和信息化部、国家统计局会同有关部门负责解释。</w:t>
      </w:r>
    </w:p>
    <w:p w14:paraId="36E87B4A">
      <w:pPr>
        <w:pStyle w:val="17"/>
        <w:ind w:firstLine="420"/>
        <w:rPr>
          <w:color w:val="auto"/>
          <w:sz w:val="21"/>
          <w:szCs w:val="21"/>
          <w:highlight w:val="none"/>
        </w:rPr>
      </w:pPr>
      <w:r>
        <w:rPr>
          <w:rFonts w:hint="eastAsia"/>
          <w:color w:val="auto"/>
          <w:sz w:val="21"/>
          <w:szCs w:val="21"/>
          <w:highlight w:val="none"/>
        </w:rPr>
        <w:t>十、本规定自发布之日起执行，原国家经贸委、原国家计委、财政部和国家统计局2003年颁布的《中小企业标准暂行规定》同时废止。</w:t>
      </w:r>
    </w:p>
    <w:p w14:paraId="0D3C8280">
      <w:pPr>
        <w:pStyle w:val="17"/>
        <w:ind w:firstLine="420"/>
        <w:rPr>
          <w:color w:val="auto"/>
          <w:sz w:val="21"/>
          <w:szCs w:val="21"/>
          <w:highlight w:val="none"/>
        </w:rPr>
      </w:pPr>
    </w:p>
    <w:p w14:paraId="546523B3">
      <w:pPr>
        <w:pStyle w:val="2"/>
        <w:spacing w:before="0" w:after="0" w:line="360" w:lineRule="auto"/>
        <w:jc w:val="center"/>
        <w:rPr>
          <w:color w:val="auto"/>
          <w:highlight w:val="none"/>
        </w:rPr>
      </w:pPr>
      <w:bookmarkStart w:id="62" w:name="_Toc74320802"/>
      <w:r>
        <w:rPr>
          <w:color w:val="auto"/>
          <w:highlight w:val="none"/>
        </w:rPr>
        <w:br w:type="page"/>
      </w:r>
      <w:r>
        <w:rPr>
          <w:rFonts w:hint="eastAsia"/>
          <w:color w:val="auto"/>
          <w:highlight w:val="none"/>
        </w:rPr>
        <w:t>第三章  投标人须知</w:t>
      </w:r>
      <w:bookmarkEnd w:id="62"/>
    </w:p>
    <w:p w14:paraId="1B0464BF">
      <w:pPr>
        <w:jc w:val="center"/>
        <w:rPr>
          <w:color w:val="auto"/>
          <w:sz w:val="36"/>
          <w:szCs w:val="36"/>
          <w:highlight w:val="none"/>
        </w:rPr>
      </w:pPr>
      <w:bookmarkStart w:id="63" w:name="_Toc254970526"/>
      <w:bookmarkStart w:id="64" w:name="_Toc254970667"/>
      <w:r>
        <w:rPr>
          <w:rFonts w:hint="eastAsia"/>
          <w:color w:val="auto"/>
          <w:sz w:val="36"/>
          <w:szCs w:val="36"/>
          <w:highlight w:val="none"/>
        </w:rPr>
        <w:t>投标人须知前附表</w:t>
      </w:r>
      <w:bookmarkEnd w:id="63"/>
      <w:bookmarkEnd w:id="64"/>
    </w:p>
    <w:tbl>
      <w:tblPr>
        <w:tblStyle w:val="49"/>
        <w:tblW w:w="9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670"/>
      </w:tblGrid>
      <w:tr w14:paraId="12735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097EE69">
            <w:pPr>
              <w:snapToGrid w:val="0"/>
              <w:spacing w:line="360" w:lineRule="auto"/>
              <w:jc w:val="left"/>
              <w:rPr>
                <w:rFonts w:ascii="宋体" w:hAnsi="宋体"/>
                <w:color w:val="auto"/>
                <w:szCs w:val="21"/>
                <w:highlight w:val="none"/>
              </w:rPr>
            </w:pPr>
            <w:r>
              <w:rPr>
                <w:rFonts w:hint="eastAsia" w:ascii="宋体" w:hAnsi="宋体"/>
                <w:color w:val="auto"/>
                <w:szCs w:val="21"/>
                <w:highlight w:val="none"/>
              </w:rPr>
              <w:t>条款号</w:t>
            </w:r>
          </w:p>
        </w:tc>
        <w:tc>
          <w:tcPr>
            <w:tcW w:w="8670" w:type="dxa"/>
            <w:tcBorders>
              <w:top w:val="single" w:color="auto" w:sz="4" w:space="0"/>
              <w:left w:val="single" w:color="auto" w:sz="4" w:space="0"/>
              <w:bottom w:val="single" w:color="auto" w:sz="4" w:space="0"/>
              <w:right w:val="single" w:color="auto" w:sz="4" w:space="0"/>
            </w:tcBorders>
            <w:vAlign w:val="center"/>
          </w:tcPr>
          <w:p w14:paraId="6892F6E7">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编列内容</w:t>
            </w:r>
          </w:p>
        </w:tc>
      </w:tr>
      <w:tr w14:paraId="4530B3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32835FD">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8670" w:type="dxa"/>
            <w:tcBorders>
              <w:top w:val="single" w:color="auto" w:sz="4" w:space="0"/>
              <w:left w:val="single" w:color="auto" w:sz="4" w:space="0"/>
              <w:bottom w:val="single" w:color="auto" w:sz="4" w:space="0"/>
              <w:right w:val="single" w:color="auto" w:sz="4" w:space="0"/>
            </w:tcBorders>
            <w:vAlign w:val="center"/>
          </w:tcPr>
          <w:p w14:paraId="2B35C17E">
            <w:pPr>
              <w:snapToGrid w:val="0"/>
              <w:spacing w:line="360" w:lineRule="auto"/>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投标人的资格要求详见招标公告。</w:t>
            </w:r>
          </w:p>
          <w:p w14:paraId="1B9ED04F">
            <w:pPr>
              <w:snapToGrid w:val="0"/>
              <w:spacing w:line="360" w:lineRule="auto"/>
              <w:jc w:val="lef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投标人出现下列情形之一的，不得参加政府采购活动：</w:t>
            </w:r>
          </w:p>
          <w:p w14:paraId="66089B51">
            <w:pPr>
              <w:snapToGrid w:val="0"/>
              <w:spacing w:line="360" w:lineRule="auto"/>
              <w:jc w:val="left"/>
              <w:rPr>
                <w:rFonts w:ascii="宋体" w:hAnsi="宋体"/>
                <w:color w:val="auto"/>
                <w:szCs w:val="21"/>
                <w:highlight w:val="none"/>
              </w:rPr>
            </w:pPr>
            <w:r>
              <w:rPr>
                <w:rFonts w:ascii="宋体" w:hAnsi="宋体"/>
                <w:color w:val="auto"/>
                <w:szCs w:val="21"/>
                <w:highlight w:val="none"/>
              </w:rPr>
              <w:t>2.1</w:t>
            </w:r>
            <w:r>
              <w:rPr>
                <w:rFonts w:hint="eastAsia" w:ascii="宋体" w:hAnsi="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00C3F1B">
            <w:pPr>
              <w:snapToGrid w:val="0"/>
              <w:spacing w:line="360" w:lineRule="auto"/>
              <w:jc w:val="left"/>
              <w:rPr>
                <w:rFonts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3BBCFB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B92C67F">
            <w:pPr>
              <w:spacing w:line="360" w:lineRule="auto"/>
              <w:jc w:val="center"/>
              <w:rPr>
                <w:rFonts w:ascii="宋体" w:hAnsi="宋体"/>
                <w:color w:val="auto"/>
                <w:szCs w:val="21"/>
                <w:highlight w:val="none"/>
              </w:rPr>
            </w:pPr>
            <w:bookmarkStart w:id="65" w:name="_8.1"/>
            <w:bookmarkEnd w:id="65"/>
            <w:bookmarkStart w:id="66" w:name="_5"/>
            <w:bookmarkEnd w:id="66"/>
            <w:bookmarkStart w:id="67" w:name="_9.2"/>
            <w:bookmarkEnd w:id="67"/>
            <w:r>
              <w:rPr>
                <w:rFonts w:hint="eastAsia" w:ascii="宋体" w:hAnsi="宋体"/>
                <w:color w:val="auto"/>
                <w:szCs w:val="21"/>
                <w:highlight w:val="none"/>
              </w:rPr>
              <w:t>6.1</w:t>
            </w:r>
          </w:p>
        </w:tc>
        <w:tc>
          <w:tcPr>
            <w:tcW w:w="8670" w:type="dxa"/>
            <w:tcBorders>
              <w:top w:val="single" w:color="auto" w:sz="4" w:space="0"/>
              <w:left w:val="single" w:color="auto" w:sz="4" w:space="0"/>
              <w:bottom w:val="single" w:color="auto" w:sz="4" w:space="0"/>
              <w:right w:val="single" w:color="auto" w:sz="4" w:space="0"/>
            </w:tcBorders>
            <w:vAlign w:val="center"/>
          </w:tcPr>
          <w:p w14:paraId="5D56576C">
            <w:pPr>
              <w:pStyle w:val="15"/>
              <w:spacing w:line="360" w:lineRule="auto"/>
              <w:rPr>
                <w:rFonts w:ascii="宋体" w:hAnsi="宋体"/>
                <w:color w:val="auto"/>
                <w:szCs w:val="21"/>
                <w:highlight w:val="none"/>
              </w:rPr>
            </w:pPr>
            <w:r>
              <w:rPr>
                <w:rFonts w:hint="eastAsia" w:ascii="宋体" w:hAnsi="宋体"/>
                <w:color w:val="auto"/>
                <w:szCs w:val="21"/>
                <w:highlight w:val="none"/>
              </w:rPr>
              <w:t>本项目是否接受联合体投标：详见招标公告。</w:t>
            </w:r>
          </w:p>
        </w:tc>
      </w:tr>
      <w:tr w14:paraId="62A1D0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1080A35">
            <w:pPr>
              <w:spacing w:line="360" w:lineRule="auto"/>
              <w:jc w:val="center"/>
              <w:rPr>
                <w:rFonts w:ascii="宋体" w:hAnsi="宋体"/>
                <w:color w:val="auto"/>
                <w:szCs w:val="21"/>
                <w:highlight w:val="none"/>
              </w:rPr>
            </w:pPr>
            <w:r>
              <w:rPr>
                <w:rFonts w:ascii="宋体" w:hAnsi="宋体"/>
                <w:color w:val="auto"/>
                <w:szCs w:val="21"/>
                <w:highlight w:val="none"/>
              </w:rPr>
              <w:t>6.2</w:t>
            </w:r>
          </w:p>
        </w:tc>
        <w:tc>
          <w:tcPr>
            <w:tcW w:w="8670" w:type="dxa"/>
            <w:tcBorders>
              <w:top w:val="single" w:color="auto" w:sz="4" w:space="0"/>
              <w:left w:val="single" w:color="auto" w:sz="4" w:space="0"/>
              <w:bottom w:val="single" w:color="auto" w:sz="4" w:space="0"/>
              <w:right w:val="single" w:color="auto" w:sz="4" w:space="0"/>
            </w:tcBorders>
            <w:vAlign w:val="center"/>
          </w:tcPr>
          <w:p w14:paraId="7A53C572">
            <w:pPr>
              <w:pStyle w:val="15"/>
              <w:spacing w:line="360" w:lineRule="auto"/>
              <w:rPr>
                <w:rFonts w:ascii="宋体" w:hAnsi="宋体"/>
                <w:color w:val="auto"/>
                <w:szCs w:val="21"/>
                <w:highlight w:val="none"/>
              </w:rPr>
            </w:pPr>
            <w:bookmarkStart w:id="68" w:name="_Hlk54105293"/>
            <w:r>
              <w:rPr>
                <w:rFonts w:hint="eastAsia" w:ascii="宋体" w:hAnsi="宋体"/>
                <w:color w:val="auto"/>
                <w:szCs w:val="21"/>
                <w:highlight w:val="none"/>
              </w:rPr>
              <w:t>如接受联合体投标，</w:t>
            </w:r>
            <w:bookmarkEnd w:id="68"/>
            <w:r>
              <w:rPr>
                <w:rFonts w:hint="eastAsia" w:ascii="宋体" w:hAnsi="宋体"/>
                <w:color w:val="auto"/>
                <w:szCs w:val="21"/>
                <w:highlight w:val="none"/>
              </w:rPr>
              <w:t>联合体投标要求如下：/</w:t>
            </w:r>
          </w:p>
        </w:tc>
      </w:tr>
      <w:tr w14:paraId="4C83D5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2005D72">
            <w:pPr>
              <w:spacing w:line="360" w:lineRule="auto"/>
              <w:jc w:val="center"/>
              <w:rPr>
                <w:rFonts w:ascii="宋体" w:hAnsi="宋体"/>
                <w:color w:val="auto"/>
                <w:szCs w:val="21"/>
                <w:highlight w:val="none"/>
              </w:rPr>
            </w:pPr>
            <w:r>
              <w:rPr>
                <w:rFonts w:hint="eastAsia" w:ascii="宋体" w:hAnsi="宋体"/>
                <w:color w:val="auto"/>
                <w:szCs w:val="21"/>
                <w:highlight w:val="none"/>
              </w:rPr>
              <w:t>7.2</w:t>
            </w:r>
          </w:p>
        </w:tc>
        <w:tc>
          <w:tcPr>
            <w:tcW w:w="8670" w:type="dxa"/>
            <w:tcBorders>
              <w:top w:val="single" w:color="auto" w:sz="4" w:space="0"/>
              <w:left w:val="single" w:color="auto" w:sz="4" w:space="0"/>
              <w:bottom w:val="single" w:color="auto" w:sz="4" w:space="0"/>
              <w:right w:val="single" w:color="auto" w:sz="4" w:space="0"/>
            </w:tcBorders>
            <w:vAlign w:val="center"/>
          </w:tcPr>
          <w:p w14:paraId="0DD2EC3B">
            <w:pPr>
              <w:pStyle w:val="15"/>
              <w:spacing w:line="360" w:lineRule="auto"/>
              <w:rPr>
                <w:rFonts w:ascii="宋体" w:hAnsi="宋体"/>
                <w:color w:val="auto"/>
                <w:szCs w:val="21"/>
                <w:highlight w:val="none"/>
              </w:rPr>
            </w:pPr>
            <w:r>
              <w:rPr>
                <w:rFonts w:hint="eastAsia" w:ascii="宋体" w:hAnsi="宋体" w:cs="宋体"/>
                <w:color w:val="auto"/>
                <w:szCs w:val="21"/>
                <w:highlight w:val="none"/>
              </w:rPr>
              <w:sym w:font="Wingdings" w:char="00FE"/>
            </w:r>
            <w:r>
              <w:rPr>
                <w:rFonts w:hint="eastAsia" w:ascii="宋体" w:hAnsi="宋体"/>
                <w:color w:val="auto"/>
                <w:szCs w:val="21"/>
                <w:highlight w:val="none"/>
              </w:rPr>
              <w:t>不允许分包</w:t>
            </w:r>
          </w:p>
          <w:p w14:paraId="0F9210C9">
            <w:pPr>
              <w:pStyle w:val="15"/>
              <w:spacing w:line="360" w:lineRule="auto"/>
              <w:rPr>
                <w:rFonts w:ascii="宋体" w:hAnsi="宋体"/>
                <w:color w:val="auto"/>
                <w:szCs w:val="21"/>
                <w:highlight w:val="none"/>
              </w:rPr>
            </w:pPr>
            <w:r>
              <w:rPr>
                <w:rFonts w:hint="eastAsia" w:ascii="宋体" w:hAnsi="宋体"/>
                <w:color w:val="auto"/>
                <w:szCs w:val="21"/>
                <w:highlight w:val="none"/>
              </w:rPr>
              <w:t>□允许分包</w:t>
            </w:r>
          </w:p>
          <w:p w14:paraId="6E74FA68">
            <w:pPr>
              <w:pStyle w:val="15"/>
              <w:spacing w:line="360" w:lineRule="auto"/>
              <w:rPr>
                <w:rFonts w:ascii="宋体" w:hAnsi="宋体"/>
                <w:color w:val="auto"/>
                <w:szCs w:val="21"/>
                <w:highlight w:val="none"/>
                <w:u w:val="single"/>
              </w:rPr>
            </w:pPr>
            <w:r>
              <w:rPr>
                <w:rFonts w:hint="eastAsia" w:ascii="宋体" w:hAnsi="宋体"/>
                <w:color w:val="auto"/>
                <w:szCs w:val="21"/>
                <w:highlight w:val="none"/>
              </w:rPr>
              <w:t>分包内容：</w:t>
            </w:r>
            <w:r>
              <w:rPr>
                <w:rFonts w:hint="eastAsia" w:ascii="宋体" w:hAnsi="宋体"/>
                <w:color w:val="auto"/>
                <w:szCs w:val="21"/>
                <w:highlight w:val="none"/>
                <w:u w:val="single"/>
              </w:rPr>
              <w:t>/ 。</w:t>
            </w:r>
          </w:p>
          <w:p w14:paraId="58883F9E">
            <w:pPr>
              <w:pStyle w:val="15"/>
              <w:spacing w:line="360" w:lineRule="auto"/>
              <w:jc w:val="both"/>
              <w:rPr>
                <w:rFonts w:ascii="宋体" w:hAnsi="宋体"/>
                <w:color w:val="auto"/>
                <w:szCs w:val="21"/>
                <w:highlight w:val="none"/>
                <w:u w:val="single"/>
              </w:rPr>
            </w:pPr>
            <w:r>
              <w:rPr>
                <w:rFonts w:hint="eastAsia" w:ascii="宋体" w:hAnsi="宋体"/>
                <w:color w:val="auto"/>
                <w:szCs w:val="21"/>
                <w:highlight w:val="none"/>
              </w:rPr>
              <w:t>分包金额或者比例：</w:t>
            </w:r>
            <w:r>
              <w:rPr>
                <w:rFonts w:hint="eastAsia" w:ascii="宋体" w:hAnsi="宋体"/>
                <w:color w:val="auto"/>
                <w:szCs w:val="21"/>
                <w:highlight w:val="none"/>
                <w:u w:val="single"/>
              </w:rPr>
              <w:t>/。</w:t>
            </w:r>
          </w:p>
        </w:tc>
      </w:tr>
      <w:tr w14:paraId="7DB580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E48E513">
            <w:pPr>
              <w:spacing w:line="360" w:lineRule="auto"/>
              <w:jc w:val="center"/>
              <w:rPr>
                <w:rFonts w:ascii="宋体" w:hAnsi="宋体"/>
                <w:color w:val="auto"/>
                <w:szCs w:val="21"/>
                <w:highlight w:val="none"/>
              </w:rPr>
            </w:pPr>
            <w:r>
              <w:rPr>
                <w:rFonts w:hint="eastAsia" w:ascii="宋体" w:hAnsi="宋体"/>
                <w:color w:val="auto"/>
                <w:szCs w:val="21"/>
                <w:highlight w:val="none"/>
              </w:rPr>
              <w:t>8.1</w:t>
            </w:r>
          </w:p>
        </w:tc>
        <w:tc>
          <w:tcPr>
            <w:tcW w:w="8670" w:type="dxa"/>
            <w:tcBorders>
              <w:top w:val="single" w:color="auto" w:sz="4" w:space="0"/>
              <w:left w:val="single" w:color="auto" w:sz="4" w:space="0"/>
              <w:bottom w:val="single" w:color="auto" w:sz="4" w:space="0"/>
              <w:right w:val="single" w:color="auto" w:sz="4" w:space="0"/>
            </w:tcBorders>
            <w:vAlign w:val="center"/>
          </w:tcPr>
          <w:p w14:paraId="7547F002">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 w:val="22"/>
                <w:szCs w:val="22"/>
                <w:highlight w:val="none"/>
              </w:rPr>
              <w:t>采用综合评分法的采购项目，</w:t>
            </w:r>
            <w:r>
              <w:rPr>
                <w:rFonts w:hint="eastAsia" w:ascii="宋体" w:hAnsi="宋体"/>
                <w:color w:val="auto"/>
                <w:szCs w:val="21"/>
                <w:highlight w:val="none"/>
              </w:rPr>
              <w:t>提供相同品牌产品（非单一产品采购项目的，指核心产品）的不同投标人评审得分相同时，按照下列方式确定一个投标人获得中标供应商推荐资格：</w:t>
            </w:r>
          </w:p>
          <w:p w14:paraId="3728EC6F">
            <w:pPr>
              <w:autoSpaceDE w:val="0"/>
              <w:autoSpaceDN w:val="0"/>
              <w:snapToGrid w:val="0"/>
              <w:spacing w:line="360" w:lineRule="auto"/>
              <w:textAlignment w:val="bottom"/>
              <w:rPr>
                <w:rFonts w:ascii="宋体" w:hAnsi="宋体"/>
                <w:color w:val="auto"/>
                <w:szCs w:val="21"/>
                <w:highlight w:val="none"/>
              </w:rPr>
            </w:pPr>
            <w:r>
              <w:rPr>
                <w:rFonts w:hint="eastAsia" w:ascii="宋体" w:hAnsi="宋体" w:cs="宋体"/>
                <w:color w:val="auto"/>
                <w:szCs w:val="21"/>
                <w:highlight w:val="none"/>
              </w:rPr>
              <w:sym w:font="Wingdings" w:char="00FE"/>
            </w:r>
            <w:r>
              <w:rPr>
                <w:rFonts w:hint="eastAsia" w:ascii="宋体" w:hAnsi="宋体"/>
                <w:color w:val="auto"/>
                <w:szCs w:val="21"/>
                <w:highlight w:val="none"/>
              </w:rPr>
              <w:t>依次按投标报价低的优先、政策分得分高的优先、技术评分高的优先、商务评分高的优先、质保期长优先、交货期短优先、故障响应时间短优先的顺序推荐；</w:t>
            </w:r>
          </w:p>
          <w:p w14:paraId="1C418A31">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□随机抽取；</w:t>
            </w:r>
          </w:p>
        </w:tc>
      </w:tr>
      <w:tr w14:paraId="38BD43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895" w:type="dxa"/>
            <w:vMerge w:val="restart"/>
            <w:tcBorders>
              <w:top w:val="single" w:color="auto" w:sz="4" w:space="0"/>
              <w:left w:val="single" w:color="auto" w:sz="4" w:space="0"/>
              <w:right w:val="single" w:color="auto" w:sz="4" w:space="0"/>
            </w:tcBorders>
            <w:vAlign w:val="center"/>
          </w:tcPr>
          <w:p w14:paraId="1D039932">
            <w:pPr>
              <w:spacing w:line="360" w:lineRule="auto"/>
              <w:jc w:val="cente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1.2</w:t>
            </w:r>
          </w:p>
        </w:tc>
        <w:tc>
          <w:tcPr>
            <w:tcW w:w="8670" w:type="dxa"/>
            <w:tcBorders>
              <w:top w:val="single" w:color="auto" w:sz="4" w:space="0"/>
              <w:left w:val="single" w:color="auto" w:sz="4" w:space="0"/>
              <w:bottom w:val="single" w:color="auto" w:sz="4" w:space="0"/>
              <w:right w:val="single" w:color="auto" w:sz="4" w:space="0"/>
            </w:tcBorders>
            <w:vAlign w:val="center"/>
          </w:tcPr>
          <w:p w14:paraId="7F4528DA">
            <w:pPr>
              <w:snapToGrid w:val="0"/>
              <w:spacing w:line="360" w:lineRule="auto"/>
              <w:rPr>
                <w:rFonts w:ascii="宋体" w:hAnsi="宋体"/>
                <w:color w:val="auto"/>
                <w:szCs w:val="21"/>
                <w:highlight w:val="none"/>
              </w:rPr>
            </w:pPr>
            <w:r>
              <w:rPr>
                <w:rFonts w:hint="eastAsia" w:ascii="宋体" w:hAnsi="宋体" w:cs="宋体"/>
                <w:color w:val="auto"/>
                <w:szCs w:val="21"/>
                <w:highlight w:val="none"/>
              </w:rPr>
              <w:sym w:font="Wingdings" w:char="00FE"/>
            </w:r>
            <w:r>
              <w:rPr>
                <w:rFonts w:hint="eastAsia" w:ascii="宋体" w:hAnsi="宋体"/>
                <w:color w:val="auto"/>
                <w:szCs w:val="21"/>
                <w:highlight w:val="none"/>
              </w:rPr>
              <w:t>不组织现场考察</w:t>
            </w:r>
          </w:p>
          <w:p w14:paraId="5AB75F4C">
            <w:pPr>
              <w:snapToGrid w:val="0"/>
              <w:spacing w:line="360" w:lineRule="auto"/>
              <w:rPr>
                <w:rFonts w:ascii="宋体" w:hAnsi="宋体"/>
                <w:color w:val="auto"/>
                <w:szCs w:val="21"/>
                <w:highlight w:val="none"/>
              </w:rPr>
            </w:pPr>
            <w:r>
              <w:rPr>
                <w:rFonts w:hint="eastAsia" w:ascii="宋体" w:hAnsi="宋体"/>
                <w:color w:val="auto"/>
                <w:szCs w:val="21"/>
                <w:highlight w:val="none"/>
              </w:rPr>
              <w:t>□组织现场考察：</w:t>
            </w:r>
          </w:p>
          <w:p w14:paraId="195391B9">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集中时间：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分</w:t>
            </w:r>
            <w:r>
              <w:rPr>
                <w:rFonts w:hint="eastAsia" w:ascii="宋体" w:hAnsi="宋体"/>
                <w:color w:val="auto"/>
                <w:szCs w:val="21"/>
                <w:highlight w:val="none"/>
              </w:rPr>
              <w:t>，逾期后果自负。集中地点：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66F23D04">
            <w:pPr>
              <w:snapToGrid w:val="0"/>
              <w:spacing w:line="360" w:lineRule="auto"/>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；联系电话：</w:t>
            </w:r>
            <w:r>
              <w:rPr>
                <w:rFonts w:ascii="宋体" w:hAnsi="宋体"/>
                <w:color w:val="auto"/>
                <w:szCs w:val="21"/>
                <w:highlight w:val="none"/>
                <w:u w:val="single"/>
              </w:rPr>
              <w:t xml:space="preserve">                </w:t>
            </w:r>
          </w:p>
        </w:tc>
      </w:tr>
      <w:tr w14:paraId="479BD1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895" w:type="dxa"/>
            <w:vMerge w:val="continue"/>
            <w:tcBorders>
              <w:left w:val="single" w:color="auto" w:sz="4" w:space="0"/>
              <w:bottom w:val="single" w:color="auto" w:sz="4" w:space="0"/>
              <w:right w:val="single" w:color="auto" w:sz="4" w:space="0"/>
            </w:tcBorders>
            <w:vAlign w:val="center"/>
          </w:tcPr>
          <w:p w14:paraId="18E00070">
            <w:pPr>
              <w:spacing w:line="360" w:lineRule="auto"/>
              <w:jc w:val="center"/>
              <w:rPr>
                <w:rFonts w:ascii="宋体" w:hAnsi="宋体"/>
                <w:color w:val="auto"/>
                <w:szCs w:val="21"/>
                <w:highlight w:val="none"/>
              </w:rPr>
            </w:pPr>
          </w:p>
        </w:tc>
        <w:tc>
          <w:tcPr>
            <w:tcW w:w="8670" w:type="dxa"/>
            <w:tcBorders>
              <w:top w:val="single" w:color="auto" w:sz="4" w:space="0"/>
              <w:left w:val="single" w:color="auto" w:sz="4" w:space="0"/>
              <w:bottom w:val="single" w:color="auto" w:sz="4" w:space="0"/>
              <w:right w:val="single" w:color="auto" w:sz="4" w:space="0"/>
            </w:tcBorders>
            <w:vAlign w:val="center"/>
          </w:tcPr>
          <w:p w14:paraId="0260E15F">
            <w:pPr>
              <w:snapToGrid w:val="0"/>
              <w:spacing w:line="360" w:lineRule="auto"/>
              <w:rPr>
                <w:rFonts w:ascii="宋体" w:hAnsi="宋体"/>
                <w:color w:val="auto"/>
                <w:szCs w:val="21"/>
                <w:highlight w:val="none"/>
              </w:rPr>
            </w:pPr>
            <w:r>
              <w:rPr>
                <w:rFonts w:hint="eastAsia" w:ascii="宋体" w:hAnsi="宋体" w:cs="宋体"/>
                <w:color w:val="auto"/>
                <w:szCs w:val="21"/>
                <w:highlight w:val="none"/>
              </w:rPr>
              <w:sym w:font="Wingdings" w:char="00FE"/>
            </w:r>
            <w:r>
              <w:rPr>
                <w:rFonts w:hint="eastAsia" w:ascii="宋体" w:hAnsi="宋体"/>
                <w:color w:val="auto"/>
                <w:szCs w:val="21"/>
                <w:highlight w:val="none"/>
              </w:rPr>
              <w:t>不组织召开开标前答疑会</w:t>
            </w:r>
          </w:p>
          <w:p w14:paraId="33567217">
            <w:pPr>
              <w:snapToGrid w:val="0"/>
              <w:spacing w:line="360" w:lineRule="auto"/>
              <w:rPr>
                <w:rFonts w:ascii="宋体" w:hAnsi="宋体"/>
                <w:color w:val="auto"/>
                <w:szCs w:val="21"/>
                <w:highlight w:val="none"/>
              </w:rPr>
            </w:pPr>
            <w:r>
              <w:rPr>
                <w:rFonts w:hint="eastAsia" w:ascii="宋体" w:hAnsi="宋体"/>
                <w:color w:val="auto"/>
                <w:szCs w:val="21"/>
                <w:highlight w:val="none"/>
              </w:rPr>
              <w:t>□组织召开开标前答疑会</w:t>
            </w:r>
          </w:p>
          <w:p w14:paraId="1C28B1D8">
            <w:pPr>
              <w:snapToGrid w:val="0"/>
              <w:spacing w:line="360" w:lineRule="auto"/>
              <w:rPr>
                <w:rFonts w:ascii="宋体" w:hAnsi="宋体"/>
                <w:color w:val="auto"/>
                <w:szCs w:val="21"/>
                <w:highlight w:val="none"/>
              </w:rPr>
            </w:pPr>
            <w:r>
              <w:rPr>
                <w:rFonts w:hint="eastAsia" w:ascii="宋体" w:hAnsi="宋体"/>
                <w:color w:val="auto"/>
                <w:szCs w:val="21"/>
                <w:highlight w:val="none"/>
              </w:rPr>
              <w:t>会议开始时间：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分</w:t>
            </w:r>
            <w:r>
              <w:rPr>
                <w:rFonts w:hint="eastAsia" w:ascii="宋体" w:hAnsi="宋体"/>
                <w:color w:val="auto"/>
                <w:szCs w:val="21"/>
                <w:highlight w:val="none"/>
              </w:rPr>
              <w:t>，逾期后果自负。会议地点：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tc>
      </w:tr>
      <w:tr w14:paraId="33E333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restart"/>
            <w:tcBorders>
              <w:top w:val="single" w:color="auto" w:sz="4" w:space="0"/>
              <w:left w:val="single" w:color="auto" w:sz="4" w:space="0"/>
              <w:right w:val="single" w:color="auto" w:sz="4" w:space="0"/>
            </w:tcBorders>
            <w:vAlign w:val="center"/>
          </w:tcPr>
          <w:p w14:paraId="55B7B7FF">
            <w:pPr>
              <w:spacing w:line="360" w:lineRule="auto"/>
              <w:jc w:val="center"/>
              <w:rPr>
                <w:rFonts w:ascii="宋体" w:hAnsi="宋体"/>
                <w:color w:val="auto"/>
                <w:szCs w:val="21"/>
                <w:highlight w:val="none"/>
              </w:rPr>
            </w:pPr>
            <w:bookmarkStart w:id="69" w:name="_13.1"/>
            <w:bookmarkEnd w:id="69"/>
            <w:r>
              <w:rPr>
                <w:rFonts w:hint="eastAsia" w:ascii="宋体" w:hAnsi="宋体"/>
                <w:color w:val="auto"/>
                <w:szCs w:val="21"/>
                <w:highlight w:val="none"/>
              </w:rPr>
              <w:t>13</w:t>
            </w:r>
          </w:p>
        </w:tc>
        <w:tc>
          <w:tcPr>
            <w:tcW w:w="8670" w:type="dxa"/>
            <w:tcBorders>
              <w:top w:val="single" w:color="auto" w:sz="4" w:space="0"/>
              <w:left w:val="single" w:color="auto" w:sz="4" w:space="0"/>
              <w:bottom w:val="single" w:color="auto" w:sz="4" w:space="0"/>
              <w:right w:val="single" w:color="auto" w:sz="4" w:space="0"/>
            </w:tcBorders>
            <w:vAlign w:val="center"/>
          </w:tcPr>
          <w:p w14:paraId="7DBFEE6D">
            <w:pPr>
              <w:snapToGrid w:val="0"/>
              <w:spacing w:line="360" w:lineRule="auto"/>
              <w:jc w:val="left"/>
              <w:rPr>
                <w:rFonts w:ascii="宋体" w:hAnsi="宋体" w:cs="Courier New"/>
                <w:b/>
                <w:color w:val="auto"/>
                <w:szCs w:val="21"/>
                <w:highlight w:val="none"/>
              </w:rPr>
            </w:pPr>
            <w:r>
              <w:rPr>
                <w:rFonts w:hint="eastAsia" w:ascii="宋体" w:hAnsi="宋体" w:cs="Courier New"/>
                <w:b/>
                <w:color w:val="auto"/>
                <w:szCs w:val="21"/>
                <w:highlight w:val="none"/>
              </w:rPr>
              <w:t>报价文件：</w:t>
            </w:r>
          </w:p>
          <w:p w14:paraId="79645652">
            <w:pPr>
              <w:tabs>
                <w:tab w:val="left" w:pos="459"/>
              </w:tabs>
              <w:snapToGrid w:val="0"/>
              <w:spacing w:line="360" w:lineRule="auto"/>
              <w:ind w:left="420"/>
              <w:jc w:val="left"/>
              <w:rPr>
                <w:rFonts w:ascii="宋体" w:hAnsi="宋体"/>
                <w:color w:val="auto"/>
                <w:szCs w:val="21"/>
                <w:highlight w:val="none"/>
              </w:rPr>
            </w:pPr>
            <w:r>
              <w:rPr>
                <w:rFonts w:hint="eastAsia" w:ascii="宋体" w:hAnsi="宋体"/>
                <w:color w:val="auto"/>
                <w:szCs w:val="21"/>
                <w:highlight w:val="none"/>
              </w:rPr>
              <w:t>1.投标函（格式后附）；</w:t>
            </w:r>
            <w:r>
              <w:rPr>
                <w:rFonts w:hint="eastAsia" w:ascii="宋体" w:hAnsi="宋体"/>
                <w:b/>
                <w:color w:val="auto"/>
                <w:szCs w:val="21"/>
                <w:highlight w:val="none"/>
              </w:rPr>
              <w:t>（必须提供，否则按无效投标处理）</w:t>
            </w:r>
          </w:p>
          <w:p w14:paraId="696C9BA6">
            <w:pPr>
              <w:tabs>
                <w:tab w:val="left" w:pos="459"/>
              </w:tabs>
              <w:snapToGrid w:val="0"/>
              <w:spacing w:line="360" w:lineRule="auto"/>
              <w:ind w:left="420"/>
              <w:jc w:val="left"/>
              <w:rPr>
                <w:rFonts w:ascii="宋体" w:hAnsi="宋体"/>
                <w:color w:val="auto"/>
                <w:szCs w:val="21"/>
                <w:highlight w:val="none"/>
              </w:rPr>
            </w:pPr>
            <w:bookmarkStart w:id="70" w:name="_Hlk71299233"/>
            <w:r>
              <w:rPr>
                <w:rFonts w:hint="eastAsia" w:ascii="宋体" w:hAnsi="宋体"/>
                <w:color w:val="auto"/>
                <w:szCs w:val="21"/>
                <w:highlight w:val="none"/>
              </w:rPr>
              <w:t>2.开标一览表</w:t>
            </w:r>
            <w:bookmarkEnd w:id="70"/>
            <w:r>
              <w:rPr>
                <w:rFonts w:hint="eastAsia" w:ascii="宋体" w:hAnsi="宋体"/>
                <w:color w:val="auto"/>
                <w:szCs w:val="21"/>
                <w:highlight w:val="none"/>
              </w:rPr>
              <w:t>（格式后附）； （</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C7075C8">
            <w:pPr>
              <w:tabs>
                <w:tab w:val="left" w:pos="459"/>
              </w:tabs>
              <w:snapToGrid w:val="0"/>
              <w:spacing w:line="360" w:lineRule="auto"/>
              <w:ind w:left="420"/>
              <w:jc w:val="left"/>
              <w:rPr>
                <w:rFonts w:ascii="宋体" w:hAnsi="宋体"/>
                <w:color w:val="auto"/>
                <w:szCs w:val="21"/>
                <w:highlight w:val="none"/>
              </w:rPr>
            </w:pPr>
            <w:r>
              <w:rPr>
                <w:rFonts w:hint="eastAsia" w:ascii="宋体" w:hAnsi="宋体"/>
                <w:color w:val="auto"/>
                <w:szCs w:val="21"/>
                <w:highlight w:val="none"/>
              </w:rPr>
              <w:t>3.投标人针对报价需要说明的其他文件和说明（格式自拟）。</w:t>
            </w:r>
          </w:p>
          <w:p w14:paraId="021ADA01">
            <w:pPr>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注：</w:t>
            </w:r>
            <w:r>
              <w:rPr>
                <w:rFonts w:hint="eastAsia" w:ascii="宋体" w:hAnsi="宋体"/>
                <w:b/>
                <w:bCs/>
                <w:color w:val="auto"/>
                <w:szCs w:val="21"/>
                <w:highlight w:val="none"/>
              </w:rPr>
              <w:t>以上标明“必须提供”的材料，格式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b/>
                <w:bCs/>
                <w:color w:val="auto"/>
                <w:szCs w:val="21"/>
                <w:highlight w:val="none"/>
              </w:rPr>
              <w:t>，否则按无效投标</w:t>
            </w:r>
            <w:r>
              <w:rPr>
                <w:rFonts w:hint="eastAsia" w:ascii="宋体" w:hAnsi="宋体" w:cs="Courier New"/>
                <w:b/>
                <w:color w:val="auto"/>
                <w:szCs w:val="21"/>
                <w:highlight w:val="none"/>
              </w:rPr>
              <w:t>处理。</w:t>
            </w:r>
            <w:r>
              <w:rPr>
                <w:rFonts w:hint="eastAsia" w:ascii="宋体" w:hAnsi="宋体" w:cs="宋体"/>
                <w:b/>
                <w:color w:val="auto"/>
                <w:szCs w:val="21"/>
                <w:highlight w:val="none"/>
              </w:rPr>
              <w:t xml:space="preserve"> </w:t>
            </w:r>
          </w:p>
        </w:tc>
      </w:tr>
      <w:tr w14:paraId="5BAB4F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0B01AFC9">
            <w:pPr>
              <w:spacing w:line="360" w:lineRule="auto"/>
              <w:rPr>
                <w:rFonts w:ascii="宋体" w:hAnsi="宋体"/>
                <w:color w:val="auto"/>
                <w:szCs w:val="21"/>
                <w:highlight w:val="none"/>
              </w:rPr>
            </w:pPr>
            <w:bookmarkStart w:id="71" w:name="_13.2"/>
            <w:bookmarkEnd w:id="71"/>
          </w:p>
        </w:tc>
        <w:tc>
          <w:tcPr>
            <w:tcW w:w="8670" w:type="dxa"/>
            <w:tcBorders>
              <w:top w:val="single" w:color="auto" w:sz="4" w:space="0"/>
              <w:left w:val="single" w:color="auto" w:sz="4" w:space="0"/>
              <w:bottom w:val="single" w:color="auto" w:sz="4" w:space="0"/>
              <w:right w:val="single" w:color="auto" w:sz="4" w:space="0"/>
            </w:tcBorders>
            <w:vAlign w:val="center"/>
          </w:tcPr>
          <w:p w14:paraId="7C7213D6">
            <w:pPr>
              <w:snapToGrid w:val="0"/>
              <w:spacing w:line="360" w:lineRule="auto"/>
              <w:jc w:val="left"/>
              <w:rPr>
                <w:rFonts w:ascii="宋体" w:hAnsi="宋体" w:cs="Courier New"/>
                <w:b/>
                <w:color w:val="auto"/>
                <w:szCs w:val="21"/>
                <w:highlight w:val="none"/>
              </w:rPr>
            </w:pPr>
            <w:r>
              <w:rPr>
                <w:rFonts w:hint="eastAsia" w:ascii="宋体" w:hAnsi="宋体" w:cs="Courier New"/>
                <w:b/>
                <w:color w:val="auto"/>
                <w:szCs w:val="21"/>
                <w:highlight w:val="none"/>
              </w:rPr>
              <w:t>资格证明文件</w:t>
            </w:r>
          </w:p>
          <w:p w14:paraId="358C352C">
            <w:pPr>
              <w:snapToGrid w:val="0"/>
              <w:spacing w:line="360" w:lineRule="auto"/>
              <w:ind w:firstLine="420" w:firstLineChars="200"/>
              <w:jc w:val="left"/>
              <w:rPr>
                <w:rFonts w:ascii="宋体" w:hAnsi="宋体" w:cs="Courier New"/>
                <w:b/>
                <w:color w:val="auto"/>
                <w:szCs w:val="21"/>
                <w:highlight w:val="none"/>
              </w:rPr>
            </w:pPr>
            <w:r>
              <w:rPr>
                <w:rFonts w:hint="eastAsia" w:ascii="宋体" w:hAnsi="宋体"/>
                <w:color w:val="auto"/>
                <w:szCs w:val="21"/>
                <w:highlight w:val="none"/>
              </w:rPr>
              <w:t>1.投标人为法人或者其他组织的，提供营业执照等证明文件</w:t>
            </w:r>
            <w:r>
              <w:rPr>
                <w:rFonts w:hint="eastAsia" w:ascii="宋体" w:hAnsi="宋体" w:cs="宋体"/>
                <w:color w:val="auto"/>
                <w:szCs w:val="21"/>
                <w:highlight w:val="none"/>
              </w:rPr>
              <w:t>（如营业执照或者事业单位法人证书或者</w:t>
            </w:r>
            <w:r>
              <w:rPr>
                <w:rStyle w:val="100"/>
                <w:color w:val="auto"/>
                <w:sz w:val="21"/>
                <w:szCs w:val="21"/>
                <w:highlight w:val="none"/>
              </w:rPr>
              <w:t>执业许可证</w:t>
            </w:r>
            <w:r>
              <w:rPr>
                <w:rFonts w:hint="eastAsia" w:ascii="宋体" w:hAnsi="宋体" w:cs="宋体"/>
                <w:color w:val="auto"/>
                <w:szCs w:val="21"/>
                <w:highlight w:val="none"/>
              </w:rPr>
              <w:t>或者登记证书等）</w:t>
            </w:r>
            <w:r>
              <w:rPr>
                <w:rFonts w:hint="eastAsia" w:ascii="宋体" w:hAnsi="宋体"/>
                <w:color w:val="auto"/>
                <w:szCs w:val="21"/>
                <w:highlight w:val="none"/>
              </w:rPr>
              <w:t>，投标人为自然人的，提供身份证</w:t>
            </w:r>
            <w:r>
              <w:rPr>
                <w:rFonts w:hint="eastAsia" w:ascii="宋体" w:hAnsi="宋体" w:cs="宋体"/>
                <w:color w:val="auto"/>
                <w:szCs w:val="21"/>
                <w:highlight w:val="none"/>
              </w:rPr>
              <w:t>复印件</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1CA3030">
            <w:pPr>
              <w:snapToGrid w:val="0"/>
              <w:spacing w:line="360" w:lineRule="auto"/>
              <w:ind w:firstLine="420" w:firstLineChars="200"/>
              <w:jc w:val="left"/>
              <w:rPr>
                <w:rFonts w:ascii="宋体" w:hAnsi="宋体" w:cs="Courier New"/>
                <w:b/>
                <w:color w:val="auto"/>
                <w:szCs w:val="21"/>
                <w:highlight w:val="none"/>
              </w:rPr>
            </w:pPr>
            <w:r>
              <w:rPr>
                <w:rFonts w:hint="eastAsia" w:ascii="宋体" w:hAnsi="宋体" w:cs="宋体"/>
                <w:color w:val="auto"/>
                <w:szCs w:val="21"/>
                <w:highlight w:val="none"/>
              </w:rPr>
              <w:t>2.投标人依法缴纳税收的相关材料（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9</w:t>
            </w:r>
            <w:r>
              <w:rPr>
                <w:rFonts w:hint="eastAsia" w:ascii="宋体" w:hAnsi="宋体" w:cs="宋体"/>
                <w:color w:val="auto"/>
                <w:szCs w:val="21"/>
                <w:highlight w:val="none"/>
              </w:rPr>
              <w:t>月</w:t>
            </w:r>
            <w:r>
              <w:rPr>
                <w:rFonts w:hint="eastAsia" w:ascii="宋体" w:hAnsi="宋体" w:cs="宋体"/>
                <w:color w:val="auto"/>
                <w:szCs w:val="21"/>
                <w:highlight w:val="none"/>
              </w:rPr>
              <w:t>至</w:t>
            </w:r>
            <w:r>
              <w:rPr>
                <w:rFonts w:hint="eastAsia" w:ascii="宋体" w:hAnsi="宋体" w:cs="宋体"/>
                <w:color w:val="auto"/>
                <w:szCs w:val="21"/>
                <w:highlight w:val="none"/>
                <w:u w:val="single"/>
              </w:rPr>
              <w:t>投标文件提交截止之日</w:t>
            </w:r>
            <w:r>
              <w:rPr>
                <w:rFonts w:hint="eastAsia" w:ascii="宋体" w:hAnsi="宋体" w:cs="宋体"/>
                <w:color w:val="auto"/>
                <w:szCs w:val="21"/>
                <w:highlight w:val="none"/>
              </w:rPr>
              <w:t>任意</w:t>
            </w:r>
            <w:r>
              <w:rPr>
                <w:rFonts w:hint="eastAsia" w:ascii="宋体" w:hAnsi="宋体" w:cs="宋体"/>
                <w:color w:val="auto"/>
                <w:szCs w:val="21"/>
                <w:highlight w:val="none"/>
                <w:u w:val="single"/>
              </w:rPr>
              <w:t>1</w:t>
            </w:r>
            <w:r>
              <w:rPr>
                <w:rFonts w:hint="eastAsia" w:ascii="宋体" w:hAnsi="宋体" w:cs="宋体"/>
                <w:color w:val="auto"/>
                <w:szCs w:val="21"/>
                <w:highlight w:val="none"/>
              </w:rPr>
              <w:t>个月的依法缴纳税收的</w:t>
            </w:r>
            <w:r>
              <w:rPr>
                <w:rFonts w:hint="eastAsia"/>
                <w:color w:val="auto"/>
                <w:highlight w:val="none"/>
              </w:rPr>
              <w:t>证明材料</w:t>
            </w:r>
            <w:r>
              <w:rPr>
                <w:rFonts w:hint="eastAsia" w:ascii="宋体" w:hAnsi="宋体" w:cs="宋体"/>
                <w:color w:val="auto"/>
                <w:szCs w:val="21"/>
                <w:highlight w:val="none"/>
              </w:rPr>
              <w:t>复印件；</w:t>
            </w:r>
            <w:r>
              <w:rPr>
                <w:rFonts w:hint="eastAsia" w:ascii="宋体" w:hAnsi="宋体"/>
                <w:color w:val="auto"/>
                <w:szCs w:val="21"/>
                <w:highlight w:val="none"/>
              </w:rPr>
              <w:t>依法免税的供应商，</w:t>
            </w:r>
            <w:r>
              <w:rPr>
                <w:rFonts w:hint="eastAsia"/>
                <w:color w:val="auto"/>
                <w:highlight w:val="none"/>
              </w:rPr>
              <w:t>必须提供符合免税条件的证明材料</w:t>
            </w:r>
            <w:r>
              <w:rPr>
                <w:rFonts w:hint="eastAsia" w:ascii="宋体" w:hAnsi="宋体"/>
                <w:color w:val="auto"/>
                <w:szCs w:val="21"/>
                <w:highlight w:val="none"/>
              </w:rPr>
              <w:t>。</w:t>
            </w:r>
            <w:r>
              <w:rPr>
                <w:rFonts w:hint="eastAsia" w:ascii="宋体" w:hAnsi="宋体" w:cs="宋体"/>
                <w:color w:val="auto"/>
                <w:szCs w:val="21"/>
                <w:highlight w:val="none"/>
              </w:rPr>
              <w:t>从</w:t>
            </w:r>
            <w:r>
              <w:rPr>
                <w:rFonts w:hint="eastAsia"/>
                <w:color w:val="auto"/>
                <w:szCs w:val="21"/>
                <w:highlight w:val="none"/>
              </w:rPr>
              <w:t>成立之日</w:t>
            </w:r>
            <w:r>
              <w:rPr>
                <w:rFonts w:hint="eastAsia" w:ascii="宋体" w:hAnsi="宋体" w:cs="宋体"/>
                <w:color w:val="auto"/>
                <w:szCs w:val="21"/>
                <w:highlight w:val="none"/>
              </w:rPr>
              <w:t>起到投标文件提交截止时间止不足要求月数的，只需提供从</w:t>
            </w:r>
            <w:r>
              <w:rPr>
                <w:rFonts w:hint="eastAsia"/>
                <w:color w:val="auto"/>
                <w:szCs w:val="21"/>
                <w:highlight w:val="none"/>
              </w:rPr>
              <w:t>成立之日起</w:t>
            </w:r>
            <w:r>
              <w:rPr>
                <w:rFonts w:hint="eastAsia" w:ascii="宋体" w:hAnsi="宋体" w:cs="宋体"/>
                <w:color w:val="auto"/>
                <w:szCs w:val="21"/>
                <w:highlight w:val="none"/>
              </w:rPr>
              <w:t>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B72D7BE">
            <w:pPr>
              <w:snapToGrid w:val="0"/>
              <w:spacing w:line="360" w:lineRule="auto"/>
              <w:ind w:firstLine="420" w:firstLineChars="200"/>
              <w:jc w:val="left"/>
              <w:rPr>
                <w:rFonts w:ascii="宋体" w:hAnsi="宋体" w:cs="Courier New"/>
                <w:b/>
                <w:color w:val="auto"/>
                <w:szCs w:val="21"/>
                <w:highlight w:val="none"/>
              </w:rPr>
            </w:pPr>
            <w:r>
              <w:rPr>
                <w:rFonts w:hint="eastAsia" w:ascii="宋体" w:hAnsi="宋体" w:cs="宋体"/>
                <w:color w:val="auto"/>
                <w:szCs w:val="21"/>
                <w:highlight w:val="none"/>
              </w:rPr>
              <w:t>3.投标人依法缴纳社会保障资金的相关材料[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9</w:t>
            </w:r>
            <w:r>
              <w:rPr>
                <w:rFonts w:hint="eastAsia" w:ascii="宋体" w:hAnsi="宋体" w:cs="宋体"/>
                <w:color w:val="auto"/>
                <w:szCs w:val="21"/>
                <w:highlight w:val="none"/>
              </w:rPr>
              <w:t>月</w:t>
            </w:r>
            <w:r>
              <w:rPr>
                <w:rFonts w:hint="eastAsia" w:ascii="宋体" w:hAnsi="宋体" w:cs="宋体"/>
                <w:color w:val="auto"/>
                <w:szCs w:val="21"/>
                <w:highlight w:val="none"/>
              </w:rPr>
              <w:t>至</w:t>
            </w:r>
            <w:r>
              <w:rPr>
                <w:rFonts w:hint="eastAsia" w:ascii="宋体" w:hAnsi="宋体" w:cs="宋体"/>
                <w:color w:val="auto"/>
                <w:szCs w:val="21"/>
                <w:highlight w:val="none"/>
                <w:u w:val="single"/>
              </w:rPr>
              <w:t>投标文件提交截止之日</w:t>
            </w:r>
            <w:r>
              <w:rPr>
                <w:rFonts w:hint="eastAsia" w:ascii="宋体" w:hAnsi="宋体" w:cs="宋体"/>
                <w:color w:val="auto"/>
                <w:szCs w:val="21"/>
                <w:highlight w:val="none"/>
              </w:rPr>
              <w:t>任意</w:t>
            </w:r>
            <w:r>
              <w:rPr>
                <w:rFonts w:hint="eastAsia" w:ascii="宋体" w:hAnsi="宋体" w:cs="宋体"/>
                <w:color w:val="auto"/>
                <w:szCs w:val="21"/>
                <w:highlight w:val="none"/>
                <w:u w:val="single"/>
              </w:rPr>
              <w:t>1</w:t>
            </w:r>
            <w:r>
              <w:rPr>
                <w:rFonts w:hint="eastAsia" w:ascii="宋体" w:hAnsi="宋体" w:cs="宋体"/>
                <w:color w:val="auto"/>
                <w:szCs w:val="21"/>
                <w:highlight w:val="none"/>
              </w:rPr>
              <w:t>个月的依法缴纳社会保障资金的缴费</w:t>
            </w:r>
            <w:r>
              <w:rPr>
                <w:rFonts w:hint="eastAsia"/>
                <w:color w:val="auto"/>
                <w:highlight w:val="none"/>
              </w:rPr>
              <w:t>证明材料</w:t>
            </w:r>
            <w:r>
              <w:rPr>
                <w:rFonts w:hint="eastAsia" w:ascii="宋体" w:hAnsi="宋体" w:cs="宋体"/>
                <w:color w:val="auto"/>
                <w:szCs w:val="21"/>
                <w:highlight w:val="none"/>
              </w:rPr>
              <w:t>（</w:t>
            </w:r>
            <w:r>
              <w:rPr>
                <w:rFonts w:hint="eastAsia"/>
                <w:color w:val="auto"/>
                <w:highlight w:val="none"/>
              </w:rPr>
              <w:t>如：</w:t>
            </w:r>
            <w:r>
              <w:rPr>
                <w:rFonts w:hint="eastAsia" w:ascii="宋体" w:hAnsi="宋体" w:cs="宋体"/>
                <w:color w:val="auto"/>
                <w:szCs w:val="21"/>
                <w:highlight w:val="none"/>
              </w:rPr>
              <w:t>专用收据、社会保险缴纳清单或者社保部门的证明等）复印件；</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w:t>
            </w:r>
            <w:r>
              <w:rPr>
                <w:rFonts w:hint="eastAsia"/>
                <w:color w:val="auto"/>
                <w:szCs w:val="21"/>
                <w:highlight w:val="none"/>
              </w:rPr>
              <w:t>成立之日起</w:t>
            </w:r>
            <w:r>
              <w:rPr>
                <w:rFonts w:hint="eastAsia" w:ascii="宋体" w:hAnsi="宋体" w:cs="宋体"/>
                <w:color w:val="auto"/>
                <w:szCs w:val="21"/>
                <w:highlight w:val="none"/>
              </w:rPr>
              <w:t>到投标文件提交截止时间止不足要求月数的只需提供从</w:t>
            </w:r>
            <w:r>
              <w:rPr>
                <w:rFonts w:hint="eastAsia"/>
                <w:color w:val="auto"/>
                <w:szCs w:val="21"/>
                <w:highlight w:val="none"/>
              </w:rPr>
              <w:t>成立之日起</w:t>
            </w:r>
            <w:r>
              <w:rPr>
                <w:rFonts w:hint="eastAsia" w:ascii="宋体" w:hAnsi="宋体" w:cs="宋体"/>
                <w:color w:val="auto"/>
                <w:szCs w:val="21"/>
                <w:highlight w:val="none"/>
              </w:rPr>
              <w:t>的依法缴纳社会保障资金的</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4EFEF44">
            <w:pPr>
              <w:snapToGrid w:val="0"/>
              <w:spacing w:line="360" w:lineRule="auto"/>
              <w:ind w:firstLine="420" w:firstLineChars="200"/>
              <w:jc w:val="left"/>
              <w:rPr>
                <w:rFonts w:ascii="宋体" w:hAnsi="宋体" w:cs="Courier New"/>
                <w:b/>
                <w:color w:val="auto"/>
                <w:szCs w:val="21"/>
                <w:highlight w:val="none"/>
              </w:rPr>
            </w:pPr>
            <w:r>
              <w:rPr>
                <w:rFonts w:hint="eastAsia" w:ascii="宋体" w:hAnsi="宋体" w:cs="宋体"/>
                <w:color w:val="auto"/>
                <w:szCs w:val="21"/>
                <w:highlight w:val="none"/>
              </w:rPr>
              <w:t>4.投标人</w:t>
            </w:r>
            <w:r>
              <w:rPr>
                <w:rFonts w:hint="eastAsia"/>
                <w:color w:val="auto"/>
                <w:szCs w:val="21"/>
                <w:highlight w:val="none"/>
              </w:rPr>
              <w:t>财务状况报告</w:t>
            </w:r>
            <w:r>
              <w:rPr>
                <w:rFonts w:hint="eastAsia" w:ascii="宋体" w:hAnsi="宋体"/>
                <w:color w:val="auto"/>
                <w:szCs w:val="21"/>
                <w:highlight w:val="none"/>
              </w:rPr>
              <w:t>[</w:t>
            </w:r>
            <w:r>
              <w:rPr>
                <w:rFonts w:hint="eastAsia" w:ascii="宋体" w:hAnsi="宋体"/>
                <w:color w:val="auto"/>
                <w:szCs w:val="21"/>
                <w:highlight w:val="none"/>
                <w:u w:val="single"/>
              </w:rPr>
              <w:t>2024</w:t>
            </w:r>
            <w:r>
              <w:rPr>
                <w:rFonts w:hint="eastAsia" w:ascii="宋体" w:hAnsi="宋体"/>
                <w:color w:val="auto"/>
                <w:szCs w:val="21"/>
                <w:highlight w:val="none"/>
                <w:u w:val="single"/>
              </w:rPr>
              <w:t>或2025</w:t>
            </w:r>
            <w:r>
              <w:rPr>
                <w:rFonts w:hint="eastAsia" w:ascii="宋体" w:hAnsi="宋体"/>
                <w:color w:val="auto"/>
                <w:szCs w:val="21"/>
                <w:highlight w:val="none"/>
              </w:rPr>
              <w:t>年度财务报表（包括资产负债表、利润表、现金流量表）复印件，或者银行出具的资信证明，或者中国人民银行征信中心出具的信用报告（企业投标的提供企业信用报告，自然人投标的提供个人信用报告</w:t>
            </w:r>
            <w:r>
              <w:rPr>
                <w:rFonts w:hint="eastAsia" w:ascii="宋体" w:hAnsi="宋体"/>
                <w:color w:val="auto"/>
                <w:highlight w:val="none"/>
              </w:rPr>
              <w:t>，投标人</w:t>
            </w:r>
            <w:r>
              <w:rPr>
                <w:rFonts w:ascii="宋体" w:hAnsi="宋体"/>
                <w:color w:val="auto"/>
                <w:highlight w:val="none"/>
              </w:rPr>
              <w:t>属于成立时间在规定年度之后的法人或其他组织</w:t>
            </w:r>
            <w:r>
              <w:rPr>
                <w:rFonts w:hint="eastAsia" w:ascii="宋体" w:hAnsi="宋体"/>
                <w:color w:val="auto"/>
                <w:highlight w:val="none"/>
              </w:rPr>
              <w:t>，需提供成立之日起至投标截止时间前的月报表</w:t>
            </w:r>
            <w:r>
              <w:rPr>
                <w:rFonts w:hint="eastAsia" w:ascii="宋体" w:hAnsi="宋体"/>
                <w:color w:val="auto"/>
                <w:szCs w:val="21"/>
                <w:highlight w:val="none"/>
              </w:rPr>
              <w:t>或银行出具的资信证明或者中国人民银行征信中心出具的企业信用报告；资信证明应在有效期内，未注明有效期的，银行出具时间至投标截止时间不超过一年]</w:t>
            </w:r>
            <w:r>
              <w:rPr>
                <w:rFonts w:hint="eastAsia"/>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6CBBCB27">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5.投标人直接控股股东信息表（格式后附）；（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61DAB5F3">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6.投标人直接管理关系信息表（格式后附）；（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0D3B03B">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7.投标声明（格式后附）；（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66DA335">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8.《中小企业声明函》（格式后附）；</w:t>
            </w:r>
            <w:r>
              <w:rPr>
                <w:rFonts w:hint="eastAsia"/>
                <w:color w:val="auto"/>
                <w:highlight w:val="none"/>
              </w:rPr>
              <w:t>【如属于残疾人福利性单位的提供残疾人福利性单位声明函，属于监狱企业的提供由省级以上监狱管理局、戒毒管理局（含新疆生产建设兵团）出具的属于监狱企业的证明文件】</w:t>
            </w:r>
            <w:r>
              <w:rPr>
                <w:rFonts w:hint="eastAsia" w:ascii="宋体" w:hAnsi="宋体"/>
                <w:b/>
                <w:bCs/>
                <w:color w:val="auto"/>
                <w:szCs w:val="21"/>
                <w:highlight w:val="none"/>
              </w:rPr>
              <w:t>（必须</w:t>
            </w:r>
            <w:r>
              <w:rPr>
                <w:rFonts w:hint="eastAsia" w:ascii="宋体" w:hAnsi="宋体"/>
                <w:b/>
                <w:color w:val="auto"/>
                <w:szCs w:val="21"/>
                <w:highlight w:val="none"/>
              </w:rPr>
              <w:t>提供，否则按无效投标处理</w:t>
            </w:r>
            <w:r>
              <w:rPr>
                <w:rFonts w:hint="eastAsia" w:ascii="宋体" w:hAnsi="宋体"/>
                <w:color w:val="auto"/>
                <w:szCs w:val="21"/>
                <w:highlight w:val="none"/>
              </w:rPr>
              <w:t>）</w:t>
            </w:r>
          </w:p>
          <w:p w14:paraId="026F84B3">
            <w:pPr>
              <w:snapToGrid w:val="0"/>
              <w:spacing w:line="360" w:lineRule="auto"/>
              <w:ind w:firstLine="420" w:firstLineChars="200"/>
              <w:jc w:val="left"/>
              <w:rPr>
                <w:rFonts w:ascii="宋体" w:hAnsi="宋体" w:cs="宋体"/>
                <w:b/>
                <w:color w:val="auto"/>
                <w:szCs w:val="21"/>
                <w:highlight w:val="none"/>
              </w:rPr>
            </w:pPr>
            <w:r>
              <w:rPr>
                <w:rFonts w:hint="eastAsia" w:ascii="宋体" w:hAnsi="宋体" w:cs="宋体"/>
                <w:color w:val="auto"/>
                <w:szCs w:val="21"/>
                <w:highlight w:val="none"/>
              </w:rPr>
              <w:t>9.本项目特定资格：</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AEA399E">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标的属第二类医疗器械的，应提供有效的医疗器械经营备案凭证（经营范围包含采购的第二类医疗器械），符合《医疗器械监督管理条例》（国务院令第739号）第四十一条第二款规定的除外；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57F42B7A">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标的属第三类医疗器械的，应提供有效的医疗器械经营许可证（经营范围包含采购的第三类医疗器械）；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3FB250EB">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10.除招标文件规定必须提供以外，投标人认为需要提供的其他证明材料。</w:t>
            </w:r>
          </w:p>
          <w:p w14:paraId="7E209FE3">
            <w:pPr>
              <w:snapToGrid w:val="0"/>
              <w:spacing w:line="360" w:lineRule="auto"/>
              <w:jc w:val="left"/>
              <w:rPr>
                <w:rFonts w:ascii="宋体" w:hAnsi="宋体"/>
                <w:b/>
                <w:bCs/>
                <w:color w:val="auto"/>
                <w:szCs w:val="21"/>
                <w:highlight w:val="none"/>
              </w:rPr>
            </w:pPr>
            <w:r>
              <w:rPr>
                <w:rFonts w:hint="eastAsia" w:ascii="宋体" w:hAnsi="宋体"/>
                <w:b/>
                <w:bCs/>
                <w:color w:val="auto"/>
                <w:szCs w:val="21"/>
                <w:highlight w:val="none"/>
              </w:rPr>
              <w:t>注：1.</w:t>
            </w:r>
            <w:r>
              <w:rPr>
                <w:rFonts w:hint="eastAsia" w:ascii="宋体" w:hAnsi="宋体"/>
                <w:color w:val="auto"/>
                <w:szCs w:val="21"/>
                <w:highlight w:val="none"/>
              </w:rPr>
              <w:t xml:space="preserve"> </w:t>
            </w:r>
            <w:r>
              <w:rPr>
                <w:rFonts w:hint="eastAsia" w:ascii="宋体" w:hAnsi="宋体"/>
                <w:b/>
                <w:bCs/>
                <w:color w:val="auto"/>
                <w:szCs w:val="21"/>
                <w:highlight w:val="none"/>
              </w:rPr>
              <w:t>以上标明“必须提供”的材料，格式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b/>
                <w:bCs/>
                <w:color w:val="auto"/>
                <w:szCs w:val="21"/>
                <w:highlight w:val="none"/>
              </w:rPr>
              <w:t>，否则按无效投标</w:t>
            </w:r>
            <w:r>
              <w:rPr>
                <w:rFonts w:hint="eastAsia" w:ascii="宋体" w:hAnsi="宋体" w:cs="Courier New"/>
                <w:b/>
                <w:color w:val="auto"/>
                <w:szCs w:val="21"/>
                <w:highlight w:val="none"/>
              </w:rPr>
              <w:t>处理。</w:t>
            </w:r>
          </w:p>
        </w:tc>
      </w:tr>
      <w:tr w14:paraId="21604F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473F40CE">
            <w:pPr>
              <w:spacing w:line="360" w:lineRule="auto"/>
              <w:rPr>
                <w:rFonts w:ascii="宋体" w:hAnsi="宋体"/>
                <w:color w:val="auto"/>
                <w:szCs w:val="21"/>
                <w:highlight w:val="none"/>
              </w:rPr>
            </w:pPr>
            <w:bookmarkStart w:id="72" w:name="_13.3"/>
            <w:bookmarkEnd w:id="72"/>
          </w:p>
        </w:tc>
        <w:tc>
          <w:tcPr>
            <w:tcW w:w="8670" w:type="dxa"/>
            <w:tcBorders>
              <w:top w:val="single" w:color="auto" w:sz="4" w:space="0"/>
              <w:left w:val="single" w:color="auto" w:sz="4" w:space="0"/>
              <w:bottom w:val="single" w:color="auto" w:sz="4" w:space="0"/>
              <w:right w:val="single" w:color="auto" w:sz="4" w:space="0"/>
            </w:tcBorders>
            <w:vAlign w:val="center"/>
          </w:tcPr>
          <w:p w14:paraId="4C35DBF5">
            <w:pPr>
              <w:snapToGrid w:val="0"/>
              <w:spacing w:line="360" w:lineRule="auto"/>
              <w:jc w:val="left"/>
              <w:rPr>
                <w:rFonts w:ascii="宋体" w:hAnsi="宋体" w:cs="Courier New"/>
                <w:b/>
                <w:color w:val="auto"/>
                <w:szCs w:val="21"/>
                <w:highlight w:val="none"/>
              </w:rPr>
            </w:pPr>
            <w:r>
              <w:rPr>
                <w:rFonts w:hint="eastAsia"/>
                <w:b/>
                <w:color w:val="auto"/>
                <w:kern w:val="0"/>
                <w:highlight w:val="none"/>
                <w:u w:val="single"/>
              </w:rPr>
              <w:t>商务及技术文件</w:t>
            </w:r>
            <w:r>
              <w:rPr>
                <w:rFonts w:hint="eastAsia" w:ascii="宋体" w:hAnsi="宋体" w:cs="Courier New"/>
                <w:b/>
                <w:color w:val="auto"/>
                <w:szCs w:val="21"/>
                <w:highlight w:val="none"/>
              </w:rPr>
              <w:t>：</w:t>
            </w:r>
          </w:p>
          <w:p w14:paraId="462B9E22">
            <w:pPr>
              <w:snapToGrid w:val="0"/>
              <w:spacing w:line="360" w:lineRule="auto"/>
              <w:ind w:left="413"/>
              <w:jc w:val="left"/>
              <w:rPr>
                <w:rFonts w:ascii="宋体" w:hAnsi="宋体"/>
                <w:color w:val="auto"/>
                <w:szCs w:val="21"/>
                <w:highlight w:val="none"/>
              </w:rPr>
            </w:pPr>
            <w:r>
              <w:rPr>
                <w:rFonts w:hint="eastAsia" w:ascii="宋体" w:hAnsi="宋体"/>
                <w:color w:val="auto"/>
                <w:szCs w:val="21"/>
                <w:highlight w:val="none"/>
              </w:rPr>
              <w:t>1.无串通投标行为的承诺函（格式后附）；（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28338E74">
            <w:pPr>
              <w:snapToGrid w:val="0"/>
              <w:spacing w:line="360" w:lineRule="auto"/>
              <w:ind w:left="413"/>
              <w:jc w:val="left"/>
              <w:rPr>
                <w:rFonts w:ascii="宋体" w:hAnsi="宋体"/>
                <w:color w:val="auto"/>
                <w:szCs w:val="21"/>
                <w:highlight w:val="none"/>
              </w:rPr>
            </w:pPr>
            <w:r>
              <w:rPr>
                <w:rFonts w:hint="eastAsia" w:ascii="宋体" w:hAnsi="宋体"/>
                <w:color w:val="auto"/>
                <w:szCs w:val="21"/>
                <w:highlight w:val="none"/>
              </w:rPr>
              <w:t>2.投标保证金提交凭证；（</w:t>
            </w:r>
            <w:r>
              <w:rPr>
                <w:rFonts w:hint="eastAsia"/>
                <w:b/>
                <w:bCs/>
                <w:color w:val="auto"/>
                <w:highlight w:val="none"/>
              </w:rPr>
              <w:t>必须提供</w:t>
            </w:r>
            <w:r>
              <w:rPr>
                <w:rFonts w:hint="eastAsia" w:ascii="宋体" w:hAnsi="宋体"/>
                <w:b/>
                <w:color w:val="auto"/>
                <w:szCs w:val="21"/>
                <w:highlight w:val="none"/>
              </w:rPr>
              <w:t>，否则按无效投标处理</w:t>
            </w:r>
            <w:r>
              <w:rPr>
                <w:rFonts w:hint="eastAsia" w:ascii="宋体" w:hAnsi="宋体"/>
                <w:color w:val="auto"/>
                <w:szCs w:val="21"/>
                <w:highlight w:val="none"/>
              </w:rPr>
              <w:t>）</w:t>
            </w:r>
          </w:p>
          <w:p w14:paraId="7628590E">
            <w:pPr>
              <w:snapToGrid w:val="0"/>
              <w:spacing w:line="360" w:lineRule="auto"/>
              <w:ind w:left="413"/>
              <w:jc w:val="left"/>
              <w:rPr>
                <w:rFonts w:ascii="宋体" w:hAnsi="宋体"/>
                <w:color w:val="auto"/>
                <w:szCs w:val="21"/>
                <w:highlight w:val="none"/>
              </w:rPr>
            </w:pPr>
            <w:r>
              <w:rPr>
                <w:rFonts w:hint="eastAsia" w:ascii="宋体" w:hAnsi="宋体"/>
                <w:color w:val="auto"/>
                <w:szCs w:val="21"/>
                <w:highlight w:val="none"/>
              </w:rPr>
              <w:t>3.法定代表人身份证明及法定代表人有效身份证正反面复印件（格式后附）；（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0356E029">
            <w:pPr>
              <w:snapToGrid w:val="0"/>
              <w:spacing w:line="360" w:lineRule="auto"/>
              <w:ind w:left="413"/>
              <w:jc w:val="left"/>
              <w:rPr>
                <w:rFonts w:ascii="宋体" w:hAnsi="宋体"/>
                <w:color w:val="auto"/>
                <w:szCs w:val="21"/>
                <w:highlight w:val="none"/>
              </w:rPr>
            </w:pPr>
            <w:r>
              <w:rPr>
                <w:rFonts w:hint="eastAsia" w:ascii="宋体" w:hAnsi="宋体"/>
                <w:color w:val="auto"/>
                <w:szCs w:val="21"/>
                <w:highlight w:val="none"/>
              </w:rPr>
              <w:t>4.授权委托书及委托代理人有效身份证正反面复印件（格式后附）；（</w:t>
            </w:r>
            <w:r>
              <w:rPr>
                <w:rFonts w:hint="eastAsia" w:ascii="宋体" w:hAnsi="宋体"/>
                <w:b/>
                <w:color w:val="auto"/>
                <w:szCs w:val="21"/>
                <w:highlight w:val="none"/>
              </w:rPr>
              <w:t>委托时必须提供，否则按无效投标处理</w:t>
            </w:r>
            <w:r>
              <w:rPr>
                <w:rFonts w:hint="eastAsia" w:ascii="宋体" w:hAnsi="宋体"/>
                <w:color w:val="auto"/>
                <w:szCs w:val="21"/>
                <w:highlight w:val="none"/>
              </w:rPr>
              <w:t>）</w:t>
            </w:r>
          </w:p>
          <w:p w14:paraId="621D602C">
            <w:pPr>
              <w:snapToGrid w:val="0"/>
              <w:spacing w:line="360" w:lineRule="auto"/>
              <w:ind w:left="413"/>
              <w:jc w:val="left"/>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商务要求偏离表（格式后附）；（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2FB0A833">
            <w:pPr>
              <w:snapToGrid w:val="0"/>
              <w:spacing w:line="360" w:lineRule="auto"/>
              <w:ind w:left="413"/>
              <w:jc w:val="left"/>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.售后服务承诺（格式自拟）；（</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2B264D75">
            <w:pPr>
              <w:snapToGrid w:val="0"/>
              <w:spacing w:line="360" w:lineRule="auto"/>
              <w:ind w:left="420"/>
              <w:jc w:val="left"/>
              <w:rPr>
                <w:rFonts w:ascii="宋体" w:hAnsi="宋体"/>
                <w:color w:val="auto"/>
                <w:szCs w:val="21"/>
                <w:highlight w:val="none"/>
              </w:rPr>
            </w:pPr>
            <w:r>
              <w:rPr>
                <w:rFonts w:hint="eastAsia" w:ascii="宋体" w:hAnsi="宋体"/>
                <w:color w:val="auto"/>
                <w:szCs w:val="21"/>
                <w:highlight w:val="none"/>
              </w:rPr>
              <w:t>7.设备性能配置清单（格式后附）；（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1F4ED929">
            <w:pPr>
              <w:snapToGrid w:val="0"/>
              <w:spacing w:line="360" w:lineRule="auto"/>
              <w:ind w:left="420"/>
              <w:jc w:val="left"/>
              <w:rPr>
                <w:rFonts w:ascii="宋体" w:hAnsi="宋体"/>
                <w:color w:val="auto"/>
                <w:szCs w:val="21"/>
                <w:highlight w:val="none"/>
              </w:rPr>
            </w:pPr>
            <w:r>
              <w:rPr>
                <w:rFonts w:hint="eastAsia" w:ascii="宋体" w:hAnsi="宋体"/>
                <w:color w:val="auto"/>
                <w:szCs w:val="21"/>
                <w:highlight w:val="none"/>
              </w:rPr>
              <w:t>8.技术要求偏离表（格式后附）；（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F4BAC7C">
            <w:pPr>
              <w:snapToGrid w:val="0"/>
              <w:spacing w:line="360" w:lineRule="auto"/>
              <w:ind w:left="420"/>
              <w:jc w:val="left"/>
              <w:rPr>
                <w:rFonts w:ascii="宋体" w:hAnsi="宋体"/>
                <w:color w:val="auto"/>
                <w:szCs w:val="21"/>
                <w:highlight w:val="none"/>
              </w:rPr>
            </w:pPr>
            <w:r>
              <w:rPr>
                <w:rFonts w:hint="eastAsia" w:ascii="宋体" w:hAnsi="宋体"/>
                <w:color w:val="auto"/>
                <w:szCs w:val="21"/>
                <w:highlight w:val="none"/>
              </w:rPr>
              <w:t>9.项目实施方案（格式自拟）；</w:t>
            </w:r>
          </w:p>
          <w:p w14:paraId="064970FC">
            <w:pPr>
              <w:snapToGrid w:val="0"/>
              <w:spacing w:line="360" w:lineRule="auto"/>
              <w:ind w:left="420"/>
              <w:jc w:val="left"/>
              <w:rPr>
                <w:rFonts w:ascii="宋体" w:hAnsi="宋体"/>
                <w:color w:val="auto"/>
                <w:szCs w:val="21"/>
                <w:highlight w:val="none"/>
              </w:rPr>
            </w:pPr>
            <w:r>
              <w:rPr>
                <w:rFonts w:hint="eastAsia" w:ascii="宋体" w:hAnsi="宋体"/>
                <w:color w:val="auto"/>
                <w:szCs w:val="21"/>
                <w:highlight w:val="none"/>
              </w:rPr>
              <w:t>10.售后服务方案（格式自拟）；</w:t>
            </w:r>
          </w:p>
          <w:p w14:paraId="1905F8BA">
            <w:pPr>
              <w:snapToGrid w:val="0"/>
              <w:spacing w:line="360" w:lineRule="auto"/>
              <w:ind w:left="420"/>
              <w:jc w:val="left"/>
              <w:rPr>
                <w:rFonts w:ascii="宋体" w:hAnsi="宋体"/>
                <w:color w:val="auto"/>
                <w:szCs w:val="21"/>
                <w:highlight w:val="none"/>
              </w:rPr>
            </w:pPr>
            <w:r>
              <w:rPr>
                <w:rFonts w:hint="eastAsia" w:ascii="宋体" w:hAnsi="宋体"/>
                <w:color w:val="auto"/>
                <w:szCs w:val="21"/>
                <w:highlight w:val="none"/>
              </w:rPr>
              <w:t>11.技术培训方案（格式自拟）；</w:t>
            </w:r>
          </w:p>
          <w:p w14:paraId="607E484B">
            <w:pPr>
              <w:snapToGrid w:val="0"/>
              <w:spacing w:line="360" w:lineRule="auto"/>
              <w:ind w:left="420"/>
              <w:jc w:val="left"/>
              <w:rPr>
                <w:rFonts w:ascii="宋体" w:hAnsi="宋体"/>
                <w:bCs/>
                <w:color w:val="auto"/>
                <w:szCs w:val="21"/>
                <w:highlight w:val="none"/>
              </w:rPr>
            </w:pPr>
            <w:r>
              <w:rPr>
                <w:rFonts w:hint="eastAsia" w:ascii="宋体" w:hAnsi="宋体"/>
                <w:color w:val="auto"/>
                <w:szCs w:val="21"/>
                <w:highlight w:val="none"/>
              </w:rPr>
              <w:t>12.除招标文件规定必须提供以外，投标人认为需要提供的其他证明材料（格式自拟）。</w:t>
            </w:r>
          </w:p>
          <w:p w14:paraId="643B0DDD">
            <w:pPr>
              <w:snapToGrid w:val="0"/>
              <w:spacing w:line="360" w:lineRule="auto"/>
              <w:ind w:left="413"/>
              <w:jc w:val="left"/>
              <w:rPr>
                <w:rFonts w:ascii="宋体" w:hAnsi="宋体"/>
                <w:color w:val="auto"/>
                <w:szCs w:val="21"/>
                <w:highlight w:val="none"/>
              </w:rPr>
            </w:pPr>
            <w:r>
              <w:rPr>
                <w:rFonts w:hint="eastAsia" w:ascii="宋体" w:hAnsi="宋体"/>
                <w:color w:val="auto"/>
                <w:szCs w:val="21"/>
                <w:highlight w:val="none"/>
              </w:rPr>
              <w:t>（投标人根据“第二章 采购需求”及“第四章 评标方法及评标标准”提供有关证明材料）。</w:t>
            </w:r>
          </w:p>
          <w:p w14:paraId="49C8FC7D">
            <w:pPr>
              <w:snapToGrid w:val="0"/>
              <w:spacing w:line="360" w:lineRule="auto"/>
              <w:jc w:val="left"/>
              <w:rPr>
                <w:rFonts w:ascii="宋体" w:hAnsi="宋体"/>
                <w:color w:val="auto"/>
                <w:szCs w:val="21"/>
                <w:highlight w:val="none"/>
              </w:rPr>
            </w:pPr>
            <w:r>
              <w:rPr>
                <w:rFonts w:hint="eastAsia" w:ascii="宋体" w:hAnsi="宋体"/>
                <w:b/>
                <w:bCs/>
                <w:color w:val="auto"/>
                <w:szCs w:val="21"/>
                <w:highlight w:val="none"/>
              </w:rPr>
              <w:t>注：以上标明“必须提供”的材料，格式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b/>
                <w:bCs/>
                <w:color w:val="auto"/>
                <w:szCs w:val="21"/>
                <w:highlight w:val="none"/>
              </w:rPr>
              <w:t>，否则按无效投标</w:t>
            </w:r>
            <w:r>
              <w:rPr>
                <w:rFonts w:hint="eastAsia" w:ascii="宋体" w:hAnsi="宋体" w:cs="Courier New"/>
                <w:b/>
                <w:color w:val="auto"/>
                <w:szCs w:val="21"/>
                <w:highlight w:val="none"/>
              </w:rPr>
              <w:t>处理。</w:t>
            </w:r>
          </w:p>
        </w:tc>
      </w:tr>
      <w:tr w14:paraId="61F1F4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BECC2A9">
            <w:pPr>
              <w:spacing w:line="360" w:lineRule="auto"/>
              <w:jc w:val="center"/>
              <w:rPr>
                <w:rFonts w:ascii="宋体" w:hAnsi="宋体"/>
                <w:color w:val="auto"/>
                <w:szCs w:val="21"/>
                <w:highlight w:val="none"/>
              </w:rPr>
            </w:pPr>
            <w:bookmarkStart w:id="73" w:name="_13.5"/>
            <w:bookmarkEnd w:id="73"/>
            <w:bookmarkStart w:id="74" w:name="_13.4"/>
            <w:bookmarkEnd w:id="74"/>
            <w:bookmarkStart w:id="75" w:name="_16.2"/>
            <w:bookmarkEnd w:id="75"/>
            <w:r>
              <w:rPr>
                <w:rFonts w:hint="eastAsia" w:ascii="宋体" w:hAnsi="宋体"/>
                <w:color w:val="auto"/>
                <w:szCs w:val="21"/>
                <w:highlight w:val="none"/>
              </w:rPr>
              <w:t>16</w:t>
            </w:r>
            <w:bookmarkStart w:id="76" w:name="_Hlt19693758"/>
            <w:bookmarkStart w:id="77" w:name="_Hlt19194066"/>
            <w:bookmarkStart w:id="78" w:name="_Hlt19693759"/>
            <w:bookmarkStart w:id="79" w:name="_Hlt19194067"/>
            <w:r>
              <w:rPr>
                <w:rFonts w:hint="eastAsia" w:ascii="宋体" w:hAnsi="宋体"/>
                <w:color w:val="auto"/>
                <w:szCs w:val="21"/>
                <w:highlight w:val="none"/>
              </w:rPr>
              <w:t>.</w:t>
            </w:r>
            <w:bookmarkEnd w:id="76"/>
            <w:bookmarkEnd w:id="77"/>
            <w:bookmarkEnd w:id="78"/>
            <w:bookmarkEnd w:id="79"/>
            <w:r>
              <w:rPr>
                <w:rFonts w:hint="eastAsia" w:ascii="宋体" w:hAnsi="宋体"/>
                <w:color w:val="auto"/>
                <w:szCs w:val="21"/>
                <w:highlight w:val="none"/>
              </w:rPr>
              <w:t>2</w:t>
            </w:r>
          </w:p>
        </w:tc>
        <w:tc>
          <w:tcPr>
            <w:tcW w:w="8670" w:type="dxa"/>
            <w:tcBorders>
              <w:top w:val="single" w:color="auto" w:sz="4" w:space="0"/>
              <w:left w:val="single" w:color="auto" w:sz="4" w:space="0"/>
              <w:bottom w:val="single" w:color="auto" w:sz="4" w:space="0"/>
              <w:right w:val="single" w:color="auto" w:sz="4" w:space="0"/>
            </w:tcBorders>
            <w:vAlign w:val="center"/>
          </w:tcPr>
          <w:p w14:paraId="6DD2ED98">
            <w:pPr>
              <w:snapToGrid w:val="0"/>
              <w:spacing w:line="360" w:lineRule="auto"/>
              <w:ind w:right="420" w:firstLine="420"/>
              <w:rPr>
                <w:rFonts w:ascii="宋体" w:hAnsi="宋体"/>
                <w:b/>
                <w:color w:val="auto"/>
                <w:szCs w:val="21"/>
                <w:highlight w:val="none"/>
              </w:rPr>
            </w:pPr>
            <w:r>
              <w:rPr>
                <w:rFonts w:hint="eastAsia" w:ascii="宋体" w:hAnsi="宋体" w:cs="宋体"/>
                <w:color w:val="auto"/>
                <w:szCs w:val="21"/>
                <w:highlight w:val="none"/>
              </w:rPr>
              <w:t>投标报价须为人民币报价，包括①货物的价格：包括货款、杂配件、安装调试费、验收费、计量检测费（如有）、信息系统接入费，培训费；②货物的标准附件、备品备件、专用工具的价格</w:t>
            </w:r>
            <w:r>
              <w:rPr>
                <w:rFonts w:hint="eastAsia" w:ascii="宋体" w:hAnsi="宋体" w:cs="宋体"/>
                <w:color w:val="auto"/>
                <w:kern w:val="0"/>
                <w:szCs w:val="21"/>
                <w:highlight w:val="none"/>
                <w:lang w:bidi="ar"/>
              </w:rPr>
              <w:t>，以及为实现项目采购目的达成的一切费用</w:t>
            </w:r>
            <w:r>
              <w:rPr>
                <w:rFonts w:hint="eastAsia" w:ascii="宋体" w:hAnsi="宋体" w:cs="宋体"/>
                <w:color w:val="auto"/>
                <w:szCs w:val="21"/>
                <w:highlight w:val="none"/>
              </w:rPr>
              <w:t>。③运输、装卸、调试、培训、技术支持、售后服务费，第三方检测验收费用（如有）。④保险费和各项税金。</w:t>
            </w:r>
          </w:p>
        </w:tc>
      </w:tr>
      <w:tr w14:paraId="73F840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2252546">
            <w:pPr>
              <w:spacing w:line="360" w:lineRule="auto"/>
              <w:jc w:val="center"/>
              <w:rPr>
                <w:rFonts w:ascii="宋体" w:hAnsi="宋体"/>
                <w:color w:val="auto"/>
                <w:szCs w:val="21"/>
                <w:highlight w:val="none"/>
              </w:rPr>
            </w:pPr>
            <w:bookmarkStart w:id="80" w:name="_17.1"/>
            <w:bookmarkEnd w:id="80"/>
            <w:r>
              <w:rPr>
                <w:rFonts w:hint="eastAsia" w:ascii="宋体" w:hAnsi="宋体"/>
                <w:color w:val="auto"/>
                <w:szCs w:val="21"/>
                <w:highlight w:val="none"/>
              </w:rPr>
              <w:t>17.</w:t>
            </w:r>
            <w:r>
              <w:rPr>
                <w:rFonts w:ascii="宋体" w:hAnsi="宋体"/>
                <w:color w:val="auto"/>
                <w:szCs w:val="21"/>
                <w:highlight w:val="none"/>
              </w:rPr>
              <w:t>2</w:t>
            </w:r>
          </w:p>
        </w:tc>
        <w:tc>
          <w:tcPr>
            <w:tcW w:w="8670" w:type="dxa"/>
            <w:tcBorders>
              <w:top w:val="single" w:color="auto" w:sz="4" w:space="0"/>
              <w:left w:val="single" w:color="auto" w:sz="4" w:space="0"/>
              <w:bottom w:val="single" w:color="auto" w:sz="4" w:space="0"/>
              <w:right w:val="single" w:color="auto" w:sz="4" w:space="0"/>
            </w:tcBorders>
            <w:vAlign w:val="center"/>
          </w:tcPr>
          <w:p w14:paraId="0258A1F4">
            <w:pPr>
              <w:snapToGrid w:val="0"/>
              <w:spacing w:line="360" w:lineRule="auto"/>
              <w:rPr>
                <w:rFonts w:ascii="宋体" w:hAnsi="宋体"/>
                <w:color w:val="auto"/>
                <w:szCs w:val="21"/>
                <w:highlight w:val="none"/>
              </w:rPr>
            </w:pPr>
            <w:r>
              <w:rPr>
                <w:rFonts w:hint="eastAsia" w:ascii="宋体" w:hAnsi="宋体"/>
                <w:color w:val="auto"/>
                <w:szCs w:val="21"/>
                <w:highlight w:val="none"/>
              </w:rPr>
              <w:t>投标有效期：自投标截止之日起</w:t>
            </w:r>
            <w:r>
              <w:rPr>
                <w:rFonts w:hint="eastAsia" w:ascii="宋体" w:hAnsi="宋体"/>
                <w:color w:val="auto"/>
                <w:szCs w:val="21"/>
                <w:highlight w:val="none"/>
                <w:u w:val="single"/>
              </w:rPr>
              <w:t>120</w:t>
            </w:r>
            <w:r>
              <w:rPr>
                <w:rFonts w:hint="eastAsia" w:ascii="宋体" w:hAnsi="宋体"/>
                <w:color w:val="auto"/>
                <w:szCs w:val="21"/>
                <w:highlight w:val="none"/>
              </w:rPr>
              <w:t>日。</w:t>
            </w:r>
          </w:p>
        </w:tc>
      </w:tr>
      <w:tr w14:paraId="754BF9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3D7E3C4">
            <w:pPr>
              <w:spacing w:line="360" w:lineRule="auto"/>
              <w:jc w:val="center"/>
              <w:rPr>
                <w:rFonts w:ascii="宋体" w:hAnsi="宋体"/>
                <w:color w:val="auto"/>
                <w:szCs w:val="21"/>
                <w:highlight w:val="none"/>
              </w:rPr>
            </w:pPr>
            <w:bookmarkStart w:id="81" w:name="_18"/>
            <w:bookmarkEnd w:id="81"/>
            <w:r>
              <w:rPr>
                <w:rFonts w:hint="eastAsia" w:ascii="宋体" w:hAnsi="宋体"/>
                <w:color w:val="auto"/>
                <w:szCs w:val="21"/>
                <w:highlight w:val="none"/>
              </w:rPr>
              <w:t>18</w:t>
            </w:r>
            <w:r>
              <w:rPr>
                <w:rFonts w:ascii="宋体" w:hAnsi="宋体"/>
                <w:color w:val="auto"/>
                <w:szCs w:val="21"/>
                <w:highlight w:val="none"/>
              </w:rPr>
              <w:t>.1</w:t>
            </w:r>
          </w:p>
        </w:tc>
        <w:tc>
          <w:tcPr>
            <w:tcW w:w="8670" w:type="dxa"/>
            <w:tcBorders>
              <w:top w:val="single" w:color="auto" w:sz="4" w:space="0"/>
              <w:left w:val="single" w:color="auto" w:sz="4" w:space="0"/>
              <w:bottom w:val="single" w:color="auto" w:sz="4" w:space="0"/>
              <w:right w:val="single" w:color="auto" w:sz="4" w:space="0"/>
            </w:tcBorders>
            <w:vAlign w:val="center"/>
          </w:tcPr>
          <w:p w14:paraId="0F65E574">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□本项目不收取投标保证金。</w:t>
            </w:r>
          </w:p>
          <w:p w14:paraId="51DE6DB9">
            <w:pPr>
              <w:snapToGrid w:val="0"/>
              <w:spacing w:line="360" w:lineRule="auto"/>
              <w:rPr>
                <w:rFonts w:ascii="宋体" w:hAnsi="宋体"/>
                <w:color w:val="auto"/>
                <w:szCs w:val="21"/>
                <w:highlight w:val="none"/>
              </w:rPr>
            </w:pPr>
            <w:r>
              <w:rPr>
                <w:rFonts w:hint="eastAsia" w:ascii="宋体" w:hAnsi="宋体"/>
                <w:color w:val="auto"/>
                <w:szCs w:val="21"/>
                <w:highlight w:val="none"/>
              </w:rPr>
              <w:t>☑本项目收取投标保证金，具体规定如下：</w:t>
            </w:r>
          </w:p>
          <w:p w14:paraId="3385E129">
            <w:pPr>
              <w:snapToGrid w:val="0"/>
              <w:spacing w:line="36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1分标投标保证金人民币</w:t>
            </w:r>
            <w:r>
              <w:rPr>
                <w:rFonts w:hint="eastAsia" w:ascii="宋体" w:hAnsi="宋体" w:cs="宋体"/>
                <w:color w:val="auto"/>
                <w:kern w:val="0"/>
                <w:szCs w:val="21"/>
                <w:highlight w:val="none"/>
                <w:u w:val="single"/>
              </w:rPr>
              <w:t>7500</w:t>
            </w:r>
            <w:r>
              <w:rPr>
                <w:rFonts w:hint="eastAsia" w:ascii="宋体" w:hAnsi="宋体" w:cs="宋体"/>
                <w:color w:val="auto"/>
                <w:kern w:val="0"/>
                <w:szCs w:val="21"/>
                <w:highlight w:val="none"/>
              </w:rPr>
              <w:t>元，2分标投标保证金人民币</w:t>
            </w:r>
            <w:r>
              <w:rPr>
                <w:rFonts w:hint="eastAsia" w:ascii="宋体" w:hAnsi="宋体" w:cs="宋体"/>
                <w:color w:val="auto"/>
                <w:kern w:val="0"/>
                <w:szCs w:val="21"/>
                <w:highlight w:val="none"/>
                <w:u w:val="single"/>
              </w:rPr>
              <w:t>5600</w:t>
            </w:r>
            <w:r>
              <w:rPr>
                <w:rFonts w:hint="eastAsia" w:ascii="宋体" w:hAnsi="宋体" w:cs="宋体"/>
                <w:color w:val="auto"/>
                <w:kern w:val="0"/>
                <w:szCs w:val="21"/>
                <w:highlight w:val="none"/>
              </w:rPr>
              <w:t>元。</w:t>
            </w:r>
          </w:p>
          <w:p w14:paraId="01B4E7B1">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投标保证金的交纳方式：银行转账、支票、汇票、本票或者银行、保险机构出具的保函</w:t>
            </w:r>
            <w:r>
              <w:rPr>
                <w:rFonts w:hint="eastAsia"/>
                <w:color w:val="auto"/>
                <w:highlight w:val="none"/>
              </w:rPr>
              <w:t>（包含电子保函</w:t>
            </w:r>
            <w:r>
              <w:rPr>
                <w:rFonts w:hint="eastAsia" w:ascii="宋体" w:hAnsi="宋体" w:cs="宋体"/>
                <w:color w:val="auto"/>
                <w:szCs w:val="21"/>
                <w:highlight w:val="none"/>
              </w:rPr>
              <w:t>）</w:t>
            </w:r>
            <w:r>
              <w:rPr>
                <w:rFonts w:hint="eastAsia" w:ascii="宋体" w:hAnsi="宋体" w:cs="宋体"/>
                <w:color w:val="auto"/>
                <w:kern w:val="0"/>
                <w:szCs w:val="21"/>
                <w:highlight w:val="none"/>
              </w:rPr>
              <w:t>，禁止采用现钞方式。采用银行转账方式的，在投标截止时间前</w:t>
            </w:r>
            <w:r>
              <w:rPr>
                <w:rFonts w:hint="eastAsia" w:ascii="宋体" w:hAnsi="宋体" w:cs="宋体"/>
                <w:color w:val="auto"/>
                <w:szCs w:val="21"/>
                <w:highlight w:val="none"/>
              </w:rPr>
              <w:t>从投标人账户</w:t>
            </w:r>
            <w:r>
              <w:rPr>
                <w:rFonts w:hint="eastAsia" w:ascii="宋体" w:hAnsi="宋体" w:cs="宋体"/>
                <w:color w:val="auto"/>
                <w:kern w:val="0"/>
                <w:szCs w:val="21"/>
                <w:highlight w:val="none"/>
              </w:rPr>
              <w:t>交至指定账户并且到账：</w:t>
            </w:r>
          </w:p>
          <w:p w14:paraId="40B2BCC6">
            <w:pPr>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开户名称：藤县公共资源交易中心</w:t>
            </w:r>
          </w:p>
          <w:p w14:paraId="6A602FF0">
            <w:pPr>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账号：6666 0008 5802 9000 10-00000</w:t>
            </w:r>
          </w:p>
          <w:p w14:paraId="5A86DF01">
            <w:pPr>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开户行：广西藤县桂银村镇银行有限公司</w:t>
            </w:r>
          </w:p>
          <w:p w14:paraId="48466BBC">
            <w:pPr>
              <w:snapToGrid w:val="0"/>
              <w:spacing w:line="360" w:lineRule="auto"/>
              <w:ind w:firstLine="420"/>
              <w:rPr>
                <w:rFonts w:ascii="宋体" w:hAnsi="宋体"/>
                <w:color w:val="auto"/>
                <w:szCs w:val="21"/>
                <w:highlight w:val="none"/>
              </w:rPr>
            </w:pPr>
            <w:r>
              <w:rPr>
                <w:rFonts w:hint="eastAsia" w:ascii="宋体" w:hAnsi="宋体" w:cs="宋体"/>
                <w:color w:val="auto"/>
                <w:kern w:val="0"/>
                <w:szCs w:val="21"/>
                <w:highlight w:val="none"/>
              </w:rPr>
              <w:t>采用支票、汇票、本票或者保函等方式的，在投标截止时间前，投标人必须递交单独密封的支票、汇票、本票或者保函原件（电子保函复印件加</w:t>
            </w:r>
            <w:r>
              <w:rPr>
                <w:rFonts w:hint="eastAsia" w:ascii="宋体" w:hAnsi="宋体" w:cs="宋体"/>
                <w:color w:val="auto"/>
                <w:kern w:val="0"/>
                <w:szCs w:val="21"/>
                <w:highlight w:val="none"/>
                <w:lang w:val="en-US" w:eastAsia="zh-CN"/>
              </w:rPr>
              <w:t>盖</w:t>
            </w:r>
            <w:r>
              <w:rPr>
                <w:rFonts w:hint="eastAsia" w:ascii="宋体" w:hAnsi="宋体" w:cs="宋体"/>
                <w:color w:val="auto"/>
                <w:kern w:val="0"/>
                <w:szCs w:val="21"/>
                <w:highlight w:val="none"/>
              </w:rPr>
              <w:t>公章）。</w:t>
            </w:r>
            <w:r>
              <w:rPr>
                <w:rFonts w:hint="eastAsia" w:ascii="宋体" w:hAnsi="宋体" w:cs="宋体"/>
                <w:b/>
                <w:color w:val="auto"/>
                <w:kern w:val="0"/>
                <w:szCs w:val="21"/>
                <w:highlight w:val="none"/>
              </w:rPr>
              <w:t>否则视为无效投标保证金。</w:t>
            </w:r>
          </w:p>
          <w:p w14:paraId="3B8F4E74">
            <w:pPr>
              <w:snapToGrid w:val="0"/>
              <w:spacing w:line="360" w:lineRule="auto"/>
              <w:rPr>
                <w:rFonts w:ascii="宋体" w:hAnsi="宋体"/>
                <w:color w:val="auto"/>
                <w:szCs w:val="21"/>
                <w:highlight w:val="none"/>
              </w:rPr>
            </w:pPr>
            <w:r>
              <w:rPr>
                <w:rFonts w:hint="eastAsia" w:ascii="宋体" w:hAnsi="宋体"/>
                <w:color w:val="auto"/>
                <w:szCs w:val="21"/>
                <w:highlight w:val="none"/>
              </w:rPr>
              <w:t>相关要求：</w:t>
            </w:r>
          </w:p>
          <w:p w14:paraId="66465CC4">
            <w:pPr>
              <w:pStyle w:val="15"/>
              <w:spacing w:line="360" w:lineRule="auto"/>
              <w:rPr>
                <w:rFonts w:ascii="宋体" w:hAnsi="宋体"/>
                <w:color w:val="auto"/>
                <w:szCs w:val="21"/>
                <w:highlight w:val="none"/>
              </w:rPr>
            </w:pPr>
            <w:r>
              <w:rPr>
                <w:rFonts w:hint="eastAsia" w:ascii="宋体" w:hAnsi="宋体"/>
                <w:color w:val="auto"/>
                <w:szCs w:val="21"/>
                <w:highlight w:val="none"/>
              </w:rPr>
              <w:t>1.投标保证金采用银行转账交纳方式，在投标截止时间前交至指定账户并且到账，投标人应将银行转账底单的复印件作为投标保证金提交凭证，放置于商务及技术文件中，</w:t>
            </w:r>
            <w:r>
              <w:rPr>
                <w:rFonts w:hint="eastAsia" w:ascii="宋体" w:hAnsi="宋体"/>
                <w:b/>
                <w:color w:val="auto"/>
                <w:szCs w:val="21"/>
                <w:highlight w:val="none"/>
              </w:rPr>
              <w:t>否则投标无效</w:t>
            </w:r>
            <w:r>
              <w:rPr>
                <w:rFonts w:hint="eastAsia" w:ascii="宋体" w:hAnsi="宋体"/>
                <w:color w:val="auto"/>
                <w:szCs w:val="21"/>
                <w:highlight w:val="none"/>
              </w:rPr>
              <w:t>。</w:t>
            </w:r>
          </w:p>
          <w:p w14:paraId="21B8CC4E">
            <w:pPr>
              <w:snapToGrid w:val="0"/>
              <w:spacing w:line="360" w:lineRule="auto"/>
              <w:rPr>
                <w:rFonts w:ascii="宋体" w:hAnsi="宋体"/>
                <w:color w:val="auto"/>
                <w:szCs w:val="21"/>
                <w:highlight w:val="none"/>
              </w:rPr>
            </w:pPr>
            <w:r>
              <w:rPr>
                <w:rFonts w:hint="eastAsia" w:ascii="宋体" w:hAnsi="宋体"/>
                <w:color w:val="auto"/>
                <w:szCs w:val="21"/>
                <w:highlight w:val="none"/>
              </w:rPr>
              <w:t>2.投标保证金采用支票、汇票、本票或者银行、保险机构出具的保函</w:t>
            </w:r>
            <w:r>
              <w:rPr>
                <w:rFonts w:hint="eastAsia"/>
                <w:color w:val="auto"/>
                <w:highlight w:val="none"/>
              </w:rPr>
              <w:t>（包含电子保函）</w:t>
            </w:r>
            <w:r>
              <w:rPr>
                <w:rFonts w:hint="eastAsia" w:ascii="宋体" w:hAnsi="宋体"/>
                <w:color w:val="auto"/>
                <w:szCs w:val="21"/>
                <w:highlight w:val="none"/>
              </w:rPr>
              <w:t>交纳方式的，投标人应将支票、汇票、本票或者银行、保险机构出具的保函</w:t>
            </w:r>
            <w:r>
              <w:rPr>
                <w:rFonts w:hint="eastAsia"/>
                <w:color w:val="auto"/>
                <w:highlight w:val="none"/>
              </w:rPr>
              <w:t>（包含电子保函）</w:t>
            </w:r>
            <w:r>
              <w:rPr>
                <w:rFonts w:hint="eastAsia" w:ascii="宋体" w:hAnsi="宋体"/>
                <w:color w:val="auto"/>
                <w:szCs w:val="21"/>
                <w:highlight w:val="none"/>
              </w:rPr>
              <w:t>的复印件作为投标保证金提交凭证，放置于商务及技术文件中，</w:t>
            </w:r>
            <w:r>
              <w:rPr>
                <w:rFonts w:hint="eastAsia" w:ascii="宋体" w:hAnsi="宋体"/>
                <w:b/>
                <w:color w:val="auto"/>
                <w:szCs w:val="21"/>
                <w:highlight w:val="none"/>
              </w:rPr>
              <w:t>否则投标无效</w:t>
            </w:r>
            <w:r>
              <w:rPr>
                <w:rFonts w:hint="eastAsia" w:ascii="宋体" w:hAnsi="宋体"/>
                <w:color w:val="auto"/>
                <w:szCs w:val="21"/>
                <w:highlight w:val="none"/>
              </w:rPr>
              <w:t>。投标人必须</w:t>
            </w:r>
            <w:r>
              <w:rPr>
                <w:rFonts w:hint="eastAsia"/>
                <w:color w:val="auto"/>
                <w:highlight w:val="none"/>
              </w:rPr>
              <w:t>在投标截止时间前采用现场或邮寄方式（现场提交地址：</w:t>
            </w:r>
            <w:r>
              <w:rPr>
                <w:rFonts w:hint="eastAsia" w:ascii="宋体" w:hAnsi="宋体"/>
                <w:color w:val="auto"/>
                <w:szCs w:val="21"/>
                <w:highlight w:val="none"/>
                <w:u w:val="single"/>
              </w:rPr>
              <w:t>云之龙咨询集团有限公司（广西藤县藤州镇安泰五街62号）</w:t>
            </w:r>
            <w:r>
              <w:rPr>
                <w:rFonts w:hint="eastAsia"/>
                <w:color w:val="auto"/>
                <w:highlight w:val="none"/>
              </w:rPr>
              <w:t>；邮寄地址：</w:t>
            </w:r>
            <w:r>
              <w:rPr>
                <w:rFonts w:hint="eastAsia" w:ascii="宋体" w:hAnsi="宋体"/>
                <w:color w:val="auto"/>
                <w:szCs w:val="21"/>
                <w:highlight w:val="none"/>
                <w:u w:val="single"/>
              </w:rPr>
              <w:t>云之龙咨询集团有限公司（广西藤县藤州镇安泰五街62号）</w:t>
            </w:r>
            <w:r>
              <w:rPr>
                <w:rFonts w:hint="eastAsia"/>
                <w:color w:val="auto"/>
                <w:highlight w:val="none"/>
              </w:rPr>
              <w:t>，收件人：</w:t>
            </w:r>
            <w:r>
              <w:rPr>
                <w:rFonts w:hint="eastAsia"/>
                <w:color w:val="auto"/>
                <w:highlight w:val="none"/>
                <w:u w:val="single"/>
              </w:rPr>
              <w:t>周子然</w:t>
            </w:r>
            <w:r>
              <w:rPr>
                <w:rFonts w:hint="eastAsia"/>
                <w:color w:val="auto"/>
                <w:highlight w:val="none"/>
              </w:rPr>
              <w:t>，联系方式：</w:t>
            </w:r>
            <w:r>
              <w:rPr>
                <w:rFonts w:hint="eastAsia"/>
                <w:color w:val="auto"/>
                <w:highlight w:val="none"/>
                <w:u w:val="single"/>
              </w:rPr>
              <w:t>0774-7288399</w:t>
            </w:r>
            <w:r>
              <w:rPr>
                <w:rFonts w:hint="eastAsia"/>
                <w:color w:val="auto"/>
                <w:highlight w:val="none"/>
              </w:rPr>
              <w:t>））</w:t>
            </w:r>
            <w:r>
              <w:rPr>
                <w:rFonts w:hint="eastAsia" w:ascii="宋体" w:hAnsi="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olor w:val="auto"/>
                <w:szCs w:val="21"/>
                <w:highlight w:val="none"/>
              </w:rPr>
              <w:t>支票、汇票、本票或者银行、保险机构出具的保函原件（电子保函复印件加</w:t>
            </w:r>
            <w:r>
              <w:rPr>
                <w:rFonts w:hint="eastAsia" w:ascii="宋体" w:hAnsi="宋体"/>
                <w:color w:val="auto"/>
                <w:szCs w:val="21"/>
                <w:highlight w:val="none"/>
                <w:lang w:val="en-US" w:eastAsia="zh-CN"/>
              </w:rPr>
              <w:t>盖</w:t>
            </w:r>
            <w:r>
              <w:rPr>
                <w:rFonts w:hint="eastAsia" w:ascii="宋体" w:hAnsi="宋体"/>
                <w:color w:val="auto"/>
                <w:szCs w:val="21"/>
                <w:highlight w:val="none"/>
              </w:rPr>
              <w:t>公章)提交给采购人或者采购代理机构，未按时提交的</w:t>
            </w:r>
            <w:r>
              <w:rPr>
                <w:rFonts w:hint="eastAsia" w:ascii="宋体" w:hAnsi="宋体"/>
                <w:b/>
                <w:color w:val="auto"/>
                <w:szCs w:val="21"/>
                <w:highlight w:val="none"/>
              </w:rPr>
              <w:t>，投标无效</w:t>
            </w:r>
            <w:r>
              <w:rPr>
                <w:rFonts w:hint="eastAsia" w:ascii="宋体" w:hAnsi="宋体"/>
                <w:color w:val="auto"/>
                <w:szCs w:val="21"/>
                <w:highlight w:val="none"/>
              </w:rPr>
              <w:t>。</w:t>
            </w:r>
          </w:p>
          <w:p w14:paraId="7C46D3F7">
            <w:pPr>
              <w:snapToGrid w:val="0"/>
              <w:spacing w:line="360" w:lineRule="auto"/>
              <w:rPr>
                <w:rFonts w:ascii="宋体" w:hAnsi="宋体" w:cs="宋体"/>
                <w:color w:val="auto"/>
                <w:szCs w:val="21"/>
                <w:highlight w:val="none"/>
              </w:rPr>
            </w:pPr>
            <w:r>
              <w:rPr>
                <w:rFonts w:hint="eastAsia" w:ascii="宋体" w:hAnsi="宋体"/>
                <w:color w:val="auto"/>
                <w:szCs w:val="21"/>
                <w:highlight w:val="none"/>
              </w:rPr>
              <w:t>3</w:t>
            </w:r>
            <w:r>
              <w:rPr>
                <w:rFonts w:hint="eastAsia" w:ascii="宋体" w:hAnsi="宋体" w:cs="宋体"/>
                <w:color w:val="auto"/>
                <w:szCs w:val="21"/>
                <w:highlight w:val="none"/>
              </w:rPr>
              <w:t>.投标人为联合体的，可以由联合体中的一方或者多方共同交纳投标保证金，其交纳的保证金对联合体各方均具有约束力。</w:t>
            </w:r>
          </w:p>
          <w:p w14:paraId="0A44F379">
            <w:pPr>
              <w:snapToGrid w:val="0"/>
              <w:spacing w:line="360" w:lineRule="auto"/>
              <w:rPr>
                <w:rFonts w:ascii="宋体" w:hAnsi="宋体"/>
                <w:color w:val="auto"/>
                <w:szCs w:val="21"/>
                <w:highlight w:val="none"/>
              </w:rPr>
            </w:pPr>
          </w:p>
          <w:p w14:paraId="2B3570CC">
            <w:pPr>
              <w:snapToGrid w:val="0"/>
              <w:spacing w:line="360" w:lineRule="auto"/>
              <w:rPr>
                <w:rFonts w:ascii="宋体" w:hAnsi="宋体"/>
                <w:b/>
                <w:color w:val="auto"/>
                <w:szCs w:val="21"/>
                <w:highlight w:val="none"/>
              </w:rPr>
            </w:pPr>
            <w:r>
              <w:rPr>
                <w:rFonts w:hint="eastAsia" w:ascii="宋体" w:hAnsi="宋体"/>
                <w:b/>
                <w:color w:val="auto"/>
                <w:szCs w:val="21"/>
                <w:highlight w:val="none"/>
              </w:rPr>
              <w:t xml:space="preserve">备注： </w:t>
            </w:r>
          </w:p>
          <w:p w14:paraId="231E75E1">
            <w:pPr>
              <w:snapToGrid w:val="0"/>
              <w:spacing w:line="360" w:lineRule="auto"/>
              <w:rPr>
                <w:rFonts w:ascii="宋体" w:hAnsi="宋体"/>
                <w:b/>
                <w:color w:val="auto"/>
                <w:szCs w:val="21"/>
                <w:highlight w:val="none"/>
              </w:rPr>
            </w:pPr>
            <w:r>
              <w:rPr>
                <w:rFonts w:hint="eastAsia" w:ascii="宋体" w:hAnsi="宋体"/>
                <w:b/>
                <w:color w:val="auto"/>
                <w:szCs w:val="21"/>
                <w:highlight w:val="none"/>
              </w:rPr>
              <w:t>1. 投标保证金在投标截止时间后提交的，或者不按规定交纳方式交纳的，或者未足额交纳的（包含保函额度不足的），视为无效投标保证金。</w:t>
            </w:r>
          </w:p>
          <w:p w14:paraId="3CE53291">
            <w:pPr>
              <w:snapToGrid w:val="0"/>
              <w:spacing w:line="360" w:lineRule="auto"/>
              <w:rPr>
                <w:rFonts w:ascii="宋体" w:hAnsi="宋体"/>
                <w:b/>
                <w:color w:val="auto"/>
                <w:szCs w:val="21"/>
                <w:highlight w:val="none"/>
              </w:rPr>
            </w:pPr>
            <w:r>
              <w:rPr>
                <w:rFonts w:hint="eastAsia" w:ascii="宋体" w:hAnsi="宋体"/>
                <w:b/>
                <w:color w:val="auto"/>
                <w:szCs w:val="21"/>
                <w:highlight w:val="none"/>
              </w:rPr>
              <w:t>2.投标人采用现钞方式或者从个人账户（自然人投标除外）转出的投标保证金，视为无效投标保证金。</w:t>
            </w:r>
          </w:p>
          <w:p w14:paraId="01CA82B3">
            <w:pPr>
              <w:snapToGrid w:val="0"/>
              <w:spacing w:line="360" w:lineRule="auto"/>
              <w:rPr>
                <w:rFonts w:ascii="宋体" w:hAnsi="宋体"/>
                <w:b/>
                <w:color w:val="auto"/>
                <w:szCs w:val="21"/>
                <w:highlight w:val="none"/>
              </w:rPr>
            </w:pPr>
            <w:r>
              <w:rPr>
                <w:rFonts w:hint="eastAsia" w:ascii="宋体" w:hAnsi="宋体"/>
                <w:b/>
                <w:color w:val="auto"/>
                <w:szCs w:val="21"/>
                <w:highlight w:val="none"/>
              </w:rPr>
              <w:t>3.支票、汇票或者本票出现无效或者背书情形的，视为无效投标保证金。</w:t>
            </w:r>
          </w:p>
          <w:p w14:paraId="773E51EF">
            <w:pPr>
              <w:snapToGrid w:val="0"/>
              <w:spacing w:line="360" w:lineRule="auto"/>
              <w:rPr>
                <w:rFonts w:ascii="宋体" w:hAnsi="宋体"/>
                <w:b/>
                <w:color w:val="auto"/>
                <w:szCs w:val="21"/>
                <w:highlight w:val="none"/>
              </w:rPr>
            </w:pPr>
            <w:r>
              <w:rPr>
                <w:rFonts w:hint="eastAsia" w:ascii="宋体" w:hAnsi="宋体"/>
                <w:b/>
                <w:color w:val="auto"/>
                <w:szCs w:val="21"/>
                <w:highlight w:val="none"/>
              </w:rPr>
              <w:t>4.保函有效期低于投标有效期的，视为无效投标保证金。</w:t>
            </w:r>
          </w:p>
          <w:p w14:paraId="5C5BC2EF">
            <w:pPr>
              <w:snapToGrid w:val="0"/>
              <w:spacing w:line="360" w:lineRule="auto"/>
              <w:rPr>
                <w:color w:val="auto"/>
                <w:highlight w:val="none"/>
              </w:rPr>
            </w:pPr>
            <w:r>
              <w:rPr>
                <w:rFonts w:hint="eastAsia" w:ascii="宋体" w:hAnsi="宋体"/>
                <w:b/>
                <w:color w:val="auto"/>
                <w:szCs w:val="21"/>
                <w:highlight w:val="none"/>
              </w:rPr>
              <w:t>5.采用银行、保险机构出具保函的，必须为无条件保函，否则视为无效投标保证金。</w:t>
            </w:r>
          </w:p>
        </w:tc>
      </w:tr>
      <w:tr w14:paraId="21B00F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A0F038D">
            <w:pPr>
              <w:spacing w:line="360" w:lineRule="auto"/>
              <w:jc w:val="center"/>
              <w:rPr>
                <w:rFonts w:ascii="宋体" w:hAnsi="宋体"/>
                <w:color w:val="auto"/>
                <w:szCs w:val="21"/>
                <w:highlight w:val="none"/>
              </w:rPr>
            </w:pPr>
            <w:bookmarkStart w:id="82" w:name="_19.2"/>
            <w:bookmarkEnd w:id="82"/>
            <w:r>
              <w:rPr>
                <w:rFonts w:hint="eastAsia" w:ascii="宋体" w:hAnsi="宋体"/>
                <w:color w:val="auto"/>
                <w:szCs w:val="21"/>
                <w:highlight w:val="none"/>
              </w:rPr>
              <w:t>20</w:t>
            </w:r>
          </w:p>
        </w:tc>
        <w:tc>
          <w:tcPr>
            <w:tcW w:w="8670" w:type="dxa"/>
            <w:tcBorders>
              <w:top w:val="single" w:color="auto" w:sz="4" w:space="0"/>
              <w:left w:val="single" w:color="auto" w:sz="4" w:space="0"/>
              <w:bottom w:val="single" w:color="auto" w:sz="4" w:space="0"/>
              <w:right w:val="single" w:color="auto" w:sz="4" w:space="0"/>
            </w:tcBorders>
            <w:vAlign w:val="center"/>
          </w:tcPr>
          <w:p w14:paraId="20139051">
            <w:pPr>
              <w:autoSpaceDE w:val="0"/>
              <w:autoSpaceDN w:val="0"/>
              <w:adjustRightIn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备份投标文件；</w:t>
            </w:r>
          </w:p>
          <w:p w14:paraId="391E6199">
            <w:pPr>
              <w:autoSpaceDE w:val="0"/>
              <w:autoSpaceDN w:val="0"/>
              <w:adjustRightInd w:val="0"/>
              <w:spacing w:line="360" w:lineRule="auto"/>
              <w:textAlignment w:val="bottom"/>
              <w:rPr>
                <w:color w:val="auto"/>
                <w:highlight w:val="none"/>
              </w:rPr>
            </w:pPr>
            <w:r>
              <w:rPr>
                <w:rFonts w:hint="eastAsia" w:ascii="宋体" w:hAnsi="宋体"/>
                <w:color w:val="auto"/>
                <w:szCs w:val="21"/>
                <w:highlight w:val="none"/>
              </w:rPr>
              <w:t>□</w:t>
            </w:r>
            <w:r>
              <w:rPr>
                <w:rFonts w:hint="eastAsia"/>
                <w:color w:val="auto"/>
                <w:highlight w:val="none"/>
              </w:rPr>
              <w:t>本项目接受电子备份投标文件。</w:t>
            </w:r>
          </w:p>
          <w:p w14:paraId="2B006842">
            <w:pPr>
              <w:autoSpaceDE w:val="0"/>
              <w:autoSpaceDN w:val="0"/>
              <w:adjustRightInd w:val="0"/>
              <w:spacing w:line="360" w:lineRule="auto"/>
              <w:ind w:firstLine="420" w:firstLineChars="200"/>
              <w:textAlignment w:val="bottom"/>
              <w:rPr>
                <w:color w:val="auto"/>
                <w:highlight w:val="none"/>
              </w:rPr>
            </w:pPr>
            <w:r>
              <w:rPr>
                <w:rFonts w:hint="eastAsia"/>
                <w:color w:val="auto"/>
                <w:highlight w:val="none"/>
              </w:rPr>
              <w:t>电子</w:t>
            </w:r>
            <w:r>
              <w:rPr>
                <w:rFonts w:hint="eastAsia" w:ascii="宋体" w:hAnsi="宋体"/>
                <w:color w:val="auto"/>
                <w:szCs w:val="21"/>
                <w:highlight w:val="none"/>
              </w:rPr>
              <w:t>备份投标文件</w:t>
            </w:r>
            <w:r>
              <w:rPr>
                <w:rFonts w:hint="eastAsia"/>
                <w:color w:val="auto"/>
                <w:highlight w:val="none"/>
              </w:rPr>
              <w:t>提交方式：投标人可以在投标截止时间前采用以下</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rPr>
              <w:t>种方式向采购代理机构提交电子备份投标文件：</w:t>
            </w:r>
          </w:p>
          <w:p w14:paraId="79D6708C">
            <w:pPr>
              <w:autoSpaceDE w:val="0"/>
              <w:autoSpaceDN w:val="0"/>
              <w:adjustRightInd w:val="0"/>
              <w:spacing w:line="360" w:lineRule="auto"/>
              <w:textAlignment w:val="bottom"/>
              <w:rPr>
                <w:color w:val="auto"/>
                <w:highlight w:val="none"/>
              </w:rPr>
            </w:pPr>
            <w:r>
              <w:rPr>
                <w:rFonts w:hint="eastAsia"/>
                <w:color w:val="auto"/>
                <w:highlight w:val="none"/>
              </w:rPr>
              <w:t>（</w:t>
            </w:r>
            <w:r>
              <w:rPr>
                <w:color w:val="auto"/>
                <w:highlight w:val="none"/>
              </w:rPr>
              <w:t>1</w:t>
            </w:r>
            <w:r>
              <w:rPr>
                <w:rFonts w:hint="eastAsia"/>
                <w:color w:val="auto"/>
                <w:highlight w:val="none"/>
              </w:rPr>
              <w:t>）现场提交方式，应采用</w:t>
            </w:r>
            <w:r>
              <w:rPr>
                <w:color w:val="auto"/>
                <w:highlight w:val="none"/>
              </w:rPr>
              <w:t>U</w:t>
            </w:r>
            <w:r>
              <w:rPr>
                <w:rFonts w:hint="eastAsia"/>
                <w:color w:val="auto"/>
                <w:highlight w:val="none"/>
              </w:rPr>
              <w:t>盘进行存储，提交地址：</w:t>
            </w:r>
            <w:r>
              <w:rPr>
                <w:rFonts w:hint="eastAsia" w:ascii="宋体" w:hAnsi="宋体"/>
                <w:color w:val="auto"/>
                <w:szCs w:val="21"/>
                <w:highlight w:val="none"/>
                <w:u w:val="single"/>
              </w:rPr>
              <w:t xml:space="preserve">    </w:t>
            </w:r>
            <w:r>
              <w:rPr>
                <w:rFonts w:hint="eastAsia"/>
                <w:color w:val="auto"/>
                <w:highlight w:val="none"/>
              </w:rPr>
              <w:t>；提交截止时间：</w:t>
            </w:r>
            <w:r>
              <w:rPr>
                <w:rFonts w:hint="eastAsia" w:ascii="宋体" w:hAnsi="宋体"/>
                <w:color w:val="auto"/>
                <w:szCs w:val="21"/>
                <w:highlight w:val="none"/>
                <w:u w:val="single"/>
              </w:rPr>
              <w:t xml:space="preserve">    </w:t>
            </w:r>
            <w:r>
              <w:rPr>
                <w:rFonts w:hint="eastAsia"/>
                <w:color w:val="auto"/>
                <w:highlight w:val="none"/>
              </w:rPr>
              <w:t>；外包装上注明投标人名称、项目名称及项目编号（外包装不作密封要求）。</w:t>
            </w:r>
          </w:p>
          <w:p w14:paraId="12F16C8B">
            <w:pPr>
              <w:autoSpaceDE w:val="0"/>
              <w:autoSpaceDN w:val="0"/>
              <w:adjustRightInd w:val="0"/>
              <w:spacing w:line="360" w:lineRule="auto"/>
              <w:textAlignment w:val="bottom"/>
              <w:rPr>
                <w:color w:val="auto"/>
                <w:highlight w:val="none"/>
              </w:rPr>
            </w:pPr>
            <w:r>
              <w:rPr>
                <w:rFonts w:hint="eastAsia"/>
                <w:color w:val="auto"/>
                <w:highlight w:val="none"/>
              </w:rPr>
              <w:t>（</w:t>
            </w:r>
            <w:r>
              <w:rPr>
                <w:color w:val="auto"/>
                <w:highlight w:val="none"/>
              </w:rPr>
              <w:t>2</w:t>
            </w:r>
            <w:r>
              <w:rPr>
                <w:rFonts w:hint="eastAsia"/>
                <w:color w:val="auto"/>
                <w:highlight w:val="none"/>
              </w:rPr>
              <w:t>）电子邮件方式，接收电子备份投标文件的电子邮箱为：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rPr>
              <w:t>。</w:t>
            </w:r>
          </w:p>
          <w:p w14:paraId="7FFB84DB">
            <w:pPr>
              <w:pStyle w:val="15"/>
              <w:spacing w:line="360" w:lineRule="auto"/>
              <w:rPr>
                <w:color w:val="auto"/>
                <w:highlight w:val="none"/>
              </w:rPr>
            </w:pPr>
            <w:r>
              <w:rPr>
                <w:rFonts w:hint="eastAsia"/>
                <w:color w:val="auto"/>
                <w:highlight w:val="none"/>
              </w:rPr>
              <w:t>（</w:t>
            </w:r>
            <w:r>
              <w:rPr>
                <w:color w:val="auto"/>
                <w:highlight w:val="none"/>
              </w:rPr>
              <w:t>3</w:t>
            </w:r>
            <w:r>
              <w:rPr>
                <w:rFonts w:hint="eastAsia"/>
                <w:color w:val="auto"/>
                <w:highlight w:val="none"/>
              </w:rPr>
              <w:t>）邮寄方式，应采用</w:t>
            </w:r>
            <w:r>
              <w:rPr>
                <w:color w:val="auto"/>
                <w:highlight w:val="none"/>
              </w:rPr>
              <w:t>U</w:t>
            </w:r>
            <w:r>
              <w:rPr>
                <w:rFonts w:hint="eastAsia"/>
                <w:color w:val="auto"/>
                <w:highlight w:val="none"/>
              </w:rPr>
              <w:t>盘进行存储，邮寄地址：</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rPr>
              <w:t>，截止接收时间：</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rPr>
              <w:t>，</w:t>
            </w:r>
          </w:p>
          <w:p w14:paraId="33248AC6">
            <w:pPr>
              <w:autoSpaceDE w:val="0"/>
              <w:autoSpaceDN w:val="0"/>
              <w:adjustRightInd w:val="0"/>
              <w:spacing w:line="360" w:lineRule="auto"/>
              <w:textAlignment w:val="bottom"/>
              <w:rPr>
                <w:color w:val="auto"/>
                <w:highlight w:val="none"/>
              </w:rPr>
            </w:pPr>
            <w:r>
              <w:rPr>
                <w:rFonts w:hint="eastAsia"/>
                <w:color w:val="auto"/>
                <w:highlight w:val="none"/>
              </w:rPr>
              <w:t>收件人：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rPr>
              <w:t>，联系方式：</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rPr>
              <w:t>；外包装上注明投标人名称、项目名称及项目编号（外包装不作密封要求）。</w:t>
            </w:r>
            <w:r>
              <w:rPr>
                <w:color w:val="auto"/>
                <w:highlight w:val="none"/>
              </w:rPr>
              <w:t xml:space="preserve"> </w:t>
            </w:r>
          </w:p>
          <w:p w14:paraId="7B9CDF88">
            <w:pPr>
              <w:autoSpaceDE w:val="0"/>
              <w:autoSpaceDN w:val="0"/>
              <w:snapToGrid w:val="0"/>
              <w:spacing w:line="360" w:lineRule="auto"/>
              <w:ind w:firstLine="420" w:firstLineChars="200"/>
              <w:textAlignment w:val="bottom"/>
              <w:rPr>
                <w:rFonts w:ascii="宋体" w:hAnsi="宋体"/>
                <w:color w:val="auto"/>
                <w:szCs w:val="21"/>
                <w:highlight w:val="none"/>
              </w:rPr>
            </w:pPr>
            <w:r>
              <w:rPr>
                <w:rFonts w:hint="eastAsia"/>
                <w:color w:val="auto"/>
                <w:highlight w:val="none"/>
              </w:rPr>
              <w:t>投标人未按上述规定提交的电子备份投标文件，采购代理机构不予接收或承认。若电子加密投标文件解密成功，电子备份投标文件自动失效。若投标人无法在规定的时间内解密投标文件或者解密失败的，采购代理机构将电子备份投标文件按“广西政府采购云平台”操作规范上传至“广西政府采购云平台”，电子备份投标文件上传成功后，投标人原上传的电子加密投标文件自动失效。若投标人在规定时间内无法解密或解密失败且未提供电子备份投标文件的（包含提供的电子备份投标文件无效或无法解读的情况），</w:t>
            </w:r>
            <w:r>
              <w:rPr>
                <w:rFonts w:hint="eastAsia"/>
                <w:b/>
                <w:color w:val="auto"/>
                <w:highlight w:val="none"/>
              </w:rPr>
              <w:t>投标人的投标文件作无效处理</w:t>
            </w:r>
            <w:r>
              <w:rPr>
                <w:rFonts w:hint="eastAsia"/>
                <w:color w:val="auto"/>
                <w:highlight w:val="none"/>
              </w:rPr>
              <w:t>。</w:t>
            </w:r>
          </w:p>
        </w:tc>
      </w:tr>
      <w:tr w14:paraId="485D70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95" w:type="dxa"/>
            <w:tcBorders>
              <w:top w:val="single" w:color="auto" w:sz="4" w:space="0"/>
              <w:left w:val="single" w:color="auto" w:sz="4" w:space="0"/>
              <w:bottom w:val="single" w:color="auto" w:sz="4" w:space="0"/>
              <w:right w:val="single" w:color="auto" w:sz="4" w:space="0"/>
            </w:tcBorders>
            <w:vAlign w:val="center"/>
          </w:tcPr>
          <w:p w14:paraId="703EBE36">
            <w:pPr>
              <w:spacing w:line="360" w:lineRule="auto"/>
              <w:jc w:val="center"/>
              <w:rPr>
                <w:rFonts w:ascii="宋体" w:hAnsi="宋体"/>
                <w:color w:val="auto"/>
                <w:szCs w:val="21"/>
                <w:highlight w:val="none"/>
              </w:rPr>
            </w:pPr>
            <w:bookmarkStart w:id="83" w:name="_21.1"/>
            <w:bookmarkEnd w:id="83"/>
            <w:r>
              <w:rPr>
                <w:rFonts w:hint="eastAsia" w:ascii="宋体" w:hAnsi="宋体"/>
                <w:color w:val="auto"/>
                <w:szCs w:val="21"/>
                <w:highlight w:val="none"/>
              </w:rPr>
              <w:t>21.1</w:t>
            </w:r>
          </w:p>
        </w:tc>
        <w:tc>
          <w:tcPr>
            <w:tcW w:w="8670" w:type="dxa"/>
            <w:tcBorders>
              <w:top w:val="single" w:color="auto" w:sz="4" w:space="0"/>
              <w:left w:val="single" w:color="auto" w:sz="4" w:space="0"/>
              <w:bottom w:val="single" w:color="auto" w:sz="4" w:space="0"/>
              <w:right w:val="single" w:color="auto" w:sz="4" w:space="0"/>
            </w:tcBorders>
            <w:vAlign w:val="center"/>
          </w:tcPr>
          <w:p w14:paraId="553A8373">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1. 提交投标文件截止时间：详见招标公告</w:t>
            </w:r>
          </w:p>
          <w:p w14:paraId="6011CA03">
            <w:pPr>
              <w:snapToGrid w:val="0"/>
              <w:spacing w:line="360" w:lineRule="auto"/>
              <w:rPr>
                <w:rFonts w:ascii="宋体" w:hAnsi="宋体"/>
                <w:color w:val="auto"/>
                <w:szCs w:val="21"/>
                <w:highlight w:val="none"/>
              </w:rPr>
            </w:pPr>
            <w:r>
              <w:rPr>
                <w:rFonts w:hint="eastAsia" w:ascii="宋体" w:hAnsi="宋体"/>
                <w:color w:val="auto"/>
                <w:szCs w:val="21"/>
                <w:highlight w:val="none"/>
              </w:rPr>
              <w:t>2.投标地点：详见招标公告</w:t>
            </w:r>
          </w:p>
        </w:tc>
      </w:tr>
      <w:tr w14:paraId="10666E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719E3B4">
            <w:pPr>
              <w:spacing w:line="360" w:lineRule="auto"/>
              <w:jc w:val="center"/>
              <w:rPr>
                <w:rFonts w:ascii="宋体" w:hAnsi="宋体"/>
                <w:color w:val="auto"/>
                <w:szCs w:val="21"/>
                <w:highlight w:val="none"/>
              </w:rPr>
            </w:pPr>
            <w:bookmarkStart w:id="84" w:name="_23"/>
            <w:bookmarkEnd w:id="84"/>
            <w:r>
              <w:rPr>
                <w:rFonts w:hint="eastAsia" w:ascii="宋体" w:hAnsi="宋体"/>
                <w:color w:val="auto"/>
                <w:szCs w:val="21"/>
                <w:highlight w:val="none"/>
              </w:rPr>
              <w:t>23</w:t>
            </w:r>
          </w:p>
        </w:tc>
        <w:tc>
          <w:tcPr>
            <w:tcW w:w="8670" w:type="dxa"/>
            <w:tcBorders>
              <w:top w:val="single" w:color="auto" w:sz="4" w:space="0"/>
              <w:left w:val="single" w:color="auto" w:sz="4" w:space="0"/>
              <w:bottom w:val="single" w:color="auto" w:sz="4" w:space="0"/>
              <w:right w:val="single" w:color="auto" w:sz="4" w:space="0"/>
            </w:tcBorders>
            <w:vAlign w:val="center"/>
          </w:tcPr>
          <w:p w14:paraId="7E8AFE57">
            <w:pPr>
              <w:snapToGrid w:val="0"/>
              <w:spacing w:line="360" w:lineRule="auto"/>
              <w:rPr>
                <w:rFonts w:ascii="宋体" w:hAnsi="宋体"/>
                <w:color w:val="auto"/>
                <w:szCs w:val="21"/>
                <w:highlight w:val="none"/>
              </w:rPr>
            </w:pPr>
            <w:r>
              <w:rPr>
                <w:rFonts w:hint="eastAsia" w:ascii="宋体" w:hAnsi="宋体"/>
                <w:color w:val="auto"/>
                <w:szCs w:val="21"/>
                <w:highlight w:val="none"/>
              </w:rPr>
              <w:t>1.开标时间：详见招标公告</w:t>
            </w:r>
          </w:p>
          <w:p w14:paraId="138F7EBC">
            <w:pPr>
              <w:snapToGrid w:val="0"/>
              <w:spacing w:line="360" w:lineRule="auto"/>
              <w:rPr>
                <w:rFonts w:ascii="宋体" w:hAnsi="宋体"/>
                <w:color w:val="auto"/>
                <w:szCs w:val="21"/>
                <w:highlight w:val="none"/>
              </w:rPr>
            </w:pPr>
            <w:r>
              <w:rPr>
                <w:rFonts w:hint="eastAsia" w:ascii="宋体" w:hAnsi="宋体"/>
                <w:color w:val="auto"/>
                <w:szCs w:val="21"/>
                <w:highlight w:val="none"/>
              </w:rPr>
              <w:t>2.开标地点：详见招标公告</w:t>
            </w:r>
          </w:p>
        </w:tc>
      </w:tr>
      <w:tr w14:paraId="5AC243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8F2B21D">
            <w:pPr>
              <w:spacing w:line="360" w:lineRule="auto"/>
              <w:jc w:val="center"/>
              <w:rPr>
                <w:rFonts w:ascii="宋体" w:hAnsi="宋体"/>
                <w:color w:val="auto"/>
                <w:szCs w:val="21"/>
                <w:highlight w:val="none"/>
              </w:rPr>
            </w:pPr>
            <w:r>
              <w:rPr>
                <w:rFonts w:hint="eastAsia" w:ascii="宋体" w:hAnsi="宋体"/>
                <w:color w:val="auto"/>
                <w:szCs w:val="21"/>
                <w:highlight w:val="none"/>
              </w:rPr>
              <w:t>24.3（1）</w:t>
            </w:r>
          </w:p>
        </w:tc>
        <w:tc>
          <w:tcPr>
            <w:tcW w:w="8670" w:type="dxa"/>
            <w:tcBorders>
              <w:top w:val="single" w:color="auto" w:sz="4" w:space="0"/>
              <w:left w:val="single" w:color="auto" w:sz="4" w:space="0"/>
              <w:bottom w:val="single" w:color="auto" w:sz="4" w:space="0"/>
              <w:right w:val="single" w:color="auto" w:sz="4" w:space="0"/>
            </w:tcBorders>
            <w:vAlign w:val="center"/>
          </w:tcPr>
          <w:p w14:paraId="07225B3B">
            <w:pPr>
              <w:snapToGrid w:val="0"/>
              <w:spacing w:line="360" w:lineRule="auto"/>
              <w:rPr>
                <w:rFonts w:hAnsi="宋体"/>
                <w:color w:val="auto"/>
                <w:highlight w:val="none"/>
                <w:u w:val="single"/>
              </w:rPr>
            </w:pPr>
            <w:r>
              <w:rPr>
                <w:rFonts w:hint="eastAsia" w:hAnsi="宋体"/>
                <w:color w:val="auto"/>
                <w:highlight w:val="none"/>
              </w:rPr>
              <w:t>电子投标文件解密时间：</w:t>
            </w:r>
            <w:r>
              <w:rPr>
                <w:rFonts w:hint="eastAsia" w:hAnsi="宋体"/>
                <w:color w:val="auto"/>
                <w:highlight w:val="none"/>
                <w:u w:val="single"/>
              </w:rPr>
              <w:t>30</w:t>
            </w:r>
            <w:r>
              <w:rPr>
                <w:rFonts w:hint="eastAsia" w:hAnsi="宋体"/>
                <w:color w:val="auto"/>
                <w:highlight w:val="none"/>
              </w:rPr>
              <w:t>分钟</w:t>
            </w:r>
          </w:p>
        </w:tc>
      </w:tr>
      <w:tr w14:paraId="6E4EEE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75CD1F1">
            <w:pPr>
              <w:spacing w:line="360" w:lineRule="auto"/>
              <w:jc w:val="center"/>
              <w:rPr>
                <w:rFonts w:ascii="宋体" w:hAnsi="宋体"/>
                <w:color w:val="auto"/>
                <w:szCs w:val="21"/>
                <w:highlight w:val="none"/>
              </w:rPr>
            </w:pPr>
            <w:r>
              <w:rPr>
                <w:rFonts w:hint="eastAsia" w:ascii="宋体" w:hAnsi="宋体"/>
                <w:color w:val="auto"/>
                <w:szCs w:val="21"/>
                <w:highlight w:val="none"/>
              </w:rPr>
              <w:t>24</w:t>
            </w: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w:t>
            </w:r>
          </w:p>
        </w:tc>
        <w:tc>
          <w:tcPr>
            <w:tcW w:w="8670" w:type="dxa"/>
            <w:tcBorders>
              <w:top w:val="single" w:color="auto" w:sz="4" w:space="0"/>
              <w:left w:val="single" w:color="auto" w:sz="4" w:space="0"/>
              <w:bottom w:val="single" w:color="auto" w:sz="4" w:space="0"/>
              <w:right w:val="single" w:color="auto" w:sz="4" w:space="0"/>
            </w:tcBorders>
            <w:vAlign w:val="center"/>
          </w:tcPr>
          <w:p w14:paraId="764EC73E">
            <w:pPr>
              <w:snapToGrid w:val="0"/>
              <w:spacing w:line="360" w:lineRule="auto"/>
              <w:rPr>
                <w:rFonts w:ascii="宋体" w:hAnsi="宋体"/>
                <w:color w:val="auto"/>
                <w:szCs w:val="21"/>
                <w:highlight w:val="none"/>
              </w:rPr>
            </w:pPr>
            <w:r>
              <w:rPr>
                <w:rFonts w:hint="eastAsia"/>
                <w:color w:val="auto"/>
                <w:highlight w:val="none"/>
              </w:rPr>
              <w:t>宣布的内容</w:t>
            </w:r>
            <w:r>
              <w:rPr>
                <w:rFonts w:hint="eastAsia" w:hAnsi="宋体"/>
                <w:color w:val="auto"/>
                <w:highlight w:val="none"/>
              </w:rPr>
              <w:t>：投标人名称、投标价格</w:t>
            </w:r>
          </w:p>
        </w:tc>
      </w:tr>
      <w:tr w14:paraId="528A64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5CA31FE">
            <w:pPr>
              <w:spacing w:line="360" w:lineRule="auto"/>
              <w:jc w:val="center"/>
              <w:rPr>
                <w:rFonts w:ascii="宋体" w:hAnsi="宋体"/>
                <w:color w:val="auto"/>
                <w:szCs w:val="21"/>
                <w:highlight w:val="none"/>
              </w:rPr>
            </w:pPr>
            <w:bookmarkStart w:id="85" w:name="_25.3"/>
            <w:bookmarkEnd w:id="85"/>
            <w:r>
              <w:rPr>
                <w:rFonts w:hint="eastAsia" w:ascii="宋体" w:hAnsi="宋体"/>
                <w:color w:val="auto"/>
                <w:szCs w:val="21"/>
                <w:highlight w:val="none"/>
              </w:rPr>
              <w:t>25.3（</w:t>
            </w:r>
            <w:r>
              <w:rPr>
                <w:rFonts w:ascii="宋体" w:hAnsi="宋体"/>
                <w:color w:val="auto"/>
                <w:szCs w:val="21"/>
                <w:highlight w:val="none"/>
              </w:rPr>
              <w:t>2</w:t>
            </w:r>
            <w:r>
              <w:rPr>
                <w:rFonts w:hint="eastAsia" w:ascii="宋体" w:hAnsi="宋体"/>
                <w:color w:val="auto"/>
                <w:szCs w:val="21"/>
                <w:highlight w:val="none"/>
              </w:rPr>
              <w:t>）</w:t>
            </w:r>
          </w:p>
        </w:tc>
        <w:tc>
          <w:tcPr>
            <w:tcW w:w="8670" w:type="dxa"/>
            <w:tcBorders>
              <w:top w:val="single" w:color="auto" w:sz="4" w:space="0"/>
              <w:left w:val="single" w:color="auto" w:sz="4" w:space="0"/>
              <w:bottom w:val="single" w:color="auto" w:sz="4" w:space="0"/>
              <w:right w:val="single" w:color="auto" w:sz="4" w:space="0"/>
            </w:tcBorders>
            <w:vAlign w:val="center"/>
          </w:tcPr>
          <w:p w14:paraId="43B02889">
            <w:pPr>
              <w:snapToGrid w:val="0"/>
              <w:spacing w:line="360" w:lineRule="auto"/>
              <w:rPr>
                <w:rFonts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7D53CF50">
            <w:pPr>
              <w:snapToGrid w:val="0"/>
              <w:spacing w:line="360" w:lineRule="auto"/>
              <w:rPr>
                <w:rFonts w:ascii="宋体" w:hAnsi="宋体"/>
                <w:color w:val="auto"/>
                <w:szCs w:val="21"/>
                <w:highlight w:val="none"/>
              </w:rPr>
            </w:pPr>
            <w:r>
              <w:rPr>
                <w:rFonts w:hint="eastAsia" w:ascii="宋体" w:hAnsi="宋体"/>
                <w:color w:val="auto"/>
                <w:szCs w:val="21"/>
                <w:highlight w:val="none"/>
              </w:rPr>
              <w:t>查询渠道：“信用中国”网站（www.creditchina.gov.cn） 、中国政府采购网（www.ccgp.gov.cn）。</w:t>
            </w:r>
          </w:p>
          <w:p w14:paraId="444AFEB3">
            <w:pPr>
              <w:snapToGrid w:val="0"/>
              <w:spacing w:line="360" w:lineRule="auto"/>
              <w:rPr>
                <w:rFonts w:ascii="宋体" w:hAnsi="宋体"/>
                <w:color w:val="auto"/>
                <w:szCs w:val="21"/>
                <w:highlight w:val="none"/>
              </w:rPr>
            </w:pPr>
            <w:r>
              <w:rPr>
                <w:rFonts w:hint="eastAsia" w:ascii="宋体" w:hAnsi="宋体"/>
                <w:color w:val="auto"/>
                <w:szCs w:val="21"/>
                <w:highlight w:val="none"/>
              </w:rPr>
              <w:t>信用查询截止时点：资格审查结束前</w:t>
            </w:r>
          </w:p>
          <w:p w14:paraId="714AC5F2">
            <w:pPr>
              <w:snapToGrid w:val="0"/>
              <w:spacing w:line="360" w:lineRule="auto"/>
              <w:rPr>
                <w:rFonts w:ascii="宋体" w:hAnsi="宋体"/>
                <w:color w:val="auto"/>
                <w:szCs w:val="21"/>
                <w:highlight w:val="none"/>
              </w:rPr>
            </w:pPr>
            <w:r>
              <w:rPr>
                <w:rFonts w:hint="eastAsia" w:ascii="宋体" w:hAnsi="宋体"/>
                <w:color w:val="auto"/>
                <w:szCs w:val="21"/>
                <w:highlight w:val="none"/>
              </w:rPr>
              <w:t>查询记录和证据留存方式：在查询网站中直接截图查询记录，截图在广西政府采购云平台（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）作为附件上传保存。</w:t>
            </w:r>
          </w:p>
          <w:p w14:paraId="1C5A9E19">
            <w:pPr>
              <w:snapToGrid w:val="0"/>
              <w:spacing w:line="360" w:lineRule="auto"/>
              <w:rPr>
                <w:rFonts w:ascii="宋体" w:hAnsi="宋体"/>
                <w:b/>
                <w:color w:val="auto"/>
                <w:szCs w:val="21"/>
                <w:highlight w:val="none"/>
              </w:rPr>
            </w:pPr>
            <w:r>
              <w:rPr>
                <w:rFonts w:hint="eastAsia" w:ascii="宋体" w:hAnsi="宋体"/>
                <w:color w:val="auto"/>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75229D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3B0DC36">
            <w:pPr>
              <w:spacing w:line="360" w:lineRule="auto"/>
              <w:jc w:val="center"/>
              <w:rPr>
                <w:rFonts w:ascii="宋体" w:hAnsi="宋体"/>
                <w:color w:val="auto"/>
                <w:szCs w:val="21"/>
                <w:highlight w:val="none"/>
              </w:rPr>
            </w:pPr>
            <w:bookmarkStart w:id="86" w:name="_26"/>
            <w:bookmarkEnd w:id="86"/>
            <w:r>
              <w:rPr>
                <w:rFonts w:hint="eastAsia" w:ascii="宋体" w:hAnsi="宋体"/>
                <w:color w:val="auto"/>
                <w:szCs w:val="21"/>
                <w:highlight w:val="none"/>
              </w:rPr>
              <w:t>26</w:t>
            </w:r>
            <w:r>
              <w:rPr>
                <w:rFonts w:ascii="宋体" w:hAnsi="宋体"/>
                <w:color w:val="auto"/>
                <w:szCs w:val="21"/>
                <w:highlight w:val="none"/>
              </w:rPr>
              <w:t>.1</w:t>
            </w:r>
          </w:p>
        </w:tc>
        <w:tc>
          <w:tcPr>
            <w:tcW w:w="8670" w:type="dxa"/>
            <w:tcBorders>
              <w:top w:val="single" w:color="auto" w:sz="4" w:space="0"/>
              <w:left w:val="single" w:color="auto" w:sz="4" w:space="0"/>
              <w:bottom w:val="single" w:color="auto" w:sz="4" w:space="0"/>
              <w:right w:val="single" w:color="auto" w:sz="4" w:space="0"/>
            </w:tcBorders>
            <w:vAlign w:val="center"/>
          </w:tcPr>
          <w:p w14:paraId="46A2F593">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评标委员会的人数：</w:t>
            </w:r>
            <w:r>
              <w:rPr>
                <w:rFonts w:hint="eastAsia" w:ascii="宋体" w:hAnsi="宋体"/>
                <w:color w:val="auto"/>
                <w:szCs w:val="21"/>
                <w:highlight w:val="none"/>
                <w:u w:val="single"/>
              </w:rPr>
              <w:t>5</w:t>
            </w:r>
            <w:r>
              <w:rPr>
                <w:rFonts w:hint="eastAsia" w:ascii="宋体" w:hAnsi="宋体"/>
                <w:color w:val="auto"/>
                <w:szCs w:val="21"/>
                <w:highlight w:val="none"/>
              </w:rPr>
              <w:t>人</w:t>
            </w:r>
          </w:p>
        </w:tc>
      </w:tr>
      <w:tr w14:paraId="602073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3D7BE99">
            <w:pPr>
              <w:spacing w:line="360" w:lineRule="auto"/>
              <w:jc w:val="center"/>
              <w:rPr>
                <w:rFonts w:ascii="宋体" w:hAnsi="宋体"/>
                <w:color w:val="auto"/>
                <w:szCs w:val="21"/>
                <w:highlight w:val="none"/>
              </w:rPr>
            </w:pPr>
            <w:bookmarkStart w:id="87" w:name="_28.3"/>
            <w:bookmarkEnd w:id="87"/>
            <w:r>
              <w:rPr>
                <w:rFonts w:ascii="宋体" w:hAnsi="宋体"/>
                <w:color w:val="auto"/>
                <w:szCs w:val="21"/>
                <w:highlight w:val="none"/>
              </w:rPr>
              <w:t>29.1</w:t>
            </w:r>
          </w:p>
        </w:tc>
        <w:tc>
          <w:tcPr>
            <w:tcW w:w="8670" w:type="dxa"/>
            <w:tcBorders>
              <w:top w:val="single" w:color="auto" w:sz="4" w:space="0"/>
              <w:left w:val="single" w:color="auto" w:sz="4" w:space="0"/>
              <w:bottom w:val="single" w:color="auto" w:sz="4" w:space="0"/>
              <w:right w:val="single" w:color="auto" w:sz="4" w:space="0"/>
            </w:tcBorders>
            <w:vAlign w:val="center"/>
          </w:tcPr>
          <w:p w14:paraId="62D06A7E">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评标方法：</w:t>
            </w:r>
          </w:p>
          <w:p w14:paraId="1FE12A95">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☑综合评分法</w:t>
            </w:r>
          </w:p>
          <w:p w14:paraId="18778644">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□最低评标价法</w:t>
            </w:r>
          </w:p>
        </w:tc>
      </w:tr>
      <w:tr w14:paraId="145BD0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477C2DCF">
            <w:pPr>
              <w:spacing w:line="360" w:lineRule="auto"/>
              <w:jc w:val="center"/>
              <w:rPr>
                <w:rFonts w:ascii="宋体" w:hAnsi="宋体"/>
                <w:color w:val="auto"/>
                <w:szCs w:val="21"/>
                <w:highlight w:val="none"/>
              </w:rPr>
            </w:pPr>
            <w:bookmarkStart w:id="88" w:name="_29.2.2（2）"/>
            <w:bookmarkEnd w:id="88"/>
            <w:r>
              <w:rPr>
                <w:rFonts w:hint="eastAsia" w:ascii="宋体" w:hAnsi="宋体"/>
                <w:color w:val="auto"/>
                <w:szCs w:val="21"/>
                <w:highlight w:val="none"/>
              </w:rPr>
              <w:t>2</w:t>
            </w:r>
            <w:r>
              <w:rPr>
                <w:rFonts w:ascii="宋体" w:hAnsi="宋体"/>
                <w:color w:val="auto"/>
                <w:szCs w:val="21"/>
                <w:highlight w:val="none"/>
              </w:rPr>
              <w:t>9.2</w:t>
            </w:r>
          </w:p>
        </w:tc>
        <w:tc>
          <w:tcPr>
            <w:tcW w:w="8670" w:type="dxa"/>
            <w:tcBorders>
              <w:top w:val="single" w:color="auto" w:sz="4" w:space="0"/>
              <w:left w:val="single" w:color="auto" w:sz="4" w:space="0"/>
              <w:right w:val="single" w:color="auto" w:sz="4" w:space="0"/>
            </w:tcBorders>
            <w:vAlign w:val="center"/>
          </w:tcPr>
          <w:p w14:paraId="3F9D1B40">
            <w:pPr>
              <w:snapToGrid w:val="0"/>
              <w:spacing w:line="360" w:lineRule="auto"/>
              <w:rPr>
                <w:rFonts w:ascii="宋体" w:hAnsi="宋体"/>
                <w:color w:val="auto"/>
                <w:szCs w:val="21"/>
                <w:highlight w:val="none"/>
              </w:rPr>
            </w:pPr>
            <w:r>
              <w:rPr>
                <w:rFonts w:hint="eastAsia" w:ascii="宋体" w:hAnsi="宋体" w:cs="宋体"/>
                <w:color w:val="auto"/>
                <w:szCs w:val="21"/>
                <w:highlight w:val="none"/>
              </w:rPr>
              <w:t>每分标商务要求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 xml:space="preserve"> 0</w:t>
            </w:r>
            <w:r>
              <w:rPr>
                <w:rFonts w:hint="eastAsia" w:ascii="宋体" w:hAnsi="宋体"/>
                <w:color w:val="auto"/>
                <w:szCs w:val="21"/>
                <w:highlight w:val="none"/>
              </w:rPr>
              <w:t>项。</w:t>
            </w:r>
          </w:p>
          <w:p w14:paraId="7D68F820">
            <w:pPr>
              <w:snapToGrid w:val="0"/>
              <w:spacing w:line="360" w:lineRule="auto"/>
              <w:rPr>
                <w:rFonts w:ascii="宋体" w:hAnsi="宋体"/>
                <w:color w:val="auto"/>
                <w:szCs w:val="21"/>
                <w:highlight w:val="none"/>
              </w:rPr>
            </w:pPr>
            <w:r>
              <w:rPr>
                <w:rFonts w:hint="eastAsia" w:ascii="宋体" w:hAnsi="宋体" w:cs="宋体"/>
                <w:color w:val="auto"/>
                <w:szCs w:val="21"/>
                <w:highlight w:val="none"/>
              </w:rPr>
              <w:t>每分标技术要求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10项</w:t>
            </w:r>
            <w:r>
              <w:rPr>
                <w:rFonts w:hint="eastAsia" w:ascii="宋体" w:hAnsi="宋体"/>
                <w:color w:val="auto"/>
                <w:szCs w:val="21"/>
                <w:highlight w:val="none"/>
              </w:rPr>
              <w:t>。</w:t>
            </w:r>
            <w:r>
              <w:rPr>
                <w:rFonts w:hint="eastAsia" w:ascii="宋体" w:hAnsi="宋体"/>
                <w:b/>
                <w:bCs/>
                <w:color w:val="auto"/>
                <w:szCs w:val="21"/>
                <w:highlight w:val="none"/>
              </w:rPr>
              <w:t>（非标</w:t>
            </w:r>
            <w:r>
              <w:rPr>
                <w:rFonts w:hint="eastAsia" w:ascii="宋体" w:hAnsi="宋体" w:cs="宋体"/>
                <w:b/>
                <w:bCs/>
                <w:color w:val="auto"/>
                <w:szCs w:val="21"/>
                <w:highlight w:val="none"/>
              </w:rPr>
              <w:t>“▲”的技术条款，负偏离11项或以上按无效投标处理</w:t>
            </w:r>
            <w:r>
              <w:rPr>
                <w:rFonts w:hint="eastAsia" w:ascii="宋体" w:hAnsi="宋体"/>
                <w:b/>
                <w:bCs/>
                <w:color w:val="auto"/>
                <w:szCs w:val="21"/>
                <w:highlight w:val="none"/>
              </w:rPr>
              <w:t>）</w:t>
            </w:r>
          </w:p>
        </w:tc>
      </w:tr>
      <w:tr w14:paraId="421636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40CEF8E9">
            <w:pPr>
              <w:spacing w:line="360" w:lineRule="auto"/>
              <w:jc w:val="center"/>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9.3</w:t>
            </w:r>
          </w:p>
        </w:tc>
        <w:tc>
          <w:tcPr>
            <w:tcW w:w="8670" w:type="dxa"/>
            <w:tcBorders>
              <w:top w:val="single" w:color="auto" w:sz="4" w:space="0"/>
              <w:left w:val="single" w:color="auto" w:sz="4" w:space="0"/>
              <w:right w:val="single" w:color="auto" w:sz="4" w:space="0"/>
            </w:tcBorders>
            <w:vAlign w:val="center"/>
          </w:tcPr>
          <w:p w14:paraId="1F872B8A">
            <w:pPr>
              <w:snapToGrid w:val="0"/>
              <w:spacing w:line="360" w:lineRule="auto"/>
              <w:rPr>
                <w:rFonts w:hAnsi="宋体"/>
                <w:color w:val="auto"/>
                <w:highlight w:val="none"/>
              </w:rPr>
            </w:pPr>
            <w:r>
              <w:rPr>
                <w:rFonts w:hAnsi="宋体"/>
                <w:color w:val="auto"/>
                <w:highlight w:val="none"/>
              </w:rPr>
              <w:t>中标候选人推荐数量</w:t>
            </w:r>
            <w:r>
              <w:rPr>
                <w:rFonts w:hint="eastAsia" w:hAnsi="宋体"/>
                <w:color w:val="auto"/>
                <w:highlight w:val="none"/>
              </w:rPr>
              <w:t>：</w:t>
            </w:r>
          </w:p>
          <w:p w14:paraId="6C45E7AF">
            <w:pPr>
              <w:snapToGrid w:val="0"/>
              <w:spacing w:line="360" w:lineRule="auto"/>
              <w:rPr>
                <w:rFonts w:hAnsi="宋体"/>
                <w:color w:val="auto"/>
                <w:highlight w:val="none"/>
              </w:rPr>
            </w:pPr>
            <w:r>
              <w:rPr>
                <w:rFonts w:hint="eastAsia" w:ascii="宋体" w:hAnsi="宋体"/>
                <w:color w:val="auto"/>
                <w:szCs w:val="21"/>
                <w:highlight w:val="none"/>
              </w:rPr>
              <w:t>☑</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3</w:t>
            </w:r>
            <w:r>
              <w:rPr>
                <w:rFonts w:hAnsi="宋体"/>
                <w:color w:val="auto"/>
                <w:highlight w:val="none"/>
                <w:u w:val="single"/>
              </w:rPr>
              <w:t xml:space="preserve"> </w:t>
            </w:r>
            <w:r>
              <w:rPr>
                <w:rFonts w:hAnsi="宋体"/>
                <w:color w:val="auto"/>
                <w:highlight w:val="none"/>
              </w:rPr>
              <w:t>名</w:t>
            </w:r>
          </w:p>
          <w:p w14:paraId="34300BD6">
            <w:pPr>
              <w:snapToGrid w:val="0"/>
              <w:spacing w:line="360" w:lineRule="auto"/>
              <w:rPr>
                <w:rFonts w:ascii="宋体" w:hAnsi="宋体" w:cs="宋体"/>
                <w:color w:val="auto"/>
                <w:szCs w:val="21"/>
                <w:highlight w:val="none"/>
                <w:u w:val="single"/>
              </w:rPr>
            </w:pPr>
            <w:r>
              <w:rPr>
                <w:rFonts w:hint="eastAsia" w:ascii="宋体" w:hAnsi="宋体"/>
                <w:color w:val="auto"/>
                <w:szCs w:val="21"/>
                <w:highlight w:val="none"/>
              </w:rPr>
              <w:t>□</w:t>
            </w:r>
            <w:r>
              <w:rPr>
                <w:rFonts w:hint="eastAsia" w:hAnsi="宋体"/>
                <w:color w:val="auto"/>
                <w:highlight w:val="none"/>
              </w:rPr>
              <w:t>根据[总得分由高到低（综合评分法）/评标报价从低到高（最低评标价法）</w:t>
            </w:r>
            <w:r>
              <w:rPr>
                <w:rFonts w:hAnsi="宋体"/>
                <w:color w:val="auto"/>
                <w:highlight w:val="none"/>
              </w:rPr>
              <w:t>]</w:t>
            </w:r>
            <w:r>
              <w:rPr>
                <w:rFonts w:hint="eastAsia" w:hAnsi="宋体"/>
                <w:color w:val="auto"/>
                <w:highlight w:val="none"/>
              </w:rPr>
              <w:t>排列次序并全部推荐为中标候选人</w:t>
            </w:r>
          </w:p>
        </w:tc>
      </w:tr>
      <w:tr w14:paraId="77CA07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8983592">
            <w:pPr>
              <w:spacing w:line="360" w:lineRule="auto"/>
              <w:jc w:val="center"/>
              <w:rPr>
                <w:rFonts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.1</w:t>
            </w:r>
          </w:p>
        </w:tc>
        <w:tc>
          <w:tcPr>
            <w:tcW w:w="8670" w:type="dxa"/>
            <w:tcBorders>
              <w:top w:val="single" w:color="auto" w:sz="4" w:space="0"/>
              <w:left w:val="single" w:color="auto" w:sz="4" w:space="0"/>
              <w:bottom w:val="single" w:color="auto" w:sz="4" w:space="0"/>
              <w:right w:val="single" w:color="auto" w:sz="4" w:space="0"/>
            </w:tcBorders>
            <w:vAlign w:val="center"/>
          </w:tcPr>
          <w:p w14:paraId="0E836FA6">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 w:val="22"/>
                <w:szCs w:val="22"/>
                <w:highlight w:val="none"/>
              </w:rPr>
              <w:t>采用综合评分法的采购项目，</w:t>
            </w:r>
            <w:r>
              <w:rPr>
                <w:rFonts w:hint="eastAsia" w:ascii="宋体" w:hAnsi="宋体"/>
                <w:color w:val="auto"/>
                <w:szCs w:val="21"/>
                <w:highlight w:val="none"/>
              </w:rPr>
              <w:t>采购人确定中标供应商时，出现中标候选人并列的情形，采购人按以下的方式确定中标供应商：</w:t>
            </w:r>
          </w:p>
          <w:p w14:paraId="04A7704C">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☑依次按投标报价低的优先、政策分得分高的优先、技术评分高的优先、商务评分高的优先、质保期长优先、交货期短优先、故障响应时间短优先的顺序确定；</w:t>
            </w:r>
          </w:p>
          <w:p w14:paraId="52E79A11">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□随机抽取；</w:t>
            </w:r>
          </w:p>
        </w:tc>
      </w:tr>
      <w:tr w14:paraId="465518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auto" w:sz="4" w:space="0"/>
              <w:left w:val="single" w:color="auto" w:sz="4" w:space="0"/>
              <w:bottom w:val="single" w:color="auto" w:sz="4" w:space="0"/>
              <w:right w:val="single" w:color="auto" w:sz="4" w:space="0"/>
            </w:tcBorders>
            <w:vAlign w:val="center"/>
          </w:tcPr>
          <w:p w14:paraId="452A68CA">
            <w:pPr>
              <w:spacing w:line="360" w:lineRule="auto"/>
              <w:jc w:val="center"/>
              <w:rPr>
                <w:rFonts w:ascii="宋体" w:hAnsi="宋体"/>
                <w:color w:val="auto"/>
                <w:szCs w:val="21"/>
                <w:highlight w:val="none"/>
              </w:rPr>
            </w:pPr>
            <w:bookmarkStart w:id="89" w:name="_39.1"/>
            <w:bookmarkEnd w:id="89"/>
            <w:r>
              <w:rPr>
                <w:rFonts w:hint="eastAsia" w:ascii="宋体" w:hAnsi="宋体"/>
                <w:color w:val="auto"/>
                <w:szCs w:val="21"/>
                <w:highlight w:val="none"/>
              </w:rPr>
              <w:t>35</w:t>
            </w:r>
            <w:r>
              <w:rPr>
                <w:rFonts w:ascii="宋体" w:hAnsi="宋体"/>
                <w:color w:val="auto"/>
                <w:szCs w:val="21"/>
                <w:highlight w:val="none"/>
              </w:rPr>
              <w:t>.1</w:t>
            </w:r>
          </w:p>
        </w:tc>
        <w:tc>
          <w:tcPr>
            <w:tcW w:w="8670" w:type="dxa"/>
            <w:tcBorders>
              <w:top w:val="single" w:color="auto" w:sz="4" w:space="0"/>
              <w:left w:val="single" w:color="auto" w:sz="4" w:space="0"/>
              <w:bottom w:val="single" w:color="auto" w:sz="4" w:space="0"/>
              <w:right w:val="single" w:color="auto" w:sz="4" w:space="0"/>
            </w:tcBorders>
            <w:vAlign w:val="center"/>
          </w:tcPr>
          <w:p w14:paraId="5685B573">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□不收取履约保证金。</w:t>
            </w:r>
          </w:p>
          <w:p w14:paraId="25A53DFB">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☑收取履约保证金，收取履约保证金的具体规定如下：</w:t>
            </w:r>
          </w:p>
          <w:p w14:paraId="374CF6A9">
            <w:pPr>
              <w:pStyle w:val="15"/>
              <w:spacing w:line="360" w:lineRule="auto"/>
              <w:rPr>
                <w:rFonts w:ascii="宋体" w:hAnsi="宋体"/>
                <w:color w:val="auto"/>
                <w:szCs w:val="21"/>
                <w:highlight w:val="none"/>
              </w:rPr>
            </w:pPr>
            <w:r>
              <w:rPr>
                <w:rFonts w:hint="eastAsia" w:ascii="宋体" w:hAnsi="宋体"/>
                <w:color w:val="auto"/>
                <w:szCs w:val="21"/>
                <w:highlight w:val="none"/>
              </w:rPr>
              <w:t>履约保证金金额：</w:t>
            </w:r>
            <w:r>
              <w:rPr>
                <w:rFonts w:hint="eastAsia" w:ascii="宋体" w:hAnsi="宋体"/>
                <w:color w:val="auto"/>
                <w:szCs w:val="21"/>
                <w:highlight w:val="none"/>
                <w:u w:val="single"/>
              </w:rPr>
              <w:t>每分标按中标金额的</w:t>
            </w:r>
            <w:r>
              <w:rPr>
                <w:rFonts w:hint="eastAsia" w:ascii="宋体" w:hAnsi="宋体" w:cs="Arial"/>
                <w:color w:val="auto"/>
                <w:szCs w:val="21"/>
                <w:highlight w:val="none"/>
                <w:u w:val="single"/>
              </w:rPr>
              <w:t>2</w:t>
            </w:r>
            <w:r>
              <w:rPr>
                <w:rFonts w:hint="eastAsia" w:ascii="宋体" w:hAnsi="宋体"/>
                <w:color w:val="auto"/>
                <w:szCs w:val="21"/>
                <w:highlight w:val="none"/>
                <w:u w:val="single"/>
              </w:rPr>
              <w:t>%</w:t>
            </w:r>
            <w:r>
              <w:rPr>
                <w:rFonts w:hint="eastAsia" w:ascii="宋体" w:hAnsi="宋体"/>
                <w:color w:val="auto"/>
                <w:szCs w:val="21"/>
                <w:highlight w:val="none"/>
              </w:rPr>
              <w:t>。</w:t>
            </w:r>
          </w:p>
          <w:p w14:paraId="6E1BC7DA">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履约保证金递交方式：银行转账、支票、汇票、本票或者银行、保险机构出具的保函等非现金方式（参照投标保证金）</w:t>
            </w:r>
          </w:p>
          <w:p w14:paraId="4628F1BE">
            <w:pPr>
              <w:autoSpaceDE w:val="0"/>
              <w:autoSpaceDN w:val="0"/>
              <w:snapToGrid w:val="0"/>
              <w:spacing w:line="360" w:lineRule="auto"/>
              <w:textAlignment w:val="bottom"/>
              <w:rPr>
                <w:rFonts w:ascii="宋体" w:hAnsi="宋体"/>
                <w:color w:val="auto"/>
                <w:szCs w:val="21"/>
                <w:highlight w:val="none"/>
              </w:rPr>
            </w:pPr>
            <w:r>
              <w:rPr>
                <w:rFonts w:ascii="宋体" w:hAnsi="宋体"/>
                <w:color w:val="auto"/>
                <w:szCs w:val="21"/>
                <w:highlight w:val="none"/>
              </w:rPr>
              <w:t>履约保证金缴纳期限</w:t>
            </w:r>
            <w:r>
              <w:rPr>
                <w:rFonts w:hint="eastAsia" w:ascii="宋体" w:hAnsi="宋体"/>
                <w:color w:val="auto"/>
                <w:szCs w:val="21"/>
                <w:highlight w:val="none"/>
              </w:rPr>
              <w:t>:</w:t>
            </w:r>
            <w:r>
              <w:rPr>
                <w:rFonts w:hint="eastAsia"/>
                <w:color w:val="auto"/>
                <w:highlight w:val="none"/>
              </w:rPr>
              <w:t xml:space="preserve"> </w:t>
            </w:r>
            <w:r>
              <w:rPr>
                <w:rFonts w:hint="eastAsia" w:ascii="宋体" w:hAnsi="宋体"/>
                <w:color w:val="auto"/>
                <w:szCs w:val="21"/>
                <w:highlight w:val="none"/>
                <w:u w:val="single"/>
              </w:rPr>
              <w:t>自中标通知书发出之日起15日内</w:t>
            </w:r>
            <w:r>
              <w:rPr>
                <w:rFonts w:hint="eastAsia" w:ascii="宋体" w:hAnsi="宋体"/>
                <w:color w:val="auto"/>
                <w:szCs w:val="21"/>
                <w:highlight w:val="none"/>
              </w:rPr>
              <w:t>。</w:t>
            </w:r>
          </w:p>
          <w:p w14:paraId="6985E561">
            <w:pPr>
              <w:autoSpaceDE w:val="0"/>
              <w:autoSpaceDN w:val="0"/>
              <w:snapToGrid w:val="0"/>
              <w:spacing w:line="360" w:lineRule="auto"/>
              <w:textAlignment w:val="bottom"/>
              <w:rPr>
                <w:rFonts w:ascii="宋体" w:hAnsi="宋体"/>
                <w:color w:val="auto"/>
                <w:szCs w:val="21"/>
                <w:highlight w:val="none"/>
                <w:u w:val="single"/>
              </w:rPr>
            </w:pPr>
            <w:r>
              <w:rPr>
                <w:rFonts w:hint="eastAsia" w:ascii="宋体" w:hAnsi="宋体"/>
                <w:color w:val="auto"/>
                <w:szCs w:val="21"/>
                <w:highlight w:val="none"/>
              </w:rPr>
              <w:t>履约保证金退付方式、时间及条件：</w:t>
            </w:r>
            <w:r>
              <w:rPr>
                <w:rFonts w:hint="eastAsia" w:ascii="宋体" w:hAnsi="宋体"/>
                <w:color w:val="auto"/>
                <w:szCs w:val="21"/>
                <w:highlight w:val="none"/>
                <w:u w:val="single"/>
              </w:rPr>
              <w:t>由中标供应商向采购人提供《广西壮族自治区政府采购项目合同验收书》（详见桂财采〔2015〕22号），保证金收取单位在收到合格材料后5个工作日内办理退还手续（不计利息）。</w:t>
            </w:r>
          </w:p>
          <w:p w14:paraId="367D880C">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履约保证金指定账户：</w:t>
            </w:r>
          </w:p>
          <w:p w14:paraId="59F7B1EF">
            <w:pPr>
              <w:spacing w:line="360" w:lineRule="auto"/>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开户名称：藤县公共资源交易中心</w:t>
            </w:r>
          </w:p>
          <w:p w14:paraId="0F7C5998">
            <w:pPr>
              <w:spacing w:line="360" w:lineRule="auto"/>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账号：6666 0008 5802 9000 10-00000</w:t>
            </w:r>
          </w:p>
          <w:p w14:paraId="6BD4ED8F">
            <w:pPr>
              <w:spacing w:line="360" w:lineRule="auto"/>
              <w:jc w:val="left"/>
              <w:rPr>
                <w:rFonts w:ascii="宋体" w:hAnsi="宋体" w:cs="Courier New"/>
                <w:color w:val="auto"/>
                <w:szCs w:val="21"/>
                <w:highlight w:val="none"/>
              </w:rPr>
            </w:pPr>
            <w:r>
              <w:rPr>
                <w:rFonts w:hint="eastAsia" w:ascii="宋体" w:hAnsi="宋体" w:cs="宋体"/>
                <w:b/>
                <w:bCs/>
                <w:color w:val="auto"/>
                <w:kern w:val="0"/>
                <w:szCs w:val="21"/>
                <w:highlight w:val="none"/>
              </w:rPr>
              <w:t>开户行：广西藤县桂银村镇银行有限公司</w:t>
            </w:r>
          </w:p>
          <w:p w14:paraId="44026E55">
            <w:pPr>
              <w:spacing w:line="360" w:lineRule="auto"/>
              <w:jc w:val="left"/>
              <w:rPr>
                <w:rFonts w:ascii="宋体" w:hAnsi="宋体" w:cs="Courier New"/>
                <w:color w:val="auto"/>
                <w:szCs w:val="21"/>
                <w:highlight w:val="none"/>
              </w:rPr>
            </w:pPr>
            <w:r>
              <w:rPr>
                <w:rFonts w:ascii="宋体" w:hAnsi="宋体" w:cs="Courier New"/>
                <w:color w:val="auto"/>
                <w:szCs w:val="21"/>
                <w:highlight w:val="none"/>
              </w:rPr>
              <w:t>备注：</w:t>
            </w:r>
          </w:p>
          <w:p w14:paraId="3230C73F">
            <w:pPr>
              <w:spacing w:line="360" w:lineRule="auto"/>
              <w:jc w:val="left"/>
              <w:rPr>
                <w:rFonts w:ascii="宋体" w:hAnsi="宋体"/>
                <w:b/>
                <w:color w:val="auto"/>
                <w:szCs w:val="21"/>
                <w:highlight w:val="none"/>
              </w:rPr>
            </w:pPr>
            <w:bookmarkStart w:id="90" w:name="_Hlk54170335"/>
            <w:r>
              <w:rPr>
                <w:rFonts w:hint="eastAsia" w:ascii="宋体" w:hAnsi="宋体"/>
                <w:b/>
                <w:color w:val="auto"/>
                <w:szCs w:val="21"/>
                <w:highlight w:val="none"/>
              </w:rPr>
              <w:t>1.根据</w:t>
            </w:r>
            <w:bookmarkEnd w:id="90"/>
            <w:r>
              <w:rPr>
                <w:rFonts w:hint="eastAsia" w:ascii="宋体" w:hAnsi="宋体"/>
                <w:b/>
                <w:color w:val="auto"/>
                <w:szCs w:val="21"/>
                <w:highlight w:val="none"/>
              </w:rPr>
              <w:t>《广西壮族自治区财政厅关于持续优化政府采购营商环境推动高质量发展的通知》（桂财采（2024）55号）规定，履约保证金数额不得超过政府采购合同金额的5%，对中小企业收取的履约保证金数额不得超过政府采购合同金额的2%。预算单位（采购人）可根据供应商的资信等情况减免履约保证金。</w:t>
            </w:r>
          </w:p>
          <w:p w14:paraId="3E98439F">
            <w:pPr>
              <w:spacing w:line="360" w:lineRule="auto"/>
              <w:jc w:val="left"/>
              <w:rPr>
                <w:rFonts w:ascii="宋体" w:hAnsi="宋体"/>
                <w:b/>
                <w:color w:val="auto"/>
                <w:szCs w:val="21"/>
                <w:highlight w:val="none"/>
              </w:rPr>
            </w:pPr>
            <w:r>
              <w:rPr>
                <w:rFonts w:ascii="宋体" w:hAnsi="宋体"/>
                <w:b/>
                <w:color w:val="auto"/>
                <w:szCs w:val="21"/>
                <w:highlight w:val="none"/>
              </w:rPr>
              <w:t>2.</w:t>
            </w:r>
            <w:r>
              <w:rPr>
                <w:rFonts w:hint="eastAsia" w:ascii="宋体" w:hAnsi="宋体"/>
                <w:color w:val="auto"/>
                <w:szCs w:val="21"/>
                <w:highlight w:val="none"/>
              </w:rPr>
              <w:t xml:space="preserve"> </w:t>
            </w:r>
            <w:r>
              <w:rPr>
                <w:rFonts w:hint="eastAsia" w:ascii="宋体" w:hAnsi="宋体"/>
                <w:b/>
                <w:color w:val="auto"/>
                <w:szCs w:val="21"/>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4EC4C154">
            <w:pPr>
              <w:spacing w:line="360" w:lineRule="auto"/>
              <w:jc w:val="left"/>
              <w:rPr>
                <w:rFonts w:ascii="宋体" w:hAnsi="宋体"/>
                <w:b/>
                <w:color w:val="auto"/>
                <w:szCs w:val="21"/>
                <w:highlight w:val="none"/>
              </w:rPr>
            </w:pPr>
            <w:r>
              <w:rPr>
                <w:rFonts w:ascii="宋体" w:hAnsi="宋体"/>
                <w:b/>
                <w:color w:val="auto"/>
                <w:szCs w:val="21"/>
                <w:highlight w:val="none"/>
              </w:rPr>
              <w:t>3.采用银行、保险机构出具的保函的，必须为无条件保函，否则不予签订合同。</w:t>
            </w:r>
          </w:p>
          <w:p w14:paraId="61C67617">
            <w:pPr>
              <w:spacing w:line="360" w:lineRule="auto"/>
              <w:jc w:val="left"/>
              <w:rPr>
                <w:rFonts w:ascii="宋体" w:hAnsi="宋体" w:cs="宋体"/>
                <w:color w:val="auto"/>
                <w:kern w:val="0"/>
                <w:szCs w:val="21"/>
                <w:highlight w:val="none"/>
              </w:rPr>
            </w:pPr>
            <w:r>
              <w:rPr>
                <w:rFonts w:ascii="宋体" w:hAnsi="宋体"/>
                <w:b/>
                <w:color w:val="auto"/>
                <w:szCs w:val="21"/>
                <w:highlight w:val="none"/>
              </w:rPr>
              <w:t>4.</w:t>
            </w:r>
            <w:r>
              <w:rPr>
                <w:rFonts w:hint="eastAsia" w:ascii="宋体" w:hAnsi="宋体"/>
                <w:b/>
                <w:color w:val="auto"/>
                <w:szCs w:val="21"/>
                <w:highlight w:val="none"/>
              </w:rPr>
              <w:t>投标人为联合体的，由联合体其中一方按规定提交的履约保证金，视为有效履约保证金。</w:t>
            </w:r>
          </w:p>
        </w:tc>
      </w:tr>
      <w:tr w14:paraId="4CD6F4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DEDC941">
            <w:pPr>
              <w:spacing w:line="360" w:lineRule="auto"/>
              <w:jc w:val="center"/>
              <w:rPr>
                <w:rFonts w:ascii="宋体" w:hAnsi="宋体"/>
                <w:color w:val="auto"/>
                <w:szCs w:val="21"/>
                <w:highlight w:val="none"/>
              </w:rPr>
            </w:pPr>
            <w:bookmarkStart w:id="91" w:name="_40.1"/>
            <w:bookmarkEnd w:id="91"/>
            <w:r>
              <w:rPr>
                <w:rFonts w:hint="eastAsia" w:ascii="宋体" w:hAnsi="宋体"/>
                <w:color w:val="auto"/>
                <w:szCs w:val="21"/>
                <w:highlight w:val="none"/>
              </w:rPr>
              <w:t>36.1</w:t>
            </w:r>
          </w:p>
        </w:tc>
        <w:tc>
          <w:tcPr>
            <w:tcW w:w="8670" w:type="dxa"/>
            <w:tcBorders>
              <w:top w:val="single" w:color="auto" w:sz="4" w:space="0"/>
              <w:left w:val="single" w:color="auto" w:sz="4" w:space="0"/>
              <w:bottom w:val="single" w:color="auto" w:sz="4" w:space="0"/>
              <w:right w:val="single" w:color="auto" w:sz="4" w:space="0"/>
            </w:tcBorders>
            <w:vAlign w:val="center"/>
          </w:tcPr>
          <w:p w14:paraId="1ED09A2A">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 xml:space="preserve">签订合同携带的证明材料： </w:t>
            </w:r>
          </w:p>
          <w:p w14:paraId="4A662CDA">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6CB64759">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1E33EF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81AB13E">
            <w:pPr>
              <w:spacing w:line="360" w:lineRule="auto"/>
              <w:jc w:val="center"/>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8.2</w:t>
            </w:r>
          </w:p>
        </w:tc>
        <w:tc>
          <w:tcPr>
            <w:tcW w:w="8670" w:type="dxa"/>
            <w:tcBorders>
              <w:top w:val="single" w:color="auto" w:sz="4" w:space="0"/>
              <w:left w:val="single" w:color="auto" w:sz="4" w:space="0"/>
              <w:bottom w:val="single" w:color="auto" w:sz="4" w:space="0"/>
              <w:right w:val="single" w:color="auto" w:sz="4" w:space="0"/>
            </w:tcBorders>
            <w:vAlign w:val="center"/>
          </w:tcPr>
          <w:p w14:paraId="4919B9FE">
            <w:pPr>
              <w:snapToGrid w:val="0"/>
              <w:spacing w:line="360" w:lineRule="auto"/>
              <w:rPr>
                <w:rFonts w:ascii="宋体" w:hAnsi="宋体"/>
                <w:color w:val="auto"/>
                <w:szCs w:val="21"/>
                <w:highlight w:val="none"/>
              </w:rPr>
            </w:pPr>
            <w:r>
              <w:rPr>
                <w:rFonts w:hint="eastAsia" w:ascii="宋体" w:hAnsi="宋体"/>
                <w:color w:val="auto"/>
                <w:szCs w:val="21"/>
                <w:highlight w:val="none"/>
              </w:rPr>
              <w:t>接收质疑函方式：以书面形式</w:t>
            </w:r>
          </w:p>
          <w:p w14:paraId="6FB55FBC">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质疑联系部门及联系方式：云之龙咨询集团有限公司，联系电话：0774-7288399，通讯地址：（广西藤县藤州镇安泰五街62号）</w:t>
            </w:r>
          </w:p>
          <w:p w14:paraId="365B7A1F">
            <w:pPr>
              <w:autoSpaceDE w:val="0"/>
              <w:autoSpaceDN w:val="0"/>
              <w:snapToGrid w:val="0"/>
              <w:spacing w:line="360" w:lineRule="auto"/>
              <w:textAlignment w:val="bottom"/>
              <w:rPr>
                <w:rFonts w:ascii="宋体" w:hAnsi="宋体"/>
                <w:color w:val="auto"/>
                <w:szCs w:val="21"/>
                <w:highlight w:val="none"/>
              </w:rPr>
            </w:pPr>
            <w:r>
              <w:rPr>
                <w:rFonts w:hint="eastAsia" w:hAnsi="宋体" w:cs="宋体"/>
                <w:color w:val="auto"/>
                <w:highlight w:val="none"/>
              </w:rPr>
              <w:t>业务时间：工作日每天上午</w:t>
            </w:r>
            <w:r>
              <w:rPr>
                <w:rFonts w:hAnsi="宋体" w:cs="宋体"/>
                <w:color w:val="auto"/>
                <w:highlight w:val="none"/>
              </w:rPr>
              <w:t>8</w:t>
            </w:r>
            <w:r>
              <w:rPr>
                <w:rFonts w:hint="eastAsia" w:hAnsi="宋体" w:cs="宋体"/>
                <w:color w:val="auto"/>
                <w:highlight w:val="none"/>
              </w:rPr>
              <w:t>时</w:t>
            </w:r>
            <w:r>
              <w:rPr>
                <w:rFonts w:hAnsi="宋体" w:cs="宋体"/>
                <w:color w:val="auto"/>
                <w:highlight w:val="none"/>
              </w:rPr>
              <w:t>00</w:t>
            </w:r>
            <w:r>
              <w:rPr>
                <w:rFonts w:hint="eastAsia" w:hAnsi="宋体" w:cs="宋体"/>
                <w:color w:val="auto"/>
                <w:highlight w:val="none"/>
              </w:rPr>
              <w:t>分到</w:t>
            </w:r>
            <w:r>
              <w:rPr>
                <w:rFonts w:hAnsi="宋体" w:cs="宋体"/>
                <w:color w:val="auto"/>
                <w:highlight w:val="none"/>
              </w:rPr>
              <w:t>12</w:t>
            </w:r>
            <w:r>
              <w:rPr>
                <w:rFonts w:hint="eastAsia" w:hAnsi="宋体" w:cs="宋体"/>
                <w:color w:val="auto"/>
                <w:highlight w:val="none"/>
              </w:rPr>
              <w:t>时</w:t>
            </w:r>
            <w:r>
              <w:rPr>
                <w:rFonts w:hAnsi="宋体" w:cs="宋体"/>
                <w:color w:val="auto"/>
                <w:highlight w:val="none"/>
              </w:rPr>
              <w:t>00</w:t>
            </w:r>
            <w:r>
              <w:rPr>
                <w:rFonts w:hint="eastAsia" w:hAnsi="宋体" w:cs="宋体"/>
                <w:color w:val="auto"/>
                <w:highlight w:val="none"/>
              </w:rPr>
              <w:t>分，下午</w:t>
            </w:r>
            <w:r>
              <w:rPr>
                <w:rFonts w:hAnsi="宋体" w:cs="宋体"/>
                <w:color w:val="auto"/>
                <w:highlight w:val="none"/>
              </w:rPr>
              <w:t>3</w:t>
            </w:r>
            <w:r>
              <w:rPr>
                <w:rFonts w:hint="eastAsia" w:hAnsi="宋体" w:cs="宋体"/>
                <w:color w:val="auto"/>
                <w:highlight w:val="none"/>
              </w:rPr>
              <w:t>时</w:t>
            </w:r>
            <w:r>
              <w:rPr>
                <w:rFonts w:hAnsi="宋体" w:cs="宋体"/>
                <w:color w:val="auto"/>
                <w:highlight w:val="none"/>
              </w:rPr>
              <w:t>00</w:t>
            </w:r>
            <w:r>
              <w:rPr>
                <w:rFonts w:hint="eastAsia" w:hAnsi="宋体" w:cs="宋体"/>
                <w:color w:val="auto"/>
                <w:highlight w:val="none"/>
              </w:rPr>
              <w:t>分到</w:t>
            </w:r>
            <w:r>
              <w:rPr>
                <w:rFonts w:hAnsi="宋体" w:cs="宋体"/>
                <w:color w:val="auto"/>
                <w:highlight w:val="none"/>
              </w:rPr>
              <w:t>6</w:t>
            </w:r>
            <w:r>
              <w:rPr>
                <w:rFonts w:hint="eastAsia" w:hAnsi="宋体" w:cs="宋体"/>
                <w:color w:val="auto"/>
                <w:highlight w:val="none"/>
              </w:rPr>
              <w:t>时</w:t>
            </w:r>
            <w:r>
              <w:rPr>
                <w:rFonts w:hAnsi="宋体" w:cs="宋体"/>
                <w:color w:val="auto"/>
                <w:highlight w:val="none"/>
              </w:rPr>
              <w:t>00</w:t>
            </w:r>
            <w:r>
              <w:rPr>
                <w:rFonts w:hint="eastAsia" w:hAnsi="宋体" w:cs="宋体"/>
                <w:color w:val="auto"/>
                <w:highlight w:val="none"/>
              </w:rPr>
              <w:t>分。</w:t>
            </w:r>
          </w:p>
        </w:tc>
      </w:tr>
      <w:tr w14:paraId="335D3C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AEED1AF">
            <w:pPr>
              <w:spacing w:line="360" w:lineRule="auto"/>
              <w:jc w:val="center"/>
              <w:rPr>
                <w:rFonts w:ascii="宋体" w:hAnsi="宋体"/>
                <w:color w:val="auto"/>
                <w:szCs w:val="21"/>
                <w:highlight w:val="none"/>
              </w:rPr>
            </w:pPr>
            <w:bookmarkStart w:id="92" w:name="_42"/>
            <w:bookmarkEnd w:id="92"/>
            <w:bookmarkStart w:id="93" w:name="_41"/>
            <w:bookmarkEnd w:id="93"/>
            <w:bookmarkStart w:id="94" w:name="_Hlt17709148"/>
            <w:r>
              <w:rPr>
                <w:rFonts w:hint="eastAsia" w:ascii="宋体" w:hAnsi="宋体"/>
                <w:color w:val="auto"/>
                <w:szCs w:val="21"/>
                <w:highlight w:val="none"/>
              </w:rPr>
              <w:t>3</w:t>
            </w:r>
            <w:bookmarkEnd w:id="94"/>
            <w:r>
              <w:rPr>
                <w:rFonts w:ascii="宋体" w:hAnsi="宋体"/>
                <w:color w:val="auto"/>
                <w:szCs w:val="21"/>
                <w:highlight w:val="none"/>
              </w:rPr>
              <w:t>9.1</w:t>
            </w:r>
          </w:p>
        </w:tc>
        <w:tc>
          <w:tcPr>
            <w:tcW w:w="8670" w:type="dxa"/>
            <w:tcBorders>
              <w:top w:val="single" w:color="auto" w:sz="4" w:space="0"/>
              <w:left w:val="single" w:color="auto" w:sz="4" w:space="0"/>
              <w:bottom w:val="single" w:color="auto" w:sz="4" w:space="0"/>
              <w:right w:val="single" w:color="auto" w:sz="4" w:space="0"/>
            </w:tcBorders>
            <w:vAlign w:val="center"/>
          </w:tcPr>
          <w:p w14:paraId="00D270C5">
            <w:pPr>
              <w:pStyle w:val="24"/>
              <w:snapToGrid w:val="0"/>
              <w:spacing w:line="360" w:lineRule="auto"/>
              <w:rPr>
                <w:rFonts w:hAnsi="宋体" w:cs="宋体"/>
                <w:color w:val="auto"/>
                <w:sz w:val="21"/>
                <w:highlight w:val="none"/>
              </w:rPr>
            </w:pPr>
            <w:r>
              <w:rPr>
                <w:rFonts w:hint="eastAsia" w:hAnsi="宋体" w:cs="宋体"/>
                <w:color w:val="auto"/>
                <w:sz w:val="21"/>
                <w:highlight w:val="none"/>
              </w:rPr>
              <w:t>1.采购代理费支付方式：</w:t>
            </w:r>
          </w:p>
          <w:p w14:paraId="00187531">
            <w:pPr>
              <w:pStyle w:val="24"/>
              <w:snapToGrid w:val="0"/>
              <w:spacing w:line="360" w:lineRule="auto"/>
              <w:rPr>
                <w:rFonts w:hAnsi="宋体" w:cs="宋体"/>
                <w:color w:val="auto"/>
                <w:sz w:val="21"/>
                <w:highlight w:val="none"/>
              </w:rPr>
            </w:pPr>
            <w:r>
              <w:rPr>
                <w:rFonts w:hint="eastAsia" w:hAnsi="宋体"/>
                <w:color w:val="auto"/>
                <w:highlight w:val="none"/>
              </w:rPr>
              <w:t xml:space="preserve">☑ </w:t>
            </w:r>
            <w:r>
              <w:rPr>
                <w:rFonts w:hint="eastAsia" w:hAnsi="宋体" w:cs="宋体"/>
                <w:color w:val="auto"/>
                <w:sz w:val="21"/>
                <w:highlight w:val="none"/>
              </w:rPr>
              <w:t>本项目采购代理费在发布中标结果公告后5日内，由中标供应商一次性向采购代理机构支付。</w:t>
            </w:r>
          </w:p>
          <w:p w14:paraId="6C947EBD">
            <w:pPr>
              <w:pStyle w:val="24"/>
              <w:snapToGrid w:val="0"/>
              <w:spacing w:line="360" w:lineRule="auto"/>
              <w:rPr>
                <w:rFonts w:hAnsi="宋体" w:cs="宋体"/>
                <w:color w:val="auto"/>
                <w:sz w:val="21"/>
                <w:highlight w:val="none"/>
              </w:rPr>
            </w:pPr>
            <w:r>
              <w:rPr>
                <w:rFonts w:hint="eastAsia" w:hAnsi="宋体" w:cs="宋体"/>
                <w:color w:val="auto"/>
                <w:sz w:val="21"/>
                <w:highlight w:val="none"/>
              </w:rPr>
              <w:t>□采购人支付。</w:t>
            </w:r>
          </w:p>
          <w:p w14:paraId="021C8483">
            <w:pPr>
              <w:pStyle w:val="24"/>
              <w:snapToGrid w:val="0"/>
              <w:spacing w:line="360" w:lineRule="auto"/>
              <w:rPr>
                <w:rFonts w:hAnsi="宋体" w:cs="宋体"/>
                <w:color w:val="auto"/>
                <w:sz w:val="21"/>
                <w:highlight w:val="none"/>
              </w:rPr>
            </w:pPr>
            <w:r>
              <w:rPr>
                <w:rFonts w:hint="eastAsia" w:hAnsi="宋体" w:cs="宋体"/>
                <w:color w:val="auto"/>
                <w:sz w:val="21"/>
                <w:highlight w:val="none"/>
              </w:rPr>
              <w:t>2.采购代理费收取标准：</w:t>
            </w:r>
          </w:p>
          <w:p w14:paraId="3B96DCAC">
            <w:pPr>
              <w:pStyle w:val="24"/>
              <w:snapToGrid w:val="0"/>
              <w:spacing w:line="360" w:lineRule="auto"/>
              <w:rPr>
                <w:rFonts w:hAnsi="宋体" w:cs="宋体"/>
                <w:color w:val="auto"/>
                <w:sz w:val="21"/>
                <w:highlight w:val="none"/>
              </w:rPr>
            </w:pPr>
            <w:r>
              <w:rPr>
                <w:rFonts w:hint="eastAsia" w:hAnsi="宋体"/>
                <w:color w:val="auto"/>
                <w:highlight w:val="none"/>
              </w:rPr>
              <w:t>☑</w:t>
            </w:r>
            <w:r>
              <w:rPr>
                <w:rFonts w:hint="eastAsia" w:hAnsi="宋体" w:cs="宋体"/>
                <w:color w:val="auto"/>
                <w:sz w:val="21"/>
                <w:highlight w:val="none"/>
              </w:rPr>
              <w:t>以分标中标金额为计费额，按本须知正文第</w:t>
            </w:r>
            <w:r>
              <w:rPr>
                <w:rFonts w:hAnsi="宋体" w:cs="宋体"/>
                <w:color w:val="auto"/>
                <w:sz w:val="21"/>
                <w:highlight w:val="none"/>
              </w:rPr>
              <w:t>39</w:t>
            </w:r>
            <w:r>
              <w:rPr>
                <w:rFonts w:hint="eastAsia" w:hAnsi="宋体" w:cs="宋体"/>
                <w:color w:val="auto"/>
                <w:sz w:val="21"/>
                <w:highlight w:val="none"/>
              </w:rPr>
              <w:t>.</w:t>
            </w:r>
            <w:r>
              <w:rPr>
                <w:rFonts w:hAnsi="宋体" w:cs="宋体"/>
                <w:color w:val="auto"/>
                <w:sz w:val="21"/>
                <w:highlight w:val="none"/>
              </w:rPr>
              <w:t>2</w:t>
            </w:r>
            <w:r>
              <w:rPr>
                <w:rFonts w:hint="eastAsia" w:hAnsi="宋体" w:cs="宋体"/>
                <w:color w:val="auto"/>
                <w:sz w:val="21"/>
                <w:highlight w:val="none"/>
              </w:rPr>
              <w:t>条规定的收费计算标准货物招标采用差额定率累进法计算出收费基准价格，采购代理收费以收费基准价格下浮</w:t>
            </w:r>
            <w:r>
              <w:rPr>
                <w:rFonts w:hint="eastAsia" w:hAnsi="宋体" w:cs="宋体"/>
                <w:color w:val="auto"/>
                <w:sz w:val="21"/>
                <w:highlight w:val="none"/>
                <w:u w:val="single"/>
              </w:rPr>
              <w:t>20%</w:t>
            </w:r>
            <w:r>
              <w:rPr>
                <w:rFonts w:hint="eastAsia" w:hAnsi="宋体" w:cs="宋体"/>
                <w:color w:val="auto"/>
                <w:sz w:val="21"/>
                <w:highlight w:val="none"/>
              </w:rPr>
              <w:t>收取。</w:t>
            </w:r>
          </w:p>
          <w:p w14:paraId="13F787EF">
            <w:pPr>
              <w:pStyle w:val="24"/>
              <w:snapToGrid w:val="0"/>
              <w:spacing w:line="360" w:lineRule="auto"/>
              <w:rPr>
                <w:rFonts w:hAnsi="宋体" w:cs="宋体"/>
                <w:color w:val="auto"/>
                <w:sz w:val="21"/>
                <w:highlight w:val="none"/>
                <w:u w:val="single"/>
              </w:rPr>
            </w:pPr>
            <w:r>
              <w:rPr>
                <w:rFonts w:hint="eastAsia" w:hAnsi="宋体" w:cs="宋体"/>
                <w:color w:val="auto"/>
                <w:sz w:val="21"/>
                <w:highlight w:val="none"/>
              </w:rPr>
              <w:t>□固定采购代理收费</w:t>
            </w:r>
            <w:r>
              <w:rPr>
                <w:rFonts w:hint="eastAsia" w:hAnsi="宋体" w:cs="宋体"/>
                <w:color w:val="auto"/>
                <w:sz w:val="21"/>
                <w:highlight w:val="none"/>
                <w:u w:val="single"/>
              </w:rPr>
              <w:t xml:space="preserve">                   。</w:t>
            </w:r>
          </w:p>
          <w:p w14:paraId="58D53C4E">
            <w:pPr>
              <w:pStyle w:val="24"/>
              <w:snapToGrid w:val="0"/>
              <w:spacing w:line="360" w:lineRule="auto"/>
              <w:rPr>
                <w:rFonts w:hAnsi="宋体" w:cs="宋体"/>
                <w:color w:val="auto"/>
                <w:sz w:val="21"/>
                <w:highlight w:val="none"/>
              </w:rPr>
            </w:pPr>
            <w:r>
              <w:rPr>
                <w:rFonts w:hint="eastAsia" w:hAnsi="宋体" w:cs="宋体"/>
                <w:color w:val="auto"/>
                <w:sz w:val="21"/>
                <w:highlight w:val="none"/>
              </w:rPr>
              <w:t>3. 采购代理费收取银行账户</w:t>
            </w:r>
          </w:p>
          <w:p w14:paraId="5DAE3296">
            <w:pPr>
              <w:spacing w:line="360" w:lineRule="auto"/>
              <w:jc w:val="left"/>
              <w:rPr>
                <w:rFonts w:ascii="宋体" w:hAnsi="宋体"/>
                <w:color w:val="auto"/>
                <w:szCs w:val="21"/>
                <w:highlight w:val="none"/>
              </w:rPr>
            </w:pPr>
            <w:r>
              <w:rPr>
                <w:rFonts w:hint="eastAsia" w:ascii="宋体" w:hAnsi="宋体"/>
                <w:color w:val="auto"/>
                <w:szCs w:val="21"/>
                <w:highlight w:val="none"/>
              </w:rPr>
              <w:t>账户户名：云之龙咨询集团有限公司藤县分公司</w:t>
            </w:r>
          </w:p>
          <w:p w14:paraId="5559267E">
            <w:pPr>
              <w:spacing w:line="360" w:lineRule="auto"/>
              <w:jc w:val="left"/>
              <w:rPr>
                <w:rFonts w:ascii="宋体" w:hAnsi="宋体"/>
                <w:color w:val="auto"/>
                <w:szCs w:val="21"/>
                <w:highlight w:val="none"/>
              </w:rPr>
            </w:pPr>
            <w:r>
              <w:rPr>
                <w:rFonts w:hint="eastAsia" w:ascii="宋体" w:hAnsi="宋体"/>
                <w:color w:val="auto"/>
                <w:szCs w:val="21"/>
                <w:highlight w:val="none"/>
              </w:rPr>
              <w:t>开户行：中信银行南宁东葛支行</w:t>
            </w:r>
          </w:p>
          <w:p w14:paraId="07B159AD">
            <w:pPr>
              <w:pStyle w:val="24"/>
              <w:snapToGrid w:val="0"/>
              <w:spacing w:line="360" w:lineRule="auto"/>
              <w:rPr>
                <w:rFonts w:hAnsi="宋体" w:cs="宋体"/>
                <w:color w:val="auto"/>
                <w:sz w:val="21"/>
                <w:highlight w:val="none"/>
              </w:rPr>
            </w:pPr>
            <w:r>
              <w:rPr>
                <w:rFonts w:hint="eastAsia" w:hAnsi="宋体"/>
                <w:color w:val="auto"/>
                <w:kern w:val="2"/>
                <w:sz w:val="21"/>
                <w:highlight w:val="none"/>
              </w:rPr>
              <w:t>账  号：8113001013200159944</w:t>
            </w:r>
          </w:p>
        </w:tc>
      </w:tr>
      <w:tr w14:paraId="2A5233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AA6A57E">
            <w:pPr>
              <w:snapToGrid w:val="0"/>
              <w:spacing w:line="360" w:lineRule="auto"/>
              <w:jc w:val="center"/>
              <w:rPr>
                <w:rFonts w:ascii="宋体" w:hAnsi="宋体"/>
                <w:color w:val="auto"/>
                <w:szCs w:val="21"/>
                <w:highlight w:val="none"/>
              </w:rPr>
            </w:pPr>
            <w:r>
              <w:rPr>
                <w:rFonts w:ascii="宋体" w:hAnsi="宋体"/>
                <w:color w:val="auto"/>
                <w:szCs w:val="21"/>
                <w:highlight w:val="none"/>
              </w:rPr>
              <w:t>40.1</w:t>
            </w:r>
          </w:p>
        </w:tc>
        <w:tc>
          <w:tcPr>
            <w:tcW w:w="8670" w:type="dxa"/>
            <w:tcBorders>
              <w:top w:val="single" w:color="auto" w:sz="4" w:space="0"/>
              <w:left w:val="single" w:color="auto" w:sz="4" w:space="0"/>
              <w:bottom w:val="single" w:color="auto" w:sz="4" w:space="0"/>
              <w:right w:val="single" w:color="auto" w:sz="4" w:space="0"/>
            </w:tcBorders>
            <w:vAlign w:val="center"/>
          </w:tcPr>
          <w:p w14:paraId="1D4E04E9">
            <w:pPr>
              <w:snapToGrid w:val="0"/>
              <w:spacing w:line="360" w:lineRule="auto"/>
              <w:rPr>
                <w:rFonts w:ascii="宋体" w:hAnsi="宋体"/>
                <w:color w:val="auto"/>
                <w:szCs w:val="21"/>
                <w:highlight w:val="none"/>
              </w:rPr>
            </w:pPr>
            <w:r>
              <w:rPr>
                <w:rFonts w:hint="eastAsia" w:ascii="宋体" w:hAnsi="宋体"/>
                <w:color w:val="auto"/>
                <w:szCs w:val="21"/>
                <w:highlight w:val="none"/>
              </w:rPr>
              <w:t>解释：</w:t>
            </w:r>
            <w:r>
              <w:rPr>
                <w:rFonts w:ascii="宋体" w:hAnsi="宋体"/>
                <w:color w:val="auto"/>
                <w:szCs w:val="21"/>
                <w:highlight w:val="none"/>
              </w:rPr>
              <w:t>构成本招标文件的各个组成文件应互为解释，互为说明；除招标文件中有特别规定外，仅适用于招标投标阶段的规定，按</w:t>
            </w:r>
            <w:r>
              <w:rPr>
                <w:rFonts w:hint="eastAsia" w:ascii="宋体" w:hAnsi="宋体"/>
                <w:color w:val="auto"/>
                <w:szCs w:val="21"/>
                <w:highlight w:val="none"/>
              </w:rPr>
              <w:t>更正公告（澄清公告）</w:t>
            </w:r>
            <w:r>
              <w:rPr>
                <w:rFonts w:ascii="宋体" w:hAnsi="宋体"/>
                <w:color w:val="auto"/>
                <w:szCs w:val="21"/>
                <w:highlight w:val="none"/>
              </w:rPr>
              <w:t>、招标公告、</w:t>
            </w:r>
            <w:r>
              <w:rPr>
                <w:rFonts w:hint="eastAsia" w:ascii="宋体" w:hAnsi="宋体"/>
                <w:color w:val="auto"/>
                <w:szCs w:val="21"/>
                <w:highlight w:val="none"/>
              </w:rPr>
              <w:t>采购需求、</w:t>
            </w:r>
            <w:r>
              <w:rPr>
                <w:rFonts w:ascii="宋体" w:hAnsi="宋体"/>
                <w:color w:val="auto"/>
                <w:szCs w:val="21"/>
                <w:highlight w:val="none"/>
              </w:rPr>
              <w:t>投标人须知、</w:t>
            </w:r>
            <w:r>
              <w:rPr>
                <w:rFonts w:hint="eastAsia" w:ascii="宋体" w:hAnsi="宋体"/>
                <w:color w:val="auto"/>
                <w:szCs w:val="21"/>
                <w:highlight w:val="none"/>
              </w:rPr>
              <w:t>评标方法及评标标准</w:t>
            </w:r>
            <w:r>
              <w:rPr>
                <w:rFonts w:ascii="宋体" w:hAnsi="宋体"/>
                <w:color w:val="auto"/>
                <w:szCs w:val="21"/>
                <w:highlight w:val="none"/>
              </w:rPr>
              <w:t>、</w:t>
            </w:r>
            <w:r>
              <w:rPr>
                <w:rFonts w:hint="eastAsia" w:ascii="宋体" w:hAnsi="宋体"/>
                <w:color w:val="auto"/>
                <w:szCs w:val="21"/>
                <w:highlight w:val="none"/>
              </w:rPr>
              <w:t>拟签订的合同文本、</w:t>
            </w:r>
            <w:r>
              <w:rPr>
                <w:rFonts w:ascii="宋体" w:hAnsi="宋体"/>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highlight w:val="none"/>
              </w:rPr>
              <w:t>更正公告（澄清公告）</w:t>
            </w:r>
            <w:r>
              <w:rPr>
                <w:rFonts w:ascii="宋体" w:hAnsi="宋体"/>
                <w:color w:val="auto"/>
                <w:szCs w:val="21"/>
                <w:highlight w:val="none"/>
              </w:rPr>
              <w:t>与同步更新的招标文件不一致时以</w:t>
            </w:r>
            <w:r>
              <w:rPr>
                <w:rFonts w:hint="eastAsia" w:ascii="宋体" w:hAnsi="宋体"/>
                <w:color w:val="auto"/>
                <w:szCs w:val="21"/>
                <w:highlight w:val="none"/>
              </w:rPr>
              <w:t>更正公告（澄清公告）</w:t>
            </w:r>
            <w:r>
              <w:rPr>
                <w:rFonts w:ascii="宋体" w:hAnsi="宋体"/>
                <w:color w:val="auto"/>
                <w:szCs w:val="21"/>
                <w:highlight w:val="none"/>
              </w:rPr>
              <w:t>为准。按本款前述规定仍不能形成结论的，由</w:t>
            </w:r>
            <w:r>
              <w:rPr>
                <w:rFonts w:hint="eastAsia" w:ascii="宋体" w:hAnsi="宋体"/>
                <w:color w:val="auto"/>
                <w:szCs w:val="21"/>
                <w:highlight w:val="none"/>
              </w:rPr>
              <w:t>采购</w:t>
            </w:r>
            <w:r>
              <w:rPr>
                <w:rFonts w:ascii="宋体" w:hAnsi="宋体"/>
                <w:color w:val="auto"/>
                <w:szCs w:val="21"/>
                <w:highlight w:val="none"/>
              </w:rPr>
              <w:t>人</w:t>
            </w:r>
            <w:r>
              <w:rPr>
                <w:rFonts w:hint="eastAsia" w:ascii="宋体" w:hAnsi="宋体"/>
                <w:color w:val="auto"/>
                <w:szCs w:val="21"/>
                <w:highlight w:val="none"/>
              </w:rPr>
              <w:t>或者采购代理机构</w:t>
            </w:r>
            <w:r>
              <w:rPr>
                <w:rFonts w:ascii="宋体" w:hAnsi="宋体"/>
                <w:color w:val="auto"/>
                <w:szCs w:val="21"/>
                <w:highlight w:val="none"/>
              </w:rPr>
              <w:t>负责解释。</w:t>
            </w:r>
          </w:p>
        </w:tc>
      </w:tr>
      <w:tr w14:paraId="7A5DC1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297AD9D">
            <w:pPr>
              <w:snapToGrid w:val="0"/>
              <w:spacing w:line="360" w:lineRule="auto"/>
              <w:jc w:val="center"/>
              <w:rPr>
                <w:rFonts w:ascii="宋体" w:hAnsi="宋体"/>
                <w:color w:val="auto"/>
                <w:szCs w:val="21"/>
                <w:highlight w:val="none"/>
              </w:rPr>
            </w:pPr>
            <w:r>
              <w:rPr>
                <w:rFonts w:ascii="宋体" w:hAnsi="宋体"/>
                <w:color w:val="auto"/>
                <w:szCs w:val="21"/>
                <w:highlight w:val="none"/>
              </w:rPr>
              <w:t>40.2</w:t>
            </w:r>
          </w:p>
        </w:tc>
        <w:tc>
          <w:tcPr>
            <w:tcW w:w="8670" w:type="dxa"/>
            <w:tcBorders>
              <w:top w:val="single" w:color="auto" w:sz="4" w:space="0"/>
              <w:left w:val="single" w:color="auto" w:sz="4" w:space="0"/>
              <w:bottom w:val="single" w:color="auto" w:sz="4" w:space="0"/>
              <w:right w:val="single" w:color="auto" w:sz="4" w:space="0"/>
            </w:tcBorders>
            <w:vAlign w:val="center"/>
          </w:tcPr>
          <w:p w14:paraId="222899AB">
            <w:pPr>
              <w:pStyle w:val="24"/>
              <w:snapToGrid w:val="0"/>
              <w:spacing w:line="360" w:lineRule="auto"/>
              <w:rPr>
                <w:rFonts w:hAnsi="宋体" w:cs="宋体"/>
                <w:bCs/>
                <w:color w:val="auto"/>
                <w:sz w:val="21"/>
                <w:highlight w:val="none"/>
              </w:rPr>
            </w:pPr>
            <w:r>
              <w:rPr>
                <w:rFonts w:hint="eastAsia" w:hAnsi="宋体" w:cs="宋体"/>
                <w:bCs/>
                <w:color w:val="auto"/>
                <w:sz w:val="21"/>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697A105E">
            <w:pPr>
              <w:pStyle w:val="24"/>
              <w:snapToGrid w:val="0"/>
              <w:spacing w:line="360" w:lineRule="auto"/>
              <w:rPr>
                <w:rFonts w:hAnsi="宋体" w:cs="宋体"/>
                <w:bCs/>
                <w:color w:val="auto"/>
                <w:sz w:val="21"/>
                <w:highlight w:val="none"/>
              </w:rPr>
            </w:pPr>
            <w:r>
              <w:rPr>
                <w:rFonts w:hint="eastAsia" w:hAnsi="宋体" w:cs="宋体"/>
                <w:bCs/>
                <w:color w:val="auto"/>
                <w:sz w:val="21"/>
                <w:highlight w:val="none"/>
              </w:rPr>
              <w:t>2.本招标文件所称的“</w:t>
            </w:r>
            <w:r>
              <w:rPr>
                <w:rFonts w:hint="eastAsia" w:hAnsi="宋体"/>
                <w:color w:val="auto"/>
                <w:sz w:val="21"/>
                <w:highlight w:val="none"/>
              </w:rPr>
              <w:t>电子签章</w:t>
            </w:r>
            <w:r>
              <w:rPr>
                <w:rFonts w:hint="eastAsia" w:hAnsi="宋体" w:cs="宋体"/>
                <w:bCs/>
                <w:color w:val="auto"/>
                <w:sz w:val="21"/>
                <w:highlight w:val="none"/>
              </w:rPr>
              <w:t>”、“电子签名”</w:t>
            </w:r>
            <w:r>
              <w:rPr>
                <w:rFonts w:hint="eastAsia" w:hAnsi="宋体"/>
                <w:color w:val="auto"/>
                <w:sz w:val="21"/>
                <w:highlight w:val="none"/>
              </w:rPr>
              <w:t>，是指经广西政府采购云平台认可的CA认证的电子签名数据为表现形式的印章，可用于签署电子投标文件，电子印章与实物印章具有同等法律效力，不因其采用电子化表现形式而否定其法律效力。</w:t>
            </w:r>
          </w:p>
          <w:p w14:paraId="11D4B29E">
            <w:pPr>
              <w:pStyle w:val="24"/>
              <w:snapToGrid w:val="0"/>
              <w:spacing w:line="360" w:lineRule="auto"/>
              <w:rPr>
                <w:rFonts w:hAnsi="宋体" w:cs="宋体"/>
                <w:bCs/>
                <w:color w:val="auto"/>
                <w:sz w:val="21"/>
                <w:highlight w:val="none"/>
              </w:rPr>
            </w:pPr>
            <w:r>
              <w:rPr>
                <w:rFonts w:hint="eastAsia" w:hAnsi="宋体" w:cs="宋体"/>
                <w:bCs/>
                <w:color w:val="auto"/>
                <w:sz w:val="21"/>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59AE057D">
            <w:pPr>
              <w:pStyle w:val="24"/>
              <w:snapToGrid w:val="0"/>
              <w:spacing w:line="360" w:lineRule="auto"/>
              <w:rPr>
                <w:rFonts w:hAnsi="宋体" w:cs="宋体"/>
                <w:bCs/>
                <w:color w:val="auto"/>
                <w:sz w:val="21"/>
                <w:highlight w:val="none"/>
              </w:rPr>
            </w:pPr>
            <w:r>
              <w:rPr>
                <w:rFonts w:hint="eastAsia" w:hAnsi="宋体" w:cs="宋体"/>
                <w:bCs/>
                <w:color w:val="auto"/>
                <w:sz w:val="21"/>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0A3AB3C7">
            <w:pPr>
              <w:pStyle w:val="24"/>
              <w:snapToGrid w:val="0"/>
              <w:spacing w:line="360" w:lineRule="auto"/>
              <w:rPr>
                <w:color w:val="auto"/>
                <w:sz w:val="21"/>
                <w:highlight w:val="none"/>
              </w:rPr>
            </w:pPr>
            <w:r>
              <w:rPr>
                <w:rFonts w:hint="eastAsia" w:hAnsi="宋体" w:cs="宋体"/>
                <w:bCs/>
                <w:color w:val="auto"/>
                <w:sz w:val="21"/>
                <w:highlight w:val="none"/>
              </w:rPr>
              <w:t>5.本招标文件所称的“以上”“以下”“以内”“届满”，包括本数；所称的“不满”“超过”“以外”，不包括本数。</w:t>
            </w:r>
          </w:p>
        </w:tc>
      </w:tr>
    </w:tbl>
    <w:p w14:paraId="3A314F5A">
      <w:pPr>
        <w:snapToGrid w:val="0"/>
        <w:rPr>
          <w:rFonts w:ascii="宋体" w:hAnsi="宋体"/>
          <w:color w:val="auto"/>
          <w:sz w:val="24"/>
          <w:szCs w:val="20"/>
          <w:highlight w:val="none"/>
        </w:rPr>
      </w:pPr>
    </w:p>
    <w:p w14:paraId="5E909157">
      <w:pPr>
        <w:snapToGrid w:val="0"/>
        <w:rPr>
          <w:rFonts w:ascii="宋体" w:hAnsi="宋体"/>
          <w:color w:val="auto"/>
          <w:sz w:val="24"/>
          <w:szCs w:val="20"/>
          <w:highlight w:val="none"/>
        </w:rPr>
      </w:pPr>
    </w:p>
    <w:p w14:paraId="6843B374">
      <w:pPr>
        <w:pStyle w:val="4"/>
        <w:keepNext w:val="0"/>
        <w:keepLines w:val="0"/>
        <w:jc w:val="center"/>
        <w:rPr>
          <w:color w:val="auto"/>
          <w:highlight w:val="none"/>
        </w:rPr>
      </w:pPr>
      <w:r>
        <w:rPr>
          <w:color w:val="auto"/>
          <w:highlight w:val="none"/>
        </w:rPr>
        <w:br w:type="page"/>
      </w:r>
      <w:r>
        <w:rPr>
          <w:rFonts w:hint="eastAsia"/>
          <w:color w:val="auto"/>
          <w:highlight w:val="none"/>
        </w:rPr>
        <w:t>投标人须知正文</w:t>
      </w:r>
    </w:p>
    <w:p w14:paraId="6000B081">
      <w:pPr>
        <w:pStyle w:val="4"/>
        <w:keepNext w:val="0"/>
        <w:keepLines w:val="0"/>
        <w:jc w:val="center"/>
        <w:rPr>
          <w:color w:val="auto"/>
          <w:highlight w:val="none"/>
        </w:rPr>
      </w:pPr>
      <w:r>
        <w:rPr>
          <w:rFonts w:hint="eastAsia"/>
          <w:color w:val="auto"/>
          <w:highlight w:val="none"/>
        </w:rPr>
        <w:t>一、总  则</w:t>
      </w:r>
    </w:p>
    <w:p w14:paraId="2E57EC6E">
      <w:pPr>
        <w:pStyle w:val="5"/>
        <w:keepNext w:val="0"/>
        <w:keepLines w:val="0"/>
        <w:spacing w:before="0" w:after="0" w:line="360" w:lineRule="auto"/>
        <w:ind w:left="420" w:leftChars="200"/>
        <w:rPr>
          <w:rFonts w:ascii="黑体" w:hAnsi="黑体" w:eastAsia="黑体"/>
          <w:color w:val="auto"/>
          <w:sz w:val="24"/>
          <w:highlight w:val="none"/>
        </w:rPr>
      </w:pPr>
      <w:bookmarkStart w:id="95" w:name="_Toc254970527"/>
      <w:bookmarkStart w:id="96" w:name="_Toc254970668"/>
      <w:r>
        <w:rPr>
          <w:rFonts w:hint="eastAsia" w:ascii="黑体" w:hAnsi="黑体" w:eastAsia="黑体"/>
          <w:color w:val="auto"/>
          <w:sz w:val="24"/>
          <w:highlight w:val="none"/>
        </w:rPr>
        <w:t>1.适用范围</w:t>
      </w:r>
      <w:bookmarkEnd w:id="95"/>
      <w:bookmarkEnd w:id="96"/>
    </w:p>
    <w:p w14:paraId="2E035D0F">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40FCCC58">
      <w:pPr>
        <w:snapToGrid w:val="0"/>
        <w:spacing w:line="360" w:lineRule="auto"/>
        <w:ind w:firstLine="420" w:firstLineChars="200"/>
        <w:jc w:val="left"/>
        <w:rPr>
          <w:rFonts w:ascii="宋体" w:hAnsi="宋体" w:cs="宋体"/>
          <w:color w:val="auto"/>
          <w:spacing w:val="-6"/>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73C037E5">
      <w:pPr>
        <w:pStyle w:val="5"/>
        <w:keepNext w:val="0"/>
        <w:keepLines w:val="0"/>
        <w:spacing w:before="0" w:after="0" w:line="360" w:lineRule="auto"/>
        <w:ind w:left="420" w:leftChars="200"/>
        <w:rPr>
          <w:rFonts w:ascii="黑体" w:hAnsi="黑体" w:eastAsia="黑体"/>
          <w:color w:val="auto"/>
          <w:sz w:val="24"/>
          <w:highlight w:val="none"/>
        </w:rPr>
      </w:pPr>
      <w:bookmarkStart w:id="97" w:name="_Toc254970528"/>
      <w:bookmarkStart w:id="98" w:name="_Toc254970669"/>
      <w:r>
        <w:rPr>
          <w:rFonts w:hint="eastAsia" w:ascii="黑体" w:hAnsi="黑体" w:eastAsia="黑体"/>
          <w:color w:val="auto"/>
          <w:sz w:val="24"/>
          <w:highlight w:val="none"/>
        </w:rPr>
        <w:t>2.定义</w:t>
      </w:r>
      <w:bookmarkEnd w:id="97"/>
      <w:bookmarkEnd w:id="98"/>
    </w:p>
    <w:p w14:paraId="1D7BDA41">
      <w:pPr>
        <w:pStyle w:val="5"/>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2.1“采购人”是指依法进行政府采购的国家机关、事业单位、团体组织。</w:t>
      </w:r>
    </w:p>
    <w:p w14:paraId="1F6E1F55">
      <w:pPr>
        <w:pStyle w:val="5"/>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2.2“采购代理机构”是指政府采购集中采购机构和集中采购机构以外的采购代理机构。</w:t>
      </w:r>
    </w:p>
    <w:p w14:paraId="7714B712">
      <w:pPr>
        <w:pStyle w:val="5"/>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2.3“供应商”是指向采购人提供货物、工程或者服务的法人、其他组织或者自然人。</w:t>
      </w:r>
    </w:p>
    <w:p w14:paraId="7D77CD64">
      <w:pPr>
        <w:pStyle w:val="6"/>
        <w:spacing w:line="360" w:lineRule="auto"/>
        <w:rPr>
          <w:rFonts w:ascii="宋体" w:hAnsi="宋体"/>
          <w:color w:val="auto"/>
          <w:szCs w:val="21"/>
          <w:highlight w:val="none"/>
        </w:rPr>
      </w:pPr>
      <w:r>
        <w:rPr>
          <w:rFonts w:hint="eastAsia" w:ascii="宋体" w:hAnsi="宋体"/>
          <w:color w:val="auto"/>
          <w:szCs w:val="21"/>
          <w:highlight w:val="none"/>
        </w:rPr>
        <w:t>2.4“投标人”是指响应招标、参加投标竞争的法人、其他组织或者自然人。</w:t>
      </w:r>
    </w:p>
    <w:p w14:paraId="03CEA5F1">
      <w:pPr>
        <w:pStyle w:val="5"/>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2.5“货物”是指各种形态和种类的物品，包括原材料、燃料、设备、产品等。</w:t>
      </w:r>
    </w:p>
    <w:p w14:paraId="776A2384">
      <w:pPr>
        <w:pStyle w:val="5"/>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2.6“售后服务” 是指商品出售以后所提供的各种服务，包含但不限于投标人须承担的备品备件、包装、运输、装卸、保险、货到就位以及安装、调试、培训、质保以及其他各种服务。</w:t>
      </w:r>
    </w:p>
    <w:p w14:paraId="04899835">
      <w:pPr>
        <w:pStyle w:val="5"/>
        <w:keepNext w:val="0"/>
        <w:keepLines w:val="0"/>
        <w:spacing w:before="0" w:after="0" w:line="360" w:lineRule="auto"/>
        <w:rPr>
          <w:rFonts w:ascii="宋体" w:hAnsi="宋体"/>
          <w:b w:val="0"/>
          <w:color w:val="auto"/>
          <w:sz w:val="21"/>
          <w:szCs w:val="21"/>
          <w:highlight w:val="none"/>
        </w:rPr>
      </w:pPr>
      <w:r>
        <w:rPr>
          <w:rFonts w:hint="eastAsia" w:ascii="宋体" w:hAnsi="宋体"/>
          <w:b w:val="0"/>
          <w:color w:val="auto"/>
          <w:sz w:val="21"/>
          <w:szCs w:val="21"/>
          <w:highlight w:val="none"/>
        </w:rPr>
        <w:t xml:space="preserve">    2.7“书面形式”是指合同书、信件和数据电文（包括电报、电传、传真、电子数据交换和电子邮件）等可以有形地表现所载内容的形式。</w:t>
      </w:r>
    </w:p>
    <w:p w14:paraId="3DFD21E4">
      <w:pPr>
        <w:pStyle w:val="5"/>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2.8“实质性要求”是指招标文件中已经指明不满足则投标无效的条款，或者不能负偏离的条款，或者采购需求中带“▲”的条款。</w:t>
      </w:r>
    </w:p>
    <w:p w14:paraId="71306CB1">
      <w:pPr>
        <w:snapToGri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 xml:space="preserve">2.9 </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41FBF4AA">
      <w:pPr>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2.10</w:t>
      </w:r>
      <w:r>
        <w:rPr>
          <w:rFonts w:hint="eastAsia" w:ascii="宋体" w:hAnsi="宋体" w:cs="宋体"/>
          <w:color w:val="auto"/>
          <w:szCs w:val="21"/>
          <w:highlight w:val="none"/>
        </w:rPr>
        <w:t>“负偏离”，是指投标文件对招标文件“采购需求”中有关条款作出的响应不满足条款要求，导致采购人要求不能得到满足的情形。</w:t>
      </w:r>
    </w:p>
    <w:p w14:paraId="434DB8D4">
      <w:pPr>
        <w:snapToGri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1</w:t>
      </w:r>
      <w:r>
        <w:rPr>
          <w:rFonts w:hint="eastAsia" w:ascii="宋体" w:hAnsi="宋体" w:cs="宋体"/>
          <w:color w:val="auto"/>
          <w:szCs w:val="21"/>
          <w:highlight w:val="none"/>
        </w:rPr>
        <w:t>“允许负偏离的条款”是指采购需求中的不属于“实质性要求”的条款。</w:t>
      </w:r>
      <w:bookmarkStart w:id="99" w:name="_Toc254970670"/>
      <w:bookmarkStart w:id="100" w:name="_Toc254970529"/>
    </w:p>
    <w:p w14:paraId="171CC49A">
      <w:pPr>
        <w:pStyle w:val="5"/>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w:t>
      </w:r>
      <w:bookmarkEnd w:id="99"/>
      <w:bookmarkEnd w:id="100"/>
      <w:r>
        <w:rPr>
          <w:rFonts w:hint="eastAsia" w:ascii="黑体" w:hAnsi="黑体" w:eastAsia="黑体"/>
          <w:color w:val="auto"/>
          <w:sz w:val="24"/>
          <w:highlight w:val="none"/>
        </w:rPr>
        <w:t>投标人的资格要求</w:t>
      </w:r>
    </w:p>
    <w:p w14:paraId="2CFBDCB5">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投标人的资格要求详见“投标人须知前附表”。</w:t>
      </w:r>
    </w:p>
    <w:p w14:paraId="3E8F12B5">
      <w:pPr>
        <w:pStyle w:val="5"/>
        <w:keepNext w:val="0"/>
        <w:keepLines w:val="0"/>
        <w:spacing w:before="0" w:after="0" w:line="360" w:lineRule="auto"/>
        <w:ind w:left="420" w:leftChars="200"/>
        <w:rPr>
          <w:rFonts w:ascii="黑体" w:hAnsi="黑体" w:eastAsia="黑体"/>
          <w:color w:val="auto"/>
          <w:sz w:val="24"/>
          <w:highlight w:val="none"/>
        </w:rPr>
      </w:pPr>
      <w:bookmarkStart w:id="101" w:name="_Toc254970530"/>
      <w:bookmarkStart w:id="102" w:name="_Toc254970671"/>
      <w:r>
        <w:rPr>
          <w:rFonts w:hint="eastAsia" w:ascii="黑体" w:hAnsi="黑体" w:eastAsia="黑体"/>
          <w:color w:val="auto"/>
          <w:sz w:val="24"/>
          <w:highlight w:val="none"/>
        </w:rPr>
        <w:t>4.投标委托</w:t>
      </w:r>
      <w:bookmarkEnd w:id="101"/>
      <w:bookmarkEnd w:id="102"/>
    </w:p>
    <w:p w14:paraId="42381CF3">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投标人代表参加投标活动过程中必须携带个人有效身份证件。如投标人代表不是法定代表人，须持有授权委托书（按第六章要求格式填写）。</w:t>
      </w:r>
    </w:p>
    <w:p w14:paraId="5B63914A">
      <w:pPr>
        <w:pStyle w:val="5"/>
        <w:keepNext w:val="0"/>
        <w:keepLines w:val="0"/>
        <w:spacing w:before="0" w:after="0" w:line="360" w:lineRule="auto"/>
        <w:ind w:left="420" w:leftChars="200"/>
        <w:rPr>
          <w:rFonts w:ascii="黑体" w:hAnsi="黑体" w:eastAsia="黑体"/>
          <w:color w:val="auto"/>
          <w:sz w:val="24"/>
          <w:highlight w:val="none"/>
        </w:rPr>
      </w:pPr>
      <w:bookmarkStart w:id="103" w:name="_5.投标费用"/>
      <w:bookmarkEnd w:id="103"/>
      <w:bookmarkStart w:id="104" w:name="_Toc254970531"/>
      <w:bookmarkStart w:id="105" w:name="_Toc254970672"/>
      <w:r>
        <w:rPr>
          <w:rFonts w:hint="eastAsia" w:ascii="黑体" w:hAnsi="黑体" w:eastAsia="黑体"/>
          <w:color w:val="auto"/>
          <w:sz w:val="24"/>
          <w:highlight w:val="none"/>
        </w:rPr>
        <w:t>5.投标费用</w:t>
      </w:r>
      <w:bookmarkEnd w:id="104"/>
      <w:bookmarkEnd w:id="105"/>
    </w:p>
    <w:p w14:paraId="7E0B34FE">
      <w:pPr>
        <w:snapToGrid w:val="0"/>
        <w:spacing w:line="360" w:lineRule="auto"/>
        <w:ind w:firstLine="420" w:firstLineChars="200"/>
        <w:jc w:val="left"/>
        <w:rPr>
          <w:rFonts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52820E2E">
      <w:pPr>
        <w:pStyle w:val="5"/>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6.联合体投标</w:t>
      </w:r>
    </w:p>
    <w:p w14:paraId="463BE6CF">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20855ECF">
      <w:pPr>
        <w:snapToGrid w:val="0"/>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3820087A">
      <w:pPr>
        <w:pStyle w:val="5"/>
        <w:keepNext w:val="0"/>
        <w:keepLines w:val="0"/>
        <w:spacing w:before="0" w:after="0" w:line="360" w:lineRule="auto"/>
        <w:ind w:firstLine="424" w:firstLineChars="202"/>
        <w:rPr>
          <w:rFonts w:ascii="黑体" w:hAnsi="黑体" w:eastAsia="黑体"/>
          <w:color w:val="auto"/>
          <w:sz w:val="24"/>
          <w:highlight w:val="none"/>
        </w:rPr>
      </w:pPr>
      <w:r>
        <w:rPr>
          <w:rFonts w:hint="eastAsia" w:ascii="宋体" w:hAnsi="宋体"/>
          <w:b w:val="0"/>
          <w:bCs/>
          <w:color w:val="auto"/>
          <w:sz w:val="21"/>
          <w:szCs w:val="21"/>
          <w:highlight w:val="none"/>
        </w:rPr>
        <w:t>6.3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0FF276B8">
      <w:pPr>
        <w:pStyle w:val="5"/>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 xml:space="preserve">7.转包与分包             </w:t>
      </w:r>
    </w:p>
    <w:p w14:paraId="18C87C35">
      <w:pPr>
        <w:pStyle w:val="5"/>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7.1本项目不允许转包。</w:t>
      </w:r>
    </w:p>
    <w:p w14:paraId="3FEA3B66">
      <w:pPr>
        <w:pStyle w:val="5"/>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30316A01">
      <w:pPr>
        <w:pStyle w:val="5"/>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39C0D4F1">
      <w:pPr>
        <w:pStyle w:val="5"/>
        <w:keepNext w:val="0"/>
        <w:keepLines w:val="0"/>
        <w:spacing w:before="0" w:after="0" w:line="360" w:lineRule="auto"/>
        <w:ind w:left="420" w:leftChars="200"/>
        <w:rPr>
          <w:rFonts w:ascii="黑体" w:hAnsi="黑体" w:eastAsia="黑体"/>
          <w:color w:val="auto"/>
          <w:sz w:val="24"/>
          <w:highlight w:val="none"/>
        </w:rPr>
      </w:pPr>
      <w:bookmarkStart w:id="106" w:name="_Toc254970532"/>
      <w:bookmarkStart w:id="107" w:name="_Toc254970673"/>
      <w:r>
        <w:rPr>
          <w:rFonts w:hint="eastAsia" w:ascii="黑体" w:hAnsi="黑体" w:eastAsia="黑体"/>
          <w:color w:val="auto"/>
          <w:sz w:val="24"/>
          <w:highlight w:val="none"/>
        </w:rPr>
        <w:t>8.特别说明</w:t>
      </w:r>
      <w:bookmarkEnd w:id="106"/>
      <w:bookmarkEnd w:id="107"/>
    </w:p>
    <w:p w14:paraId="58921DE1">
      <w:pPr>
        <w:pStyle w:val="5"/>
        <w:keepNext w:val="0"/>
        <w:keepLines w:val="0"/>
        <w:spacing w:before="0" w:after="0" w:line="360" w:lineRule="auto"/>
        <w:ind w:firstLine="420" w:firstLineChars="200"/>
        <w:rPr>
          <w:rFonts w:ascii="宋体" w:hAnsi="宋体"/>
          <w:b w:val="0"/>
          <w:color w:val="auto"/>
          <w:sz w:val="21"/>
          <w:szCs w:val="21"/>
          <w:highlight w:val="none"/>
        </w:rPr>
      </w:pPr>
      <w:bookmarkStart w:id="108" w:name="_8.1提供相同品牌产品且通过资格审查、符合性审查的不同投标人参加同一合"/>
      <w:bookmarkEnd w:id="108"/>
      <w:r>
        <w:rPr>
          <w:rFonts w:ascii="宋体" w:hAnsi="宋体"/>
          <w:b w:val="0"/>
          <w:color w:val="auto"/>
          <w:sz w:val="21"/>
          <w:szCs w:val="21"/>
          <w:highlight w:val="none"/>
        </w:rPr>
        <w:fldChar w:fldCharType="begin"/>
      </w:r>
      <w:r>
        <w:rPr>
          <w:rFonts w:ascii="宋体" w:hAnsi="宋体"/>
          <w:b w:val="0"/>
          <w:color w:val="auto"/>
          <w:sz w:val="21"/>
          <w:szCs w:val="21"/>
          <w:highlight w:val="none"/>
        </w:rPr>
        <w:instrText xml:space="preserve"> HYPERLINK  \l "_8.1" </w:instrText>
      </w:r>
      <w:r>
        <w:rPr>
          <w:rFonts w:ascii="宋体" w:hAnsi="宋体"/>
          <w:b w:val="0"/>
          <w:color w:val="auto"/>
          <w:sz w:val="21"/>
          <w:szCs w:val="21"/>
          <w:highlight w:val="none"/>
        </w:rPr>
        <w:fldChar w:fldCharType="separate"/>
      </w:r>
      <w:r>
        <w:rPr>
          <w:rFonts w:hint="eastAsia" w:ascii="宋体" w:hAnsi="宋体"/>
          <w:b w:val="0"/>
          <w:color w:val="auto"/>
          <w:sz w:val="21"/>
          <w:szCs w:val="21"/>
          <w:highlight w:val="none"/>
        </w:rPr>
        <w:t>8.1</w:t>
      </w:r>
      <w:r>
        <w:rPr>
          <w:rFonts w:ascii="宋体" w:hAnsi="宋体"/>
          <w:b w:val="0"/>
          <w:color w:val="auto"/>
          <w:sz w:val="21"/>
          <w:szCs w:val="21"/>
          <w:highlight w:val="none"/>
        </w:rPr>
        <w:fldChar w:fldCharType="end"/>
      </w:r>
      <w:r>
        <w:rPr>
          <w:rFonts w:hint="eastAsia" w:ascii="宋体" w:hAnsi="宋体"/>
          <w:b w:val="0"/>
          <w:color w:val="auto"/>
          <w:sz w:val="21"/>
          <w:szCs w:val="21"/>
          <w:highlight w:val="none"/>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color w:val="auto"/>
          <w:sz w:val="22"/>
          <w:szCs w:val="22"/>
          <w:highlight w:val="none"/>
        </w:rPr>
        <w:t>其他投标无效。</w:t>
      </w:r>
    </w:p>
    <w:p w14:paraId="6B5775EF">
      <w:pPr>
        <w:pStyle w:val="5"/>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采用综合评分法的采购项目，提供相同品牌产品且通过资格审查、符合性审查的不同投标人参加同一合同项下投标的，按一家投标人计算，评审后得分最高的同品牌投标人获得中标供应商推荐资格；评审得分相同的，由采购人或者采购人委托评标委员会按照“投标人须知前附表”规定的方式确定一个投标人获得中标供应商推荐资格，其他同品牌投标人不作为中标候选人。</w:t>
      </w:r>
    </w:p>
    <w:p w14:paraId="224535DE">
      <w:pPr>
        <w:pStyle w:val="24"/>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非单一产品采购项目，多家投标人提供的核心产品品牌相同的，</w:t>
      </w:r>
      <w:r>
        <w:rPr>
          <w:rFonts w:hint="eastAsia" w:hAnsi="宋体"/>
          <w:color w:val="auto"/>
          <w:sz w:val="22"/>
          <w:szCs w:val="22"/>
          <w:highlight w:val="none"/>
        </w:rPr>
        <w:t>按前两款规定处理</w:t>
      </w:r>
      <w:r>
        <w:rPr>
          <w:rFonts w:hint="eastAsia" w:hAnsi="宋体"/>
          <w:color w:val="auto"/>
          <w:kern w:val="2"/>
          <w:sz w:val="21"/>
          <w:highlight w:val="none"/>
        </w:rPr>
        <w:t>。</w:t>
      </w:r>
    </w:p>
    <w:p w14:paraId="51DCD507">
      <w:pPr>
        <w:pStyle w:val="5"/>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 xml:space="preserve"> 8.2如果本招标文件要求提供投标人或制造商的资格、信誉、荣誉、业绩与企业认证等材料的，资格、信誉、荣誉、业绩与企业认证等必须为投标人或者制造商所拥有或自身获得 。</w:t>
      </w:r>
    </w:p>
    <w:p w14:paraId="15D81136">
      <w:pPr>
        <w:pStyle w:val="5"/>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 xml:space="preserve"> 8.3投标人应仔细阅读招标文件的所有内容，按照招标文件的要求提交投标文件，并对所提供的全部资料的真实性承担法律责任。</w:t>
      </w:r>
    </w:p>
    <w:p w14:paraId="3DD65BFA">
      <w:pPr>
        <w:pStyle w:val="5"/>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 xml:space="preserve"> 8.4投标人在投标活动中提供任何虚假材料，将报监管部门查处；中标后发现的，中标供应商须依照《中华人民共和国消费者权益保护法》规定赔偿采购人，且民事赔偿并不免除违法投标人的行政与刑事责任。</w:t>
      </w:r>
    </w:p>
    <w:p w14:paraId="0DB6E8A2">
      <w:pPr>
        <w:pStyle w:val="6"/>
        <w:spacing w:line="360" w:lineRule="auto"/>
        <w:rPr>
          <w:rFonts w:ascii="宋体" w:hAnsi="宋体"/>
          <w:color w:val="auto"/>
          <w:highlight w:val="none"/>
        </w:rPr>
      </w:pPr>
      <w:r>
        <w:rPr>
          <w:rFonts w:ascii="宋体" w:hAnsi="宋体"/>
          <w:color w:val="auto"/>
          <w:highlight w:val="none"/>
        </w:rPr>
        <w:t>8.</w:t>
      </w:r>
      <w:r>
        <w:rPr>
          <w:rFonts w:hint="eastAsia" w:ascii="宋体" w:hAnsi="宋体"/>
          <w:color w:val="auto"/>
          <w:highlight w:val="none"/>
        </w:rPr>
        <w:t>5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E468BF8">
      <w:pPr>
        <w:pStyle w:val="6"/>
        <w:spacing w:line="360" w:lineRule="auto"/>
        <w:rPr>
          <w:rFonts w:ascii="宋体" w:hAnsi="宋体"/>
          <w:color w:val="auto"/>
          <w:highlight w:val="none"/>
        </w:rPr>
      </w:pPr>
      <w:r>
        <w:rPr>
          <w:rFonts w:hint="eastAsia" w:ascii="宋体" w:hAnsi="宋体"/>
          <w:color w:val="auto"/>
          <w:highlight w:val="none"/>
        </w:rPr>
        <w:t>产品在中国境内生产的组件成本占比应当达到规定比例，计算公式为：</w:t>
      </w:r>
    </w:p>
    <w:p w14:paraId="17006DA8">
      <w:pPr>
        <w:widowControl/>
        <w:shd w:val="clear" w:color="auto" w:fill="FFFFFF"/>
        <w:spacing w:before="30" w:after="30" w:line="360" w:lineRule="auto"/>
        <w:jc w:val="center"/>
        <w:rPr>
          <w:rFonts w:ascii="宋体" w:hAnsi="宋体" w:cs="宋体"/>
          <w:color w:val="auto"/>
          <w:kern w:val="0"/>
          <w:sz w:val="24"/>
          <w:highlight w:val="none"/>
        </w:rPr>
      </w:pPr>
      <w:r>
        <w:rPr>
          <w:rFonts w:ascii="宋体" w:hAnsi="宋体" w:cs="宋体"/>
          <w:color w:val="auto"/>
          <w:kern w:val="0"/>
          <w:sz w:val="24"/>
          <w:highlight w:val="none"/>
        </w:rPr>
        <w:fldChar w:fldCharType="begin"/>
      </w:r>
      <w:r>
        <w:rPr>
          <w:rFonts w:ascii="宋体" w:hAnsi="宋体" w:cs="宋体"/>
          <w:color w:val="auto"/>
          <w:kern w:val="0"/>
          <w:sz w:val="24"/>
          <w:highlight w:val="none"/>
        </w:rPr>
        <w:instrText xml:space="preserve"> INCLUDEPICTURE "https://www.gov.cn/zhengce/content/202509/W020250930645245947614.png" \* MERGEFORMATINET </w:instrText>
      </w:r>
      <w:r>
        <w:rPr>
          <w:rFonts w:ascii="宋体" w:hAnsi="宋体" w:cs="宋体"/>
          <w:color w:val="auto"/>
          <w:kern w:val="0"/>
          <w:sz w:val="24"/>
          <w:highlight w:val="none"/>
        </w:rPr>
        <w:fldChar w:fldCharType="separate"/>
      </w:r>
      <w:r>
        <w:rPr>
          <w:rFonts w:ascii="宋体" w:hAnsi="宋体" w:cs="宋体"/>
          <w:color w:val="auto"/>
          <w:kern w:val="0"/>
          <w:sz w:val="24"/>
          <w:highlight w:val="none"/>
        </w:rPr>
        <w:drawing>
          <wp:inline distT="0" distB="0" distL="114300" distR="114300">
            <wp:extent cx="4827905" cy="762635"/>
            <wp:effectExtent l="0" t="0" r="10795" b="1841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8" r:link="rId9"/>
                    <a:stretch>
                      <a:fillRect/>
                    </a:stretch>
                  </pic:blipFill>
                  <pic:spPr>
                    <a:xfrm>
                      <a:off x="0" y="0"/>
                      <a:ext cx="4827905" cy="762635"/>
                    </a:xfrm>
                    <a:prstGeom prst="rect">
                      <a:avLst/>
                    </a:prstGeom>
                    <a:noFill/>
                    <a:ln>
                      <a:noFill/>
                    </a:ln>
                  </pic:spPr>
                </pic:pic>
              </a:graphicData>
            </a:graphic>
          </wp:inline>
        </w:drawing>
      </w:r>
      <w:r>
        <w:rPr>
          <w:rFonts w:ascii="宋体" w:hAnsi="宋体" w:cs="宋体"/>
          <w:color w:val="auto"/>
          <w:kern w:val="0"/>
          <w:sz w:val="24"/>
          <w:highlight w:val="none"/>
        </w:rPr>
        <w:fldChar w:fldCharType="end"/>
      </w:r>
    </w:p>
    <w:p w14:paraId="31AFE1A0">
      <w:pPr>
        <w:pStyle w:val="6"/>
        <w:spacing w:line="360" w:lineRule="auto"/>
        <w:rPr>
          <w:rFonts w:ascii="宋体" w:hAnsi="宋体"/>
          <w:color w:val="auto"/>
          <w:highlight w:val="none"/>
        </w:rPr>
      </w:pPr>
      <w:r>
        <w:rPr>
          <w:rFonts w:hint="eastAsia" w:ascii="宋体" w:hAnsi="宋体"/>
          <w:color w:val="auto"/>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1178B6CB">
      <w:pPr>
        <w:pStyle w:val="6"/>
        <w:spacing w:line="360" w:lineRule="auto"/>
        <w:rPr>
          <w:rFonts w:ascii="宋体" w:hAnsi="宋体"/>
          <w:color w:val="auto"/>
          <w:highlight w:val="none"/>
        </w:rPr>
      </w:pPr>
      <w:r>
        <w:rPr>
          <w:rFonts w:hint="eastAsia" w:ascii="宋体" w:hAnsi="宋体"/>
          <w:color w:val="auto"/>
          <w:highlight w:val="none"/>
        </w:rPr>
        <w:t>政府采购活动中既有本国产品又有非本国产品参与竞争的，依法对本国产品给予价格评审优惠，对本国产品的报价给予20%的价格扣除，用扣除后的价格参与评审。</w:t>
      </w:r>
    </w:p>
    <w:p w14:paraId="055327C3">
      <w:pPr>
        <w:pStyle w:val="6"/>
        <w:spacing w:line="360" w:lineRule="auto"/>
        <w:rPr>
          <w:color w:val="auto"/>
          <w:highlight w:val="none"/>
        </w:rPr>
      </w:pPr>
      <w:r>
        <w:rPr>
          <w:rFonts w:hint="eastAsia" w:ascii="宋体" w:hAnsi="宋体"/>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6448658">
      <w:pPr>
        <w:pStyle w:val="6"/>
        <w:rPr>
          <w:color w:val="auto"/>
          <w:highlight w:val="none"/>
        </w:rPr>
      </w:pPr>
    </w:p>
    <w:p w14:paraId="491239FA">
      <w:pPr>
        <w:pStyle w:val="5"/>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9.</w:t>
      </w:r>
      <w:r>
        <w:rPr>
          <w:rFonts w:hint="eastAsia" w:ascii="黑体" w:hAnsi="黑体" w:eastAsia="黑体"/>
          <w:color w:val="auto"/>
          <w:sz w:val="24"/>
          <w:highlight w:val="none"/>
        </w:rPr>
        <w:t>回避与串通投标</w:t>
      </w:r>
    </w:p>
    <w:p w14:paraId="1A13E011">
      <w:pPr>
        <w:pStyle w:val="5"/>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9</w:t>
      </w:r>
      <w:r>
        <w:rPr>
          <w:rFonts w:ascii="宋体" w:hAnsi="宋体"/>
          <w:b w:val="0"/>
          <w:color w:val="auto"/>
          <w:sz w:val="21"/>
          <w:szCs w:val="21"/>
          <w:highlight w:val="none"/>
        </w:rPr>
        <w:t>.1在政府采购活动中，采购人员及相关人员与</w:t>
      </w:r>
      <w:r>
        <w:rPr>
          <w:rFonts w:hint="eastAsia" w:ascii="宋体" w:hAnsi="宋体"/>
          <w:b w:val="0"/>
          <w:color w:val="auto"/>
          <w:sz w:val="21"/>
          <w:szCs w:val="21"/>
          <w:highlight w:val="none"/>
        </w:rPr>
        <w:t>供应商</w:t>
      </w:r>
      <w:r>
        <w:rPr>
          <w:rFonts w:ascii="宋体" w:hAnsi="宋体"/>
          <w:b w:val="0"/>
          <w:color w:val="auto"/>
          <w:sz w:val="21"/>
          <w:szCs w:val="21"/>
          <w:highlight w:val="none"/>
        </w:rPr>
        <w:t>有下列利害关系之一的，应当回避：</w:t>
      </w:r>
    </w:p>
    <w:p w14:paraId="41395B98">
      <w:pPr>
        <w:pStyle w:val="24"/>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1</w:t>
      </w:r>
      <w:r>
        <w:rPr>
          <w:rFonts w:hAnsi="宋体"/>
          <w:color w:val="auto"/>
          <w:kern w:val="2"/>
          <w:sz w:val="21"/>
          <w:highlight w:val="none"/>
        </w:rPr>
        <w:t>）参加采购活动前3年内与</w:t>
      </w:r>
      <w:r>
        <w:rPr>
          <w:rFonts w:hint="eastAsia" w:hAnsi="宋体"/>
          <w:color w:val="auto"/>
          <w:kern w:val="2"/>
          <w:sz w:val="21"/>
          <w:highlight w:val="none"/>
        </w:rPr>
        <w:t>供应商</w:t>
      </w:r>
      <w:r>
        <w:rPr>
          <w:rFonts w:hAnsi="宋体"/>
          <w:color w:val="auto"/>
          <w:kern w:val="2"/>
          <w:sz w:val="21"/>
          <w:highlight w:val="none"/>
        </w:rPr>
        <w:t>存在劳动关系；</w:t>
      </w:r>
    </w:p>
    <w:p w14:paraId="66D25CAC">
      <w:pPr>
        <w:pStyle w:val="24"/>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2</w:t>
      </w:r>
      <w:r>
        <w:rPr>
          <w:rFonts w:hAnsi="宋体"/>
          <w:color w:val="auto"/>
          <w:kern w:val="2"/>
          <w:sz w:val="21"/>
          <w:highlight w:val="none"/>
        </w:rPr>
        <w:t>）参加采购活动前3年内担任</w:t>
      </w:r>
      <w:r>
        <w:rPr>
          <w:rFonts w:hint="eastAsia" w:hAnsi="宋体"/>
          <w:color w:val="auto"/>
          <w:kern w:val="2"/>
          <w:sz w:val="21"/>
          <w:highlight w:val="none"/>
        </w:rPr>
        <w:t>供应商</w:t>
      </w:r>
      <w:r>
        <w:rPr>
          <w:rFonts w:hAnsi="宋体"/>
          <w:color w:val="auto"/>
          <w:kern w:val="2"/>
          <w:sz w:val="21"/>
          <w:highlight w:val="none"/>
        </w:rPr>
        <w:t>的董事、监事；</w:t>
      </w:r>
    </w:p>
    <w:p w14:paraId="1B6304F8">
      <w:pPr>
        <w:pStyle w:val="24"/>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3</w:t>
      </w:r>
      <w:r>
        <w:rPr>
          <w:rFonts w:hAnsi="宋体"/>
          <w:color w:val="auto"/>
          <w:kern w:val="2"/>
          <w:sz w:val="21"/>
          <w:highlight w:val="none"/>
        </w:rPr>
        <w:t>）参加采购活动前3年内是</w:t>
      </w:r>
      <w:r>
        <w:rPr>
          <w:rFonts w:hint="eastAsia" w:hAnsi="宋体"/>
          <w:color w:val="auto"/>
          <w:kern w:val="2"/>
          <w:sz w:val="21"/>
          <w:highlight w:val="none"/>
        </w:rPr>
        <w:t>供应商</w:t>
      </w:r>
      <w:r>
        <w:rPr>
          <w:rFonts w:hAnsi="宋体"/>
          <w:color w:val="auto"/>
          <w:kern w:val="2"/>
          <w:sz w:val="21"/>
          <w:highlight w:val="none"/>
        </w:rPr>
        <w:t>的控股股东或者实际控制人；</w:t>
      </w:r>
    </w:p>
    <w:p w14:paraId="69078446">
      <w:pPr>
        <w:pStyle w:val="24"/>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4</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的法定代表人或者负责人有夫妻、直系血亲、三代以内旁系血亲或者近姻亲关系；</w:t>
      </w:r>
    </w:p>
    <w:p w14:paraId="70B750D4">
      <w:pPr>
        <w:pStyle w:val="24"/>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5</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有其他可能影响政府采购活动公平、公正进行的关系。</w:t>
      </w:r>
    </w:p>
    <w:p w14:paraId="6E749848">
      <w:pPr>
        <w:pStyle w:val="24"/>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供应商</w:t>
      </w:r>
      <w:r>
        <w:rPr>
          <w:rFonts w:hAnsi="宋体"/>
          <w:color w:val="auto"/>
          <w:kern w:val="2"/>
          <w:sz w:val="21"/>
          <w:highlight w:val="none"/>
        </w:rPr>
        <w:t>认为采购人员及相关人员与其他</w:t>
      </w:r>
      <w:r>
        <w:rPr>
          <w:rFonts w:hint="eastAsia" w:hAnsi="宋体"/>
          <w:color w:val="auto"/>
          <w:kern w:val="2"/>
          <w:sz w:val="21"/>
          <w:highlight w:val="none"/>
        </w:rPr>
        <w:t>供应商</w:t>
      </w:r>
      <w:r>
        <w:rPr>
          <w:rFonts w:hAnsi="宋体"/>
          <w:color w:val="auto"/>
          <w:kern w:val="2"/>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79176E69">
      <w:pPr>
        <w:pStyle w:val="5"/>
        <w:keepNext w:val="0"/>
        <w:keepLines w:val="0"/>
        <w:spacing w:before="0" w:after="0" w:line="360" w:lineRule="auto"/>
        <w:ind w:left="420" w:leftChars="200"/>
        <w:rPr>
          <w:rFonts w:ascii="宋体" w:hAnsi="宋体"/>
          <w:color w:val="auto"/>
          <w:sz w:val="21"/>
          <w:szCs w:val="21"/>
          <w:highlight w:val="none"/>
        </w:rPr>
      </w:pPr>
      <w:r>
        <w:rPr>
          <w:rFonts w:ascii="宋体" w:hAnsi="宋体"/>
          <w:color w:val="auto"/>
          <w:sz w:val="21"/>
          <w:szCs w:val="21"/>
          <w:highlight w:val="none"/>
        </w:rPr>
        <w:t>9.2</w:t>
      </w:r>
      <w:r>
        <w:rPr>
          <w:rFonts w:hint="eastAsia" w:ascii="宋体" w:hAnsi="宋体"/>
          <w:color w:val="auto"/>
          <w:sz w:val="21"/>
          <w:szCs w:val="21"/>
          <w:highlight w:val="none"/>
        </w:rPr>
        <w:t>有下列情形之一的视为投标人相互串通投标，投标文件将被视为无效：</w:t>
      </w:r>
    </w:p>
    <w:p w14:paraId="336D0169">
      <w:pPr>
        <w:pStyle w:val="24"/>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（1）不同投标人的投标文件由同一单位或者个人编制，</w:t>
      </w:r>
      <w:r>
        <w:rPr>
          <w:rFonts w:hint="eastAsia" w:hAnsi="宋体"/>
          <w:b/>
          <w:color w:val="auto"/>
          <w:kern w:val="2"/>
          <w:sz w:val="21"/>
          <w:highlight w:val="none"/>
        </w:rPr>
        <w:t xml:space="preserve">或不同投标人报名的IP地址一致的；或不同投标人投标设备信息（包括但不限于：IP地址、MAC地址、硬盘号、CPU号、主板号）一致的； </w:t>
      </w:r>
    </w:p>
    <w:p w14:paraId="273FC757">
      <w:pPr>
        <w:pStyle w:val="24"/>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（2）不同投标人委托同一单位或者个人办理投标事宜；</w:t>
      </w:r>
    </w:p>
    <w:p w14:paraId="145065FD">
      <w:pPr>
        <w:pStyle w:val="24"/>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（3）不同的投标人的投标文件载明的项目管理员为同一个人；</w:t>
      </w:r>
    </w:p>
    <w:p w14:paraId="128B7F9F">
      <w:pPr>
        <w:pStyle w:val="24"/>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（4）不同投标人的投标文件异常一致或者投标报价呈规律性差异；</w:t>
      </w:r>
    </w:p>
    <w:p w14:paraId="3D3D9203">
      <w:pPr>
        <w:pStyle w:val="24"/>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（5）不同投标人的投标文件相互混装；</w:t>
      </w:r>
    </w:p>
    <w:p w14:paraId="5CF21959">
      <w:pPr>
        <w:pStyle w:val="24"/>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（6）不同投标人的投标保证金从同一单位或者个人账户转出。</w:t>
      </w:r>
    </w:p>
    <w:p w14:paraId="605BFA6F">
      <w:pPr>
        <w:pStyle w:val="5"/>
        <w:keepNext w:val="0"/>
        <w:keepLines w:val="0"/>
        <w:spacing w:before="0" w:after="0" w:line="360" w:lineRule="auto"/>
        <w:ind w:left="420" w:leftChars="200"/>
        <w:rPr>
          <w:rFonts w:ascii="宋体" w:hAnsi="宋体"/>
          <w:b w:val="0"/>
          <w:color w:val="auto"/>
          <w:sz w:val="21"/>
          <w:szCs w:val="21"/>
          <w:highlight w:val="none"/>
        </w:rPr>
      </w:pPr>
      <w:r>
        <w:rPr>
          <w:rFonts w:ascii="宋体" w:hAnsi="宋体"/>
          <w:b w:val="0"/>
          <w:color w:val="auto"/>
          <w:sz w:val="21"/>
          <w:szCs w:val="21"/>
          <w:highlight w:val="none"/>
        </w:rPr>
        <w:t>9.3</w:t>
      </w:r>
      <w:r>
        <w:rPr>
          <w:rFonts w:hint="eastAsia" w:ascii="宋体" w:hAnsi="宋体"/>
          <w:b w:val="0"/>
          <w:color w:val="auto"/>
          <w:sz w:val="21"/>
          <w:szCs w:val="21"/>
          <w:highlight w:val="none"/>
        </w:rPr>
        <w:t>供应商有下列情形之一的，属于恶意串通行为，将报同级监督管理部门：</w:t>
      </w:r>
    </w:p>
    <w:p w14:paraId="4ACFD0A3">
      <w:pPr>
        <w:pStyle w:val="24"/>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（1）供应商直接或者间接从采购人或者采购代理机构处获得其他供应商的相关信息并修改其投标文件或者响应文件；</w:t>
      </w:r>
    </w:p>
    <w:p w14:paraId="46E6CD2C">
      <w:pPr>
        <w:pStyle w:val="24"/>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（2）供应商按照采购人或者采购代理机构的授意撤换、修改投标文件或者响应文件；</w:t>
      </w:r>
    </w:p>
    <w:p w14:paraId="2416A948">
      <w:pPr>
        <w:pStyle w:val="24"/>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（3）供应商之间协商报价、技术方案等投标文件或者响应文件的实质性内容；</w:t>
      </w:r>
    </w:p>
    <w:p w14:paraId="7E88E79B">
      <w:pPr>
        <w:pStyle w:val="24"/>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（4）属于同一集团、协会、商会等组织成员的供应商按照该组织要求协同参加政府采购活动；</w:t>
      </w:r>
    </w:p>
    <w:p w14:paraId="6A6CD8FD">
      <w:pPr>
        <w:pStyle w:val="24"/>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350F2FF0">
      <w:pPr>
        <w:pStyle w:val="24"/>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（6）供应商之间商定部分供应商放弃参加政府采购活动或者放弃中标；</w:t>
      </w:r>
    </w:p>
    <w:p w14:paraId="5254F30B">
      <w:pPr>
        <w:pStyle w:val="24"/>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（7）供应商与采购人或者采购代理机构之间、供应商相互之间，为谋求特定供应商中标或者排斥其他供应商的其他串通行为。</w:t>
      </w:r>
    </w:p>
    <w:p w14:paraId="39F91F3F">
      <w:pPr>
        <w:pStyle w:val="24"/>
        <w:snapToGrid w:val="0"/>
        <w:spacing w:line="360" w:lineRule="auto"/>
        <w:ind w:left="2" w:leftChars="1" w:firstLine="422" w:firstLineChars="200"/>
        <w:rPr>
          <w:rFonts w:hAnsi="宋体"/>
          <w:b/>
          <w:color w:val="auto"/>
          <w:kern w:val="2"/>
          <w:sz w:val="21"/>
          <w:highlight w:val="none"/>
        </w:rPr>
      </w:pPr>
    </w:p>
    <w:p w14:paraId="4E02420A">
      <w:pPr>
        <w:pStyle w:val="4"/>
        <w:keepNext w:val="0"/>
        <w:keepLines w:val="0"/>
        <w:jc w:val="center"/>
        <w:rPr>
          <w:color w:val="auto"/>
          <w:highlight w:val="none"/>
        </w:rPr>
      </w:pPr>
      <w:bookmarkStart w:id="109" w:name="_Toc254970675"/>
      <w:bookmarkStart w:id="110" w:name="_Toc254970534"/>
      <w:r>
        <w:rPr>
          <w:rFonts w:hint="eastAsia"/>
          <w:color w:val="auto"/>
          <w:highlight w:val="none"/>
        </w:rPr>
        <w:t>二、招标文件</w:t>
      </w:r>
      <w:bookmarkEnd w:id="109"/>
      <w:bookmarkEnd w:id="110"/>
    </w:p>
    <w:p w14:paraId="0E4FCD72">
      <w:pPr>
        <w:pStyle w:val="5"/>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10.招标文件的组成</w:t>
      </w:r>
    </w:p>
    <w:p w14:paraId="442CDFCE">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（1）招标公告；</w:t>
      </w:r>
    </w:p>
    <w:p w14:paraId="5C78E774">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 xml:space="preserve">（2）采购需求； </w:t>
      </w:r>
    </w:p>
    <w:p w14:paraId="2B326564">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（3）投标人须知；</w:t>
      </w:r>
    </w:p>
    <w:p w14:paraId="1C5931E1">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（4）评标方法及评标标准；</w:t>
      </w:r>
    </w:p>
    <w:p w14:paraId="78ECC387">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（5）拟签订的合同文本；</w:t>
      </w:r>
    </w:p>
    <w:p w14:paraId="5CBD0F35">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（6）投标文件格式。</w:t>
      </w:r>
    </w:p>
    <w:p w14:paraId="532ED731">
      <w:pPr>
        <w:pStyle w:val="5"/>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79DDE5F9">
      <w:pPr>
        <w:pStyle w:val="5"/>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163C34BF">
      <w:pPr>
        <w:pStyle w:val="24"/>
        <w:snapToGrid w:val="0"/>
        <w:spacing w:line="360" w:lineRule="auto"/>
        <w:ind w:firstLine="420" w:firstLineChars="200"/>
        <w:rPr>
          <w:rFonts w:hAnsi="宋体"/>
          <w:color w:val="auto"/>
          <w:sz w:val="21"/>
          <w:highlight w:val="none"/>
        </w:rPr>
      </w:pPr>
      <w:r>
        <w:rPr>
          <w:rFonts w:hint="eastAsia" w:hAnsi="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4868CFA6">
      <w:pPr>
        <w:pStyle w:val="24"/>
        <w:snapToGrid w:val="0"/>
        <w:spacing w:line="360" w:lineRule="auto"/>
        <w:ind w:firstLine="420" w:firstLineChars="200"/>
        <w:rPr>
          <w:rFonts w:hAnsi="宋体"/>
          <w:color w:val="auto"/>
          <w:sz w:val="21"/>
          <w:highlight w:val="none"/>
        </w:rPr>
      </w:pPr>
      <w:r>
        <w:rPr>
          <w:rFonts w:hint="eastAsia" w:hAnsi="宋体"/>
          <w:color w:val="auto"/>
          <w:sz w:val="21"/>
          <w:highlight w:val="none"/>
        </w:rPr>
        <w:t>1</w:t>
      </w:r>
      <w:r>
        <w:rPr>
          <w:rFonts w:hAnsi="宋体"/>
          <w:color w:val="auto"/>
          <w:sz w:val="21"/>
          <w:highlight w:val="none"/>
        </w:rPr>
        <w:t>1.2</w:t>
      </w:r>
      <w:bookmarkStart w:id="111" w:name="_Hlk53134511"/>
      <w:r>
        <w:rPr>
          <w:rFonts w:hint="eastAsia" w:hAnsi="宋体"/>
          <w:color w:val="auto"/>
          <w:sz w:val="21"/>
          <w:highlight w:val="none"/>
        </w:rPr>
        <w:t>采购人或者采购代理机构可以在招标文件提供期限截止后，组织已获取招标文件的潜在投标人现场考察或者召开开标前答疑会，具体详见“投标人须知前附表”。</w:t>
      </w:r>
    </w:p>
    <w:bookmarkEnd w:id="111"/>
    <w:p w14:paraId="531C63AD">
      <w:pPr>
        <w:pStyle w:val="4"/>
        <w:keepNext w:val="0"/>
        <w:keepLines w:val="0"/>
        <w:jc w:val="center"/>
        <w:rPr>
          <w:color w:val="auto"/>
          <w:highlight w:val="none"/>
        </w:rPr>
      </w:pPr>
      <w:bookmarkStart w:id="112" w:name="_Toc254970676"/>
      <w:bookmarkStart w:id="113" w:name="_Toc254970535"/>
      <w:r>
        <w:rPr>
          <w:rFonts w:hint="eastAsia"/>
          <w:color w:val="auto"/>
          <w:highlight w:val="none"/>
        </w:rPr>
        <w:t>三、投标文件的编制</w:t>
      </w:r>
      <w:bookmarkEnd w:id="112"/>
      <w:bookmarkEnd w:id="113"/>
    </w:p>
    <w:p w14:paraId="36D71D12">
      <w:pPr>
        <w:pStyle w:val="5"/>
        <w:keepNext w:val="0"/>
        <w:keepLines w:val="0"/>
        <w:spacing w:before="0" w:after="0" w:line="360" w:lineRule="auto"/>
        <w:ind w:left="420" w:leftChars="200"/>
        <w:rPr>
          <w:rFonts w:ascii="黑体" w:hAnsi="黑体" w:eastAsia="黑体"/>
          <w:color w:val="auto"/>
          <w:sz w:val="24"/>
          <w:highlight w:val="none"/>
        </w:rPr>
      </w:pPr>
      <w:bookmarkStart w:id="114" w:name="_Toc254970536"/>
      <w:bookmarkStart w:id="115" w:name="_Toc254970677"/>
      <w:r>
        <w:rPr>
          <w:rFonts w:hint="eastAsia" w:ascii="黑体" w:hAnsi="黑体" w:eastAsia="黑体"/>
          <w:color w:val="auto"/>
          <w:sz w:val="24"/>
          <w:highlight w:val="none"/>
        </w:rPr>
        <w:t>12.投标文件的编制原则</w:t>
      </w:r>
    </w:p>
    <w:p w14:paraId="40DDBA43">
      <w:pPr>
        <w:snapToGrid w:val="0"/>
        <w:spacing w:line="360" w:lineRule="auto"/>
        <w:ind w:firstLine="420"/>
        <w:jc w:val="left"/>
        <w:rPr>
          <w:rFonts w:ascii="宋体" w:hAnsi="宋体" w:cs="Courier New"/>
          <w:color w:val="auto"/>
          <w:szCs w:val="21"/>
          <w:highlight w:val="none"/>
        </w:rPr>
      </w:pPr>
      <w:r>
        <w:rPr>
          <w:rFonts w:ascii="宋体" w:hAnsi="宋体"/>
          <w:color w:val="auto"/>
          <w:szCs w:val="21"/>
          <w:highlight w:val="none"/>
        </w:rPr>
        <w:t>投标人必须按照招标文件的要求编制投标文件。投标文件必须对招标文件提出的要求和条件作出明确响应。</w:t>
      </w:r>
    </w:p>
    <w:p w14:paraId="70EA799E">
      <w:pPr>
        <w:pStyle w:val="5"/>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13.投标文件的组成</w:t>
      </w:r>
      <w:bookmarkEnd w:id="114"/>
      <w:bookmarkEnd w:id="115"/>
    </w:p>
    <w:p w14:paraId="2F6AF49D">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投标文件由报价文件、资格证明文件、商务及技术文件三部分组成。</w:t>
      </w:r>
    </w:p>
    <w:p w14:paraId="6DFF586E">
      <w:pPr>
        <w:pStyle w:val="5"/>
        <w:keepNext w:val="0"/>
        <w:keepLines w:val="0"/>
        <w:spacing w:before="0" w:after="0" w:line="360" w:lineRule="auto"/>
        <w:ind w:left="420" w:leftChars="200"/>
        <w:rPr>
          <w:rFonts w:ascii="宋体" w:hAnsi="宋体"/>
          <w:b w:val="0"/>
          <w:color w:val="auto"/>
          <w:sz w:val="21"/>
          <w:szCs w:val="21"/>
          <w:highlight w:val="none"/>
        </w:rPr>
      </w:pPr>
      <w:bookmarkStart w:id="116" w:name="_13.1报价文件:_具体材料见“投标人须知前附表”。"/>
      <w:bookmarkEnd w:id="116"/>
      <w:r>
        <w:rPr>
          <w:rFonts w:hint="eastAsia" w:ascii="宋体" w:hAnsi="宋体"/>
          <w:b w:val="0"/>
          <w:color w:val="auto"/>
          <w:sz w:val="21"/>
          <w:szCs w:val="21"/>
          <w:highlight w:val="none"/>
        </w:rPr>
        <w:t>（1）报价文件：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430FDB63">
      <w:pPr>
        <w:pStyle w:val="5"/>
        <w:keepNext w:val="0"/>
        <w:keepLines w:val="0"/>
        <w:spacing w:before="0" w:after="0" w:line="360" w:lineRule="auto"/>
        <w:ind w:left="420" w:leftChars="200"/>
        <w:rPr>
          <w:rFonts w:ascii="宋体" w:hAnsi="宋体"/>
          <w:b w:val="0"/>
          <w:color w:val="auto"/>
          <w:sz w:val="21"/>
          <w:szCs w:val="21"/>
          <w:highlight w:val="none"/>
        </w:rPr>
      </w:pPr>
      <w:bookmarkStart w:id="117" w:name="_13.2资格证明文件：具体材料见“投标人须知前附表”。"/>
      <w:bookmarkEnd w:id="117"/>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）资格证明文件：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16153466">
      <w:pPr>
        <w:pStyle w:val="5"/>
        <w:keepNext w:val="0"/>
        <w:keepLines w:val="0"/>
        <w:spacing w:before="0" w:after="0" w:line="360" w:lineRule="auto"/>
        <w:ind w:left="420" w:leftChars="200"/>
        <w:rPr>
          <w:rFonts w:ascii="宋体" w:hAnsi="宋体"/>
          <w:b w:val="0"/>
          <w:color w:val="auto"/>
          <w:sz w:val="21"/>
          <w:szCs w:val="21"/>
          <w:highlight w:val="none"/>
        </w:rPr>
      </w:pPr>
      <w:bookmarkStart w:id="118" w:name="_13.3商务文件:_具体材料见“投标人须知前附表”。"/>
      <w:bookmarkEnd w:id="118"/>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）商务及技术文件：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245CECF9">
      <w:pPr>
        <w:pStyle w:val="5"/>
        <w:keepNext w:val="0"/>
        <w:keepLines w:val="0"/>
        <w:spacing w:before="0" w:after="0" w:line="360" w:lineRule="auto"/>
        <w:ind w:left="420" w:leftChars="200"/>
        <w:rPr>
          <w:rFonts w:ascii="黑体" w:hAnsi="黑体" w:eastAsia="黑体"/>
          <w:color w:val="auto"/>
          <w:sz w:val="24"/>
          <w:highlight w:val="none"/>
        </w:rPr>
      </w:pPr>
      <w:bookmarkStart w:id="119" w:name="_13.4技术文件：具体材料见“投标人须知前附表”。"/>
      <w:bookmarkEnd w:id="119"/>
      <w:bookmarkStart w:id="120" w:name="_13.5投标文件电子版：具体材料见“投标人须知前附表”。"/>
      <w:bookmarkEnd w:id="120"/>
      <w:bookmarkStart w:id="121" w:name="_Toc254970678"/>
      <w:bookmarkStart w:id="122" w:name="_Toc254970537"/>
      <w:r>
        <w:rPr>
          <w:rFonts w:hint="eastAsia" w:ascii="黑体" w:hAnsi="黑体" w:eastAsia="黑体"/>
          <w:color w:val="auto"/>
          <w:sz w:val="24"/>
          <w:highlight w:val="none"/>
        </w:rPr>
        <w:t>14.投标文件的语言及计量</w:t>
      </w:r>
      <w:bookmarkEnd w:id="121"/>
      <w:bookmarkEnd w:id="122"/>
    </w:p>
    <w:p w14:paraId="07092CC1">
      <w:pPr>
        <w:pStyle w:val="5"/>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14.1语言文字</w:t>
      </w:r>
    </w:p>
    <w:p w14:paraId="2FB170B7">
      <w:pPr>
        <w:pStyle w:val="5"/>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3A1996CD">
      <w:pPr>
        <w:pStyle w:val="5"/>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14.2投标计量单位</w:t>
      </w:r>
    </w:p>
    <w:p w14:paraId="39C8C807">
      <w:pPr>
        <w:pStyle w:val="5"/>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color w:val="auto"/>
          <w:sz w:val="21"/>
          <w:szCs w:val="21"/>
          <w:highlight w:val="none"/>
        </w:rPr>
        <w:t>否则视同未响应。</w:t>
      </w:r>
    </w:p>
    <w:p w14:paraId="1E98FA10">
      <w:pPr>
        <w:pStyle w:val="5"/>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15.投标的风险</w:t>
      </w:r>
    </w:p>
    <w:p w14:paraId="2DB32DE1">
      <w:pPr>
        <w:pStyle w:val="24"/>
        <w:snapToGrid w:val="0"/>
        <w:spacing w:line="360" w:lineRule="auto"/>
        <w:ind w:firstLine="420" w:firstLineChars="200"/>
        <w:jc w:val="left"/>
        <w:rPr>
          <w:rFonts w:hAnsi="宋体"/>
          <w:color w:val="auto"/>
          <w:sz w:val="21"/>
          <w:highlight w:val="none"/>
        </w:rPr>
      </w:pPr>
      <w:r>
        <w:rPr>
          <w:rFonts w:hint="eastAsia" w:hAnsi="宋体"/>
          <w:color w:val="auto"/>
          <w:sz w:val="21"/>
          <w:highlight w:val="none"/>
        </w:rPr>
        <w:t>投标人没有按照招标文件要求提供全部资料，或者投标人没有对招标文件作出实质性响应是投标人的风险，并可能导致其投标被拒绝。</w:t>
      </w:r>
    </w:p>
    <w:p w14:paraId="18E0B69D">
      <w:pPr>
        <w:pStyle w:val="5"/>
        <w:keepNext w:val="0"/>
        <w:keepLines w:val="0"/>
        <w:spacing w:before="0" w:after="0" w:line="360" w:lineRule="auto"/>
        <w:ind w:left="420" w:leftChars="200"/>
        <w:rPr>
          <w:rFonts w:ascii="黑体" w:hAnsi="黑体" w:eastAsia="黑体"/>
          <w:color w:val="auto"/>
          <w:sz w:val="24"/>
          <w:highlight w:val="none"/>
        </w:rPr>
      </w:pPr>
      <w:bookmarkStart w:id="123" w:name="_Toc254970679"/>
      <w:bookmarkStart w:id="124" w:name="_Toc254970538"/>
      <w:r>
        <w:rPr>
          <w:rFonts w:hint="eastAsia" w:ascii="黑体" w:hAnsi="黑体" w:eastAsia="黑体"/>
          <w:color w:val="auto"/>
          <w:sz w:val="24"/>
          <w:highlight w:val="none"/>
        </w:rPr>
        <w:t>16.投标报价</w:t>
      </w:r>
      <w:bookmarkEnd w:id="123"/>
      <w:bookmarkEnd w:id="124"/>
    </w:p>
    <w:p w14:paraId="001288B4">
      <w:pPr>
        <w:pStyle w:val="5"/>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16.1投标报价应按“第六章　投标文件格式”中“开标一览表”格式填写。</w:t>
      </w:r>
    </w:p>
    <w:p w14:paraId="6D40277F">
      <w:pPr>
        <w:pStyle w:val="5"/>
        <w:keepNext w:val="0"/>
        <w:keepLines w:val="0"/>
        <w:spacing w:before="0" w:after="0" w:line="360" w:lineRule="auto"/>
        <w:ind w:left="420" w:leftChars="200"/>
        <w:rPr>
          <w:rFonts w:ascii="宋体" w:hAnsi="宋体"/>
          <w:b w:val="0"/>
          <w:color w:val="auto"/>
          <w:sz w:val="21"/>
          <w:szCs w:val="21"/>
          <w:highlight w:val="none"/>
        </w:rPr>
      </w:pPr>
      <w:bookmarkStart w:id="125" w:name="_16.2投标报价具体定义见投标人须知前附表。"/>
      <w:bookmarkEnd w:id="125"/>
      <w:r>
        <w:rPr>
          <w:rFonts w:hint="eastAsia" w:ascii="宋体" w:hAnsi="宋体"/>
          <w:b w:val="0"/>
          <w:color w:val="auto"/>
          <w:sz w:val="21"/>
          <w:szCs w:val="21"/>
          <w:highlight w:val="none"/>
        </w:rPr>
        <w:t>16.2投标报价具体包括内容详见“投标人须知前附表”。</w:t>
      </w:r>
    </w:p>
    <w:p w14:paraId="1C779A13">
      <w:pPr>
        <w:pStyle w:val="5"/>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16.3投标人必须就所投每个分标的全部内容分别作完整唯一总价报价，不得存在漏项报价；投标人必须就所投分标的单项内容作唯一报价。</w:t>
      </w:r>
    </w:p>
    <w:p w14:paraId="1DC7A208">
      <w:pPr>
        <w:pStyle w:val="5"/>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17.投标有效期</w:t>
      </w:r>
    </w:p>
    <w:p w14:paraId="27B119DD">
      <w:pPr>
        <w:pStyle w:val="5"/>
        <w:keepNext w:val="0"/>
        <w:keepLines w:val="0"/>
        <w:spacing w:before="0" w:after="0" w:line="360" w:lineRule="auto"/>
        <w:ind w:firstLine="420" w:firstLineChars="200"/>
        <w:rPr>
          <w:rFonts w:ascii="宋体" w:hAnsi="宋体"/>
          <w:b w:val="0"/>
          <w:color w:val="auto"/>
          <w:sz w:val="21"/>
          <w:szCs w:val="21"/>
          <w:highlight w:val="none"/>
        </w:rPr>
      </w:pPr>
      <w:bookmarkStart w:id="126" w:name="_17.1投标有效期应按“投标人须知中的前附表”规定的期限。"/>
      <w:bookmarkEnd w:id="126"/>
      <w:r>
        <w:rPr>
          <w:rFonts w:hint="eastAsia" w:ascii="宋体" w:hAnsi="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73AC4E7E">
      <w:pPr>
        <w:pStyle w:val="5"/>
        <w:keepNext w:val="0"/>
        <w:keepLines w:val="0"/>
        <w:spacing w:before="0" w:after="0" w:line="360" w:lineRule="auto"/>
        <w:ind w:firstLine="424" w:firstLineChars="202"/>
        <w:rPr>
          <w:rFonts w:ascii="宋体" w:hAnsi="宋体"/>
          <w:b w:val="0"/>
          <w:color w:val="auto"/>
          <w:sz w:val="21"/>
          <w:szCs w:val="21"/>
          <w:highlight w:val="none"/>
        </w:rPr>
      </w:pPr>
      <w:r>
        <w:rPr>
          <w:rFonts w:hint="eastAsia" w:ascii="宋体" w:hAnsi="宋体"/>
          <w:b w:val="0"/>
          <w:color w:val="auto"/>
          <w:sz w:val="21"/>
          <w:szCs w:val="21"/>
          <w:highlight w:val="none"/>
        </w:rPr>
        <w:t>17.2</w:t>
      </w:r>
      <w:bookmarkStart w:id="127" w:name="_Toc254970540"/>
      <w:bookmarkStart w:id="128" w:name="_Toc254970681"/>
      <w:r>
        <w:rPr>
          <w:rFonts w:hint="eastAsia" w:ascii="宋体" w:hAnsi="宋体"/>
          <w:b w:val="0"/>
          <w:color w:val="auto"/>
          <w:sz w:val="21"/>
          <w:szCs w:val="21"/>
          <w:highlight w:val="none"/>
        </w:rPr>
        <w:t xml:space="preserve"> 投标有效期应按招标文件规定的期限作出承诺，具体详见“投标人须知前附表”。</w:t>
      </w:r>
      <w:r>
        <w:rPr>
          <w:rFonts w:hint="eastAsia" w:ascii="宋体" w:hAnsi="宋体"/>
          <w:color w:val="auto"/>
          <w:sz w:val="21"/>
          <w:szCs w:val="21"/>
          <w:highlight w:val="none"/>
        </w:rPr>
        <w:t>承诺的投标有效期低于招标文件规定期限的，按无效投标处理</w:t>
      </w:r>
      <w:r>
        <w:rPr>
          <w:rFonts w:hint="eastAsia" w:ascii="宋体" w:hAnsi="宋体"/>
          <w:b w:val="0"/>
          <w:color w:val="auto"/>
          <w:sz w:val="21"/>
          <w:szCs w:val="21"/>
          <w:highlight w:val="none"/>
        </w:rPr>
        <w:t>。</w:t>
      </w:r>
    </w:p>
    <w:p w14:paraId="1304DEE1">
      <w:pPr>
        <w:pStyle w:val="5"/>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17.3投标人的投标文件在投标有效期内均保持有效。</w:t>
      </w:r>
      <w:bookmarkEnd w:id="127"/>
      <w:bookmarkEnd w:id="128"/>
    </w:p>
    <w:p w14:paraId="3047AAC0">
      <w:pPr>
        <w:pStyle w:val="5"/>
        <w:keepNext w:val="0"/>
        <w:keepLines w:val="0"/>
        <w:spacing w:before="0" w:after="0" w:line="360" w:lineRule="auto"/>
        <w:ind w:left="420" w:leftChars="200"/>
        <w:rPr>
          <w:rFonts w:ascii="宋体" w:hAnsi="宋体"/>
          <w:b w:val="0"/>
          <w:color w:val="auto"/>
          <w:sz w:val="21"/>
          <w:szCs w:val="21"/>
          <w:highlight w:val="none"/>
        </w:rPr>
      </w:pPr>
    </w:p>
    <w:p w14:paraId="432EBA70">
      <w:pPr>
        <w:pStyle w:val="5"/>
        <w:keepNext w:val="0"/>
        <w:keepLines w:val="0"/>
        <w:spacing w:before="0" w:after="0" w:line="360" w:lineRule="auto"/>
        <w:ind w:left="420" w:leftChars="200"/>
        <w:rPr>
          <w:rFonts w:ascii="黑体" w:hAnsi="黑体" w:eastAsia="黑体"/>
          <w:color w:val="auto"/>
          <w:sz w:val="24"/>
          <w:highlight w:val="none"/>
        </w:rPr>
      </w:pPr>
      <w:bookmarkStart w:id="129" w:name="_18.投标保证金"/>
      <w:bookmarkEnd w:id="129"/>
      <w:bookmarkStart w:id="130" w:name="_Toc254970541"/>
      <w:bookmarkStart w:id="131" w:name="_Toc254970682"/>
      <w:r>
        <w:rPr>
          <w:rFonts w:hint="eastAsia" w:ascii="黑体" w:hAnsi="黑体" w:eastAsia="黑体"/>
          <w:color w:val="auto"/>
          <w:sz w:val="24"/>
          <w:highlight w:val="none"/>
        </w:rPr>
        <w:t>18.投标保证金</w:t>
      </w:r>
      <w:bookmarkEnd w:id="130"/>
      <w:bookmarkEnd w:id="131"/>
    </w:p>
    <w:p w14:paraId="0F5733DB">
      <w:pPr>
        <w:pStyle w:val="5"/>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18.1投标人须按“投标人须知前附表” 的规定提交投标保证金。</w:t>
      </w:r>
    </w:p>
    <w:p w14:paraId="6B62640B">
      <w:pPr>
        <w:pStyle w:val="5"/>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18.2投标保证金的退还</w:t>
      </w:r>
    </w:p>
    <w:p w14:paraId="789E879E">
      <w:pPr>
        <w:pStyle w:val="5"/>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 xml:space="preserve">未中标供应商的投标保证金自中标通知书发出之日起5个工作日内退还；中标供应商的投标保证金自政府采购合同签订之日起5个工作日内退还。 </w:t>
      </w:r>
    </w:p>
    <w:p w14:paraId="28FF30DE">
      <w:pPr>
        <w:pStyle w:val="5"/>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18.3除逾期退还投标保证金和终止招标的情形以外，投标保证金不计息。</w:t>
      </w:r>
    </w:p>
    <w:p w14:paraId="369A783D">
      <w:pPr>
        <w:pStyle w:val="5"/>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 xml:space="preserve">18.4投标人有下列情形之一的，投标保证金将不予退还： </w:t>
      </w:r>
    </w:p>
    <w:p w14:paraId="031CF03B">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（1）投标人在投标有效期内撤销投标文件的；</w:t>
      </w:r>
    </w:p>
    <w:p w14:paraId="44AB3B3A">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（2）未按规定提交履约保证金的；</w:t>
      </w:r>
    </w:p>
    <w:p w14:paraId="40B6AAF1">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（3）投标人在投标过程中弄虚作假，提供虚假材料的；</w:t>
      </w:r>
    </w:p>
    <w:p w14:paraId="6513EA55">
      <w:pPr>
        <w:snapToGrid w:val="0"/>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（4）中标供应商无正当理由不与采购人签订合同的；</w:t>
      </w:r>
    </w:p>
    <w:p w14:paraId="1ABF19A7">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（5）投标人出现本章第9.2、9.3情形的；</w:t>
      </w:r>
    </w:p>
    <w:p w14:paraId="1C21A5D5">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w:t>
      </w:r>
      <w:r>
        <w:rPr>
          <w:rFonts w:hint="eastAsia" w:ascii="宋体" w:hAnsi="宋体" w:cs="宋体"/>
          <w:color w:val="auto"/>
          <w:szCs w:val="21"/>
          <w:highlight w:val="none"/>
        </w:rPr>
        <w:t>法律法规规定的其他情形</w:t>
      </w:r>
      <w:r>
        <w:rPr>
          <w:rFonts w:hint="eastAsia" w:ascii="宋体" w:hAnsi="宋体"/>
          <w:color w:val="auto"/>
          <w:szCs w:val="21"/>
          <w:highlight w:val="none"/>
        </w:rPr>
        <w:t>。</w:t>
      </w:r>
    </w:p>
    <w:p w14:paraId="45B75436">
      <w:pPr>
        <w:pStyle w:val="5"/>
        <w:keepNext w:val="0"/>
        <w:keepLines w:val="0"/>
        <w:spacing w:before="0" w:after="0" w:line="360" w:lineRule="auto"/>
        <w:ind w:left="420" w:leftChars="200"/>
        <w:rPr>
          <w:rFonts w:ascii="黑体" w:hAnsi="黑体" w:eastAsia="黑体"/>
          <w:color w:val="auto"/>
          <w:sz w:val="24"/>
          <w:highlight w:val="none"/>
        </w:rPr>
      </w:pPr>
      <w:bookmarkStart w:id="132" w:name="_Toc254970542"/>
      <w:bookmarkStart w:id="133" w:name="_Toc254970683"/>
      <w:r>
        <w:rPr>
          <w:rFonts w:hint="eastAsia" w:ascii="黑体" w:hAnsi="黑体" w:eastAsia="黑体"/>
          <w:color w:val="auto"/>
          <w:sz w:val="24"/>
          <w:highlight w:val="none"/>
        </w:rPr>
        <w:t>19.投标文件的</w:t>
      </w:r>
      <w:bookmarkEnd w:id="132"/>
      <w:bookmarkEnd w:id="133"/>
      <w:r>
        <w:rPr>
          <w:rFonts w:hint="eastAsia" w:ascii="黑体" w:hAnsi="黑体" w:eastAsia="黑体"/>
          <w:color w:val="auto"/>
          <w:sz w:val="24"/>
          <w:highlight w:val="none"/>
        </w:rPr>
        <w:t>编制</w:t>
      </w:r>
    </w:p>
    <w:p w14:paraId="201E74ED">
      <w:pPr>
        <w:pStyle w:val="5"/>
        <w:keepNext w:val="0"/>
        <w:keepLines w:val="0"/>
        <w:numPr>
          <w:ilvl w:val="4"/>
          <w:numId w:val="7"/>
        </w:numPr>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w:t>
      </w:r>
      <w:bookmarkStart w:id="134" w:name="_Toc254970544"/>
      <w:bookmarkStart w:id="135" w:name="_Toc254970685"/>
      <w:r>
        <w:rPr>
          <w:rFonts w:hint="eastAsia" w:ascii="宋体" w:hAnsi="宋体"/>
          <w:b w:val="0"/>
          <w:color w:val="auto"/>
          <w:sz w:val="21"/>
          <w:szCs w:val="21"/>
          <w:highlight w:val="none"/>
        </w:rPr>
        <w:t xml:space="preserve"> 19.1投标人应按照本项目招标文件规定的格式和顺序和广西政府采购云平台的要求编制投标文件并加密。投标文件内容不完整、编排混乱导致投标文件被误读、漏读或者查找不到相关内容的，由此引发的后果由投标人承担。</w:t>
      </w:r>
    </w:p>
    <w:p w14:paraId="58FD45BF">
      <w:pPr>
        <w:pStyle w:val="5"/>
        <w:keepNext w:val="0"/>
        <w:keepLines w:val="0"/>
        <w:numPr>
          <w:ilvl w:val="4"/>
          <w:numId w:val="7"/>
        </w:numPr>
        <w:spacing w:before="0" w:after="0" w:line="360" w:lineRule="auto"/>
        <w:ind w:firstLine="315" w:firstLineChars="150"/>
        <w:rPr>
          <w:rFonts w:ascii="宋体" w:hAnsi="宋体"/>
          <w:b w:val="0"/>
          <w:color w:val="auto"/>
          <w:sz w:val="21"/>
          <w:szCs w:val="21"/>
          <w:highlight w:val="none"/>
        </w:rPr>
      </w:pPr>
      <w:bookmarkStart w:id="136" w:name="_19.2投标文件应按报价文件、资格证明文件、商务文件、技术文件分别编制"/>
      <w:bookmarkEnd w:id="136"/>
      <w:r>
        <w:rPr>
          <w:rFonts w:hint="eastAsia" w:ascii="宋体" w:hAnsi="宋体"/>
          <w:b w:val="0"/>
          <w:color w:val="auto"/>
          <w:sz w:val="21"/>
          <w:szCs w:val="21"/>
          <w:highlight w:val="none"/>
        </w:rPr>
        <w:t xml:space="preserve"> 19.2为确保网上操作合法、有效和安全，投标人应当在投标截止时间前完成在广西政府采购云平台的身份认证，确保在电子投标过程中能够对相关数据电文进行加密和使用电子签章。</w:t>
      </w:r>
    </w:p>
    <w:p w14:paraId="230AF78E">
      <w:pPr>
        <w:pStyle w:val="5"/>
        <w:keepNext w:val="0"/>
        <w:keepLines w:val="0"/>
        <w:numPr>
          <w:ilvl w:val="4"/>
          <w:numId w:val="7"/>
        </w:numPr>
        <w:spacing w:before="0" w:after="0" w:line="360" w:lineRule="auto"/>
        <w:rPr>
          <w:rFonts w:ascii="宋体" w:hAnsi="宋体"/>
          <w:b w:val="0"/>
          <w:color w:val="auto"/>
          <w:sz w:val="21"/>
          <w:szCs w:val="21"/>
          <w:highlight w:val="none"/>
        </w:rPr>
      </w:pPr>
      <w:r>
        <w:rPr>
          <w:rFonts w:hint="eastAsia" w:ascii="宋体" w:hAnsi="宋体"/>
          <w:b w:val="0"/>
          <w:color w:val="auto"/>
          <w:sz w:val="21"/>
          <w:szCs w:val="21"/>
          <w:highlight w:val="none"/>
        </w:rPr>
        <w:t xml:space="preserve">    19.3投标文件须由投标人在规定位置签字（或者电子签名）、盖章（具体以投标人须知前附表或投标文件格式规定为准），</w:t>
      </w:r>
      <w:r>
        <w:rPr>
          <w:rFonts w:hint="eastAsia" w:ascii="宋体" w:hAnsi="宋体"/>
          <w:bCs/>
          <w:color w:val="auto"/>
          <w:sz w:val="21"/>
          <w:szCs w:val="21"/>
          <w:highlight w:val="none"/>
        </w:rPr>
        <w:t>否则按无效投标处理</w:t>
      </w:r>
      <w:r>
        <w:rPr>
          <w:rFonts w:hint="eastAsia" w:ascii="宋体" w:hAnsi="宋体"/>
          <w:b w:val="0"/>
          <w:color w:val="auto"/>
          <w:sz w:val="21"/>
          <w:szCs w:val="21"/>
          <w:highlight w:val="none"/>
        </w:rPr>
        <w:t>。</w:t>
      </w:r>
    </w:p>
    <w:p w14:paraId="34429A62">
      <w:pPr>
        <w:pStyle w:val="5"/>
        <w:keepNext w:val="0"/>
        <w:keepLines w:val="0"/>
        <w:numPr>
          <w:ilvl w:val="4"/>
          <w:numId w:val="7"/>
        </w:numPr>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color w:val="auto"/>
          <w:sz w:val="21"/>
          <w:szCs w:val="21"/>
          <w:highlight w:val="none"/>
        </w:rPr>
        <w:t>否则按无效投标处理</w:t>
      </w:r>
      <w:r>
        <w:rPr>
          <w:rFonts w:hint="eastAsia" w:ascii="宋体" w:hAnsi="宋体"/>
          <w:b w:val="0"/>
          <w:color w:val="auto"/>
          <w:sz w:val="21"/>
          <w:szCs w:val="21"/>
          <w:highlight w:val="none"/>
        </w:rPr>
        <w:t>。</w:t>
      </w:r>
    </w:p>
    <w:p w14:paraId="45EE4E6C">
      <w:pPr>
        <w:pStyle w:val="5"/>
        <w:keepNext w:val="0"/>
        <w:keepLines w:val="0"/>
        <w:numPr>
          <w:ilvl w:val="4"/>
          <w:numId w:val="7"/>
        </w:numPr>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23272C48">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20.电子备份投标文件</w:t>
      </w:r>
    </w:p>
    <w:p w14:paraId="55E107D3">
      <w:pPr>
        <w:spacing w:line="360" w:lineRule="auto"/>
        <w:ind w:firstLine="420" w:firstLineChars="200"/>
        <w:rPr>
          <w:rFonts w:ascii="黑体" w:hAnsi="黑体" w:eastAsia="黑体"/>
          <w:color w:val="auto"/>
          <w:sz w:val="24"/>
          <w:highlight w:val="none"/>
        </w:rPr>
      </w:pPr>
      <w:r>
        <w:rPr>
          <w:rFonts w:hint="eastAsia"/>
          <w:color w:val="auto"/>
          <w:highlight w:val="none"/>
        </w:rPr>
        <w:t>电子备份投标文件是指通过在线编制生成且后缀名为“</w:t>
      </w:r>
      <w:r>
        <w:rPr>
          <w:color w:val="auto"/>
          <w:highlight w:val="none"/>
        </w:rPr>
        <w:t>bfbs</w:t>
      </w:r>
      <w:r>
        <w:rPr>
          <w:rFonts w:hint="eastAsia"/>
          <w:color w:val="auto"/>
          <w:highlight w:val="none"/>
        </w:rPr>
        <w:t>”的文件，是否接受电子备份投标文件</w:t>
      </w:r>
      <w:r>
        <w:rPr>
          <w:rFonts w:hint="eastAsia" w:hAnsi="宋体"/>
          <w:bCs/>
          <w:color w:val="auto"/>
          <w:szCs w:val="21"/>
          <w:highlight w:val="none"/>
        </w:rPr>
        <w:t>详见在“投标人须知前附表”。</w:t>
      </w:r>
    </w:p>
    <w:p w14:paraId="71052CF7">
      <w:pPr>
        <w:pStyle w:val="5"/>
        <w:keepNext w:val="0"/>
        <w:keepLines w:val="0"/>
        <w:numPr>
          <w:ilvl w:val="4"/>
          <w:numId w:val="7"/>
        </w:numPr>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21.投标文件的提交</w:t>
      </w:r>
    </w:p>
    <w:p w14:paraId="2F5335CD">
      <w:pPr>
        <w:spacing w:line="360" w:lineRule="auto"/>
        <w:ind w:firstLine="420" w:firstLineChars="200"/>
        <w:rPr>
          <w:rFonts w:hAnsi="宋体"/>
          <w:b/>
          <w:color w:val="auto"/>
          <w:highlight w:val="none"/>
        </w:rPr>
      </w:pPr>
      <w:bookmarkStart w:id="137" w:name="_21.1投标人必须在“投标人须知中的前附表”规定的投标文件接收时间和投"/>
      <w:bookmarkEnd w:id="137"/>
      <w:r>
        <w:rPr>
          <w:rFonts w:hAnsi="宋体"/>
          <w:bCs/>
          <w:color w:val="auto"/>
          <w:szCs w:val="21"/>
          <w:highlight w:val="none"/>
        </w:rPr>
        <w:t>21.1</w:t>
      </w:r>
      <w:r>
        <w:rPr>
          <w:rFonts w:hint="eastAsia" w:hAnsi="宋体"/>
          <w:bCs/>
          <w:color w:val="auto"/>
          <w:szCs w:val="21"/>
          <w:highlight w:val="none"/>
        </w:rPr>
        <w:t>投标人必须在“投标人须知前附表”规定的</w:t>
      </w:r>
      <w:r>
        <w:rPr>
          <w:rFonts w:hint="eastAsia" w:ascii="宋体" w:hAnsi="宋体"/>
          <w:color w:val="auto"/>
          <w:szCs w:val="21"/>
          <w:highlight w:val="none"/>
        </w:rPr>
        <w:t>提交投标文件截止时间前将</w:t>
      </w:r>
      <w:r>
        <w:rPr>
          <w:rFonts w:hint="eastAsia" w:hAnsi="宋体"/>
          <w:bCs/>
          <w:color w:val="auto"/>
          <w:szCs w:val="21"/>
          <w:highlight w:val="none"/>
        </w:rPr>
        <w:t>电子投标文件提交至投标地点。电子投标文件应在制作完成后，在投标截止时间前通过有效数字证书（</w:t>
      </w:r>
      <w:r>
        <w:rPr>
          <w:rFonts w:hAnsi="宋体"/>
          <w:bCs/>
          <w:color w:val="auto"/>
          <w:szCs w:val="21"/>
          <w:highlight w:val="none"/>
        </w:rPr>
        <w:t>CA</w:t>
      </w:r>
      <w:r>
        <w:rPr>
          <w:rFonts w:hint="eastAsia" w:hAnsi="宋体"/>
          <w:bCs/>
          <w:color w:val="auto"/>
          <w:szCs w:val="21"/>
          <w:highlight w:val="none"/>
        </w:rPr>
        <w:t>认证锁）进行电子签章、加密，然后通过网络将加密的电子投标文件递交至</w:t>
      </w:r>
      <w:r>
        <w:rPr>
          <w:rFonts w:hint="eastAsia" w:ascii="宋体" w:hAnsi="宋体"/>
          <w:b/>
          <w:color w:val="auto"/>
          <w:szCs w:val="21"/>
          <w:highlight w:val="none"/>
        </w:rPr>
        <w:t>广西政府采购云平台</w:t>
      </w:r>
      <w:r>
        <w:rPr>
          <w:rFonts w:hint="eastAsia" w:hAnsi="宋体"/>
          <w:bCs/>
          <w:color w:val="auto"/>
          <w:szCs w:val="21"/>
          <w:highlight w:val="none"/>
        </w:rPr>
        <w:t>。</w:t>
      </w:r>
      <w:r>
        <w:rPr>
          <w:rFonts w:hAnsi="宋体"/>
          <w:bCs/>
          <w:color w:val="auto"/>
          <w:szCs w:val="21"/>
          <w:highlight w:val="none"/>
        </w:rPr>
        <w:t xml:space="preserve"> </w:t>
      </w:r>
      <w:r>
        <w:rPr>
          <w:rFonts w:hAnsi="宋体"/>
          <w:b/>
          <w:color w:val="auto"/>
          <w:highlight w:val="none"/>
        </w:rPr>
        <w:t xml:space="preserve"> </w:t>
      </w:r>
    </w:p>
    <w:p w14:paraId="7930D8D1">
      <w:pPr>
        <w:spacing w:line="360" w:lineRule="auto"/>
        <w:ind w:firstLine="422" w:firstLineChars="200"/>
        <w:rPr>
          <w:rFonts w:ascii="宋体" w:hAnsi="宋体"/>
          <w:b/>
          <w:color w:val="auto"/>
          <w:szCs w:val="20"/>
          <w:highlight w:val="none"/>
        </w:rPr>
      </w:pPr>
      <w:r>
        <w:rPr>
          <w:rFonts w:hint="eastAsia" w:ascii="宋体" w:hAnsi="宋体"/>
          <w:b/>
          <w:color w:val="auto"/>
          <w:szCs w:val="21"/>
          <w:highlight w:val="none"/>
        </w:rPr>
        <w:t>21.2未在规定时间内提交或者未按照招标文件要求加密的电子投标文件，广西政府采购云平台将拒收。</w:t>
      </w:r>
    </w:p>
    <w:p w14:paraId="72C37EB7">
      <w:pPr>
        <w:pStyle w:val="5"/>
        <w:keepNext w:val="0"/>
        <w:keepLines w:val="0"/>
        <w:numPr>
          <w:ilvl w:val="4"/>
          <w:numId w:val="7"/>
        </w:numPr>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22. 投标文件的补充、修改、撤回与退回</w:t>
      </w:r>
    </w:p>
    <w:p w14:paraId="515CA5AE">
      <w:pPr>
        <w:snapToGrid w:val="0"/>
        <w:spacing w:line="360" w:lineRule="auto"/>
        <w:ind w:firstLine="420"/>
        <w:jc w:val="left"/>
        <w:rPr>
          <w:rFonts w:ascii="宋体" w:hAnsi="宋体"/>
          <w:color w:val="auto"/>
          <w:szCs w:val="21"/>
          <w:highlight w:val="none"/>
        </w:rPr>
      </w:pPr>
      <w:bookmarkStart w:id="138" w:name="_Toc254970684"/>
      <w:bookmarkStart w:id="139" w:name="_Toc254970543"/>
      <w:r>
        <w:rPr>
          <w:rFonts w:hint="eastAsia" w:ascii="宋体" w:hAnsi="宋体" w:cs="宋体"/>
          <w:color w:val="auto"/>
          <w:szCs w:val="21"/>
          <w:highlight w:val="none"/>
        </w:rPr>
        <w:t>22.1</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依次进入“服务中心”中查看</w:t>
      </w:r>
      <w:r>
        <w:rPr>
          <w:rFonts w:hint="eastAsia" w:ascii="宋体" w:hAnsi="宋体" w:cs="宋体"/>
          <w:color w:val="auto"/>
          <w:szCs w:val="21"/>
          <w:highlight w:val="none"/>
        </w:rPr>
        <w:t xml:space="preserve"> “电子投标文件制作与投送教程”）</w:t>
      </w:r>
    </w:p>
    <w:bookmarkEnd w:id="138"/>
    <w:bookmarkEnd w:id="139"/>
    <w:p w14:paraId="74C30083">
      <w:pPr>
        <w:pStyle w:val="119"/>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22.2广西政府采购云平台收到投标文件后向供应商发出确认回执通知。在投标截止时间前，除供应商补充、修改或者撤回投标文件外，任何单位和个人不得解密或提取投标文件。</w:t>
      </w:r>
    </w:p>
    <w:p w14:paraId="2D5391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22.3在投标截止时间后，采购人和采购代理机构对已提交的投标文件概不退回。</w:t>
      </w:r>
    </w:p>
    <w:p w14:paraId="3FEBFE84">
      <w:pPr>
        <w:pStyle w:val="4"/>
        <w:keepNext w:val="0"/>
        <w:keepLines w:val="0"/>
        <w:jc w:val="center"/>
        <w:rPr>
          <w:color w:val="auto"/>
          <w:highlight w:val="none"/>
        </w:rPr>
      </w:pPr>
      <w:r>
        <w:rPr>
          <w:rFonts w:hint="eastAsia"/>
          <w:color w:val="auto"/>
          <w:highlight w:val="none"/>
        </w:rPr>
        <w:t>四、开    标</w:t>
      </w:r>
      <w:bookmarkEnd w:id="134"/>
      <w:bookmarkEnd w:id="135"/>
    </w:p>
    <w:p w14:paraId="6AE1651F">
      <w:pPr>
        <w:pStyle w:val="5"/>
        <w:keepNext w:val="0"/>
        <w:keepLines w:val="0"/>
        <w:spacing w:before="0" w:after="0" w:line="360" w:lineRule="auto"/>
        <w:ind w:left="420" w:leftChars="200"/>
        <w:rPr>
          <w:rFonts w:ascii="黑体" w:hAnsi="黑体" w:eastAsia="黑体"/>
          <w:color w:val="auto"/>
          <w:sz w:val="24"/>
          <w:highlight w:val="none"/>
        </w:rPr>
      </w:pPr>
      <w:bookmarkStart w:id="140" w:name="_23.开标时间和地点"/>
      <w:bookmarkEnd w:id="140"/>
      <w:r>
        <w:rPr>
          <w:rFonts w:hint="eastAsia" w:ascii="黑体" w:hAnsi="黑体" w:eastAsia="黑体"/>
          <w:color w:val="auto"/>
          <w:sz w:val="24"/>
          <w:highlight w:val="none"/>
        </w:rPr>
        <w:t>23.开标时间和地点</w:t>
      </w:r>
    </w:p>
    <w:p w14:paraId="4869502D">
      <w:pPr>
        <w:spacing w:line="360" w:lineRule="auto"/>
        <w:ind w:firstLine="420" w:firstLineChars="200"/>
        <w:rPr>
          <w:rFonts w:hAnsi="宋体"/>
          <w:bCs/>
          <w:color w:val="auto"/>
          <w:highlight w:val="none"/>
        </w:rPr>
      </w:pPr>
      <w:r>
        <w:rPr>
          <w:rFonts w:hint="eastAsia" w:hAnsi="宋体"/>
          <w:bCs/>
          <w:color w:val="auto"/>
          <w:highlight w:val="none"/>
        </w:rPr>
        <w:t>开标时间及地点详见“投标人须知前附表”</w:t>
      </w:r>
    </w:p>
    <w:p w14:paraId="52C9FC92">
      <w:pPr>
        <w:pStyle w:val="5"/>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24.开标程序</w:t>
      </w:r>
    </w:p>
    <w:p w14:paraId="191601B6">
      <w:pPr>
        <w:pStyle w:val="6"/>
        <w:spacing w:line="360" w:lineRule="auto"/>
        <w:rPr>
          <w:color w:val="auto"/>
          <w:highlight w:val="none"/>
        </w:rPr>
      </w:pPr>
      <w:r>
        <w:rPr>
          <w:color w:val="auto"/>
          <w:highlight w:val="none"/>
        </w:rPr>
        <w:t>24.1</w:t>
      </w:r>
      <w:r>
        <w:rPr>
          <w:rFonts w:hint="eastAsia"/>
          <w:color w:val="auto"/>
          <w:highlight w:val="none"/>
        </w:rPr>
        <w:t>提交投标文件截止时间止，投标人不足</w:t>
      </w:r>
      <w:r>
        <w:rPr>
          <w:color w:val="auto"/>
          <w:highlight w:val="none"/>
        </w:rPr>
        <w:t>3</w:t>
      </w:r>
      <w:r>
        <w:rPr>
          <w:rFonts w:hint="eastAsia"/>
          <w:color w:val="auto"/>
          <w:highlight w:val="none"/>
        </w:rPr>
        <w:t>家的，不得开标。</w:t>
      </w:r>
    </w:p>
    <w:p w14:paraId="05902B33">
      <w:pPr>
        <w:pStyle w:val="6"/>
        <w:spacing w:line="360" w:lineRule="auto"/>
        <w:rPr>
          <w:color w:val="auto"/>
          <w:highlight w:val="none"/>
        </w:rPr>
      </w:pPr>
      <w:r>
        <w:rPr>
          <w:color w:val="auto"/>
          <w:highlight w:val="none"/>
        </w:rPr>
        <w:t>24.2</w:t>
      </w:r>
      <w:r>
        <w:rPr>
          <w:rFonts w:hint="eastAsia"/>
          <w:color w:val="auto"/>
          <w:highlight w:val="none"/>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7291686A">
      <w:pPr>
        <w:pStyle w:val="6"/>
        <w:spacing w:line="360" w:lineRule="auto"/>
        <w:rPr>
          <w:color w:val="auto"/>
          <w:highlight w:val="none"/>
        </w:rPr>
      </w:pPr>
      <w:r>
        <w:rPr>
          <w:color w:val="auto"/>
          <w:highlight w:val="none"/>
        </w:rPr>
        <w:t>24.3</w:t>
      </w:r>
      <w:r>
        <w:rPr>
          <w:rFonts w:hint="eastAsia"/>
          <w:color w:val="auto"/>
          <w:highlight w:val="none"/>
        </w:rPr>
        <w:t>开标程序</w:t>
      </w:r>
    </w:p>
    <w:p w14:paraId="55C31D6F">
      <w:pPr>
        <w:pStyle w:val="6"/>
        <w:spacing w:line="360" w:lineRule="auto"/>
        <w:rPr>
          <w:color w:val="auto"/>
          <w:highlight w:val="none"/>
        </w:rPr>
      </w:pPr>
      <w:r>
        <w:rPr>
          <w:rFonts w:hint="eastAsia"/>
          <w:color w:val="auto"/>
          <w:highlight w:val="none"/>
        </w:rPr>
        <w:t>（</w:t>
      </w:r>
      <w:r>
        <w:rPr>
          <w:color w:val="auto"/>
          <w:highlight w:val="none"/>
        </w:rPr>
        <w:t>1</w:t>
      </w:r>
      <w:r>
        <w:rPr>
          <w:rFonts w:hint="eastAsia"/>
          <w:color w:val="auto"/>
          <w:highlight w:val="none"/>
        </w:rPr>
        <w:t>）解密电子投标文件。广西政府采购云平台按开标时间自动提取所有投标文件。采购代理机构依托广西政府采购云平台向各投标人发出电子加密投标文件【开始解密】通知，由投标人按</w:t>
      </w:r>
      <w:r>
        <w:rPr>
          <w:rFonts w:hint="eastAsia" w:hAnsi="宋体"/>
          <w:bCs/>
          <w:color w:val="auto"/>
          <w:szCs w:val="21"/>
          <w:highlight w:val="none"/>
        </w:rPr>
        <w:t>“投标人须知前附表”</w:t>
      </w:r>
      <w:r>
        <w:rPr>
          <w:rFonts w:hint="eastAsia"/>
          <w:color w:val="auto"/>
          <w:highlight w:val="none"/>
        </w:rPr>
        <w:t>规定的时间内自行进行投标文件解密。投标人的法定代表人或其委托代理人须凭加密时所用的</w:t>
      </w:r>
      <w:r>
        <w:rPr>
          <w:color w:val="auto"/>
          <w:highlight w:val="none"/>
        </w:rPr>
        <w:t>CA</w:t>
      </w:r>
      <w:r>
        <w:rPr>
          <w:rFonts w:hint="eastAsia"/>
          <w:color w:val="auto"/>
          <w:highlight w:val="none"/>
        </w:rPr>
        <w:t>锁准时登录到广西政府采购云平台电子开标大厅签到并对电子投标文件解密。</w:t>
      </w:r>
      <w:r>
        <w:rPr>
          <w:rFonts w:hint="eastAsia"/>
          <w:b/>
          <w:color w:val="auto"/>
          <w:highlight w:val="none"/>
        </w:rPr>
        <w:t>投标人未在规定的时间内解密投标文件或者解密失败的，</w:t>
      </w:r>
      <w:r>
        <w:rPr>
          <w:rFonts w:hint="eastAsia" w:ascii="宋体" w:hAnsi="宋体"/>
          <w:b/>
          <w:color w:val="auto"/>
          <w:szCs w:val="21"/>
          <w:highlight w:val="none"/>
        </w:rPr>
        <w:t>投标人的投标文件作无效处理</w:t>
      </w:r>
      <w:r>
        <w:rPr>
          <w:rFonts w:hint="eastAsia"/>
          <w:b/>
          <w:color w:val="auto"/>
          <w:highlight w:val="none"/>
        </w:rPr>
        <w:t>。</w:t>
      </w:r>
    </w:p>
    <w:p w14:paraId="35A3B4F8">
      <w:pPr>
        <w:pStyle w:val="6"/>
        <w:spacing w:line="360" w:lineRule="auto"/>
        <w:rPr>
          <w:color w:val="auto"/>
          <w:highlight w:val="none"/>
        </w:rPr>
      </w:pPr>
      <w:r>
        <w:rPr>
          <w:rFonts w:hint="eastAsia"/>
          <w:color w:val="auto"/>
          <w:highlight w:val="none"/>
        </w:rPr>
        <w:t>（</w:t>
      </w:r>
      <w:r>
        <w:rPr>
          <w:color w:val="auto"/>
          <w:highlight w:val="none"/>
        </w:rPr>
        <w:t>2</w:t>
      </w:r>
      <w:r>
        <w:rPr>
          <w:rFonts w:hint="eastAsia"/>
          <w:color w:val="auto"/>
          <w:highlight w:val="none"/>
        </w:rPr>
        <w:t>）电子唱标。投标文件解密结束，宣布的内容均在广西政府采购云平台远程开标大厅展示，具体详见</w:t>
      </w:r>
      <w:r>
        <w:rPr>
          <w:rFonts w:hint="eastAsia" w:hAnsi="宋体"/>
          <w:bCs/>
          <w:color w:val="auto"/>
          <w:highlight w:val="none"/>
        </w:rPr>
        <w:t>“投标人须知前附表”</w:t>
      </w:r>
      <w:r>
        <w:rPr>
          <w:rFonts w:hint="eastAsia"/>
          <w:color w:val="auto"/>
          <w:highlight w:val="none"/>
        </w:rPr>
        <w:t>；</w:t>
      </w:r>
    </w:p>
    <w:p w14:paraId="1B83BE79">
      <w:pPr>
        <w:pStyle w:val="6"/>
        <w:spacing w:line="360" w:lineRule="auto"/>
        <w:rPr>
          <w:color w:val="auto"/>
          <w:highlight w:val="none"/>
        </w:rPr>
      </w:pPr>
      <w:r>
        <w:rPr>
          <w:rFonts w:hint="eastAsia"/>
          <w:color w:val="auto"/>
          <w:highlight w:val="none"/>
        </w:rPr>
        <w:t>（</w:t>
      </w:r>
      <w:r>
        <w:rPr>
          <w:color w:val="auto"/>
          <w:highlight w:val="none"/>
        </w:rPr>
        <w:t>3</w:t>
      </w:r>
      <w:r>
        <w:rPr>
          <w:rFonts w:hint="eastAsia"/>
          <w:color w:val="auto"/>
          <w:highlight w:val="none"/>
        </w:rPr>
        <w:t>）开标过程由采购代理机构如实记录，并电子留痕，由参加电子开标的各投标人代表对电子开标记录在开标记录公布后</w:t>
      </w:r>
      <w:r>
        <w:rPr>
          <w:color w:val="auto"/>
          <w:highlight w:val="none"/>
        </w:rPr>
        <w:t>15</w:t>
      </w:r>
      <w:r>
        <w:rPr>
          <w:rFonts w:hint="eastAsia"/>
          <w:color w:val="auto"/>
          <w:highlight w:val="none"/>
        </w:rPr>
        <w:t>分钟内进行当场校核及勘误，并线上确认是否有异议，未确认的视同认可开标结果。</w:t>
      </w:r>
    </w:p>
    <w:p w14:paraId="4CEDCF96">
      <w:pPr>
        <w:pStyle w:val="6"/>
        <w:spacing w:line="360" w:lineRule="auto"/>
        <w:rPr>
          <w:color w:val="auto"/>
          <w:highlight w:val="none"/>
        </w:rPr>
      </w:pPr>
      <w:r>
        <w:rPr>
          <w:rFonts w:hint="eastAsia"/>
          <w:color w:val="auto"/>
          <w:highlight w:val="none"/>
        </w:rPr>
        <w:t>（</w:t>
      </w:r>
      <w:r>
        <w:rPr>
          <w:color w:val="auto"/>
          <w:highlight w:val="none"/>
        </w:rPr>
        <w:t>4</w:t>
      </w:r>
      <w:r>
        <w:rPr>
          <w:rFonts w:hint="eastAsia"/>
          <w:color w:val="auto"/>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56AFBB2A">
      <w:pPr>
        <w:pStyle w:val="6"/>
        <w:spacing w:line="360" w:lineRule="auto"/>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）开标结束。</w:t>
      </w:r>
    </w:p>
    <w:p w14:paraId="3C6DF229">
      <w:pPr>
        <w:pStyle w:val="24"/>
        <w:snapToGrid w:val="0"/>
        <w:spacing w:line="360" w:lineRule="auto"/>
        <w:ind w:firstLine="420" w:firstLineChars="200"/>
        <w:rPr>
          <w:rFonts w:hAnsi="宋体"/>
          <w:color w:val="auto"/>
          <w:sz w:val="21"/>
          <w:highlight w:val="none"/>
        </w:rPr>
      </w:pPr>
      <w:r>
        <w:rPr>
          <w:rFonts w:hint="eastAsia"/>
          <w:color w:val="auto"/>
          <w:sz w:val="21"/>
          <w:highlight w:val="none"/>
        </w:rPr>
        <w:t>特别说明：如遇广西政府采购云平台电子化开标或评审程序调整的，按调整后执行。</w:t>
      </w:r>
    </w:p>
    <w:p w14:paraId="60695495">
      <w:pPr>
        <w:pStyle w:val="24"/>
        <w:snapToGrid w:val="0"/>
        <w:spacing w:line="360" w:lineRule="auto"/>
        <w:ind w:left="689" w:leftChars="228" w:hanging="210" w:hangingChars="100"/>
        <w:rPr>
          <w:rFonts w:hAnsi="宋体"/>
          <w:color w:val="auto"/>
          <w:sz w:val="21"/>
          <w:highlight w:val="none"/>
        </w:rPr>
      </w:pPr>
    </w:p>
    <w:p w14:paraId="036C6347">
      <w:pPr>
        <w:pStyle w:val="4"/>
        <w:keepNext w:val="0"/>
        <w:keepLines w:val="0"/>
        <w:jc w:val="center"/>
        <w:rPr>
          <w:color w:val="auto"/>
          <w:highlight w:val="none"/>
        </w:rPr>
      </w:pPr>
      <w:r>
        <w:rPr>
          <w:rFonts w:hint="eastAsia"/>
          <w:color w:val="auto"/>
          <w:highlight w:val="none"/>
        </w:rPr>
        <w:t>五、资格审查</w:t>
      </w:r>
    </w:p>
    <w:p w14:paraId="2C2392DE">
      <w:pPr>
        <w:pStyle w:val="5"/>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25.资格审查</w:t>
      </w:r>
    </w:p>
    <w:p w14:paraId="2019E09B">
      <w:pPr>
        <w:pStyle w:val="5"/>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25.1</w:t>
      </w:r>
      <w:r>
        <w:rPr>
          <w:rFonts w:ascii="宋体" w:hAnsi="宋体"/>
          <w:b w:val="0"/>
          <w:color w:val="auto"/>
          <w:sz w:val="21"/>
          <w:szCs w:val="21"/>
          <w:highlight w:val="none"/>
        </w:rPr>
        <w:t>开标结束后，</w:t>
      </w:r>
      <w:r>
        <w:rPr>
          <w:rFonts w:hint="eastAsia" w:ascii="宋体" w:hAnsi="宋体"/>
          <w:b w:val="0"/>
          <w:color w:val="auto"/>
          <w:sz w:val="21"/>
          <w:szCs w:val="21"/>
          <w:highlight w:val="none"/>
        </w:rPr>
        <w:t>采购人或者采购代理机构通过电子开评标系统依据招标文件对电子投标文件进行线上资格审查</w:t>
      </w:r>
      <w:r>
        <w:rPr>
          <w:rFonts w:ascii="宋体" w:hAnsi="宋体"/>
          <w:b w:val="0"/>
          <w:color w:val="auto"/>
          <w:sz w:val="21"/>
          <w:szCs w:val="21"/>
          <w:highlight w:val="none"/>
        </w:rPr>
        <w:t>。</w:t>
      </w:r>
    </w:p>
    <w:p w14:paraId="1B92487F">
      <w:pPr>
        <w:pStyle w:val="5"/>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561B8AB3">
      <w:pPr>
        <w:pStyle w:val="5"/>
        <w:keepNext w:val="0"/>
        <w:keepLines w:val="0"/>
        <w:numPr>
          <w:ilvl w:val="0"/>
          <w:numId w:val="0"/>
        </w:numPr>
        <w:spacing w:before="0" w:after="0" w:line="360" w:lineRule="auto"/>
        <w:ind w:firstLine="422" w:firstLineChars="200"/>
        <w:rPr>
          <w:rFonts w:ascii="宋体" w:hAnsi="宋体"/>
          <w:color w:val="auto"/>
          <w:sz w:val="21"/>
          <w:szCs w:val="21"/>
          <w:highlight w:val="none"/>
        </w:rPr>
      </w:pPr>
      <w:bookmarkStart w:id="141" w:name="_25.3_投标人有下列情形之一的，资格审查不通过而导致其投标无效："/>
      <w:bookmarkEnd w:id="141"/>
      <w:r>
        <w:rPr>
          <w:rFonts w:hint="eastAsia" w:ascii="宋体" w:hAnsi="宋体"/>
          <w:color w:val="auto"/>
          <w:sz w:val="21"/>
          <w:szCs w:val="21"/>
          <w:highlight w:val="none"/>
        </w:rPr>
        <w:t>25.3 投标人有下列情形之一的，资格审查不通过，作无效投标处理：</w:t>
      </w:r>
    </w:p>
    <w:p w14:paraId="4D2B781E">
      <w:pPr>
        <w:pStyle w:val="24"/>
        <w:snapToGrid w:val="0"/>
        <w:spacing w:line="360" w:lineRule="auto"/>
        <w:ind w:firstLine="422" w:firstLineChars="200"/>
        <w:rPr>
          <w:rFonts w:hAnsi="宋体"/>
          <w:b/>
          <w:color w:val="auto"/>
          <w:sz w:val="21"/>
          <w:highlight w:val="none"/>
        </w:rPr>
      </w:pPr>
      <w:r>
        <w:rPr>
          <w:rFonts w:hint="eastAsia" w:hAnsi="宋体"/>
          <w:b/>
          <w:color w:val="auto"/>
          <w:sz w:val="21"/>
          <w:highlight w:val="none"/>
        </w:rPr>
        <w:t>（1）不具备招标文件中规定的资格要求的；</w:t>
      </w:r>
    </w:p>
    <w:p w14:paraId="5742D194">
      <w:pPr>
        <w:pStyle w:val="24"/>
        <w:snapToGrid w:val="0"/>
        <w:spacing w:line="360" w:lineRule="auto"/>
        <w:ind w:firstLine="422" w:firstLineChars="200"/>
        <w:rPr>
          <w:rFonts w:hAnsi="宋体"/>
          <w:b/>
          <w:color w:val="auto"/>
          <w:sz w:val="21"/>
          <w:highlight w:val="none"/>
        </w:rPr>
      </w:pPr>
      <w:r>
        <w:rPr>
          <w:rFonts w:hint="eastAsia" w:hAnsi="宋体"/>
          <w:b/>
          <w:color w:val="auto"/>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244269F5">
      <w:pPr>
        <w:pStyle w:val="24"/>
        <w:snapToGrid w:val="0"/>
        <w:spacing w:line="360" w:lineRule="auto"/>
        <w:ind w:firstLine="422" w:firstLineChars="200"/>
        <w:rPr>
          <w:rFonts w:hAnsi="宋体"/>
          <w:b/>
          <w:color w:val="auto"/>
          <w:sz w:val="21"/>
          <w:highlight w:val="none"/>
        </w:rPr>
      </w:pPr>
      <w:r>
        <w:rPr>
          <w:rFonts w:hint="eastAsia" w:hAnsi="宋体"/>
          <w:b/>
          <w:color w:val="auto"/>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1B6D0ECE">
      <w:pPr>
        <w:pStyle w:val="24"/>
        <w:snapToGrid w:val="0"/>
        <w:spacing w:line="360" w:lineRule="auto"/>
        <w:ind w:firstLine="422" w:firstLineChars="200"/>
        <w:rPr>
          <w:rFonts w:hAnsi="宋体"/>
          <w:b/>
          <w:color w:val="auto"/>
          <w:sz w:val="21"/>
          <w:highlight w:val="none"/>
        </w:rPr>
      </w:pPr>
      <w:r>
        <w:rPr>
          <w:rFonts w:hint="eastAsia" w:hAnsi="宋体"/>
          <w:b/>
          <w:color w:val="auto"/>
          <w:sz w:val="21"/>
          <w:highlight w:val="none"/>
        </w:rPr>
        <w:t>（4）投标文件中的资格证明文件缺少任一项“投标人须知前附表”资格证明文件规定“必须提供”的文件资料的；</w:t>
      </w:r>
    </w:p>
    <w:p w14:paraId="714F675E">
      <w:pPr>
        <w:pStyle w:val="24"/>
        <w:snapToGrid w:val="0"/>
        <w:spacing w:line="360" w:lineRule="auto"/>
        <w:ind w:firstLine="422" w:firstLineChars="200"/>
        <w:rPr>
          <w:rFonts w:hAnsi="宋体"/>
          <w:b/>
          <w:color w:val="auto"/>
          <w:sz w:val="21"/>
          <w:highlight w:val="none"/>
        </w:rPr>
      </w:pPr>
      <w:r>
        <w:rPr>
          <w:rFonts w:hint="eastAsia" w:hAnsi="宋体"/>
          <w:b/>
          <w:color w:val="auto"/>
          <w:sz w:val="21"/>
          <w:highlight w:val="none"/>
        </w:rPr>
        <w:t>（5）投标文件中的资格证明文件出现任一项不符合“投标人须知前附表”资格证明文件规定“必须提供”的文件资料要求或者无效的。</w:t>
      </w:r>
    </w:p>
    <w:p w14:paraId="21AF57CE">
      <w:pPr>
        <w:pStyle w:val="5"/>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color w:val="auto"/>
          <w:sz w:val="21"/>
          <w:szCs w:val="21"/>
          <w:highlight w:val="none"/>
        </w:rPr>
        <w:t>25.4</w:t>
      </w:r>
      <w:r>
        <w:rPr>
          <w:rFonts w:ascii="宋体" w:hAnsi="宋体"/>
          <w:color w:val="auto"/>
          <w:sz w:val="21"/>
          <w:szCs w:val="21"/>
          <w:highlight w:val="none"/>
        </w:rPr>
        <w:t>合格投标人不足3家的，不得评标。</w:t>
      </w:r>
    </w:p>
    <w:p w14:paraId="22E3DD85">
      <w:pPr>
        <w:pStyle w:val="24"/>
        <w:snapToGrid w:val="0"/>
        <w:spacing w:line="360" w:lineRule="auto"/>
        <w:ind w:left="689" w:leftChars="228" w:hanging="210" w:hangingChars="100"/>
        <w:rPr>
          <w:rFonts w:hAnsi="宋体"/>
          <w:color w:val="auto"/>
          <w:sz w:val="21"/>
          <w:highlight w:val="none"/>
        </w:rPr>
      </w:pPr>
    </w:p>
    <w:p w14:paraId="58BFD12C">
      <w:pPr>
        <w:pStyle w:val="4"/>
        <w:keepNext w:val="0"/>
        <w:keepLines w:val="0"/>
        <w:jc w:val="center"/>
        <w:rPr>
          <w:color w:val="auto"/>
          <w:highlight w:val="none"/>
        </w:rPr>
      </w:pPr>
      <w:r>
        <w:rPr>
          <w:rFonts w:hint="eastAsia"/>
          <w:color w:val="auto"/>
          <w:highlight w:val="none"/>
        </w:rPr>
        <w:t>六、评   标</w:t>
      </w:r>
    </w:p>
    <w:p w14:paraId="26D19BFA">
      <w:pPr>
        <w:pStyle w:val="5"/>
        <w:keepNext w:val="0"/>
        <w:keepLines w:val="0"/>
        <w:spacing w:before="0" w:after="0" w:line="360" w:lineRule="auto"/>
        <w:ind w:left="420" w:leftChars="200"/>
        <w:rPr>
          <w:rFonts w:ascii="黑体" w:hAnsi="黑体" w:eastAsia="黑体"/>
          <w:color w:val="auto"/>
          <w:sz w:val="24"/>
          <w:highlight w:val="none"/>
        </w:rPr>
      </w:pPr>
      <w:bookmarkStart w:id="142" w:name="_26.组建评标委员会"/>
      <w:bookmarkEnd w:id="142"/>
      <w:r>
        <w:rPr>
          <w:rFonts w:hint="eastAsia" w:ascii="黑体" w:hAnsi="黑体" w:eastAsia="黑体"/>
          <w:color w:val="auto"/>
          <w:sz w:val="24"/>
          <w:highlight w:val="none"/>
        </w:rPr>
        <w:t>26.组建评标委员会</w:t>
      </w:r>
    </w:p>
    <w:p w14:paraId="4EF2DD44">
      <w:pPr>
        <w:pStyle w:val="24"/>
        <w:snapToGrid w:val="0"/>
        <w:spacing w:line="360" w:lineRule="auto"/>
        <w:ind w:firstLine="420" w:firstLineChars="200"/>
        <w:rPr>
          <w:rFonts w:hAnsi="宋体"/>
          <w:color w:val="auto"/>
          <w:sz w:val="21"/>
          <w:highlight w:val="none"/>
        </w:rPr>
      </w:pPr>
      <w:r>
        <w:rPr>
          <w:rFonts w:hint="eastAsia" w:hAnsi="宋体"/>
          <w:color w:val="auto"/>
          <w:sz w:val="21"/>
          <w:highlight w:val="none"/>
        </w:rPr>
        <w:t>26.1评标委员会由采购人代表和评审专家组成，具体人数详见“投标人须知前附表”，其中评审专家不得少于成员总数的三分之二。</w:t>
      </w:r>
    </w:p>
    <w:p w14:paraId="41486937">
      <w:pPr>
        <w:pStyle w:val="24"/>
        <w:snapToGrid w:val="0"/>
        <w:spacing w:line="360" w:lineRule="auto"/>
        <w:ind w:left="2" w:leftChars="1" w:firstLine="420" w:firstLineChars="200"/>
        <w:rPr>
          <w:rFonts w:hAnsi="宋体"/>
          <w:color w:val="auto"/>
          <w:sz w:val="21"/>
          <w:highlight w:val="none"/>
        </w:rPr>
      </w:pPr>
      <w:r>
        <w:rPr>
          <w:rFonts w:hint="eastAsia" w:hAnsi="宋体"/>
          <w:color w:val="auto"/>
          <w:sz w:val="21"/>
          <w:highlight w:val="none"/>
        </w:rPr>
        <w:t>26.2参加过采购项目前期咨询论证的专家，不得参加该采购项目的评审活动。</w:t>
      </w:r>
    </w:p>
    <w:p w14:paraId="7EFC7CFD">
      <w:pPr>
        <w:pStyle w:val="24"/>
        <w:snapToGrid w:val="0"/>
        <w:spacing w:line="360" w:lineRule="auto"/>
        <w:ind w:left="2" w:leftChars="1" w:firstLine="420" w:firstLineChars="200"/>
        <w:rPr>
          <w:rFonts w:hAnsi="宋体"/>
          <w:color w:val="auto"/>
          <w:sz w:val="21"/>
          <w:highlight w:val="none"/>
        </w:rPr>
      </w:pPr>
      <w:r>
        <w:rPr>
          <w:rFonts w:hint="eastAsia" w:hAnsi="宋体"/>
          <w:color w:val="auto"/>
          <w:sz w:val="21"/>
          <w:highlight w:val="none"/>
        </w:rPr>
        <w:t>26.3</w:t>
      </w:r>
      <w:r>
        <w:rPr>
          <w:rFonts w:hint="eastAsia" w:hAnsi="宋体"/>
          <w:bCs/>
          <w:color w:val="auto"/>
          <w:sz w:val="21"/>
          <w:highlight w:val="none"/>
        </w:rPr>
        <w:t>采购代理机构应当基于广西政府采购云平台抽（选）取评审专家。</w:t>
      </w:r>
    </w:p>
    <w:p w14:paraId="269DDB14">
      <w:pPr>
        <w:pStyle w:val="5"/>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27.评标的依据</w:t>
      </w:r>
    </w:p>
    <w:p w14:paraId="11B0EC38">
      <w:pPr>
        <w:pStyle w:val="24"/>
        <w:snapToGrid w:val="0"/>
        <w:spacing w:line="360" w:lineRule="auto"/>
        <w:ind w:firstLine="420" w:firstLineChars="200"/>
        <w:rPr>
          <w:rFonts w:hAnsi="宋体"/>
          <w:color w:val="auto"/>
          <w:sz w:val="21"/>
          <w:highlight w:val="none"/>
        </w:rPr>
      </w:pPr>
      <w:r>
        <w:rPr>
          <w:rFonts w:hint="eastAsia" w:hAnsi="宋体"/>
          <w:color w:val="auto"/>
          <w:sz w:val="21"/>
          <w:highlight w:val="none"/>
        </w:rPr>
        <w:t>评标委员会以</w:t>
      </w:r>
      <w:r>
        <w:rPr>
          <w:rFonts w:hint="eastAsia" w:hAnsi="宋体" w:cs="宋体"/>
          <w:color w:val="auto"/>
          <w:sz w:val="21"/>
          <w:highlight w:val="none"/>
        </w:rPr>
        <w:t>“第四章 评标方法和评标标准”</w:t>
      </w:r>
      <w:r>
        <w:rPr>
          <w:rFonts w:hint="eastAsia" w:hAnsi="宋体"/>
          <w:color w:val="auto"/>
          <w:sz w:val="21"/>
          <w:highlight w:val="none"/>
        </w:rPr>
        <w:t>为依据对投标文件进行评审，</w:t>
      </w:r>
      <w:r>
        <w:rPr>
          <w:rFonts w:hAnsi="宋体"/>
          <w:color w:val="auto"/>
          <w:sz w:val="21"/>
          <w:highlight w:val="none"/>
        </w:rPr>
        <w:t>没有规定的方法、评审因素和标准，不作为评标依据。</w:t>
      </w:r>
    </w:p>
    <w:p w14:paraId="38CD5D2D">
      <w:pPr>
        <w:pStyle w:val="5"/>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28.评标原则</w:t>
      </w:r>
    </w:p>
    <w:p w14:paraId="5EEEBBD7">
      <w:pPr>
        <w:pStyle w:val="24"/>
        <w:snapToGrid w:val="0"/>
        <w:spacing w:line="360" w:lineRule="auto"/>
        <w:ind w:firstLine="420" w:firstLineChars="200"/>
        <w:rPr>
          <w:rFonts w:hAnsi="宋体"/>
          <w:color w:val="auto"/>
          <w:sz w:val="21"/>
          <w:highlight w:val="none"/>
        </w:rPr>
      </w:pPr>
      <w:r>
        <w:rPr>
          <w:rFonts w:hint="eastAsia" w:hAnsi="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0654DC2A">
      <w:pPr>
        <w:pStyle w:val="24"/>
        <w:snapToGrid w:val="0"/>
        <w:spacing w:line="360" w:lineRule="auto"/>
        <w:ind w:firstLine="420" w:firstLineChars="200"/>
        <w:rPr>
          <w:rFonts w:hAnsi="宋体"/>
          <w:color w:val="auto"/>
          <w:sz w:val="21"/>
          <w:highlight w:val="none"/>
        </w:rPr>
      </w:pPr>
      <w:r>
        <w:rPr>
          <w:rFonts w:hint="eastAsia" w:hAnsi="宋体"/>
          <w:color w:val="auto"/>
          <w:sz w:val="21"/>
          <w:highlight w:val="none"/>
        </w:rPr>
        <w:t>28.2</w:t>
      </w:r>
      <w:bookmarkStart w:id="143" w:name="_28.3评标方法。本项目将按须知前附表规定的评标办法进行评标，具体评标"/>
      <w:bookmarkEnd w:id="143"/>
      <w:r>
        <w:rPr>
          <w:rFonts w:hint="eastAsia" w:hAnsi="宋体"/>
          <w:color w:val="auto"/>
          <w:sz w:val="21"/>
          <w:highlight w:val="none"/>
        </w:rPr>
        <w:t>评委表决。评标委员会成员对需要共同认定的事项存在争议的，应当按照少数服从多数的原则作出结论。</w:t>
      </w:r>
    </w:p>
    <w:p w14:paraId="6F78D910">
      <w:pPr>
        <w:pStyle w:val="24"/>
        <w:snapToGrid w:val="0"/>
        <w:spacing w:line="360" w:lineRule="auto"/>
        <w:ind w:firstLine="420" w:firstLineChars="200"/>
        <w:rPr>
          <w:rFonts w:hAnsi="宋体"/>
          <w:color w:val="auto"/>
          <w:sz w:val="21"/>
          <w:highlight w:val="none"/>
        </w:rPr>
      </w:pPr>
      <w:r>
        <w:rPr>
          <w:rFonts w:hint="eastAsia" w:hAnsi="宋体"/>
          <w:color w:val="auto"/>
          <w:sz w:val="21"/>
          <w:highlight w:val="none"/>
        </w:rPr>
        <w:t>28.</w:t>
      </w:r>
      <w:r>
        <w:rPr>
          <w:rFonts w:hAnsi="宋体"/>
          <w:color w:val="auto"/>
          <w:sz w:val="21"/>
          <w:highlight w:val="none"/>
        </w:rPr>
        <w:t>3</w:t>
      </w:r>
      <w:r>
        <w:rPr>
          <w:rFonts w:hint="eastAsia" w:hAnsi="宋体"/>
          <w:color w:val="auto"/>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FD01A23">
      <w:pPr>
        <w:pStyle w:val="24"/>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8.4</w:t>
      </w:r>
      <w:r>
        <w:rPr>
          <w:rFonts w:hint="eastAsia" w:hAnsi="宋体"/>
          <w:color w:val="auto"/>
          <w:sz w:val="21"/>
          <w:highlight w:val="none"/>
        </w:rPr>
        <w:t>评标过程的监控。本项目电子评标过程实行网上留痕、全程录音、录像监控，</w:t>
      </w:r>
      <w:r>
        <w:rPr>
          <w:rFonts w:hint="eastAsia" w:hAnsi="宋体"/>
          <w:b/>
          <w:color w:val="auto"/>
          <w:sz w:val="21"/>
          <w:highlight w:val="none"/>
        </w:rPr>
        <w:t>投标人在评标过程中所进行的试图影响评标结果的不公正活动，可能导致其投标按无效处理。</w:t>
      </w:r>
    </w:p>
    <w:p w14:paraId="2F9BDA5F">
      <w:pPr>
        <w:pStyle w:val="5"/>
        <w:keepNext w:val="0"/>
        <w:keepLines w:val="0"/>
        <w:spacing w:before="0" w:after="0" w:line="360" w:lineRule="auto"/>
        <w:ind w:left="420" w:leftChars="200"/>
        <w:rPr>
          <w:rFonts w:ascii="黑体" w:hAnsi="黑体" w:eastAsia="黑体"/>
          <w:color w:val="auto"/>
          <w:sz w:val="21"/>
          <w:szCs w:val="21"/>
          <w:highlight w:val="none"/>
        </w:rPr>
      </w:pPr>
      <w:r>
        <w:rPr>
          <w:rFonts w:hint="eastAsia" w:ascii="黑体" w:hAnsi="黑体" w:eastAsia="黑体"/>
          <w:color w:val="auto"/>
          <w:sz w:val="21"/>
          <w:szCs w:val="21"/>
          <w:highlight w:val="none"/>
        </w:rPr>
        <w:t>29.评标方法及中标候选人推荐</w:t>
      </w:r>
    </w:p>
    <w:p w14:paraId="4C54A429">
      <w:pPr>
        <w:pStyle w:val="24"/>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9.1</w:t>
      </w:r>
      <w:r>
        <w:rPr>
          <w:rFonts w:hint="eastAsia" w:hAnsi="宋体"/>
          <w:color w:val="auto"/>
          <w:sz w:val="21"/>
          <w:highlight w:val="none"/>
        </w:rPr>
        <w:t>本项目的评标方法详见“投标人须知前附表”。</w:t>
      </w:r>
    </w:p>
    <w:p w14:paraId="6D434EBE">
      <w:pPr>
        <w:pStyle w:val="24"/>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9.2</w:t>
      </w:r>
      <w:r>
        <w:rPr>
          <w:rFonts w:hAnsi="宋体" w:cs="宋体"/>
          <w:color w:val="auto"/>
          <w:sz w:val="21"/>
          <w:highlight w:val="none"/>
        </w:rPr>
        <w:t xml:space="preserve"> </w:t>
      </w:r>
      <w:r>
        <w:rPr>
          <w:rFonts w:hint="eastAsia" w:hAnsi="宋体" w:cs="宋体"/>
          <w:color w:val="auto"/>
          <w:sz w:val="21"/>
          <w:highlight w:val="none"/>
        </w:rPr>
        <w:t>商务/技术要求</w:t>
      </w:r>
      <w:r>
        <w:rPr>
          <w:rFonts w:hint="eastAsia" w:hAnsi="宋体"/>
          <w:color w:val="auto"/>
          <w:sz w:val="21"/>
          <w:highlight w:val="none"/>
        </w:rPr>
        <w:t>允许负偏离的条款数</w:t>
      </w:r>
      <w:r>
        <w:rPr>
          <w:rFonts w:hAnsi="宋体"/>
          <w:color w:val="auto"/>
          <w:sz w:val="21"/>
          <w:highlight w:val="none"/>
        </w:rPr>
        <w:t>详见</w:t>
      </w:r>
      <w:r>
        <w:rPr>
          <w:rFonts w:hint="eastAsia" w:hAnsi="宋体"/>
          <w:color w:val="auto"/>
          <w:sz w:val="21"/>
          <w:highlight w:val="none"/>
        </w:rPr>
        <w:t>“投标人须知前附表”。</w:t>
      </w:r>
    </w:p>
    <w:p w14:paraId="766B30FC">
      <w:pPr>
        <w:pStyle w:val="24"/>
        <w:snapToGrid w:val="0"/>
        <w:spacing w:line="360" w:lineRule="auto"/>
        <w:ind w:firstLine="420" w:firstLineChars="200"/>
        <w:rPr>
          <w:rFonts w:hAnsi="宋体" w:cs="宋体"/>
          <w:color w:val="auto"/>
          <w:sz w:val="21"/>
          <w:highlight w:val="none"/>
        </w:rPr>
      </w:pPr>
      <w:r>
        <w:rPr>
          <w:rFonts w:hint="eastAsia" w:hAnsi="宋体"/>
          <w:color w:val="auto"/>
          <w:sz w:val="21"/>
          <w:highlight w:val="none"/>
        </w:rPr>
        <w:t>2</w:t>
      </w:r>
      <w:r>
        <w:rPr>
          <w:rFonts w:hAnsi="宋体"/>
          <w:color w:val="auto"/>
          <w:sz w:val="21"/>
          <w:highlight w:val="none"/>
        </w:rPr>
        <w:t>9.3</w:t>
      </w:r>
      <w:r>
        <w:rPr>
          <w:rFonts w:hAnsi="宋体" w:cs="宋体"/>
          <w:color w:val="auto"/>
          <w:sz w:val="21"/>
          <w:highlight w:val="none"/>
        </w:rPr>
        <w:t xml:space="preserve"> </w:t>
      </w:r>
      <w:r>
        <w:rPr>
          <w:rFonts w:hAnsi="宋体"/>
          <w:color w:val="auto"/>
          <w:sz w:val="21"/>
          <w:highlight w:val="none"/>
        </w:rPr>
        <w:t>中标候选人推荐数量详见</w:t>
      </w:r>
      <w:r>
        <w:rPr>
          <w:rFonts w:hint="eastAsia" w:hAnsi="宋体"/>
          <w:color w:val="auto"/>
          <w:sz w:val="21"/>
          <w:highlight w:val="none"/>
        </w:rPr>
        <w:t>“投标人须知前附表”。</w:t>
      </w:r>
    </w:p>
    <w:p w14:paraId="52BB8AA1">
      <w:pPr>
        <w:spacing w:line="360" w:lineRule="auto"/>
        <w:ind w:firstLine="420" w:firstLineChars="200"/>
        <w:rPr>
          <w:rFonts w:hAnsi="宋体"/>
          <w:color w:val="auto"/>
          <w:szCs w:val="21"/>
          <w:highlight w:val="none"/>
        </w:rPr>
      </w:pPr>
      <w:r>
        <w:rPr>
          <w:rFonts w:hint="eastAsia" w:hAnsi="宋体"/>
          <w:color w:val="auto"/>
          <w:szCs w:val="21"/>
          <w:highlight w:val="none"/>
        </w:rPr>
        <w:t>29.</w:t>
      </w:r>
      <w:r>
        <w:rPr>
          <w:rFonts w:hAnsi="宋体"/>
          <w:color w:val="auto"/>
          <w:szCs w:val="21"/>
          <w:highlight w:val="none"/>
        </w:rPr>
        <w:t>4</w:t>
      </w:r>
      <w:r>
        <w:rPr>
          <w:rFonts w:hint="eastAsia" w:hAnsi="宋体"/>
          <w:color w:val="auto"/>
          <w:szCs w:val="21"/>
          <w:highlight w:val="none"/>
        </w:rPr>
        <w:t xml:space="preserve"> 电子交易活动的中止。采购过程中出现以下情形，导致电子交易平台无法正常运行，或者无法保证电子交易的公平、公正和安全时，采购代理机构可以中止电子交易活动：</w:t>
      </w:r>
    </w:p>
    <w:p w14:paraId="4FF4B323">
      <w:pPr>
        <w:spacing w:line="360" w:lineRule="auto"/>
        <w:ind w:firstLine="420" w:firstLineChars="200"/>
        <w:rPr>
          <w:rFonts w:hAnsi="宋体"/>
          <w:color w:val="auto"/>
          <w:szCs w:val="21"/>
          <w:highlight w:val="none"/>
        </w:rPr>
      </w:pPr>
      <w:r>
        <w:rPr>
          <w:rFonts w:hint="eastAsia" w:hAnsi="宋体"/>
          <w:color w:val="auto"/>
          <w:szCs w:val="21"/>
          <w:highlight w:val="none"/>
        </w:rPr>
        <w:t xml:space="preserve">（1）电子交易平台发生故障而无法登录访问的； </w:t>
      </w:r>
    </w:p>
    <w:p w14:paraId="31A75AE8">
      <w:pPr>
        <w:spacing w:line="360" w:lineRule="auto"/>
        <w:ind w:firstLine="420" w:firstLineChars="200"/>
        <w:rPr>
          <w:rFonts w:hAnsi="宋体"/>
          <w:color w:val="auto"/>
          <w:szCs w:val="21"/>
          <w:highlight w:val="none"/>
        </w:rPr>
      </w:pPr>
      <w:r>
        <w:rPr>
          <w:rFonts w:hint="eastAsia" w:hAnsi="宋体"/>
          <w:color w:val="auto"/>
          <w:szCs w:val="21"/>
          <w:highlight w:val="none"/>
        </w:rPr>
        <w:t>（2）电子交易平台应用或数据库出现错误，不能进行正常操作的；</w:t>
      </w:r>
    </w:p>
    <w:p w14:paraId="1061CB99">
      <w:pPr>
        <w:spacing w:line="360" w:lineRule="auto"/>
        <w:ind w:firstLine="420" w:firstLineChars="200"/>
        <w:rPr>
          <w:rFonts w:hAnsi="宋体"/>
          <w:color w:val="auto"/>
          <w:szCs w:val="21"/>
          <w:highlight w:val="none"/>
        </w:rPr>
      </w:pPr>
      <w:r>
        <w:rPr>
          <w:rFonts w:hint="eastAsia" w:hAnsi="宋体"/>
          <w:color w:val="auto"/>
          <w:szCs w:val="21"/>
          <w:highlight w:val="none"/>
        </w:rPr>
        <w:t>（3）电子交易平台发现严重安全漏洞，有潜在泄密危险的；</w:t>
      </w:r>
    </w:p>
    <w:p w14:paraId="54996671">
      <w:pPr>
        <w:spacing w:line="360" w:lineRule="auto"/>
        <w:ind w:firstLine="420" w:firstLineChars="200"/>
        <w:rPr>
          <w:rFonts w:hAnsi="宋体"/>
          <w:color w:val="auto"/>
          <w:szCs w:val="21"/>
          <w:highlight w:val="none"/>
        </w:rPr>
      </w:pPr>
      <w:r>
        <w:rPr>
          <w:rFonts w:hint="eastAsia" w:hAnsi="宋体"/>
          <w:color w:val="auto"/>
          <w:szCs w:val="21"/>
          <w:highlight w:val="none"/>
        </w:rPr>
        <w:t xml:space="preserve">（4）病毒发作导致不能进行正常操作的； </w:t>
      </w:r>
    </w:p>
    <w:p w14:paraId="03F268CF">
      <w:pPr>
        <w:spacing w:line="360" w:lineRule="auto"/>
        <w:ind w:firstLine="420" w:firstLineChars="200"/>
        <w:rPr>
          <w:rFonts w:hAnsi="宋体"/>
          <w:color w:val="auto"/>
          <w:szCs w:val="21"/>
          <w:highlight w:val="none"/>
        </w:rPr>
      </w:pPr>
      <w:r>
        <w:rPr>
          <w:rFonts w:hint="eastAsia" w:hAnsi="宋体"/>
          <w:color w:val="auto"/>
          <w:szCs w:val="21"/>
          <w:highlight w:val="none"/>
        </w:rPr>
        <w:t>（5）其他无法保证电子交易的公平、公正和安全的情况。</w:t>
      </w:r>
    </w:p>
    <w:p w14:paraId="0907B662">
      <w:pPr>
        <w:spacing w:line="360" w:lineRule="auto"/>
        <w:ind w:firstLine="420" w:firstLineChars="200"/>
        <w:rPr>
          <w:rFonts w:hAnsi="宋体"/>
          <w:color w:val="auto"/>
          <w:szCs w:val="21"/>
          <w:highlight w:val="none"/>
        </w:rPr>
      </w:pPr>
      <w:r>
        <w:rPr>
          <w:rFonts w:hint="eastAsia" w:hAnsi="宋体"/>
          <w:color w:val="auto"/>
          <w:szCs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45926C72">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29.5出现下列情形之一的，应予废标：</w:t>
      </w:r>
    </w:p>
    <w:p w14:paraId="740BB7F2">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（1）符合专业条件的供应商或者对招标文件作实质响应的供应商不足三家的；</w:t>
      </w:r>
    </w:p>
    <w:p w14:paraId="5D73A591">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（2）出现影响采购公正的违法、违规行为的；</w:t>
      </w:r>
    </w:p>
    <w:p w14:paraId="30B466C7">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（3）投标人的报价均超过了采购预算，采购人不能支付的；</w:t>
      </w:r>
    </w:p>
    <w:p w14:paraId="2A69A029">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（4）因重大变故，采购任务取消的。</w:t>
      </w:r>
    </w:p>
    <w:p w14:paraId="1E598B55">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废标后，采购人应当将废标理由通知所有投标人。</w:t>
      </w:r>
    </w:p>
    <w:p w14:paraId="145E05D0">
      <w:pPr>
        <w:pStyle w:val="24"/>
        <w:snapToGrid w:val="0"/>
        <w:spacing w:line="360" w:lineRule="auto"/>
        <w:rPr>
          <w:rFonts w:hAnsi="宋体"/>
          <w:color w:val="auto"/>
          <w:sz w:val="21"/>
          <w:highlight w:val="none"/>
        </w:rPr>
      </w:pPr>
    </w:p>
    <w:p w14:paraId="384757F5">
      <w:pPr>
        <w:pStyle w:val="4"/>
        <w:keepNext w:val="0"/>
        <w:keepLines w:val="0"/>
        <w:jc w:val="center"/>
        <w:rPr>
          <w:color w:val="auto"/>
          <w:highlight w:val="none"/>
        </w:rPr>
      </w:pPr>
      <w:bookmarkStart w:id="144" w:name="_Toc254970687"/>
      <w:bookmarkStart w:id="145" w:name="_Toc254970546"/>
      <w:r>
        <w:rPr>
          <w:rFonts w:hint="eastAsia"/>
          <w:color w:val="auto"/>
          <w:highlight w:val="none"/>
        </w:rPr>
        <w:t>七、</w:t>
      </w:r>
      <w:bookmarkEnd w:id="144"/>
      <w:bookmarkEnd w:id="145"/>
      <w:r>
        <w:rPr>
          <w:rFonts w:hint="eastAsia"/>
          <w:color w:val="auto"/>
          <w:highlight w:val="none"/>
        </w:rPr>
        <w:t>中标和合同</w:t>
      </w:r>
    </w:p>
    <w:p w14:paraId="5A7D8B37">
      <w:pPr>
        <w:pStyle w:val="5"/>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30</w:t>
      </w:r>
      <w:r>
        <w:rPr>
          <w:rFonts w:ascii="黑体" w:hAnsi="黑体" w:eastAsia="黑体"/>
          <w:color w:val="auto"/>
          <w:sz w:val="24"/>
          <w:highlight w:val="none"/>
        </w:rPr>
        <w:t xml:space="preserve"> </w:t>
      </w:r>
      <w:r>
        <w:rPr>
          <w:rFonts w:hint="eastAsia" w:ascii="黑体" w:hAnsi="黑体" w:eastAsia="黑体"/>
          <w:color w:val="auto"/>
          <w:sz w:val="24"/>
          <w:highlight w:val="none"/>
        </w:rPr>
        <w:t>.确定中标供应商</w:t>
      </w:r>
    </w:p>
    <w:p w14:paraId="5BDE9CDA">
      <w:pPr>
        <w:pStyle w:val="5"/>
        <w:keepNext w:val="0"/>
        <w:keepLines w:val="0"/>
        <w:spacing w:before="0" w:after="0" w:line="360" w:lineRule="auto"/>
        <w:ind w:firstLine="420" w:firstLineChars="200"/>
        <w:rPr>
          <w:rFonts w:ascii="宋体" w:hAnsi="宋体"/>
          <w:b w:val="0"/>
          <w:color w:val="auto"/>
          <w:sz w:val="21"/>
          <w:szCs w:val="21"/>
          <w:highlight w:val="none"/>
        </w:rPr>
      </w:pPr>
      <w:r>
        <w:rPr>
          <w:rFonts w:ascii="宋体" w:hAnsi="宋体"/>
          <w:b w:val="0"/>
          <w:color w:val="auto"/>
          <w:sz w:val="21"/>
          <w:szCs w:val="21"/>
          <w:highlight w:val="none"/>
        </w:rPr>
        <w:t>30.1</w:t>
      </w:r>
      <w:r>
        <w:rPr>
          <w:rFonts w:hint="eastAsia" w:ascii="宋体" w:hAnsi="宋体"/>
          <w:b w:val="0"/>
          <w:color w:val="auto"/>
          <w:sz w:val="21"/>
          <w:szCs w:val="21"/>
          <w:highlight w:val="none"/>
        </w:rPr>
        <w:t>采购代理机构在评标结束之日起2个工作日内将评标报告送采购人，采购人在收到评标报告之日起5个工作日内，在评标报告确定的中标候选人名单中按顺序确定中标供应商。中标候选人并列的，按照“投标人须知前附表”规定的方式确定中标供应商。采购人也可以事先授权评标委员会直接确定中标供应商。</w:t>
      </w:r>
    </w:p>
    <w:p w14:paraId="109ADD7B">
      <w:pPr>
        <w:snapToGrid w:val="0"/>
        <w:spacing w:line="360" w:lineRule="auto"/>
        <w:ind w:firstLine="420" w:firstLineChars="200"/>
        <w:rPr>
          <w:rFonts w:ascii="宋体" w:hAnsi="宋体" w:cs="Courier New"/>
          <w:color w:val="auto"/>
          <w:szCs w:val="21"/>
          <w:highlight w:val="none"/>
        </w:rPr>
      </w:pPr>
      <w:r>
        <w:rPr>
          <w:rFonts w:ascii="宋体" w:hAnsi="宋体" w:cs="Courier New"/>
          <w:color w:val="auto"/>
          <w:szCs w:val="21"/>
          <w:highlight w:val="none"/>
        </w:rPr>
        <w:t>30.2</w:t>
      </w:r>
      <w:r>
        <w:rPr>
          <w:rFonts w:hint="eastAsia" w:ascii="宋体" w:hAnsi="宋体" w:cs="Courier New"/>
          <w:color w:val="auto"/>
          <w:szCs w:val="21"/>
          <w:highlight w:val="none"/>
        </w:rPr>
        <w:t>采购人在收到评标报告5个工作日内未按评标报告推荐的中标候选人顺序确定中标供应商，又不能说明合法理由的，视同按评标报告推荐的顺序确定排名第一的中标候选人为中标供应商。</w:t>
      </w:r>
    </w:p>
    <w:p w14:paraId="79FBCF5B">
      <w:pPr>
        <w:pStyle w:val="5"/>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31. 结果公告</w:t>
      </w:r>
    </w:p>
    <w:p w14:paraId="50D782E4">
      <w:pPr>
        <w:pStyle w:val="5"/>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1.1</w:t>
      </w:r>
      <w:r>
        <w:rPr>
          <w:rFonts w:hint="eastAsia" w:ascii="宋体" w:hAnsi="宋体"/>
          <w:b w:val="0"/>
          <w:color w:val="auto"/>
          <w:sz w:val="21"/>
          <w:szCs w:val="21"/>
          <w:highlight w:val="none"/>
        </w:rPr>
        <w:t>采购人或者采购代理机构应当自中标供应商确定之日起2个工作日内，在省级以上财政部门指定的媒体上公告中标结果，招标文件应当随中标结果同时公告。采购人或者采购代理发出中标通知书前，应当对中标供应商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供应商。排名第二的中标候选人因前款规定的同样原因被取消中标资格的，采购人可以确定排名第三的中标候选人为中标供应商，以此类推。</w:t>
      </w:r>
    </w:p>
    <w:p w14:paraId="36F9421B">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以上信息查询记录及相关证据与招标文件一并保存。</w:t>
      </w:r>
    </w:p>
    <w:p w14:paraId="090EADCD">
      <w:pPr>
        <w:pStyle w:val="5"/>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7458DAB4">
      <w:pPr>
        <w:pStyle w:val="5"/>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1.3</w:t>
      </w:r>
      <w:r>
        <w:rPr>
          <w:rFonts w:hint="eastAsia" w:ascii="宋体" w:hAnsi="宋体"/>
          <w:b w:val="0"/>
          <w:color w:val="auto"/>
          <w:sz w:val="21"/>
          <w:szCs w:val="21"/>
          <w:highlight w:val="none"/>
        </w:rPr>
        <w:t>采购人、采购代理机构应当随中标结果公开中标供应商的《关于符合本国产品标准的声明函》或有关证明文件。</w:t>
      </w:r>
    </w:p>
    <w:p w14:paraId="20366F9A">
      <w:pPr>
        <w:pStyle w:val="5"/>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32.发出中标通知书</w:t>
      </w:r>
    </w:p>
    <w:p w14:paraId="796762C4">
      <w:pPr>
        <w:pStyle w:val="5"/>
        <w:keepNext w:val="0"/>
        <w:keepLines w:val="0"/>
        <w:spacing w:before="0" w:after="0" w:line="360" w:lineRule="auto"/>
        <w:rPr>
          <w:rFonts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 xml:space="preserve">   </w:t>
      </w:r>
      <w:r>
        <w:rPr>
          <w:rFonts w:hint="eastAsia" w:ascii="宋体" w:hAnsi="宋体"/>
          <w:b w:val="0"/>
          <w:color w:val="auto"/>
          <w:sz w:val="21"/>
          <w:szCs w:val="21"/>
          <w:highlight w:val="none"/>
        </w:rPr>
        <w:t>在发布中标公告的同时，采购代理机构向中标供应商通过广西政府采购云平台发出电子中标通知书。对未通过资格审查的投标人，应当告知其未通过的原因；采用综合评分办法评审的，还应当告知未中标供应商本人的评审得分与排序。</w:t>
      </w:r>
    </w:p>
    <w:p w14:paraId="6E45B26A">
      <w:pPr>
        <w:pStyle w:val="5"/>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33. 无义务解释未中标原因</w:t>
      </w:r>
    </w:p>
    <w:p w14:paraId="1C7BFC97">
      <w:pPr>
        <w:pStyle w:val="5"/>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采购代理机构无义务向未中标的投标人解释未中标原因。</w:t>
      </w:r>
    </w:p>
    <w:p w14:paraId="59A996C3">
      <w:pPr>
        <w:pStyle w:val="5"/>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34.合同授予标准</w:t>
      </w:r>
    </w:p>
    <w:p w14:paraId="59D5DC2B">
      <w:pPr>
        <w:snapToGrid w:val="0"/>
        <w:spacing w:line="360" w:lineRule="auto"/>
        <w:ind w:firstLine="420" w:firstLineChars="200"/>
        <w:rPr>
          <w:rFonts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合同将授予被确定实质上响应招标文件要求，具备履行合同能力的中标供应商。</w:t>
      </w:r>
    </w:p>
    <w:p w14:paraId="2E853A20">
      <w:pPr>
        <w:pStyle w:val="5"/>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35.履约保证金</w:t>
      </w:r>
    </w:p>
    <w:p w14:paraId="64F453FB">
      <w:pPr>
        <w:pStyle w:val="5"/>
        <w:keepNext w:val="0"/>
        <w:keepLines w:val="0"/>
        <w:spacing w:before="0" w:after="0" w:line="360" w:lineRule="auto"/>
        <w:ind w:firstLine="315" w:firstLineChars="150"/>
        <w:rPr>
          <w:rFonts w:ascii="宋体" w:hAnsi="宋体"/>
          <w:b w:val="0"/>
          <w:color w:val="auto"/>
          <w:sz w:val="21"/>
          <w:szCs w:val="21"/>
          <w:highlight w:val="none"/>
        </w:rPr>
      </w:pPr>
      <w:bookmarkStart w:id="146" w:name="_39.1中标人须于签订合同前按本须知前附表规定的金额转账或电汇到指定账"/>
      <w:bookmarkEnd w:id="146"/>
      <w:r>
        <w:rPr>
          <w:rFonts w:ascii="宋体" w:hAnsi="宋体"/>
          <w:b w:val="0"/>
          <w:color w:val="auto"/>
          <w:sz w:val="21"/>
          <w:szCs w:val="21"/>
          <w:highlight w:val="none"/>
        </w:rPr>
        <w:t xml:space="preserve"> </w:t>
      </w:r>
      <w:r>
        <w:rPr>
          <w:rFonts w:hint="eastAsia" w:ascii="宋体" w:hAnsi="宋体"/>
          <w:b w:val="0"/>
          <w:color w:val="auto"/>
          <w:sz w:val="21"/>
          <w:szCs w:val="21"/>
          <w:highlight w:val="none"/>
        </w:rPr>
        <w:t>3</w:t>
      </w:r>
      <w:r>
        <w:rPr>
          <w:rFonts w:ascii="宋体" w:hAnsi="宋体"/>
          <w:b w:val="0"/>
          <w:color w:val="auto"/>
          <w:sz w:val="21"/>
          <w:szCs w:val="21"/>
          <w:highlight w:val="none"/>
        </w:rPr>
        <w:t>5</w:t>
      </w:r>
      <w:r>
        <w:rPr>
          <w:rFonts w:hint="eastAsia" w:ascii="宋体" w:hAnsi="宋体"/>
          <w:b w:val="0"/>
          <w:color w:val="auto"/>
          <w:sz w:val="21"/>
          <w:szCs w:val="21"/>
          <w:highlight w:val="none"/>
        </w:rPr>
        <w:t>.1 履约保证金的金额、提交方式、缴纳期限、退付的时间和条件详见 “投标人须知前附表”。中标供应商未按规定提交履约保证金的，视为拒绝与采购人签订合同。</w:t>
      </w:r>
    </w:p>
    <w:p w14:paraId="020F7C37">
      <w:pPr>
        <w:pStyle w:val="5"/>
        <w:keepNext w:val="0"/>
        <w:keepLines w:val="0"/>
        <w:spacing w:before="0" w:after="0" w:line="360" w:lineRule="auto"/>
        <w:ind w:firstLine="316" w:firstLineChars="150"/>
        <w:rPr>
          <w:rFonts w:ascii="宋体" w:hAnsi="宋体"/>
          <w:color w:val="auto"/>
          <w:sz w:val="21"/>
          <w:szCs w:val="21"/>
          <w:highlight w:val="none"/>
        </w:rPr>
      </w:pPr>
      <w:r>
        <w:rPr>
          <w:rFonts w:hint="eastAsia" w:ascii="宋体" w:hAnsi="宋体"/>
          <w:color w:val="auto"/>
          <w:sz w:val="21"/>
          <w:szCs w:val="21"/>
          <w:highlight w:val="none"/>
        </w:rPr>
        <w:t xml:space="preserve"> </w:t>
      </w:r>
      <w:r>
        <w:rPr>
          <w:rFonts w:hint="eastAsia" w:ascii="宋体" w:hAnsi="宋体"/>
          <w:b w:val="0"/>
          <w:bCs/>
          <w:color w:val="auto"/>
          <w:sz w:val="21"/>
          <w:szCs w:val="21"/>
          <w:highlight w:val="none"/>
        </w:rPr>
        <w:t>35.2在履约保证金退还日期前，若中标供应商的开户名称、开户银行、账号有变动的，请以书面形式通知履约保证金收取单位，否则由此产生的后果由中标供应商自行承担。</w:t>
      </w:r>
    </w:p>
    <w:p w14:paraId="777CC052">
      <w:pPr>
        <w:pStyle w:val="5"/>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36.签订合同</w:t>
      </w:r>
    </w:p>
    <w:p w14:paraId="1C08DB0E">
      <w:pPr>
        <w:pStyle w:val="5"/>
        <w:keepNext w:val="0"/>
        <w:keepLines w:val="0"/>
        <w:spacing w:before="0" w:after="0" w:line="360" w:lineRule="auto"/>
        <w:ind w:firstLine="315" w:firstLineChars="150"/>
        <w:rPr>
          <w:rFonts w:ascii="宋体" w:hAnsi="宋体"/>
          <w:b w:val="0"/>
          <w:color w:val="auto"/>
          <w:sz w:val="21"/>
          <w:szCs w:val="21"/>
          <w:highlight w:val="none"/>
        </w:rPr>
      </w:pPr>
      <w:bookmarkStart w:id="147" w:name="_40.1投标人接到中标通知书后，按须知前附表规定向采购人出示相关资格证"/>
      <w:bookmarkEnd w:id="147"/>
      <w:r>
        <w:rPr>
          <w:rFonts w:hint="eastAsia" w:ascii="宋体" w:hAnsi="宋体"/>
          <w:b w:val="0"/>
          <w:color w:val="auto"/>
          <w:sz w:val="21"/>
          <w:szCs w:val="21"/>
          <w:highlight w:val="none"/>
        </w:rPr>
        <w:t xml:space="preserve"> </w:t>
      </w:r>
      <w:r>
        <w:rPr>
          <w:rFonts w:hint="eastAsia" w:ascii="宋体" w:hAnsi="宋体"/>
          <w:color w:val="auto"/>
          <w:sz w:val="21"/>
          <w:szCs w:val="21"/>
          <w:highlight w:val="none"/>
        </w:rPr>
        <w:t>36.1签订电子采购合同：中标供应商领取电子中标通知书后，</w:t>
      </w:r>
      <w:r>
        <w:rPr>
          <w:rFonts w:hint="eastAsia" w:ascii="宋体" w:hAnsi="宋体"/>
          <w:color w:val="auto"/>
          <w:kern w:val="0"/>
          <w:sz w:val="21"/>
          <w:szCs w:val="21"/>
          <w:highlight w:val="none"/>
        </w:rPr>
        <w:t>在</w:t>
      </w:r>
      <w:r>
        <w:rPr>
          <w:rFonts w:hint="eastAsia" w:ascii="宋体" w:hAnsi="宋体"/>
          <w:color w:val="auto"/>
          <w:kern w:val="0"/>
          <w:sz w:val="21"/>
          <w:szCs w:val="21"/>
          <w:highlight w:val="none"/>
          <w:lang w:val="zh-CN"/>
        </w:rPr>
        <w:t>规定的日期、时间、地点，由法定代表人或其授权代表与采购人代表签订电子采购合同。如中标供应商为联合体的，由联合体成员各方法定代表人或其授权代表与采购人代表签订合同。</w:t>
      </w:r>
    </w:p>
    <w:p w14:paraId="74615AFF">
      <w:pPr>
        <w:pStyle w:val="5"/>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线下签订纸质合同：投标人领取中标通知书后，按“投标人须知前附表”规定向采购人出示相关证明材料，经采购人核验合格后方可签订合同。</w:t>
      </w:r>
    </w:p>
    <w:p w14:paraId="654A8CD4">
      <w:pPr>
        <w:pStyle w:val="5"/>
        <w:keepNext w:val="0"/>
        <w:keepLines w:val="0"/>
        <w:numPr>
          <w:ilvl w:val="0"/>
          <w:numId w:val="0"/>
        </w:numPr>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36.2签订合同时间：按中标通知书规定的时间与采购人签订合同。</w:t>
      </w:r>
    </w:p>
    <w:p w14:paraId="45085587">
      <w:pPr>
        <w:pStyle w:val="5"/>
        <w:keepNext w:val="0"/>
        <w:keepLines w:val="0"/>
        <w:spacing w:before="0" w:after="0" w:line="360" w:lineRule="auto"/>
        <w:rPr>
          <w:rFonts w:ascii="宋体" w:hAnsi="宋体"/>
          <w:b w:val="0"/>
          <w:color w:val="auto"/>
          <w:sz w:val="21"/>
          <w:szCs w:val="21"/>
          <w:highlight w:val="none"/>
        </w:rPr>
      </w:pPr>
      <w:r>
        <w:rPr>
          <w:rFonts w:hint="eastAsia" w:ascii="宋体" w:hAnsi="宋体"/>
          <w:b w:val="0"/>
          <w:color w:val="auto"/>
          <w:sz w:val="21"/>
          <w:szCs w:val="21"/>
          <w:highlight w:val="none"/>
        </w:rPr>
        <w:t xml:space="preserve">    36.</w:t>
      </w:r>
      <w:r>
        <w:rPr>
          <w:rFonts w:ascii="宋体" w:hAnsi="宋体"/>
          <w:b w:val="0"/>
          <w:color w:val="auto"/>
          <w:sz w:val="21"/>
          <w:szCs w:val="21"/>
          <w:highlight w:val="none"/>
        </w:rPr>
        <w:t>3</w:t>
      </w:r>
      <w:r>
        <w:rPr>
          <w:rFonts w:hint="eastAsia" w:ascii="宋体" w:hAnsi="宋体"/>
          <w:b w:val="0"/>
          <w:color w:val="auto"/>
          <w:sz w:val="21"/>
          <w:szCs w:val="21"/>
          <w:highlight w:val="none"/>
        </w:rPr>
        <w:t>中标供应商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4DCBCDF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694D0A4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0CA5CB1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36.6</w:t>
      </w:r>
      <w:r>
        <w:rPr>
          <w:rFonts w:hint="eastAsia" w:ascii="宋体" w:hAnsi="宋体" w:cs="仿宋_GB2312"/>
          <w:color w:val="auto"/>
          <w:szCs w:val="21"/>
          <w:highlight w:val="none"/>
        </w:rPr>
        <w:t>如签订合同并生效后，供应商无故拒绝或延期，除按照合同条款处理外，将承担相应的法律责任。</w:t>
      </w:r>
    </w:p>
    <w:p w14:paraId="34F75EC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36.7</w:t>
      </w:r>
      <w:r>
        <w:rPr>
          <w:rFonts w:hint="eastAsia" w:ascii="宋体" w:hAnsi="宋体" w:cs="宋体"/>
          <w:color w:val="auto"/>
          <w:szCs w:val="21"/>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1CCE0C76">
      <w:pPr>
        <w:pStyle w:val="5"/>
        <w:keepNext w:val="0"/>
        <w:keepLines w:val="0"/>
        <w:spacing w:before="0" w:after="0" w:line="360" w:lineRule="auto"/>
        <w:ind w:left="420" w:leftChars="200"/>
        <w:rPr>
          <w:rFonts w:ascii="黑体" w:hAnsi="黑体" w:eastAsia="黑体"/>
          <w:color w:val="auto"/>
          <w:sz w:val="24"/>
          <w:highlight w:val="none"/>
        </w:rPr>
      </w:pPr>
      <w:bookmarkStart w:id="148" w:name="_41.政府采购合同公告"/>
      <w:bookmarkEnd w:id="148"/>
      <w:r>
        <w:rPr>
          <w:rFonts w:hint="eastAsia" w:ascii="黑体" w:hAnsi="黑体" w:eastAsia="黑体"/>
          <w:color w:val="auto"/>
          <w:sz w:val="24"/>
          <w:highlight w:val="none"/>
        </w:rPr>
        <w:t>37.政府采购合同公告</w:t>
      </w:r>
    </w:p>
    <w:p w14:paraId="3AF12247">
      <w:pPr>
        <w:pStyle w:val="24"/>
        <w:snapToGrid w:val="0"/>
        <w:spacing w:line="360" w:lineRule="auto"/>
        <w:ind w:firstLine="420" w:firstLineChars="200"/>
        <w:rPr>
          <w:rFonts w:hAnsi="宋体"/>
          <w:color w:val="auto"/>
          <w:sz w:val="21"/>
          <w:highlight w:val="none"/>
        </w:rPr>
      </w:pPr>
      <w:r>
        <w:rPr>
          <w:rFonts w:hint="eastAsia" w:hAnsi="宋体"/>
          <w:color w:val="auto"/>
          <w:sz w:val="21"/>
          <w:highlight w:val="none"/>
        </w:rPr>
        <w:t>采购人或者受托采购代理机构应当自政府采购合同签订之日起2个工作日内，将政府采购合同在省级以上人民政府财政部门指定的媒体上公告，</w:t>
      </w:r>
      <w:r>
        <w:rPr>
          <w:rFonts w:hAnsi="宋体"/>
          <w:color w:val="auto"/>
          <w:sz w:val="21"/>
          <w:highlight w:val="none"/>
        </w:rPr>
        <w:t>但政府采购合同中涉及国家秘密、商业秘密的内容除外。</w:t>
      </w:r>
    </w:p>
    <w:p w14:paraId="19E0B0E0">
      <w:pPr>
        <w:pStyle w:val="5"/>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8.</w:t>
      </w:r>
      <w:r>
        <w:rPr>
          <w:rFonts w:hint="eastAsia" w:ascii="黑体" w:hAnsi="黑体" w:eastAsia="黑体"/>
          <w:color w:val="auto"/>
          <w:sz w:val="24"/>
          <w:highlight w:val="none"/>
        </w:rPr>
        <w:t xml:space="preserve"> 询问、质疑和投诉</w:t>
      </w:r>
    </w:p>
    <w:p w14:paraId="3F2A3C43">
      <w:pPr>
        <w:pStyle w:val="6"/>
        <w:spacing w:line="360" w:lineRule="auto"/>
        <w:rPr>
          <w:rFonts w:ascii="宋体" w:hAnsi="宋体"/>
          <w:color w:val="auto"/>
          <w:szCs w:val="21"/>
          <w:highlight w:val="none"/>
        </w:rPr>
      </w:pPr>
      <w:r>
        <w:rPr>
          <w:rFonts w:ascii="宋体" w:hAnsi="宋体"/>
          <w:color w:val="auto"/>
          <w:szCs w:val="21"/>
          <w:highlight w:val="none"/>
        </w:rPr>
        <w:t>38.1</w:t>
      </w:r>
      <w:r>
        <w:rPr>
          <w:rFonts w:hint="eastAsia" w:ascii="宋体" w:hAnsi="宋体"/>
          <w:color w:val="auto"/>
          <w:szCs w:val="21"/>
          <w:highlight w:val="none"/>
        </w:rPr>
        <w:t>供应商对政府采购活动事项有疑问的，可以向采购人提出询问，采购人或者采购代理机构应当在3个工作日内对供应商依法提出的询问作出答复，但答复的内容不得涉及商业秘密。</w:t>
      </w:r>
    </w:p>
    <w:p w14:paraId="092EF773">
      <w:pPr>
        <w:pStyle w:val="5"/>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6C93CFF4">
      <w:pPr>
        <w:pStyle w:val="24"/>
        <w:snapToGrid w:val="0"/>
        <w:spacing w:line="360" w:lineRule="auto"/>
        <w:ind w:firstLine="420" w:firstLineChars="200"/>
        <w:rPr>
          <w:rFonts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）对可以质疑的</w:t>
      </w:r>
      <w:r>
        <w:rPr>
          <w:rFonts w:hint="eastAsia" w:hAnsi="宋体"/>
          <w:color w:val="auto"/>
          <w:sz w:val="21"/>
          <w:highlight w:val="none"/>
        </w:rPr>
        <w:t>招标</w:t>
      </w:r>
      <w:r>
        <w:rPr>
          <w:rFonts w:hAnsi="宋体"/>
          <w:color w:val="auto"/>
          <w:sz w:val="21"/>
          <w:highlight w:val="none"/>
        </w:rPr>
        <w:t>文件提出质疑的，为收到</w:t>
      </w:r>
      <w:r>
        <w:rPr>
          <w:rFonts w:hint="eastAsia" w:hAnsi="宋体"/>
          <w:color w:val="auto"/>
          <w:sz w:val="21"/>
          <w:highlight w:val="none"/>
        </w:rPr>
        <w:t>招标</w:t>
      </w:r>
      <w:r>
        <w:rPr>
          <w:rFonts w:hAnsi="宋体"/>
          <w:color w:val="auto"/>
          <w:sz w:val="21"/>
          <w:highlight w:val="none"/>
        </w:rPr>
        <w:t>文件之日</w:t>
      </w:r>
      <w:r>
        <w:rPr>
          <w:rFonts w:hint="eastAsia" w:hAnsi="宋体"/>
          <w:color w:val="auto"/>
          <w:sz w:val="21"/>
          <w:highlight w:val="none"/>
        </w:rPr>
        <w:t>或者招标文件公告期限届满之日</w:t>
      </w:r>
      <w:r>
        <w:rPr>
          <w:rFonts w:hAnsi="宋体"/>
          <w:color w:val="auto"/>
          <w:sz w:val="21"/>
          <w:highlight w:val="none"/>
        </w:rPr>
        <w:t>；</w:t>
      </w:r>
    </w:p>
    <w:p w14:paraId="5FD8E2E9">
      <w:pPr>
        <w:pStyle w:val="24"/>
        <w:snapToGrid w:val="0"/>
        <w:spacing w:line="360" w:lineRule="auto"/>
        <w:ind w:firstLine="420" w:firstLineChars="200"/>
        <w:rPr>
          <w:rFonts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）对</w:t>
      </w:r>
      <w:r>
        <w:rPr>
          <w:rFonts w:hint="eastAsia" w:hAnsi="宋体"/>
          <w:color w:val="auto"/>
          <w:sz w:val="21"/>
          <w:highlight w:val="none"/>
        </w:rPr>
        <w:t>采购</w:t>
      </w:r>
      <w:r>
        <w:rPr>
          <w:rFonts w:hAnsi="宋体"/>
          <w:color w:val="auto"/>
          <w:sz w:val="21"/>
          <w:highlight w:val="none"/>
        </w:rPr>
        <w:t>过程提出质疑的，为各采购程序环节结束之日；</w:t>
      </w:r>
    </w:p>
    <w:p w14:paraId="53273DCC">
      <w:pPr>
        <w:pStyle w:val="24"/>
        <w:snapToGrid w:val="0"/>
        <w:spacing w:line="360" w:lineRule="auto"/>
        <w:ind w:firstLine="420" w:firstLineChars="200"/>
        <w:rPr>
          <w:rFonts w:hAnsi="宋体"/>
          <w:bCs/>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）对中标结果提出质疑的，为中标结果公告期限届满之日。</w:t>
      </w:r>
    </w:p>
    <w:p w14:paraId="2DB2E1EC">
      <w:pPr>
        <w:pStyle w:val="5"/>
        <w:keepNext w:val="0"/>
        <w:keepLines w:val="0"/>
        <w:spacing w:before="0" w:after="0" w:line="360" w:lineRule="auto"/>
        <w:ind w:firstLine="315" w:firstLineChars="150"/>
        <w:rPr>
          <w:rFonts w:ascii="宋体" w:hAnsi="宋体"/>
          <w:b w:val="0"/>
          <w:color w:val="auto"/>
          <w:sz w:val="21"/>
          <w:szCs w:val="21"/>
          <w:highlight w:val="none"/>
        </w:rPr>
      </w:pP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 xml:space="preserve"> </w:t>
      </w:r>
      <w:r>
        <w:rPr>
          <w:rFonts w:hAnsi="宋体"/>
          <w:b w:val="0"/>
          <w:bCs/>
          <w:color w:val="auto"/>
          <w:sz w:val="21"/>
          <w:highlight w:val="none"/>
        </w:rPr>
        <w:t>供应商提出质疑应当提交质疑函和必要的证明材料</w:t>
      </w:r>
      <w:r>
        <w:rPr>
          <w:rFonts w:hint="eastAsia" w:hAnsi="宋体"/>
          <w:b w:val="0"/>
          <w:bCs/>
          <w:color w:val="auto"/>
          <w:sz w:val="21"/>
          <w:highlight w:val="none"/>
        </w:rPr>
        <w:t>，</w:t>
      </w:r>
      <w:r>
        <w:rPr>
          <w:rFonts w:hAnsi="宋体"/>
          <w:b w:val="0"/>
          <w:bCs/>
          <w:color w:val="auto"/>
          <w:sz w:val="21"/>
          <w:highlight w:val="none"/>
        </w:rPr>
        <w:t>针对同一采购程序环节的质疑</w:t>
      </w:r>
      <w:r>
        <w:rPr>
          <w:rFonts w:hint="eastAsia" w:hAnsi="宋体"/>
          <w:b w:val="0"/>
          <w:bCs/>
          <w:color w:val="auto"/>
          <w:sz w:val="21"/>
          <w:highlight w:val="none"/>
        </w:rPr>
        <w:t>必须</w:t>
      </w:r>
      <w:r>
        <w:rPr>
          <w:rFonts w:hAnsi="宋体"/>
          <w:b w:val="0"/>
          <w:bCs/>
          <w:color w:val="auto"/>
          <w:sz w:val="21"/>
          <w:highlight w:val="none"/>
        </w:rPr>
        <w:t>在法定质疑期内一次性提出。质疑函应当包括下列内容</w:t>
      </w:r>
      <w:r>
        <w:rPr>
          <w:rFonts w:hint="eastAsia" w:hAnsi="宋体"/>
          <w:b w:val="0"/>
          <w:bCs/>
          <w:color w:val="auto"/>
          <w:sz w:val="21"/>
          <w:highlight w:val="none"/>
        </w:rPr>
        <w:t>（质疑函格式后附）</w:t>
      </w:r>
      <w:r>
        <w:rPr>
          <w:rFonts w:hAnsi="宋体"/>
          <w:b w:val="0"/>
          <w:bCs/>
          <w:color w:val="auto"/>
          <w:sz w:val="21"/>
          <w:highlight w:val="none"/>
        </w:rPr>
        <w:t>：</w:t>
      </w:r>
    </w:p>
    <w:p w14:paraId="314C17F3">
      <w:pPr>
        <w:pStyle w:val="24"/>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1</w:t>
      </w:r>
      <w:r>
        <w:rPr>
          <w:rFonts w:hAnsi="宋体"/>
          <w:bCs/>
          <w:color w:val="auto"/>
          <w:sz w:val="21"/>
          <w:highlight w:val="none"/>
        </w:rPr>
        <w:t>）供应商的姓名或者名称、地址、邮编、联系人及联系电话；</w:t>
      </w:r>
    </w:p>
    <w:p w14:paraId="57EE944D">
      <w:pPr>
        <w:pStyle w:val="24"/>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2</w:t>
      </w:r>
      <w:r>
        <w:rPr>
          <w:rFonts w:hAnsi="宋体"/>
          <w:bCs/>
          <w:color w:val="auto"/>
          <w:sz w:val="21"/>
          <w:highlight w:val="none"/>
        </w:rPr>
        <w:t>）质疑项目的名称、编号；</w:t>
      </w:r>
    </w:p>
    <w:p w14:paraId="2965C17F">
      <w:pPr>
        <w:pStyle w:val="24"/>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3</w:t>
      </w:r>
      <w:r>
        <w:rPr>
          <w:rFonts w:hAnsi="宋体"/>
          <w:bCs/>
          <w:color w:val="auto"/>
          <w:sz w:val="21"/>
          <w:highlight w:val="none"/>
        </w:rPr>
        <w:t>）具体、明确的质疑事项和与质疑事项相关的请求；</w:t>
      </w:r>
    </w:p>
    <w:p w14:paraId="5E4C13D6">
      <w:pPr>
        <w:pStyle w:val="24"/>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4</w:t>
      </w:r>
      <w:r>
        <w:rPr>
          <w:rFonts w:hAnsi="宋体"/>
          <w:bCs/>
          <w:color w:val="auto"/>
          <w:sz w:val="21"/>
          <w:highlight w:val="none"/>
        </w:rPr>
        <w:t>）事实依据；</w:t>
      </w:r>
    </w:p>
    <w:p w14:paraId="0C6B1948">
      <w:pPr>
        <w:pStyle w:val="24"/>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5</w:t>
      </w:r>
      <w:r>
        <w:rPr>
          <w:rFonts w:hAnsi="宋体"/>
          <w:bCs/>
          <w:color w:val="auto"/>
          <w:sz w:val="21"/>
          <w:highlight w:val="none"/>
        </w:rPr>
        <w:t>）必要的法律依据；</w:t>
      </w:r>
    </w:p>
    <w:p w14:paraId="3606C7BA">
      <w:pPr>
        <w:pStyle w:val="24"/>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6</w:t>
      </w:r>
      <w:r>
        <w:rPr>
          <w:rFonts w:hAnsi="宋体"/>
          <w:bCs/>
          <w:color w:val="auto"/>
          <w:sz w:val="21"/>
          <w:highlight w:val="none"/>
        </w:rPr>
        <w:t>）提出质疑的日期。</w:t>
      </w:r>
    </w:p>
    <w:p w14:paraId="41ED0DCB">
      <w:pPr>
        <w:pStyle w:val="24"/>
        <w:snapToGrid w:val="0"/>
        <w:spacing w:line="360" w:lineRule="auto"/>
        <w:ind w:firstLine="420" w:firstLineChars="200"/>
        <w:rPr>
          <w:rFonts w:hAnsi="宋体"/>
          <w:bCs/>
          <w:color w:val="auto"/>
          <w:sz w:val="21"/>
          <w:highlight w:val="none"/>
        </w:rPr>
      </w:pPr>
      <w:r>
        <w:rPr>
          <w:rFonts w:hAnsi="宋体"/>
          <w:bCs/>
          <w:color w:val="auto"/>
          <w:sz w:val="21"/>
          <w:highlight w:val="none"/>
        </w:rPr>
        <w:t>供应商为自然人的，应当由本人签字；供应商为法人或者其他组织的，应当由法定代表人、主要负责人，或者其委托代理人签字或者盖章，并加盖公章</w:t>
      </w:r>
      <w:r>
        <w:rPr>
          <w:rFonts w:hint="eastAsia" w:hAnsi="宋体"/>
          <w:bCs/>
          <w:color w:val="auto"/>
          <w:sz w:val="21"/>
          <w:highlight w:val="none"/>
        </w:rPr>
        <w:t>。</w:t>
      </w:r>
    </w:p>
    <w:p w14:paraId="654D18A3">
      <w:pPr>
        <w:pStyle w:val="5"/>
        <w:keepNext w:val="0"/>
        <w:keepLines w:val="0"/>
        <w:snapToGrid w:val="0"/>
        <w:spacing w:before="0" w:after="0" w:line="360" w:lineRule="auto"/>
        <w:ind w:firstLine="420" w:firstLineChars="200"/>
        <w:rPr>
          <w:rFonts w:ascii="宋体" w:hAnsi="宋体"/>
          <w:b w:val="0"/>
          <w:bCs/>
          <w:color w:val="auto"/>
          <w:sz w:val="21"/>
          <w:szCs w:val="21"/>
          <w:highlight w:val="none"/>
        </w:rPr>
      </w:pPr>
      <w:r>
        <w:rPr>
          <w:rFonts w:ascii="宋体" w:hAnsi="宋体"/>
          <w:b w:val="0"/>
          <w:color w:val="auto"/>
          <w:sz w:val="21"/>
          <w:szCs w:val="21"/>
          <w:highlight w:val="none"/>
        </w:rPr>
        <w:t>3</w:t>
      </w:r>
      <w:r>
        <w:rPr>
          <w:rFonts w:ascii="宋体" w:hAnsi="宋体"/>
          <w:b w:val="0"/>
          <w:bCs/>
          <w:color w:val="auto"/>
          <w:sz w:val="21"/>
          <w:szCs w:val="21"/>
          <w:highlight w:val="none"/>
        </w:rPr>
        <w:t>8.4</w:t>
      </w:r>
      <w:r>
        <w:rPr>
          <w:rFonts w:hint="eastAsia" w:ascii="宋体" w:hAnsi="宋体"/>
          <w:b w:val="0"/>
          <w:bCs/>
          <w:color w:val="auto"/>
          <w:sz w:val="21"/>
          <w:szCs w:val="21"/>
          <w:highlight w:val="none"/>
        </w:rPr>
        <w:t>采购人、采购代理机构认为供应商质疑不成立，或者成立但未对中标结果构成影响的，继续开展采购活动；认为供应商质疑成立且影响或者可能影响中标结果的，按照下列情况处理：</w:t>
      </w:r>
    </w:p>
    <w:p w14:paraId="22400F24">
      <w:pPr>
        <w:pStyle w:val="24"/>
        <w:snapToGrid w:val="0"/>
        <w:spacing w:line="360" w:lineRule="auto"/>
        <w:rPr>
          <w:rFonts w:hAnsi="宋体"/>
          <w:bCs/>
          <w:color w:val="auto"/>
          <w:sz w:val="21"/>
          <w:highlight w:val="none"/>
        </w:rPr>
      </w:pPr>
      <w:r>
        <w:rPr>
          <w:rFonts w:hint="eastAsia" w:hAnsi="宋体"/>
          <w:bCs/>
          <w:color w:val="auto"/>
          <w:sz w:val="21"/>
          <w:highlight w:val="none"/>
        </w:rPr>
        <w:t>　　（一）对招标文件提出的质疑，依法通过澄清或者修改可以继续开展采购活动的，澄清或者修改招标文件后继续开展采购活动；否则应当修改招标文件后重新开展采购活动。</w:t>
      </w:r>
    </w:p>
    <w:p w14:paraId="53A76BF9">
      <w:pPr>
        <w:pStyle w:val="24"/>
        <w:snapToGrid w:val="0"/>
        <w:spacing w:line="360" w:lineRule="auto"/>
        <w:rPr>
          <w:rFonts w:hAnsi="宋体"/>
          <w:bCs/>
          <w:color w:val="auto"/>
          <w:sz w:val="21"/>
          <w:highlight w:val="none"/>
        </w:rPr>
      </w:pPr>
      <w:r>
        <w:rPr>
          <w:rFonts w:hint="eastAsia" w:hAnsi="宋体"/>
          <w:bCs/>
          <w:color w:val="auto"/>
          <w:sz w:val="21"/>
          <w:highlight w:val="none"/>
        </w:rPr>
        <w:t>　　（二）对采购过程、中标结果提出的质疑，合格供应商符合法定数量时，可以从合格的中标候选人中另行确定中标供应商的，应当依法另行确定中标供应商；否则应当重新开展采购活动。</w:t>
      </w:r>
    </w:p>
    <w:p w14:paraId="19A985E0">
      <w:pPr>
        <w:pStyle w:val="24"/>
        <w:snapToGrid w:val="0"/>
        <w:spacing w:line="360" w:lineRule="auto"/>
        <w:ind w:firstLine="420"/>
        <w:rPr>
          <w:rFonts w:hAnsi="宋体"/>
          <w:bCs/>
          <w:color w:val="auto"/>
          <w:sz w:val="21"/>
          <w:highlight w:val="none"/>
        </w:rPr>
      </w:pPr>
      <w:r>
        <w:rPr>
          <w:rFonts w:hint="eastAsia" w:hAnsi="宋体"/>
          <w:bCs/>
          <w:color w:val="auto"/>
          <w:sz w:val="21"/>
          <w:highlight w:val="none"/>
        </w:rPr>
        <w:t>质疑答复导致中标结果改变的，采购人或者采购代理机构应当将有关情况书面报告本级财政部门。</w:t>
      </w:r>
    </w:p>
    <w:p w14:paraId="29EDBA8C">
      <w:pPr>
        <w:pStyle w:val="24"/>
        <w:snapToGrid w:val="0"/>
        <w:spacing w:line="360" w:lineRule="auto"/>
        <w:ind w:firstLine="420" w:firstLineChars="200"/>
        <w:rPr>
          <w:rFonts w:hAnsi="宋体"/>
          <w:color w:val="auto"/>
          <w:sz w:val="21"/>
          <w:highlight w:val="none"/>
        </w:rPr>
      </w:pPr>
      <w:r>
        <w:rPr>
          <w:rFonts w:hAnsi="宋体"/>
          <w:color w:val="auto"/>
          <w:sz w:val="21"/>
          <w:highlight w:val="none"/>
        </w:rPr>
        <w:t>38</w:t>
      </w:r>
      <w:r>
        <w:rPr>
          <w:rFonts w:hint="eastAsia" w:hAnsi="宋体"/>
          <w:color w:val="auto"/>
          <w:sz w:val="21"/>
          <w:highlight w:val="none"/>
        </w:rPr>
        <w:t>.</w:t>
      </w:r>
      <w:r>
        <w:rPr>
          <w:rFonts w:hAnsi="宋体"/>
          <w:color w:val="auto"/>
          <w:sz w:val="21"/>
          <w:highlight w:val="none"/>
        </w:rPr>
        <w:t>5</w:t>
      </w:r>
      <w:r>
        <w:rPr>
          <w:rFonts w:hint="eastAsia" w:hAnsi="宋体"/>
          <w:color w:val="auto"/>
          <w:sz w:val="21"/>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4DE2CA8">
      <w:pPr>
        <w:pStyle w:val="4"/>
        <w:keepNext w:val="0"/>
        <w:keepLines w:val="0"/>
        <w:jc w:val="center"/>
        <w:rPr>
          <w:color w:val="auto"/>
          <w:highlight w:val="none"/>
        </w:rPr>
      </w:pPr>
      <w:r>
        <w:rPr>
          <w:rFonts w:hint="eastAsia"/>
          <w:color w:val="auto"/>
          <w:highlight w:val="none"/>
        </w:rPr>
        <w:t>八、其他事项</w:t>
      </w:r>
    </w:p>
    <w:p w14:paraId="631580B4">
      <w:pPr>
        <w:pStyle w:val="5"/>
        <w:keepNext w:val="0"/>
        <w:keepLines w:val="0"/>
        <w:spacing w:before="0" w:after="0" w:line="360" w:lineRule="auto"/>
        <w:ind w:left="420" w:leftChars="200"/>
        <w:rPr>
          <w:rFonts w:ascii="黑体" w:hAnsi="黑体" w:eastAsia="黑体"/>
          <w:color w:val="auto"/>
          <w:sz w:val="24"/>
          <w:highlight w:val="none"/>
        </w:rPr>
      </w:pPr>
      <w:bookmarkStart w:id="149" w:name="_42.代理服务费"/>
      <w:bookmarkEnd w:id="149"/>
      <w:r>
        <w:rPr>
          <w:rFonts w:hint="eastAsia" w:ascii="黑体" w:hAnsi="黑体" w:eastAsia="黑体"/>
          <w:color w:val="auto"/>
          <w:sz w:val="24"/>
          <w:highlight w:val="none"/>
        </w:rPr>
        <w:t>3</w:t>
      </w:r>
      <w:r>
        <w:rPr>
          <w:rFonts w:ascii="黑体" w:hAnsi="黑体" w:eastAsia="黑体"/>
          <w:color w:val="auto"/>
          <w:sz w:val="24"/>
          <w:highlight w:val="none"/>
        </w:rPr>
        <w:t>9</w:t>
      </w:r>
      <w:r>
        <w:rPr>
          <w:rFonts w:hint="eastAsia" w:ascii="黑体" w:hAnsi="黑体" w:eastAsia="黑体"/>
          <w:color w:val="auto"/>
          <w:sz w:val="24"/>
          <w:highlight w:val="none"/>
        </w:rPr>
        <w:t>.采购代理费</w:t>
      </w:r>
    </w:p>
    <w:p w14:paraId="7A8D3538">
      <w:pPr>
        <w:pStyle w:val="5"/>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.1采购代理费收取标准及缴费账户详见“投标人须知前附表”，投标人为联合体的，可以由联合体中的一方或者多方共同交纳采购代理费。</w:t>
      </w:r>
    </w:p>
    <w:p w14:paraId="79D82238">
      <w:pPr>
        <w:pStyle w:val="5"/>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.2采购代理费收费标准：</w:t>
      </w:r>
    </w:p>
    <w:p w14:paraId="55CE1BD6">
      <w:pPr>
        <w:spacing w:line="360" w:lineRule="auto"/>
        <w:rPr>
          <w:rFonts w:ascii="宋体" w:hAnsi="宋体"/>
          <w:color w:val="auto"/>
          <w:szCs w:val="21"/>
          <w:highlight w:val="none"/>
        </w:rPr>
      </w:pPr>
    </w:p>
    <w:tbl>
      <w:tblPr>
        <w:tblStyle w:val="49"/>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1FF82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525F4191">
            <w:pPr>
              <w:spacing w:line="360" w:lineRule="auto"/>
              <w:rPr>
                <w:rFonts w:ascii="宋体" w:hAnsi="宋体"/>
                <w:color w:val="auto"/>
                <w:szCs w:val="21"/>
                <w:highlight w:val="none"/>
              </w:rPr>
            </w:pPr>
            <w:r>
              <w:rPr>
                <w:rFonts w:hint="eastAsia" w:ascii="宋体" w:hAnsi="宋体"/>
                <w:color w:val="auto"/>
                <w:szCs w:val="21"/>
                <w:highlight w:val="none"/>
              </w:rPr>
              <w:t xml:space="preserve">               费率</w:t>
            </w:r>
          </w:p>
          <w:p w14:paraId="0BD4DD4C">
            <w:pPr>
              <w:spacing w:line="360" w:lineRule="auto"/>
              <w:rPr>
                <w:rFonts w:ascii="宋体" w:hAnsi="宋体"/>
                <w:color w:val="auto"/>
                <w:szCs w:val="21"/>
                <w:highlight w:val="none"/>
              </w:rPr>
            </w:pPr>
            <w:r>
              <w:rPr>
                <w:rFonts w:hint="eastAsia" w:ascii="宋体" w:hAnsi="宋体"/>
                <w:color w:val="auto"/>
                <w:szCs w:val="21"/>
                <w:highlight w:val="none"/>
              </w:rPr>
              <w:t>中标金额</w:t>
            </w:r>
          </w:p>
        </w:tc>
        <w:tc>
          <w:tcPr>
            <w:tcW w:w="1659" w:type="dxa"/>
            <w:tcBorders>
              <w:top w:val="single" w:color="auto" w:sz="4" w:space="0"/>
              <w:left w:val="single" w:color="auto" w:sz="4" w:space="0"/>
              <w:bottom w:val="single" w:color="auto" w:sz="4" w:space="0"/>
              <w:right w:val="single" w:color="auto" w:sz="4" w:space="0"/>
            </w:tcBorders>
            <w:vAlign w:val="center"/>
          </w:tcPr>
          <w:p w14:paraId="00B307CB">
            <w:pPr>
              <w:spacing w:line="360" w:lineRule="auto"/>
              <w:ind w:firstLine="105" w:firstLineChars="50"/>
              <w:jc w:val="center"/>
              <w:rPr>
                <w:rFonts w:ascii="宋体" w:hAnsi="宋体"/>
                <w:color w:val="auto"/>
                <w:szCs w:val="21"/>
                <w:highlight w:val="none"/>
              </w:rPr>
            </w:pPr>
            <w:r>
              <w:rPr>
                <w:rFonts w:hint="eastAsia" w:ascii="宋体" w:hAnsi="宋体"/>
                <w:color w:val="auto"/>
                <w:szCs w:val="21"/>
                <w:highlight w:val="none"/>
              </w:rPr>
              <w:t>货物招标</w:t>
            </w:r>
          </w:p>
        </w:tc>
        <w:tc>
          <w:tcPr>
            <w:tcW w:w="1687" w:type="dxa"/>
            <w:tcBorders>
              <w:top w:val="single" w:color="auto" w:sz="4" w:space="0"/>
              <w:left w:val="single" w:color="auto" w:sz="4" w:space="0"/>
              <w:bottom w:val="single" w:color="auto" w:sz="4" w:space="0"/>
              <w:right w:val="single" w:color="auto" w:sz="4" w:space="0"/>
            </w:tcBorders>
            <w:vAlign w:val="center"/>
          </w:tcPr>
          <w:p w14:paraId="754E6D2E">
            <w:pPr>
              <w:spacing w:line="360" w:lineRule="auto"/>
              <w:jc w:val="center"/>
              <w:rPr>
                <w:rFonts w:ascii="宋体" w:hAnsi="宋体"/>
                <w:color w:val="auto"/>
                <w:szCs w:val="21"/>
                <w:highlight w:val="none"/>
              </w:rPr>
            </w:pPr>
            <w:r>
              <w:rPr>
                <w:rFonts w:hint="eastAsia" w:ascii="宋体" w:hAnsi="宋体"/>
                <w:color w:val="auto"/>
                <w:szCs w:val="21"/>
                <w:highlight w:val="none"/>
              </w:rPr>
              <w:t>服务招标</w:t>
            </w:r>
          </w:p>
        </w:tc>
        <w:tc>
          <w:tcPr>
            <w:tcW w:w="1659" w:type="dxa"/>
            <w:tcBorders>
              <w:top w:val="single" w:color="auto" w:sz="4" w:space="0"/>
              <w:left w:val="single" w:color="auto" w:sz="4" w:space="0"/>
              <w:bottom w:val="single" w:color="auto" w:sz="4" w:space="0"/>
              <w:right w:val="single" w:color="auto" w:sz="4" w:space="0"/>
            </w:tcBorders>
            <w:vAlign w:val="center"/>
          </w:tcPr>
          <w:p w14:paraId="6CB8D1A5">
            <w:pPr>
              <w:spacing w:line="360" w:lineRule="auto"/>
              <w:jc w:val="center"/>
              <w:rPr>
                <w:rFonts w:ascii="宋体" w:hAnsi="宋体"/>
                <w:color w:val="auto"/>
                <w:szCs w:val="21"/>
                <w:highlight w:val="none"/>
              </w:rPr>
            </w:pPr>
            <w:r>
              <w:rPr>
                <w:rFonts w:hint="eastAsia" w:ascii="宋体" w:hAnsi="宋体"/>
                <w:color w:val="auto"/>
                <w:szCs w:val="21"/>
                <w:highlight w:val="none"/>
              </w:rPr>
              <w:t>工程招标</w:t>
            </w:r>
          </w:p>
        </w:tc>
      </w:tr>
      <w:tr w14:paraId="0E240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6088A8A1">
            <w:pPr>
              <w:spacing w:line="360" w:lineRule="auto"/>
              <w:rPr>
                <w:rFonts w:ascii="宋体" w:hAnsi="宋体"/>
                <w:color w:val="auto"/>
                <w:szCs w:val="21"/>
                <w:highlight w:val="none"/>
              </w:rPr>
            </w:pPr>
            <w:r>
              <w:rPr>
                <w:rFonts w:hint="eastAsia" w:ascii="宋体" w:hAnsi="宋体"/>
                <w:color w:val="auto"/>
                <w:szCs w:val="21"/>
                <w:highlight w:val="none"/>
              </w:rPr>
              <w:t>100万元以下</w:t>
            </w:r>
          </w:p>
        </w:tc>
        <w:tc>
          <w:tcPr>
            <w:tcW w:w="1659" w:type="dxa"/>
            <w:tcBorders>
              <w:top w:val="single" w:color="auto" w:sz="4" w:space="0"/>
              <w:left w:val="single" w:color="auto" w:sz="4" w:space="0"/>
              <w:bottom w:val="single" w:color="auto" w:sz="4" w:space="0"/>
              <w:right w:val="single" w:color="auto" w:sz="4" w:space="0"/>
            </w:tcBorders>
          </w:tcPr>
          <w:p w14:paraId="213719BE">
            <w:pPr>
              <w:spacing w:line="360" w:lineRule="auto"/>
              <w:rPr>
                <w:rFonts w:ascii="宋体" w:hAnsi="宋体"/>
                <w:color w:val="auto"/>
                <w:szCs w:val="21"/>
                <w:highlight w:val="none"/>
              </w:rPr>
            </w:pPr>
            <w:r>
              <w:rPr>
                <w:rFonts w:hint="eastAsia" w:ascii="宋体" w:hAnsi="宋体" w:cs="宋体"/>
                <w:color w:val="auto"/>
                <w:kern w:val="0"/>
                <w:szCs w:val="21"/>
                <w:highlight w:val="none"/>
              </w:rPr>
              <w:t xml:space="preserve">  1.5%                </w:t>
            </w:r>
          </w:p>
        </w:tc>
        <w:tc>
          <w:tcPr>
            <w:tcW w:w="1687" w:type="dxa"/>
            <w:tcBorders>
              <w:top w:val="single" w:color="auto" w:sz="4" w:space="0"/>
              <w:left w:val="single" w:color="auto" w:sz="4" w:space="0"/>
              <w:bottom w:val="single" w:color="auto" w:sz="4" w:space="0"/>
              <w:right w:val="single" w:color="auto" w:sz="4" w:space="0"/>
            </w:tcBorders>
          </w:tcPr>
          <w:p w14:paraId="1B05F2D6">
            <w:pPr>
              <w:spacing w:line="360" w:lineRule="auto"/>
              <w:ind w:firstLine="210" w:firstLineChars="100"/>
              <w:rPr>
                <w:rFonts w:ascii="宋体" w:hAnsi="宋体"/>
                <w:color w:val="auto"/>
                <w:szCs w:val="21"/>
                <w:highlight w:val="none"/>
              </w:rPr>
            </w:pPr>
            <w:r>
              <w:rPr>
                <w:rFonts w:hint="eastAsia" w:ascii="宋体" w:hAnsi="宋体" w:cs="宋体"/>
                <w:color w:val="auto"/>
                <w:kern w:val="0"/>
                <w:szCs w:val="21"/>
                <w:highlight w:val="none"/>
              </w:rPr>
              <w:t>1.5%</w:t>
            </w:r>
          </w:p>
        </w:tc>
        <w:tc>
          <w:tcPr>
            <w:tcW w:w="1659" w:type="dxa"/>
            <w:tcBorders>
              <w:top w:val="single" w:color="auto" w:sz="4" w:space="0"/>
              <w:left w:val="single" w:color="auto" w:sz="4" w:space="0"/>
              <w:bottom w:val="single" w:color="auto" w:sz="4" w:space="0"/>
              <w:right w:val="single" w:color="auto" w:sz="4" w:space="0"/>
            </w:tcBorders>
          </w:tcPr>
          <w:p w14:paraId="4D78AE79">
            <w:pPr>
              <w:spacing w:line="360" w:lineRule="auto"/>
              <w:ind w:firstLine="210" w:firstLineChars="100"/>
              <w:rPr>
                <w:rFonts w:ascii="宋体" w:hAnsi="宋体"/>
                <w:color w:val="auto"/>
                <w:szCs w:val="21"/>
                <w:highlight w:val="none"/>
              </w:rPr>
            </w:pPr>
            <w:r>
              <w:rPr>
                <w:rFonts w:hint="eastAsia" w:ascii="宋体" w:hAnsi="宋体" w:cs="宋体"/>
                <w:color w:val="auto"/>
                <w:kern w:val="0"/>
                <w:szCs w:val="21"/>
                <w:highlight w:val="none"/>
              </w:rPr>
              <w:t xml:space="preserve">1.0% </w:t>
            </w:r>
          </w:p>
        </w:tc>
      </w:tr>
      <w:tr w14:paraId="6DDCB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387EC4C5">
            <w:pPr>
              <w:spacing w:line="360" w:lineRule="auto"/>
              <w:rPr>
                <w:rFonts w:ascii="宋体" w:hAnsi="宋体"/>
                <w:color w:val="auto"/>
                <w:szCs w:val="21"/>
                <w:highlight w:val="none"/>
              </w:rPr>
            </w:pPr>
            <w:r>
              <w:rPr>
                <w:rFonts w:hint="eastAsia" w:ascii="宋体" w:hAnsi="宋体"/>
                <w:color w:val="auto"/>
                <w:szCs w:val="21"/>
                <w:highlight w:val="none"/>
              </w:rPr>
              <w:t>100万元～500万元</w:t>
            </w:r>
          </w:p>
        </w:tc>
        <w:tc>
          <w:tcPr>
            <w:tcW w:w="1659" w:type="dxa"/>
            <w:tcBorders>
              <w:top w:val="single" w:color="auto" w:sz="4" w:space="0"/>
              <w:left w:val="single" w:color="auto" w:sz="4" w:space="0"/>
              <w:bottom w:val="single" w:color="auto" w:sz="4" w:space="0"/>
              <w:right w:val="single" w:color="auto" w:sz="4" w:space="0"/>
            </w:tcBorders>
          </w:tcPr>
          <w:p w14:paraId="2B16A2A0">
            <w:pPr>
              <w:spacing w:line="360" w:lineRule="auto"/>
              <w:ind w:firstLine="210" w:firstLineChars="100"/>
              <w:rPr>
                <w:rFonts w:ascii="宋体" w:hAnsi="宋体"/>
                <w:color w:val="auto"/>
                <w:szCs w:val="21"/>
                <w:highlight w:val="none"/>
              </w:rPr>
            </w:pPr>
            <w:r>
              <w:rPr>
                <w:rFonts w:hint="eastAsia" w:ascii="宋体" w:hAnsi="宋体" w:cs="宋体"/>
                <w:color w:val="auto"/>
                <w:kern w:val="0"/>
                <w:szCs w:val="21"/>
                <w:highlight w:val="none"/>
              </w:rPr>
              <w:t xml:space="preserve">1.1%                 </w:t>
            </w:r>
          </w:p>
        </w:tc>
        <w:tc>
          <w:tcPr>
            <w:tcW w:w="1687" w:type="dxa"/>
            <w:tcBorders>
              <w:top w:val="single" w:color="auto" w:sz="4" w:space="0"/>
              <w:left w:val="single" w:color="auto" w:sz="4" w:space="0"/>
              <w:bottom w:val="single" w:color="auto" w:sz="4" w:space="0"/>
              <w:right w:val="single" w:color="auto" w:sz="4" w:space="0"/>
            </w:tcBorders>
          </w:tcPr>
          <w:p w14:paraId="573F41F0">
            <w:pPr>
              <w:spacing w:line="360" w:lineRule="auto"/>
              <w:ind w:firstLine="210" w:firstLineChars="100"/>
              <w:rPr>
                <w:rFonts w:ascii="宋体" w:hAnsi="宋体"/>
                <w:color w:val="auto"/>
                <w:szCs w:val="21"/>
                <w:highlight w:val="none"/>
              </w:rPr>
            </w:pPr>
            <w:r>
              <w:rPr>
                <w:rFonts w:hint="eastAsia" w:ascii="宋体" w:hAnsi="宋体" w:cs="宋体"/>
                <w:color w:val="auto"/>
                <w:kern w:val="0"/>
                <w:szCs w:val="21"/>
                <w:highlight w:val="none"/>
              </w:rPr>
              <w:t>0.8%</w:t>
            </w:r>
          </w:p>
        </w:tc>
        <w:tc>
          <w:tcPr>
            <w:tcW w:w="1659" w:type="dxa"/>
            <w:tcBorders>
              <w:top w:val="single" w:color="auto" w:sz="4" w:space="0"/>
              <w:left w:val="single" w:color="auto" w:sz="4" w:space="0"/>
              <w:bottom w:val="single" w:color="auto" w:sz="4" w:space="0"/>
              <w:right w:val="single" w:color="auto" w:sz="4" w:space="0"/>
            </w:tcBorders>
          </w:tcPr>
          <w:p w14:paraId="2C54D858">
            <w:pPr>
              <w:spacing w:line="360" w:lineRule="auto"/>
              <w:ind w:firstLine="210" w:firstLineChars="100"/>
              <w:rPr>
                <w:rFonts w:ascii="宋体" w:hAnsi="宋体"/>
                <w:color w:val="auto"/>
                <w:szCs w:val="21"/>
                <w:highlight w:val="none"/>
              </w:rPr>
            </w:pPr>
            <w:r>
              <w:rPr>
                <w:rFonts w:hint="eastAsia" w:ascii="宋体" w:hAnsi="宋体" w:cs="宋体"/>
                <w:color w:val="auto"/>
                <w:kern w:val="0"/>
                <w:szCs w:val="21"/>
                <w:highlight w:val="none"/>
              </w:rPr>
              <w:t xml:space="preserve">0.7% </w:t>
            </w:r>
          </w:p>
        </w:tc>
      </w:tr>
      <w:tr w14:paraId="787D7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0631A493">
            <w:pPr>
              <w:spacing w:line="360" w:lineRule="auto"/>
              <w:rPr>
                <w:rFonts w:ascii="宋体" w:hAnsi="宋体"/>
                <w:color w:val="auto"/>
                <w:szCs w:val="21"/>
                <w:highlight w:val="none"/>
              </w:rPr>
            </w:pPr>
            <w:r>
              <w:rPr>
                <w:rFonts w:hint="eastAsia" w:ascii="宋体" w:hAnsi="宋体"/>
                <w:color w:val="auto"/>
                <w:szCs w:val="21"/>
                <w:highlight w:val="none"/>
              </w:rPr>
              <w:t>500万元～1000万元</w:t>
            </w:r>
          </w:p>
        </w:tc>
        <w:tc>
          <w:tcPr>
            <w:tcW w:w="1659" w:type="dxa"/>
            <w:tcBorders>
              <w:top w:val="single" w:color="auto" w:sz="4" w:space="0"/>
              <w:left w:val="single" w:color="auto" w:sz="4" w:space="0"/>
              <w:bottom w:val="single" w:color="auto" w:sz="4" w:space="0"/>
              <w:right w:val="single" w:color="auto" w:sz="4" w:space="0"/>
            </w:tcBorders>
          </w:tcPr>
          <w:p w14:paraId="25743024">
            <w:pPr>
              <w:spacing w:line="360" w:lineRule="auto"/>
              <w:rPr>
                <w:rFonts w:ascii="宋体" w:hAnsi="宋体"/>
                <w:color w:val="auto"/>
                <w:szCs w:val="21"/>
                <w:highlight w:val="none"/>
              </w:rPr>
            </w:pPr>
            <w:r>
              <w:rPr>
                <w:rFonts w:hint="eastAsia" w:ascii="宋体" w:hAnsi="宋体" w:cs="宋体"/>
                <w:color w:val="auto"/>
                <w:kern w:val="0"/>
                <w:szCs w:val="21"/>
                <w:highlight w:val="none"/>
              </w:rPr>
              <w:t xml:space="preserve">  0.8%                </w:t>
            </w:r>
          </w:p>
        </w:tc>
        <w:tc>
          <w:tcPr>
            <w:tcW w:w="1687" w:type="dxa"/>
            <w:tcBorders>
              <w:top w:val="single" w:color="auto" w:sz="4" w:space="0"/>
              <w:left w:val="single" w:color="auto" w:sz="4" w:space="0"/>
              <w:bottom w:val="single" w:color="auto" w:sz="4" w:space="0"/>
              <w:right w:val="single" w:color="auto" w:sz="4" w:space="0"/>
            </w:tcBorders>
          </w:tcPr>
          <w:p w14:paraId="3E77B9C9">
            <w:pPr>
              <w:spacing w:line="360" w:lineRule="auto"/>
              <w:ind w:firstLine="210" w:firstLineChars="100"/>
              <w:rPr>
                <w:rFonts w:ascii="宋体" w:hAnsi="宋体"/>
                <w:color w:val="auto"/>
                <w:szCs w:val="21"/>
                <w:highlight w:val="none"/>
              </w:rPr>
            </w:pPr>
            <w:r>
              <w:rPr>
                <w:rFonts w:hint="eastAsia" w:ascii="宋体" w:hAnsi="宋体" w:cs="宋体"/>
                <w:color w:val="auto"/>
                <w:kern w:val="0"/>
                <w:szCs w:val="21"/>
                <w:highlight w:val="none"/>
              </w:rPr>
              <w:t>0.45%</w:t>
            </w:r>
          </w:p>
        </w:tc>
        <w:tc>
          <w:tcPr>
            <w:tcW w:w="1659" w:type="dxa"/>
            <w:tcBorders>
              <w:top w:val="single" w:color="auto" w:sz="4" w:space="0"/>
              <w:left w:val="single" w:color="auto" w:sz="4" w:space="0"/>
              <w:bottom w:val="single" w:color="auto" w:sz="4" w:space="0"/>
              <w:right w:val="single" w:color="auto" w:sz="4" w:space="0"/>
            </w:tcBorders>
          </w:tcPr>
          <w:p w14:paraId="6B5C064C">
            <w:pPr>
              <w:spacing w:line="360" w:lineRule="auto"/>
              <w:ind w:firstLine="210" w:firstLineChars="100"/>
              <w:rPr>
                <w:rFonts w:ascii="宋体" w:hAnsi="宋体"/>
                <w:color w:val="auto"/>
                <w:szCs w:val="21"/>
                <w:highlight w:val="none"/>
              </w:rPr>
            </w:pPr>
            <w:r>
              <w:rPr>
                <w:rFonts w:hint="eastAsia" w:ascii="宋体" w:hAnsi="宋体" w:cs="宋体"/>
                <w:color w:val="auto"/>
                <w:kern w:val="0"/>
                <w:szCs w:val="21"/>
                <w:highlight w:val="none"/>
              </w:rPr>
              <w:t>0.55%</w:t>
            </w:r>
          </w:p>
        </w:tc>
      </w:tr>
      <w:tr w14:paraId="3F7DD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178DE053">
            <w:pPr>
              <w:spacing w:line="360" w:lineRule="auto"/>
              <w:rPr>
                <w:rFonts w:ascii="宋体" w:hAnsi="宋体"/>
                <w:color w:val="auto"/>
                <w:szCs w:val="21"/>
                <w:highlight w:val="none"/>
              </w:rPr>
            </w:pPr>
            <w:r>
              <w:rPr>
                <w:rFonts w:hint="eastAsia" w:ascii="宋体" w:hAnsi="宋体"/>
                <w:color w:val="auto"/>
                <w:szCs w:val="21"/>
                <w:highlight w:val="none"/>
              </w:rPr>
              <w:t>1000万元～5000万元</w:t>
            </w:r>
          </w:p>
        </w:tc>
        <w:tc>
          <w:tcPr>
            <w:tcW w:w="1659" w:type="dxa"/>
            <w:tcBorders>
              <w:top w:val="single" w:color="auto" w:sz="4" w:space="0"/>
              <w:left w:val="single" w:color="auto" w:sz="4" w:space="0"/>
              <w:bottom w:val="single" w:color="auto" w:sz="4" w:space="0"/>
              <w:right w:val="single" w:color="auto" w:sz="4" w:space="0"/>
            </w:tcBorders>
          </w:tcPr>
          <w:p w14:paraId="51B9791F">
            <w:pPr>
              <w:spacing w:line="360" w:lineRule="auto"/>
              <w:ind w:firstLine="210" w:firstLineChars="100"/>
              <w:rPr>
                <w:rFonts w:ascii="宋体" w:hAnsi="宋体"/>
                <w:color w:val="auto"/>
                <w:szCs w:val="21"/>
                <w:highlight w:val="none"/>
              </w:rPr>
            </w:pPr>
            <w:r>
              <w:rPr>
                <w:rFonts w:hint="eastAsia" w:ascii="宋体" w:hAnsi="宋体" w:cs="宋体"/>
                <w:color w:val="auto"/>
                <w:kern w:val="0"/>
                <w:szCs w:val="21"/>
                <w:highlight w:val="none"/>
              </w:rPr>
              <w:t xml:space="preserve">0.5%                </w:t>
            </w:r>
          </w:p>
        </w:tc>
        <w:tc>
          <w:tcPr>
            <w:tcW w:w="1687" w:type="dxa"/>
            <w:tcBorders>
              <w:top w:val="single" w:color="auto" w:sz="4" w:space="0"/>
              <w:left w:val="single" w:color="auto" w:sz="4" w:space="0"/>
              <w:bottom w:val="single" w:color="auto" w:sz="4" w:space="0"/>
              <w:right w:val="single" w:color="auto" w:sz="4" w:space="0"/>
            </w:tcBorders>
          </w:tcPr>
          <w:p w14:paraId="23CE489B">
            <w:pPr>
              <w:spacing w:line="360" w:lineRule="auto"/>
              <w:ind w:firstLine="210" w:firstLineChars="100"/>
              <w:rPr>
                <w:rFonts w:ascii="宋体" w:hAnsi="宋体"/>
                <w:color w:val="auto"/>
                <w:szCs w:val="21"/>
                <w:highlight w:val="none"/>
              </w:rPr>
            </w:pPr>
            <w:r>
              <w:rPr>
                <w:rFonts w:hint="eastAsia" w:ascii="宋体" w:hAnsi="宋体" w:cs="宋体"/>
                <w:color w:val="auto"/>
                <w:kern w:val="0"/>
                <w:szCs w:val="21"/>
                <w:highlight w:val="none"/>
              </w:rPr>
              <w:t>0.25%</w:t>
            </w:r>
          </w:p>
        </w:tc>
        <w:tc>
          <w:tcPr>
            <w:tcW w:w="1659" w:type="dxa"/>
            <w:tcBorders>
              <w:top w:val="single" w:color="auto" w:sz="4" w:space="0"/>
              <w:left w:val="single" w:color="auto" w:sz="4" w:space="0"/>
              <w:bottom w:val="single" w:color="auto" w:sz="4" w:space="0"/>
              <w:right w:val="single" w:color="auto" w:sz="4" w:space="0"/>
            </w:tcBorders>
          </w:tcPr>
          <w:p w14:paraId="04F3CFE0">
            <w:pPr>
              <w:spacing w:line="360" w:lineRule="auto"/>
              <w:ind w:firstLine="210" w:firstLineChars="100"/>
              <w:rPr>
                <w:rFonts w:ascii="宋体" w:hAnsi="宋体"/>
                <w:color w:val="auto"/>
                <w:szCs w:val="21"/>
                <w:highlight w:val="none"/>
              </w:rPr>
            </w:pPr>
            <w:r>
              <w:rPr>
                <w:rFonts w:hint="eastAsia" w:ascii="宋体" w:hAnsi="宋体" w:cs="宋体"/>
                <w:color w:val="auto"/>
                <w:kern w:val="0"/>
                <w:szCs w:val="21"/>
                <w:highlight w:val="none"/>
              </w:rPr>
              <w:t xml:space="preserve">0.35% </w:t>
            </w:r>
          </w:p>
        </w:tc>
      </w:tr>
      <w:tr w14:paraId="2FA48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6EA13164">
            <w:pPr>
              <w:spacing w:line="360" w:lineRule="auto"/>
              <w:rPr>
                <w:rFonts w:ascii="宋体" w:hAnsi="宋体"/>
                <w:color w:val="auto"/>
                <w:szCs w:val="21"/>
                <w:highlight w:val="none"/>
              </w:rPr>
            </w:pPr>
            <w:r>
              <w:rPr>
                <w:rFonts w:hint="eastAsia" w:ascii="宋体" w:hAnsi="宋体"/>
                <w:color w:val="auto"/>
                <w:szCs w:val="21"/>
                <w:highlight w:val="none"/>
              </w:rPr>
              <w:t>5000万元～1亿元</w:t>
            </w:r>
          </w:p>
        </w:tc>
        <w:tc>
          <w:tcPr>
            <w:tcW w:w="1659" w:type="dxa"/>
            <w:tcBorders>
              <w:top w:val="single" w:color="auto" w:sz="4" w:space="0"/>
              <w:left w:val="single" w:color="auto" w:sz="4" w:space="0"/>
              <w:bottom w:val="single" w:color="auto" w:sz="4" w:space="0"/>
              <w:right w:val="single" w:color="auto" w:sz="4" w:space="0"/>
            </w:tcBorders>
          </w:tcPr>
          <w:p w14:paraId="0BB6F1B8">
            <w:pPr>
              <w:spacing w:line="360" w:lineRule="auto"/>
              <w:ind w:firstLine="210" w:firstLineChars="100"/>
              <w:rPr>
                <w:rFonts w:ascii="宋体" w:hAnsi="宋体"/>
                <w:color w:val="auto"/>
                <w:szCs w:val="21"/>
                <w:highlight w:val="none"/>
              </w:rPr>
            </w:pPr>
            <w:r>
              <w:rPr>
                <w:rFonts w:hint="eastAsia" w:ascii="宋体" w:hAnsi="宋体" w:cs="宋体"/>
                <w:color w:val="auto"/>
                <w:kern w:val="0"/>
                <w:szCs w:val="21"/>
                <w:highlight w:val="none"/>
              </w:rPr>
              <w:t xml:space="preserve">0.25%                 </w:t>
            </w:r>
          </w:p>
        </w:tc>
        <w:tc>
          <w:tcPr>
            <w:tcW w:w="1687" w:type="dxa"/>
            <w:tcBorders>
              <w:top w:val="single" w:color="auto" w:sz="4" w:space="0"/>
              <w:left w:val="single" w:color="auto" w:sz="4" w:space="0"/>
              <w:bottom w:val="single" w:color="auto" w:sz="4" w:space="0"/>
              <w:right w:val="single" w:color="auto" w:sz="4" w:space="0"/>
            </w:tcBorders>
          </w:tcPr>
          <w:p w14:paraId="0E266745">
            <w:pPr>
              <w:spacing w:line="360" w:lineRule="auto"/>
              <w:ind w:firstLine="210" w:firstLineChars="100"/>
              <w:rPr>
                <w:rFonts w:ascii="宋体" w:hAnsi="宋体"/>
                <w:color w:val="auto"/>
                <w:szCs w:val="21"/>
                <w:highlight w:val="none"/>
              </w:rPr>
            </w:pPr>
            <w:r>
              <w:rPr>
                <w:rFonts w:hint="eastAsia" w:ascii="宋体" w:hAnsi="宋体" w:cs="宋体"/>
                <w:color w:val="auto"/>
                <w:kern w:val="0"/>
                <w:szCs w:val="21"/>
                <w:highlight w:val="none"/>
              </w:rPr>
              <w:t>0.1%</w:t>
            </w:r>
          </w:p>
        </w:tc>
        <w:tc>
          <w:tcPr>
            <w:tcW w:w="1659" w:type="dxa"/>
            <w:tcBorders>
              <w:top w:val="single" w:color="auto" w:sz="4" w:space="0"/>
              <w:left w:val="single" w:color="auto" w:sz="4" w:space="0"/>
              <w:bottom w:val="single" w:color="auto" w:sz="4" w:space="0"/>
              <w:right w:val="single" w:color="auto" w:sz="4" w:space="0"/>
            </w:tcBorders>
          </w:tcPr>
          <w:p w14:paraId="01ED4574">
            <w:pPr>
              <w:spacing w:line="360" w:lineRule="auto"/>
              <w:ind w:firstLine="210" w:firstLineChars="100"/>
              <w:rPr>
                <w:rFonts w:ascii="宋体" w:hAnsi="宋体"/>
                <w:color w:val="auto"/>
                <w:szCs w:val="21"/>
                <w:highlight w:val="none"/>
              </w:rPr>
            </w:pPr>
            <w:r>
              <w:rPr>
                <w:rFonts w:hint="eastAsia" w:ascii="宋体" w:hAnsi="宋体" w:cs="宋体"/>
                <w:color w:val="auto"/>
                <w:kern w:val="0"/>
                <w:szCs w:val="21"/>
                <w:highlight w:val="none"/>
              </w:rPr>
              <w:t>0.2%</w:t>
            </w:r>
          </w:p>
        </w:tc>
      </w:tr>
      <w:tr w14:paraId="0EE05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0588164C">
            <w:pPr>
              <w:spacing w:line="360" w:lineRule="auto"/>
              <w:rPr>
                <w:rFonts w:ascii="宋体" w:hAnsi="宋体"/>
                <w:color w:val="auto"/>
                <w:szCs w:val="21"/>
                <w:highlight w:val="none"/>
              </w:rPr>
            </w:pPr>
            <w:r>
              <w:rPr>
                <w:rFonts w:hint="eastAsia" w:ascii="宋体" w:hAnsi="宋体"/>
                <w:color w:val="auto"/>
                <w:szCs w:val="21"/>
                <w:highlight w:val="none"/>
              </w:rPr>
              <w:t>1亿元～5亿元</w:t>
            </w:r>
          </w:p>
        </w:tc>
        <w:tc>
          <w:tcPr>
            <w:tcW w:w="1659" w:type="dxa"/>
            <w:tcBorders>
              <w:top w:val="single" w:color="auto" w:sz="4" w:space="0"/>
              <w:left w:val="single" w:color="auto" w:sz="4" w:space="0"/>
              <w:bottom w:val="single" w:color="auto" w:sz="4" w:space="0"/>
              <w:right w:val="single" w:color="auto" w:sz="4" w:space="0"/>
            </w:tcBorders>
          </w:tcPr>
          <w:p w14:paraId="0E9F6893">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0.05%</w:t>
            </w:r>
          </w:p>
        </w:tc>
        <w:tc>
          <w:tcPr>
            <w:tcW w:w="1687" w:type="dxa"/>
            <w:tcBorders>
              <w:top w:val="single" w:color="auto" w:sz="4" w:space="0"/>
              <w:left w:val="single" w:color="auto" w:sz="4" w:space="0"/>
              <w:bottom w:val="single" w:color="auto" w:sz="4" w:space="0"/>
              <w:right w:val="single" w:color="auto" w:sz="4" w:space="0"/>
            </w:tcBorders>
          </w:tcPr>
          <w:p w14:paraId="2165EE00">
            <w:pPr>
              <w:spacing w:line="360" w:lineRule="auto"/>
              <w:rPr>
                <w:rFonts w:ascii="宋体" w:hAnsi="宋体"/>
                <w:color w:val="auto"/>
                <w:szCs w:val="21"/>
                <w:highlight w:val="none"/>
              </w:rPr>
            </w:pPr>
            <w:r>
              <w:rPr>
                <w:rFonts w:hint="eastAsia" w:ascii="宋体" w:hAnsi="宋体"/>
                <w:color w:val="auto"/>
                <w:szCs w:val="21"/>
                <w:highlight w:val="none"/>
              </w:rPr>
              <w:t xml:space="preserve">  0.05%</w:t>
            </w:r>
          </w:p>
        </w:tc>
        <w:tc>
          <w:tcPr>
            <w:tcW w:w="1659" w:type="dxa"/>
            <w:tcBorders>
              <w:top w:val="single" w:color="auto" w:sz="4" w:space="0"/>
              <w:left w:val="single" w:color="auto" w:sz="4" w:space="0"/>
              <w:bottom w:val="single" w:color="auto" w:sz="4" w:space="0"/>
              <w:right w:val="single" w:color="auto" w:sz="4" w:space="0"/>
            </w:tcBorders>
          </w:tcPr>
          <w:p w14:paraId="75D90204">
            <w:pPr>
              <w:spacing w:line="360" w:lineRule="auto"/>
              <w:rPr>
                <w:rFonts w:ascii="宋体" w:hAnsi="宋体"/>
                <w:color w:val="auto"/>
                <w:szCs w:val="21"/>
                <w:highlight w:val="none"/>
              </w:rPr>
            </w:pPr>
            <w:r>
              <w:rPr>
                <w:rFonts w:hint="eastAsia" w:ascii="宋体" w:hAnsi="宋体"/>
                <w:color w:val="auto"/>
                <w:szCs w:val="21"/>
                <w:highlight w:val="none"/>
              </w:rPr>
              <w:t xml:space="preserve">  0.05%</w:t>
            </w:r>
          </w:p>
        </w:tc>
      </w:tr>
      <w:tr w14:paraId="0C9C0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2EB02C35">
            <w:pPr>
              <w:spacing w:line="360" w:lineRule="auto"/>
              <w:rPr>
                <w:rFonts w:ascii="宋体" w:hAnsi="宋体"/>
                <w:color w:val="auto"/>
                <w:szCs w:val="21"/>
                <w:highlight w:val="none"/>
              </w:rPr>
            </w:pPr>
            <w:r>
              <w:rPr>
                <w:rFonts w:hint="eastAsia" w:ascii="宋体" w:hAnsi="宋体"/>
                <w:color w:val="auto"/>
                <w:szCs w:val="21"/>
                <w:highlight w:val="none"/>
              </w:rPr>
              <w:t>5亿元～10亿元</w:t>
            </w:r>
          </w:p>
        </w:tc>
        <w:tc>
          <w:tcPr>
            <w:tcW w:w="1659" w:type="dxa"/>
            <w:tcBorders>
              <w:top w:val="single" w:color="auto" w:sz="4" w:space="0"/>
              <w:left w:val="single" w:color="auto" w:sz="4" w:space="0"/>
              <w:bottom w:val="single" w:color="auto" w:sz="4" w:space="0"/>
              <w:right w:val="single" w:color="auto" w:sz="4" w:space="0"/>
            </w:tcBorders>
          </w:tcPr>
          <w:p w14:paraId="1C6D547A">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0.035%</w:t>
            </w:r>
          </w:p>
        </w:tc>
        <w:tc>
          <w:tcPr>
            <w:tcW w:w="1687" w:type="dxa"/>
            <w:tcBorders>
              <w:top w:val="single" w:color="auto" w:sz="4" w:space="0"/>
              <w:left w:val="single" w:color="auto" w:sz="4" w:space="0"/>
              <w:bottom w:val="single" w:color="auto" w:sz="4" w:space="0"/>
              <w:right w:val="single" w:color="auto" w:sz="4" w:space="0"/>
            </w:tcBorders>
          </w:tcPr>
          <w:p w14:paraId="439514BF">
            <w:pPr>
              <w:spacing w:line="360" w:lineRule="auto"/>
              <w:rPr>
                <w:rFonts w:ascii="宋体" w:hAnsi="宋体"/>
                <w:color w:val="auto"/>
                <w:szCs w:val="21"/>
                <w:highlight w:val="none"/>
              </w:rPr>
            </w:pPr>
            <w:r>
              <w:rPr>
                <w:rFonts w:hint="eastAsia" w:ascii="宋体" w:hAnsi="宋体"/>
                <w:color w:val="auto"/>
                <w:szCs w:val="21"/>
                <w:highlight w:val="none"/>
              </w:rPr>
              <w:t xml:space="preserve">  0.035%</w:t>
            </w:r>
          </w:p>
        </w:tc>
        <w:tc>
          <w:tcPr>
            <w:tcW w:w="1659" w:type="dxa"/>
            <w:tcBorders>
              <w:top w:val="single" w:color="auto" w:sz="4" w:space="0"/>
              <w:left w:val="single" w:color="auto" w:sz="4" w:space="0"/>
              <w:bottom w:val="single" w:color="auto" w:sz="4" w:space="0"/>
              <w:right w:val="single" w:color="auto" w:sz="4" w:space="0"/>
            </w:tcBorders>
          </w:tcPr>
          <w:p w14:paraId="0BACCB1A">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0.035%</w:t>
            </w:r>
          </w:p>
        </w:tc>
      </w:tr>
      <w:tr w14:paraId="4068E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46149172">
            <w:pPr>
              <w:spacing w:line="360" w:lineRule="auto"/>
              <w:rPr>
                <w:rFonts w:ascii="宋体" w:hAnsi="宋体"/>
                <w:color w:val="auto"/>
                <w:szCs w:val="21"/>
                <w:highlight w:val="none"/>
              </w:rPr>
            </w:pPr>
            <w:r>
              <w:rPr>
                <w:rFonts w:hint="eastAsia" w:ascii="宋体" w:hAnsi="宋体"/>
                <w:color w:val="auto"/>
                <w:szCs w:val="21"/>
                <w:highlight w:val="none"/>
              </w:rPr>
              <w:t>10亿元～50亿元</w:t>
            </w:r>
          </w:p>
        </w:tc>
        <w:tc>
          <w:tcPr>
            <w:tcW w:w="1659" w:type="dxa"/>
            <w:tcBorders>
              <w:top w:val="single" w:color="auto" w:sz="4" w:space="0"/>
              <w:left w:val="single" w:color="auto" w:sz="4" w:space="0"/>
              <w:bottom w:val="single" w:color="auto" w:sz="4" w:space="0"/>
              <w:right w:val="single" w:color="auto" w:sz="4" w:space="0"/>
            </w:tcBorders>
          </w:tcPr>
          <w:p w14:paraId="183EF797">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0.008%</w:t>
            </w:r>
          </w:p>
        </w:tc>
        <w:tc>
          <w:tcPr>
            <w:tcW w:w="1687" w:type="dxa"/>
            <w:tcBorders>
              <w:top w:val="single" w:color="auto" w:sz="4" w:space="0"/>
              <w:left w:val="single" w:color="auto" w:sz="4" w:space="0"/>
              <w:bottom w:val="single" w:color="auto" w:sz="4" w:space="0"/>
              <w:right w:val="single" w:color="auto" w:sz="4" w:space="0"/>
            </w:tcBorders>
          </w:tcPr>
          <w:p w14:paraId="12CF104B">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0.008%</w:t>
            </w:r>
          </w:p>
        </w:tc>
        <w:tc>
          <w:tcPr>
            <w:tcW w:w="1659" w:type="dxa"/>
            <w:tcBorders>
              <w:top w:val="single" w:color="auto" w:sz="4" w:space="0"/>
              <w:left w:val="single" w:color="auto" w:sz="4" w:space="0"/>
              <w:bottom w:val="single" w:color="auto" w:sz="4" w:space="0"/>
              <w:right w:val="single" w:color="auto" w:sz="4" w:space="0"/>
            </w:tcBorders>
          </w:tcPr>
          <w:p w14:paraId="2D5A699F">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0.008%</w:t>
            </w:r>
          </w:p>
        </w:tc>
      </w:tr>
      <w:tr w14:paraId="3A5D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65E22B1C">
            <w:pPr>
              <w:spacing w:line="360" w:lineRule="auto"/>
              <w:rPr>
                <w:rFonts w:ascii="宋体" w:hAnsi="宋体"/>
                <w:color w:val="auto"/>
                <w:szCs w:val="21"/>
                <w:highlight w:val="none"/>
              </w:rPr>
            </w:pPr>
            <w:r>
              <w:rPr>
                <w:rFonts w:hint="eastAsia" w:ascii="宋体" w:hAnsi="宋体"/>
                <w:color w:val="auto"/>
                <w:szCs w:val="21"/>
                <w:highlight w:val="none"/>
              </w:rPr>
              <w:t>50亿元～100亿元</w:t>
            </w:r>
          </w:p>
        </w:tc>
        <w:tc>
          <w:tcPr>
            <w:tcW w:w="1659" w:type="dxa"/>
            <w:tcBorders>
              <w:top w:val="single" w:color="auto" w:sz="4" w:space="0"/>
              <w:left w:val="single" w:color="auto" w:sz="4" w:space="0"/>
              <w:bottom w:val="single" w:color="auto" w:sz="4" w:space="0"/>
              <w:right w:val="single" w:color="auto" w:sz="4" w:space="0"/>
            </w:tcBorders>
          </w:tcPr>
          <w:p w14:paraId="538466A6">
            <w:pPr>
              <w:spacing w:line="360" w:lineRule="auto"/>
              <w:rPr>
                <w:rFonts w:ascii="宋体" w:hAnsi="宋体"/>
                <w:color w:val="auto"/>
                <w:szCs w:val="21"/>
                <w:highlight w:val="none"/>
              </w:rPr>
            </w:pPr>
            <w:r>
              <w:rPr>
                <w:rFonts w:hint="eastAsia" w:ascii="宋体" w:hAnsi="宋体"/>
                <w:color w:val="auto"/>
                <w:szCs w:val="21"/>
                <w:highlight w:val="none"/>
              </w:rPr>
              <w:t xml:space="preserve"> 0.006%</w:t>
            </w:r>
          </w:p>
        </w:tc>
        <w:tc>
          <w:tcPr>
            <w:tcW w:w="1687" w:type="dxa"/>
            <w:tcBorders>
              <w:top w:val="single" w:color="auto" w:sz="4" w:space="0"/>
              <w:left w:val="single" w:color="auto" w:sz="4" w:space="0"/>
              <w:bottom w:val="single" w:color="auto" w:sz="4" w:space="0"/>
              <w:right w:val="single" w:color="auto" w:sz="4" w:space="0"/>
            </w:tcBorders>
          </w:tcPr>
          <w:p w14:paraId="483AF2D6">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0.006%</w:t>
            </w:r>
          </w:p>
        </w:tc>
        <w:tc>
          <w:tcPr>
            <w:tcW w:w="1659" w:type="dxa"/>
            <w:tcBorders>
              <w:top w:val="single" w:color="auto" w:sz="4" w:space="0"/>
              <w:left w:val="single" w:color="auto" w:sz="4" w:space="0"/>
              <w:bottom w:val="single" w:color="auto" w:sz="4" w:space="0"/>
              <w:right w:val="single" w:color="auto" w:sz="4" w:space="0"/>
            </w:tcBorders>
          </w:tcPr>
          <w:p w14:paraId="6313BB6A">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0.006%</w:t>
            </w:r>
          </w:p>
        </w:tc>
      </w:tr>
      <w:tr w14:paraId="7CF33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4DE339F2">
            <w:pPr>
              <w:spacing w:line="360" w:lineRule="auto"/>
              <w:rPr>
                <w:rFonts w:ascii="宋体" w:hAnsi="宋体"/>
                <w:color w:val="auto"/>
                <w:szCs w:val="21"/>
                <w:highlight w:val="none"/>
              </w:rPr>
            </w:pPr>
            <w:r>
              <w:rPr>
                <w:rFonts w:hint="eastAsia" w:ascii="宋体" w:hAnsi="宋体"/>
                <w:color w:val="auto"/>
                <w:szCs w:val="21"/>
                <w:highlight w:val="none"/>
              </w:rPr>
              <w:t>100亿以上</w:t>
            </w:r>
          </w:p>
        </w:tc>
        <w:tc>
          <w:tcPr>
            <w:tcW w:w="1659" w:type="dxa"/>
            <w:tcBorders>
              <w:top w:val="single" w:color="auto" w:sz="4" w:space="0"/>
              <w:left w:val="single" w:color="auto" w:sz="4" w:space="0"/>
              <w:bottom w:val="single" w:color="auto" w:sz="4" w:space="0"/>
              <w:right w:val="single" w:color="auto" w:sz="4" w:space="0"/>
            </w:tcBorders>
          </w:tcPr>
          <w:p w14:paraId="3BEABE6C">
            <w:pPr>
              <w:spacing w:line="360" w:lineRule="auto"/>
              <w:rPr>
                <w:rFonts w:ascii="宋体" w:hAnsi="宋体"/>
                <w:color w:val="auto"/>
                <w:szCs w:val="21"/>
                <w:highlight w:val="none"/>
              </w:rPr>
            </w:pPr>
            <w:r>
              <w:rPr>
                <w:rFonts w:hint="eastAsia" w:ascii="宋体" w:hAnsi="宋体"/>
                <w:color w:val="auto"/>
                <w:szCs w:val="21"/>
                <w:highlight w:val="none"/>
              </w:rPr>
              <w:t xml:space="preserve"> 0.004%</w:t>
            </w:r>
          </w:p>
        </w:tc>
        <w:tc>
          <w:tcPr>
            <w:tcW w:w="1687" w:type="dxa"/>
            <w:tcBorders>
              <w:top w:val="single" w:color="auto" w:sz="4" w:space="0"/>
              <w:left w:val="single" w:color="auto" w:sz="4" w:space="0"/>
              <w:bottom w:val="single" w:color="auto" w:sz="4" w:space="0"/>
              <w:right w:val="single" w:color="auto" w:sz="4" w:space="0"/>
            </w:tcBorders>
          </w:tcPr>
          <w:p w14:paraId="3482A9FC">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0.004%</w:t>
            </w:r>
          </w:p>
        </w:tc>
        <w:tc>
          <w:tcPr>
            <w:tcW w:w="1659" w:type="dxa"/>
            <w:tcBorders>
              <w:top w:val="single" w:color="auto" w:sz="4" w:space="0"/>
              <w:left w:val="single" w:color="auto" w:sz="4" w:space="0"/>
              <w:bottom w:val="single" w:color="auto" w:sz="4" w:space="0"/>
              <w:right w:val="single" w:color="auto" w:sz="4" w:space="0"/>
            </w:tcBorders>
          </w:tcPr>
          <w:p w14:paraId="53EBA3A1">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0.004%</w:t>
            </w:r>
          </w:p>
        </w:tc>
      </w:tr>
    </w:tbl>
    <w:p w14:paraId="69305690">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注：</w:t>
      </w:r>
      <w:r>
        <w:rPr>
          <w:rFonts w:ascii="宋体" w:hAnsi="宋体" w:cs="宋体"/>
          <w:color w:val="auto"/>
          <w:szCs w:val="21"/>
          <w:highlight w:val="none"/>
        </w:rPr>
        <w:t xml:space="preserve"> </w:t>
      </w:r>
    </w:p>
    <w:p w14:paraId="0BA26A3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按本表费率计算的收费为</w:t>
      </w:r>
      <w:r>
        <w:rPr>
          <w:rFonts w:hint="eastAsia" w:ascii="宋体" w:hAnsi="宋体" w:cs="宋体"/>
          <w:color w:val="auto"/>
          <w:szCs w:val="21"/>
          <w:highlight w:val="none"/>
        </w:rPr>
        <w:t>采购</w:t>
      </w:r>
      <w:r>
        <w:rPr>
          <w:rFonts w:ascii="宋体" w:hAnsi="宋体" w:cs="宋体"/>
          <w:color w:val="auto"/>
          <w:szCs w:val="21"/>
          <w:highlight w:val="none"/>
        </w:rPr>
        <w:t>代理的收费基准价格</w:t>
      </w:r>
      <w:r>
        <w:rPr>
          <w:rFonts w:hint="eastAsia" w:ascii="宋体" w:hAnsi="宋体" w:cs="宋体"/>
          <w:color w:val="auto"/>
          <w:szCs w:val="21"/>
          <w:highlight w:val="none"/>
        </w:rPr>
        <w:t>；</w:t>
      </w:r>
    </w:p>
    <w:p w14:paraId="170F6F4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（2）采购</w:t>
      </w:r>
      <w:r>
        <w:rPr>
          <w:rFonts w:ascii="宋体" w:hAnsi="宋体" w:cs="宋体"/>
          <w:color w:val="auto"/>
          <w:szCs w:val="21"/>
          <w:highlight w:val="none"/>
        </w:rPr>
        <w:t>代理收费按差额定率累进法计算。</w:t>
      </w:r>
    </w:p>
    <w:p w14:paraId="18CAB32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例如：某</w:t>
      </w:r>
      <w:r>
        <w:rPr>
          <w:rFonts w:hint="eastAsia" w:ascii="宋体" w:hAnsi="宋体" w:cs="宋体"/>
          <w:color w:val="auto"/>
          <w:szCs w:val="21"/>
          <w:highlight w:val="none"/>
        </w:rPr>
        <w:t>货物采购</w:t>
      </w:r>
      <w:r>
        <w:rPr>
          <w:rFonts w:ascii="宋体" w:hAnsi="宋体" w:cs="宋体"/>
          <w:color w:val="auto"/>
          <w:szCs w:val="21"/>
          <w:highlight w:val="none"/>
        </w:rPr>
        <w:t>代理业务</w:t>
      </w:r>
      <w:r>
        <w:rPr>
          <w:rFonts w:hint="eastAsia" w:ascii="宋体" w:hAnsi="宋体" w:cs="宋体"/>
          <w:color w:val="auto"/>
          <w:szCs w:val="21"/>
          <w:highlight w:val="none"/>
        </w:rPr>
        <w:t>中标</w:t>
      </w:r>
      <w:r>
        <w:rPr>
          <w:rFonts w:ascii="宋体" w:hAnsi="宋体" w:cs="宋体"/>
          <w:color w:val="auto"/>
          <w:szCs w:val="21"/>
          <w:highlight w:val="none"/>
        </w:rPr>
        <w:t>金额</w:t>
      </w:r>
      <w:r>
        <w:rPr>
          <w:rFonts w:hint="eastAsia" w:ascii="宋体" w:hAnsi="宋体" w:cs="宋体"/>
          <w:color w:val="auto"/>
          <w:szCs w:val="21"/>
          <w:highlight w:val="none"/>
        </w:rPr>
        <w:t>或者暂定价</w:t>
      </w:r>
      <w:r>
        <w:rPr>
          <w:rFonts w:ascii="宋体" w:hAnsi="宋体" w:cs="宋体"/>
          <w:color w:val="auto"/>
          <w:szCs w:val="21"/>
          <w:highlight w:val="none"/>
        </w:rPr>
        <w:t>为200万元，计算</w:t>
      </w:r>
      <w:r>
        <w:rPr>
          <w:rFonts w:hint="eastAsia" w:ascii="宋体" w:hAnsi="宋体" w:cs="宋体"/>
          <w:color w:val="auto"/>
          <w:szCs w:val="21"/>
          <w:highlight w:val="none"/>
        </w:rPr>
        <w:t>采购</w:t>
      </w:r>
      <w:r>
        <w:rPr>
          <w:rFonts w:ascii="宋体" w:hAnsi="宋体" w:cs="宋体"/>
          <w:color w:val="auto"/>
          <w:szCs w:val="21"/>
          <w:highlight w:val="none"/>
        </w:rPr>
        <w:t>代理收费额如下：</w:t>
      </w:r>
    </w:p>
    <w:p w14:paraId="101E020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100 万元×l.5 ％＝ 1.5 万元</w:t>
      </w:r>
    </w:p>
    <w:p w14:paraId="60EAF47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 200 － 100 ）万元 ×1.1％＝1.1万元</w:t>
      </w:r>
    </w:p>
    <w:p w14:paraId="1AC4C2EC">
      <w:pPr>
        <w:pStyle w:val="24"/>
        <w:snapToGrid w:val="0"/>
        <w:spacing w:line="360" w:lineRule="auto"/>
        <w:ind w:firstLine="420" w:firstLineChars="200"/>
        <w:rPr>
          <w:rFonts w:hAnsi="宋体" w:cs="宋体"/>
          <w:color w:val="auto"/>
          <w:sz w:val="21"/>
          <w:highlight w:val="none"/>
        </w:rPr>
      </w:pPr>
      <w:r>
        <w:rPr>
          <w:rFonts w:hAnsi="宋体" w:cs="宋体"/>
          <w:color w:val="auto"/>
          <w:sz w:val="21"/>
          <w:highlight w:val="none"/>
        </w:rPr>
        <w:t>合计收费＝ 1.5</w:t>
      </w:r>
      <w:r>
        <w:rPr>
          <w:rFonts w:hint="eastAsia" w:hAnsi="宋体" w:cs="宋体"/>
          <w:color w:val="auto"/>
          <w:sz w:val="21"/>
          <w:highlight w:val="none"/>
        </w:rPr>
        <w:t>+</w:t>
      </w:r>
      <w:r>
        <w:rPr>
          <w:rFonts w:hAnsi="宋体" w:cs="宋体"/>
          <w:color w:val="auto"/>
          <w:sz w:val="21"/>
          <w:highlight w:val="none"/>
        </w:rPr>
        <w:t>1.1＝ 2.6 （万元）</w:t>
      </w:r>
    </w:p>
    <w:p w14:paraId="35068891">
      <w:pPr>
        <w:pStyle w:val="5"/>
        <w:keepNext w:val="0"/>
        <w:keepLines w:val="0"/>
        <w:spacing w:before="0" w:after="0" w:line="360" w:lineRule="auto"/>
        <w:rPr>
          <w:rFonts w:ascii="黑体" w:hAnsi="黑体" w:eastAsia="黑体"/>
          <w:color w:val="auto"/>
          <w:sz w:val="24"/>
          <w:highlight w:val="none"/>
        </w:rPr>
      </w:pPr>
      <w:r>
        <w:rPr>
          <w:rFonts w:ascii="黑体" w:hAnsi="黑体" w:eastAsia="黑体"/>
          <w:color w:val="auto"/>
          <w:sz w:val="24"/>
          <w:highlight w:val="none"/>
        </w:rPr>
        <w:t>40. 需要补充的其他内容</w:t>
      </w:r>
    </w:p>
    <w:p w14:paraId="62BA4A05">
      <w:pPr>
        <w:pStyle w:val="24"/>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40.1本招标文件解释规则详见“投标人须知前附表”。</w:t>
      </w:r>
    </w:p>
    <w:p w14:paraId="373F494B">
      <w:pPr>
        <w:pStyle w:val="24"/>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40.2 其他事项详见“投标人须知前附表”。</w:t>
      </w:r>
    </w:p>
    <w:p w14:paraId="6FC92791">
      <w:pPr>
        <w:pStyle w:val="24"/>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40.3</w:t>
      </w:r>
      <w:bookmarkStart w:id="150" w:name="_Hlk65857140"/>
      <w:r>
        <w:rPr>
          <w:rFonts w:hint="eastAsia" w:hAnsi="宋体" w:cs="宋体"/>
          <w:color w:val="auto"/>
          <w:sz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315479C9">
      <w:pPr>
        <w:pStyle w:val="24"/>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5677AD9B">
      <w:pPr>
        <w:pStyle w:val="24"/>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25E7DBE3">
      <w:pPr>
        <w:pStyle w:val="24"/>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1762043E">
      <w:pPr>
        <w:pStyle w:val="24"/>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34AC91F3">
      <w:pPr>
        <w:pStyle w:val="24"/>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bookmarkEnd w:id="150"/>
    </w:p>
    <w:p w14:paraId="1A0309CA">
      <w:pPr>
        <w:pStyle w:val="17"/>
        <w:ind w:left="479" w:leftChars="114" w:hanging="240" w:hangingChars="100"/>
        <w:rPr>
          <w:rFonts w:hAnsi="宋体"/>
          <w:color w:val="auto"/>
          <w:highlight w:val="none"/>
        </w:rPr>
      </w:pPr>
    </w:p>
    <w:p w14:paraId="3A1C1B4E">
      <w:pPr>
        <w:pStyle w:val="24"/>
        <w:snapToGrid w:val="0"/>
        <w:spacing w:before="120" w:after="120"/>
        <w:rPr>
          <w:rFonts w:hAnsi="宋体"/>
          <w:color w:val="auto"/>
          <w:highlight w:val="none"/>
        </w:rPr>
      </w:pPr>
    </w:p>
    <w:p w14:paraId="4F0D20FE">
      <w:pPr>
        <w:pStyle w:val="24"/>
        <w:snapToGrid w:val="0"/>
        <w:spacing w:before="120" w:after="120"/>
        <w:rPr>
          <w:rFonts w:hAnsi="宋体"/>
          <w:color w:val="auto"/>
          <w:highlight w:val="none"/>
        </w:rPr>
      </w:pPr>
    </w:p>
    <w:p w14:paraId="438F5462">
      <w:pPr>
        <w:pStyle w:val="24"/>
        <w:snapToGrid w:val="0"/>
        <w:spacing w:before="120" w:after="120"/>
        <w:rPr>
          <w:rFonts w:hAnsi="宋体"/>
          <w:color w:val="auto"/>
          <w:highlight w:val="none"/>
        </w:rPr>
      </w:pPr>
    </w:p>
    <w:p w14:paraId="4AC988F6">
      <w:pPr>
        <w:pStyle w:val="24"/>
        <w:snapToGrid w:val="0"/>
        <w:spacing w:before="120" w:after="120"/>
        <w:rPr>
          <w:rFonts w:hAnsi="宋体"/>
          <w:color w:val="auto"/>
          <w:highlight w:val="none"/>
        </w:rPr>
      </w:pPr>
    </w:p>
    <w:p w14:paraId="419ED4A9">
      <w:pPr>
        <w:pStyle w:val="24"/>
        <w:snapToGrid w:val="0"/>
        <w:spacing w:before="120" w:after="120"/>
        <w:rPr>
          <w:rFonts w:hAnsi="宋体"/>
          <w:color w:val="auto"/>
          <w:highlight w:val="none"/>
        </w:rPr>
      </w:pPr>
    </w:p>
    <w:p w14:paraId="3A114BBA">
      <w:pPr>
        <w:pStyle w:val="24"/>
        <w:snapToGrid w:val="0"/>
        <w:spacing w:before="120" w:after="120"/>
        <w:rPr>
          <w:rFonts w:hAnsi="宋体"/>
          <w:color w:val="auto"/>
          <w:highlight w:val="none"/>
        </w:rPr>
      </w:pPr>
    </w:p>
    <w:p w14:paraId="3E7EA421">
      <w:pPr>
        <w:pStyle w:val="24"/>
        <w:snapToGrid w:val="0"/>
        <w:spacing w:before="120" w:after="120"/>
        <w:rPr>
          <w:rFonts w:hAnsi="宋体"/>
          <w:color w:val="auto"/>
          <w:highlight w:val="none"/>
        </w:rPr>
      </w:pPr>
    </w:p>
    <w:p w14:paraId="41D69761">
      <w:pPr>
        <w:pStyle w:val="24"/>
        <w:snapToGrid w:val="0"/>
        <w:spacing w:before="120" w:after="120"/>
        <w:rPr>
          <w:rFonts w:hAnsi="宋体"/>
          <w:color w:val="auto"/>
          <w:highlight w:val="none"/>
        </w:rPr>
      </w:pPr>
    </w:p>
    <w:p w14:paraId="446F5651">
      <w:pPr>
        <w:pStyle w:val="24"/>
        <w:snapToGrid w:val="0"/>
        <w:spacing w:before="120" w:after="120"/>
        <w:rPr>
          <w:rFonts w:hAnsi="宋体"/>
          <w:color w:val="auto"/>
          <w:highlight w:val="none"/>
        </w:rPr>
      </w:pPr>
    </w:p>
    <w:p w14:paraId="03591B23">
      <w:pPr>
        <w:pStyle w:val="24"/>
        <w:snapToGrid w:val="0"/>
        <w:spacing w:before="120" w:after="120"/>
        <w:rPr>
          <w:rFonts w:hAnsi="宋体"/>
          <w:color w:val="auto"/>
          <w:highlight w:val="none"/>
        </w:rPr>
      </w:pPr>
    </w:p>
    <w:p w14:paraId="1CCF393A">
      <w:pPr>
        <w:pStyle w:val="24"/>
        <w:snapToGrid w:val="0"/>
        <w:spacing w:before="120" w:after="120"/>
        <w:rPr>
          <w:rFonts w:hAnsi="宋体"/>
          <w:color w:val="auto"/>
          <w:highlight w:val="none"/>
        </w:rPr>
      </w:pPr>
    </w:p>
    <w:p w14:paraId="431494DC">
      <w:pPr>
        <w:pStyle w:val="24"/>
        <w:snapToGrid w:val="0"/>
        <w:spacing w:before="120" w:after="120"/>
        <w:rPr>
          <w:rFonts w:hAnsi="宋体"/>
          <w:color w:val="auto"/>
          <w:highlight w:val="none"/>
        </w:rPr>
      </w:pPr>
    </w:p>
    <w:p w14:paraId="3417431A">
      <w:pPr>
        <w:pStyle w:val="24"/>
        <w:snapToGrid w:val="0"/>
        <w:spacing w:before="120" w:after="120"/>
        <w:rPr>
          <w:rFonts w:hAnsi="宋体"/>
          <w:color w:val="auto"/>
          <w:highlight w:val="none"/>
        </w:rPr>
      </w:pPr>
    </w:p>
    <w:p w14:paraId="6AC9BB56">
      <w:pPr>
        <w:rPr>
          <w:color w:val="auto"/>
          <w:highlight w:val="none"/>
        </w:rPr>
      </w:pPr>
      <w:bookmarkStart w:id="151" w:name="_Toc330456896"/>
      <w:bookmarkStart w:id="152" w:name="_Toc254970548"/>
      <w:bookmarkStart w:id="153" w:name="_Toc254970689"/>
      <w:bookmarkStart w:id="154" w:name="_Toc74320803"/>
      <w:r>
        <w:rPr>
          <w:rFonts w:hint="eastAsia"/>
          <w:color w:val="auto"/>
          <w:highlight w:val="none"/>
        </w:rPr>
        <w:br w:type="page"/>
      </w:r>
    </w:p>
    <w:p w14:paraId="238CD606">
      <w:pPr>
        <w:pStyle w:val="2"/>
        <w:jc w:val="center"/>
        <w:rPr>
          <w:color w:val="auto"/>
          <w:highlight w:val="none"/>
        </w:rPr>
      </w:pPr>
      <w:r>
        <w:rPr>
          <w:rFonts w:hint="eastAsia"/>
          <w:color w:val="auto"/>
          <w:highlight w:val="none"/>
        </w:rPr>
        <w:t>第四章  评标方法及评标标准</w:t>
      </w:r>
      <w:bookmarkEnd w:id="151"/>
      <w:bookmarkEnd w:id="152"/>
      <w:bookmarkEnd w:id="153"/>
      <w:bookmarkEnd w:id="154"/>
    </w:p>
    <w:p w14:paraId="6BD23847">
      <w:pPr>
        <w:pStyle w:val="4"/>
        <w:keepNext w:val="0"/>
        <w:keepLines w:val="0"/>
        <w:jc w:val="center"/>
        <w:rPr>
          <w:color w:val="auto"/>
          <w:sz w:val="30"/>
          <w:szCs w:val="30"/>
          <w:highlight w:val="none"/>
        </w:rPr>
      </w:pPr>
      <w:r>
        <w:rPr>
          <w:rFonts w:hint="eastAsia"/>
          <w:color w:val="auto"/>
          <w:sz w:val="30"/>
          <w:szCs w:val="30"/>
          <w:highlight w:val="none"/>
        </w:rPr>
        <w:t>一、评标方法</w:t>
      </w:r>
    </w:p>
    <w:p w14:paraId="68DE8123">
      <w:pPr>
        <w:pStyle w:val="24"/>
        <w:spacing w:line="360" w:lineRule="auto"/>
        <w:ind w:firstLine="420"/>
        <w:rPr>
          <w:rFonts w:hAnsi="宋体"/>
          <w:color w:val="auto"/>
          <w:sz w:val="21"/>
          <w:highlight w:val="none"/>
        </w:rPr>
      </w:pPr>
      <w:r>
        <w:rPr>
          <w:rFonts w:hint="eastAsia" w:hAnsi="宋体"/>
          <w:color w:val="auto"/>
          <w:sz w:val="21"/>
          <w:highlight w:val="none"/>
        </w:rPr>
        <w:t>综合评分法，是指投标文件满足招标文件全部实质性要求，且按照评审因素的量化指标评审得分最高的投标人为中标候选人的评标方法。</w:t>
      </w:r>
    </w:p>
    <w:p w14:paraId="7A519DBF">
      <w:pPr>
        <w:pStyle w:val="4"/>
        <w:keepNext w:val="0"/>
        <w:keepLines w:val="0"/>
        <w:jc w:val="center"/>
        <w:rPr>
          <w:color w:val="auto"/>
          <w:sz w:val="30"/>
          <w:szCs w:val="30"/>
          <w:highlight w:val="none"/>
        </w:rPr>
      </w:pPr>
      <w:r>
        <w:rPr>
          <w:rFonts w:hint="eastAsia"/>
          <w:color w:val="auto"/>
          <w:sz w:val="30"/>
          <w:szCs w:val="30"/>
          <w:highlight w:val="none"/>
        </w:rPr>
        <w:t>二、评标程序</w:t>
      </w:r>
    </w:p>
    <w:p w14:paraId="341E8EF5">
      <w:pPr>
        <w:pStyle w:val="5"/>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1.符合性审查</w:t>
      </w:r>
    </w:p>
    <w:p w14:paraId="7A66C3E3">
      <w:pPr>
        <w:pStyle w:val="24"/>
        <w:snapToGrid w:val="0"/>
        <w:spacing w:line="360" w:lineRule="auto"/>
        <w:ind w:left="1" w:firstLine="420"/>
        <w:rPr>
          <w:rFonts w:hAnsi="宋体"/>
          <w:b/>
          <w:color w:val="auto"/>
          <w:kern w:val="2"/>
          <w:sz w:val="21"/>
          <w:highlight w:val="none"/>
        </w:rPr>
      </w:pPr>
      <w:r>
        <w:rPr>
          <w:rFonts w:hint="eastAsia" w:hAnsi="宋体"/>
          <w:b/>
          <w:color w:val="auto"/>
          <w:kern w:val="2"/>
          <w:sz w:val="21"/>
          <w:highlight w:val="none"/>
        </w:rPr>
        <w:t>评标委员会应当对符合资格的投标人的投标文件进行投标报价、商务、技术等实质性内容符合性审查，以确定其是否满足招标文件的实质性要求。</w:t>
      </w:r>
    </w:p>
    <w:p w14:paraId="047C2BC0">
      <w:pPr>
        <w:pStyle w:val="5"/>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7747A4A5">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0FDC15EE">
      <w:pPr>
        <w:pStyle w:val="5"/>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4C08267B">
      <w:pPr>
        <w:pStyle w:val="6"/>
        <w:numPr>
          <w:ilvl w:val="0"/>
          <w:numId w:val="8"/>
        </w:numPr>
        <w:spacing w:line="360" w:lineRule="auto"/>
        <w:ind w:firstLine="422"/>
        <w:rPr>
          <w:rFonts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未提供“投标人须知前附表”第13条“报价文件”规定中“必须提供”的文件资料的；</w:t>
      </w:r>
    </w:p>
    <w:p w14:paraId="3D59A94C">
      <w:pPr>
        <w:pStyle w:val="6"/>
        <w:numPr>
          <w:ilvl w:val="0"/>
          <w:numId w:val="8"/>
        </w:numPr>
        <w:spacing w:line="360" w:lineRule="auto"/>
        <w:ind w:firstLine="422"/>
        <w:rPr>
          <w:rFonts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4B8C0E5D">
      <w:pPr>
        <w:pStyle w:val="6"/>
        <w:numPr>
          <w:ilvl w:val="0"/>
          <w:numId w:val="8"/>
        </w:numPr>
        <w:spacing w:line="360" w:lineRule="auto"/>
        <w:ind w:firstLine="422"/>
        <w:rPr>
          <w:rFonts w:ascii="宋体" w:hAnsi="宋体"/>
          <w:b/>
          <w:color w:val="auto"/>
          <w:szCs w:val="21"/>
          <w:highlight w:val="none"/>
        </w:rPr>
      </w:pPr>
      <w:r>
        <w:rPr>
          <w:rFonts w:hint="eastAsia" w:ascii="宋体" w:hAnsi="宋体"/>
          <w:b/>
          <w:color w:val="auto"/>
          <w:szCs w:val="21"/>
          <w:highlight w:val="none"/>
        </w:rPr>
        <w:t>各分标报价超出招标文件相应分标规定最高限价，或者超出相应分标采购预算金额的；</w:t>
      </w:r>
    </w:p>
    <w:p w14:paraId="2021F261">
      <w:pPr>
        <w:pStyle w:val="6"/>
        <w:numPr>
          <w:ilvl w:val="0"/>
          <w:numId w:val="8"/>
        </w:numPr>
        <w:spacing w:line="360" w:lineRule="auto"/>
        <w:ind w:firstLine="422"/>
        <w:rPr>
          <w:rFonts w:ascii="宋体" w:hAnsi="宋体"/>
          <w:b/>
          <w:color w:val="auto"/>
          <w:szCs w:val="21"/>
          <w:highlight w:val="none"/>
        </w:rPr>
      </w:pPr>
      <w:r>
        <w:rPr>
          <w:rFonts w:hint="eastAsia" w:ascii="宋体" w:hAnsi="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2DA27F74">
      <w:pPr>
        <w:pStyle w:val="6"/>
        <w:numPr>
          <w:ilvl w:val="0"/>
          <w:numId w:val="8"/>
        </w:numPr>
        <w:spacing w:line="360" w:lineRule="auto"/>
        <w:ind w:firstLine="422"/>
        <w:rPr>
          <w:rFonts w:ascii="宋体" w:hAnsi="宋体"/>
          <w:b/>
          <w:color w:val="auto"/>
          <w:szCs w:val="21"/>
          <w:highlight w:val="none"/>
        </w:rPr>
      </w:pPr>
      <w:r>
        <w:rPr>
          <w:rFonts w:hint="eastAsia" w:ascii="宋体" w:hAnsi="宋体"/>
          <w:b/>
          <w:color w:val="auto"/>
          <w:szCs w:val="21"/>
          <w:highlight w:val="none"/>
        </w:rPr>
        <w:t>修正后的报价，投标人不确认的；</w:t>
      </w:r>
    </w:p>
    <w:p w14:paraId="4C8CCFEC">
      <w:pPr>
        <w:pStyle w:val="6"/>
        <w:numPr>
          <w:ilvl w:val="0"/>
          <w:numId w:val="8"/>
        </w:numPr>
        <w:spacing w:line="360" w:lineRule="auto"/>
        <w:ind w:firstLine="422"/>
        <w:rPr>
          <w:rFonts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5.1</w:t>
      </w:r>
      <w:r>
        <w:rPr>
          <w:rFonts w:hint="eastAsia" w:ascii="宋体" w:hAnsi="宋体"/>
          <w:b/>
          <w:color w:val="auto"/>
          <w:szCs w:val="21"/>
          <w:highlight w:val="none"/>
        </w:rPr>
        <w:t>条（2）或者第5</w:t>
      </w:r>
      <w:r>
        <w:rPr>
          <w:rFonts w:ascii="宋体" w:hAnsi="宋体"/>
          <w:b/>
          <w:color w:val="auto"/>
          <w:szCs w:val="21"/>
          <w:highlight w:val="none"/>
        </w:rPr>
        <w:t>.2条</w:t>
      </w:r>
      <w:r>
        <w:rPr>
          <w:rFonts w:hint="eastAsia" w:ascii="宋体" w:hAnsi="宋体"/>
          <w:b/>
          <w:color w:val="auto"/>
          <w:szCs w:val="21"/>
          <w:highlight w:val="none"/>
        </w:rPr>
        <w:t>（2）项情形的；</w:t>
      </w:r>
    </w:p>
    <w:p w14:paraId="148F0829">
      <w:pPr>
        <w:pStyle w:val="6"/>
        <w:numPr>
          <w:ilvl w:val="0"/>
          <w:numId w:val="8"/>
        </w:numPr>
        <w:spacing w:line="360" w:lineRule="auto"/>
        <w:ind w:firstLine="422"/>
        <w:rPr>
          <w:rFonts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响应的标的数量及单位与招标文件要求实质性不一致的。</w:t>
      </w:r>
    </w:p>
    <w:p w14:paraId="423BCF60">
      <w:pPr>
        <w:pStyle w:val="5"/>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2.2在商务及技术评审时，如发现下列情形之一的，将被视为投标无效：</w:t>
      </w:r>
    </w:p>
    <w:p w14:paraId="3256BD0E">
      <w:pPr>
        <w:numPr>
          <w:ilvl w:val="0"/>
          <w:numId w:val="9"/>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投标文件未按招标文件要求签署、盖章的；</w:t>
      </w:r>
    </w:p>
    <w:p w14:paraId="1CEB9EC8">
      <w:pPr>
        <w:numPr>
          <w:ilvl w:val="0"/>
          <w:numId w:val="9"/>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委托代理人未能出具有效身份证或者出具的身份证与授权委托书中的信息不符的；</w:t>
      </w:r>
    </w:p>
    <w:p w14:paraId="38889AA6">
      <w:pPr>
        <w:numPr>
          <w:ilvl w:val="0"/>
          <w:numId w:val="9"/>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为无效投标保证金的或者未按照招标文件的规定提交投标保证金的；</w:t>
      </w:r>
    </w:p>
    <w:p w14:paraId="5E4DAB20">
      <w:pPr>
        <w:numPr>
          <w:ilvl w:val="0"/>
          <w:numId w:val="9"/>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投标文件未提供“投标人须知前附表”第13条“商务及技术文件”规定中“必须提供”或者“委托时必须提供”的文件资料的；</w:t>
      </w:r>
    </w:p>
    <w:p w14:paraId="5FC36820">
      <w:pPr>
        <w:numPr>
          <w:ilvl w:val="0"/>
          <w:numId w:val="9"/>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允许负偏离的条款数超过“投标人须知前附表”规定项数的；</w:t>
      </w:r>
    </w:p>
    <w:p w14:paraId="0A417AC0">
      <w:pPr>
        <w:numPr>
          <w:ilvl w:val="0"/>
          <w:numId w:val="9"/>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2E3BE7CC">
      <w:pPr>
        <w:numPr>
          <w:ilvl w:val="0"/>
          <w:numId w:val="9"/>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68222BEA">
      <w:pPr>
        <w:numPr>
          <w:ilvl w:val="0"/>
          <w:numId w:val="9"/>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投标文件含有采购人不能接受的附加条件的；</w:t>
      </w:r>
    </w:p>
    <w:p w14:paraId="2946DC3A">
      <w:pPr>
        <w:numPr>
          <w:ilvl w:val="0"/>
          <w:numId w:val="9"/>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46E3C348">
      <w:pPr>
        <w:numPr>
          <w:ilvl w:val="0"/>
          <w:numId w:val="9"/>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投标文件标注的项目名称或者项目编号与招标文件标注的项目名称或者项目编号不一致的；</w:t>
      </w:r>
    </w:p>
    <w:p w14:paraId="22D671BC">
      <w:pPr>
        <w:numPr>
          <w:ilvl w:val="0"/>
          <w:numId w:val="9"/>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投标文件中承诺的投标有效期低于招标文件要求的期限的；</w:t>
      </w:r>
    </w:p>
    <w:p w14:paraId="18455CFC">
      <w:pPr>
        <w:numPr>
          <w:ilvl w:val="0"/>
          <w:numId w:val="9"/>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招标文件明确不允许分包，投标文件拟分包的；</w:t>
      </w:r>
    </w:p>
    <w:p w14:paraId="181DC506">
      <w:pPr>
        <w:pStyle w:val="18"/>
        <w:numPr>
          <w:ilvl w:val="0"/>
          <w:numId w:val="9"/>
        </w:numPr>
        <w:snapToGrid w:val="0"/>
        <w:spacing w:line="360" w:lineRule="auto"/>
        <w:ind w:firstLine="413" w:firstLineChars="0"/>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虚假投标，或者出现其他情形而导致被评标委员会认定无效的；</w:t>
      </w:r>
    </w:p>
    <w:p w14:paraId="2E498046">
      <w:pPr>
        <w:pStyle w:val="18"/>
        <w:numPr>
          <w:ilvl w:val="0"/>
          <w:numId w:val="9"/>
        </w:numPr>
        <w:snapToGrid w:val="0"/>
        <w:spacing w:line="360" w:lineRule="auto"/>
        <w:ind w:firstLine="413" w:firstLineChars="0"/>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招标文件未载明允许提供备选（替代）投标方案或明确不允许提供备选（替代）投标方案时，投标人提供了备选（替代）投标方案的；</w:t>
      </w:r>
    </w:p>
    <w:p w14:paraId="02BF14C7">
      <w:pPr>
        <w:pStyle w:val="18"/>
        <w:numPr>
          <w:ilvl w:val="0"/>
          <w:numId w:val="9"/>
        </w:numPr>
        <w:snapToGrid w:val="0"/>
        <w:spacing w:line="360" w:lineRule="auto"/>
        <w:ind w:firstLine="413" w:firstLineChars="0"/>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未响应招标文件实质性要求的。</w:t>
      </w:r>
    </w:p>
    <w:p w14:paraId="4C11C2B8">
      <w:pPr>
        <w:numPr>
          <w:ilvl w:val="0"/>
          <w:numId w:val="9"/>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法律、法规和招标文件规定的其他无效情形。</w:t>
      </w:r>
    </w:p>
    <w:p w14:paraId="14900434">
      <w:pPr>
        <w:pStyle w:val="5"/>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3ABDF3CD">
      <w:pPr>
        <w:spacing w:line="360" w:lineRule="auto"/>
        <w:ind w:firstLine="420" w:firstLineChars="200"/>
        <w:rPr>
          <w:rFonts w:ascii="宋体" w:hAnsi="宋体" w:cs="Courier New"/>
          <w:b/>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5E1F51D5">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0CA8AC24">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未按评标委员会的要求作出明确澄清、说明或者更正的投标人的投标文件将按照有利于采购人的原则由评标委员会进行判定。</w:t>
      </w:r>
    </w:p>
    <w:p w14:paraId="2580D4CF">
      <w:pPr>
        <w:pStyle w:val="5"/>
        <w:keepNext w:val="0"/>
        <w:keepLines w:val="0"/>
        <w:spacing w:before="0" w:after="0" w:line="360" w:lineRule="auto"/>
        <w:ind w:left="420" w:leftChars="200"/>
        <w:rPr>
          <w:rFonts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170313DA">
      <w:pPr>
        <w:pStyle w:val="5"/>
        <w:keepNext w:val="0"/>
        <w:keepLines w:val="0"/>
        <w:spacing w:before="0" w:after="0" w:line="360" w:lineRule="auto"/>
        <w:ind w:left="420" w:leftChars="200"/>
        <w:rPr>
          <w:rFonts w:ascii="宋体" w:hAnsi="宋体"/>
          <w:b w:val="0"/>
          <w:color w:val="auto"/>
          <w:sz w:val="21"/>
          <w:szCs w:val="21"/>
          <w:highlight w:val="none"/>
        </w:rPr>
      </w:pPr>
      <w:r>
        <w:rPr>
          <w:rFonts w:ascii="宋体" w:hAnsi="宋体"/>
          <w:b w:val="0"/>
          <w:color w:val="auto"/>
          <w:sz w:val="21"/>
          <w:szCs w:val="21"/>
          <w:highlight w:val="none"/>
        </w:rPr>
        <w:t>4</w:t>
      </w:r>
      <w:r>
        <w:rPr>
          <w:rFonts w:hint="eastAsia" w:ascii="宋体" w:hAnsi="宋体"/>
          <w:b w:val="0"/>
          <w:color w:val="auto"/>
          <w:sz w:val="21"/>
          <w:szCs w:val="21"/>
          <w:highlight w:val="none"/>
        </w:rPr>
        <w:t xml:space="preserve">.1投标文件报价出现前后不一致的，按照下列规定修正： </w:t>
      </w:r>
    </w:p>
    <w:p w14:paraId="1E4DC991">
      <w:pPr>
        <w:pStyle w:val="24"/>
        <w:snapToGrid w:val="0"/>
        <w:spacing w:line="360" w:lineRule="auto"/>
        <w:ind w:firstLine="420" w:firstLineChars="200"/>
        <w:rPr>
          <w:rFonts w:hAnsi="宋体"/>
          <w:color w:val="auto"/>
          <w:sz w:val="21"/>
          <w:highlight w:val="none"/>
        </w:rPr>
      </w:pPr>
      <w:r>
        <w:rPr>
          <w:rFonts w:hint="eastAsia" w:hAnsi="宋体"/>
          <w:color w:val="auto"/>
          <w:sz w:val="21"/>
          <w:highlight w:val="none"/>
        </w:rPr>
        <w:t>（1）投标文件中开标一览表（报价表）内容与投标文件中相应内容不一致的，以开标一览表（报价表）为准；</w:t>
      </w:r>
    </w:p>
    <w:p w14:paraId="5FC4A161">
      <w:pPr>
        <w:pStyle w:val="24"/>
        <w:snapToGrid w:val="0"/>
        <w:spacing w:line="360" w:lineRule="auto"/>
        <w:ind w:firstLine="420" w:firstLineChars="200"/>
        <w:rPr>
          <w:rFonts w:hAnsi="宋体"/>
          <w:color w:val="auto"/>
          <w:sz w:val="21"/>
          <w:highlight w:val="none"/>
        </w:rPr>
      </w:pPr>
      <w:r>
        <w:rPr>
          <w:rFonts w:hint="eastAsia" w:hAnsi="宋体"/>
          <w:color w:val="auto"/>
          <w:sz w:val="21"/>
          <w:highlight w:val="none"/>
        </w:rPr>
        <w:t>（2）大写金额和小写金额不一致的，以大写金额为准；</w:t>
      </w:r>
    </w:p>
    <w:p w14:paraId="1E7DA559">
      <w:pPr>
        <w:pStyle w:val="24"/>
        <w:snapToGrid w:val="0"/>
        <w:spacing w:line="360" w:lineRule="auto"/>
        <w:ind w:firstLine="420" w:firstLineChars="200"/>
        <w:rPr>
          <w:rFonts w:hAnsi="宋体"/>
          <w:color w:val="auto"/>
          <w:sz w:val="21"/>
          <w:highlight w:val="none"/>
        </w:rPr>
      </w:pPr>
      <w:r>
        <w:rPr>
          <w:rFonts w:hint="eastAsia" w:hAnsi="宋体"/>
          <w:color w:val="auto"/>
          <w:sz w:val="21"/>
          <w:highlight w:val="none"/>
        </w:rPr>
        <w:t>（3）单价金额小数点或者百分比有明显错位的，以开标一览表的总价为准，并修改单价；</w:t>
      </w:r>
    </w:p>
    <w:p w14:paraId="1E4D5AE0">
      <w:pPr>
        <w:pStyle w:val="24"/>
        <w:snapToGrid w:val="0"/>
        <w:spacing w:line="360" w:lineRule="auto"/>
        <w:ind w:firstLine="420" w:firstLineChars="200"/>
        <w:rPr>
          <w:rFonts w:hAnsi="宋体"/>
          <w:color w:val="auto"/>
          <w:sz w:val="21"/>
          <w:highlight w:val="none"/>
        </w:rPr>
      </w:pPr>
      <w:r>
        <w:rPr>
          <w:rFonts w:hint="eastAsia" w:hAnsi="宋体"/>
          <w:color w:val="auto"/>
          <w:sz w:val="21"/>
          <w:highlight w:val="none"/>
        </w:rPr>
        <w:t>（4）总价金额与按单价汇总金额不一致的，以单价金额计算结果为准。</w:t>
      </w:r>
    </w:p>
    <w:p w14:paraId="17AE0928">
      <w:pPr>
        <w:pStyle w:val="24"/>
        <w:snapToGrid w:val="0"/>
        <w:spacing w:line="360" w:lineRule="auto"/>
        <w:ind w:firstLine="420" w:firstLineChars="200"/>
        <w:rPr>
          <w:rFonts w:hAnsi="宋体"/>
          <w:color w:val="auto"/>
          <w:sz w:val="21"/>
          <w:highlight w:val="none"/>
        </w:rPr>
      </w:pPr>
      <w:r>
        <w:rPr>
          <w:rFonts w:hint="eastAsia" w:hAnsi="宋体"/>
          <w:color w:val="auto"/>
          <w:sz w:val="21"/>
          <w:highlight w:val="none"/>
        </w:rPr>
        <w:t>同时出现两种以上不一致的，按照以上（1）-（4）规定的顺序修正。修正后的报价经投标人确认后产生约束力，投标人不确认的，</w:t>
      </w:r>
      <w:r>
        <w:rPr>
          <w:rFonts w:hint="eastAsia" w:hAnsi="宋体"/>
          <w:b/>
          <w:color w:val="auto"/>
          <w:kern w:val="2"/>
          <w:sz w:val="21"/>
          <w:highlight w:val="none"/>
        </w:rPr>
        <w:t>其投标无效</w:t>
      </w:r>
      <w:r>
        <w:rPr>
          <w:rFonts w:hint="eastAsia" w:hAnsi="宋体"/>
          <w:color w:val="auto"/>
          <w:sz w:val="21"/>
          <w:highlight w:val="none"/>
        </w:rPr>
        <w:t>。</w:t>
      </w:r>
    </w:p>
    <w:p w14:paraId="0379C2EF">
      <w:pPr>
        <w:pStyle w:val="5"/>
        <w:keepNext w:val="0"/>
        <w:keepLines w:val="0"/>
        <w:spacing w:before="0" w:after="0" w:line="360" w:lineRule="auto"/>
        <w:rPr>
          <w:rFonts w:ascii="宋体" w:hAnsi="宋体"/>
          <w:b w:val="0"/>
          <w:color w:val="auto"/>
          <w:sz w:val="21"/>
          <w:szCs w:val="21"/>
          <w:highlight w:val="none"/>
        </w:rPr>
      </w:pPr>
      <w:r>
        <w:rPr>
          <w:rFonts w:ascii="宋体" w:hAnsi="宋体"/>
          <w:b w:val="0"/>
          <w:color w:val="auto"/>
          <w:sz w:val="21"/>
          <w:szCs w:val="21"/>
          <w:highlight w:val="none"/>
        </w:rPr>
        <w:t xml:space="preserve">    4</w:t>
      </w:r>
      <w:r>
        <w:rPr>
          <w:rFonts w:hint="eastAsia" w:ascii="宋体" w:hAnsi="宋体"/>
          <w:b w:val="0"/>
          <w:color w:val="auto"/>
          <w:sz w:val="21"/>
          <w:szCs w:val="21"/>
          <w:highlight w:val="none"/>
        </w:rPr>
        <w:t>.2经投标人确认修正后的报价若超过采购预算金额或者最高限价，</w:t>
      </w:r>
      <w:r>
        <w:rPr>
          <w:rFonts w:hint="eastAsia" w:ascii="宋体" w:hAnsi="宋体"/>
          <w:color w:val="auto"/>
          <w:sz w:val="21"/>
          <w:szCs w:val="21"/>
          <w:highlight w:val="none"/>
        </w:rPr>
        <w:t>投标人的投标文件作无效投标处理</w:t>
      </w:r>
      <w:r>
        <w:rPr>
          <w:rFonts w:hint="eastAsia" w:ascii="宋体" w:hAnsi="宋体"/>
          <w:b w:val="0"/>
          <w:color w:val="auto"/>
          <w:sz w:val="21"/>
          <w:szCs w:val="21"/>
          <w:highlight w:val="none"/>
        </w:rPr>
        <w:t>。</w:t>
      </w:r>
    </w:p>
    <w:p w14:paraId="754C008A">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5DE67C68">
      <w:pPr>
        <w:pStyle w:val="5"/>
        <w:keepNext w:val="0"/>
        <w:keepLines w:val="0"/>
        <w:spacing w:before="0" w:after="0" w:line="360" w:lineRule="auto"/>
        <w:ind w:left="420" w:leftChars="200"/>
        <w:rPr>
          <w:rFonts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5AC6CCF6">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（1）评标委员会按照招标文件中规定的评标方法及评标标准，对符合性审查合格的投标文件进行商务和技术评估，综合比较与评价。</w:t>
      </w:r>
    </w:p>
    <w:p w14:paraId="429DD8A8">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（2）评标委员会独立对每个投标人的投标文件进行评价，并汇总每个投标人的得分。</w:t>
      </w:r>
    </w:p>
    <w:p w14:paraId="5ABA95F6">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1）评标委员会在评审中发现下列情形之一的，应当启动异常低价投标审查程序：</w:t>
      </w:r>
    </w:p>
    <w:p w14:paraId="6B2C205D">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①投标报价低于全部通过符合性审查供应商投标报价平均值65%的，即投标报价＜全部通过符合性审查供应商投标报价平均值×65%；</w:t>
      </w:r>
    </w:p>
    <w:p w14:paraId="00B76360">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②投标报价低于通过符合性审查的次低报价供应商投标报价65%的，即投标报价＜通过符合性审查的次低报价供应商投标报价×65%；</w:t>
      </w:r>
    </w:p>
    <w:p w14:paraId="24D09505">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③投标报价低于采购项目最高限价</w:t>
      </w:r>
      <w:r>
        <w:rPr>
          <w:rFonts w:hint="eastAsia" w:ascii="宋体" w:hAnsi="宋体"/>
          <w:color w:val="auto"/>
          <w:szCs w:val="21"/>
          <w:highlight w:val="none"/>
          <w:u w:val="single"/>
        </w:rPr>
        <w:t>65%</w:t>
      </w:r>
      <w:r>
        <w:rPr>
          <w:rFonts w:hint="eastAsia" w:ascii="宋体" w:hAnsi="宋体"/>
          <w:color w:val="auto"/>
          <w:szCs w:val="21"/>
          <w:highlight w:val="none"/>
        </w:rPr>
        <w:t>的，即投标报价＜采购项目最高限价×</w:t>
      </w:r>
      <w:r>
        <w:rPr>
          <w:rFonts w:hint="eastAsia" w:ascii="宋体" w:hAnsi="宋体"/>
          <w:color w:val="auto"/>
          <w:szCs w:val="21"/>
          <w:highlight w:val="none"/>
          <w:u w:val="single"/>
        </w:rPr>
        <w:t>65%</w:t>
      </w:r>
      <w:r>
        <w:rPr>
          <w:rFonts w:hint="eastAsia" w:ascii="宋体" w:hAnsi="宋体"/>
          <w:color w:val="auto"/>
          <w:szCs w:val="21"/>
          <w:highlight w:val="none"/>
        </w:rPr>
        <w:t>；</w:t>
      </w:r>
    </w:p>
    <w:p w14:paraId="5C3BE3E0">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④评标委员会基于专业判断，认为供应商报价过低，有可能影响产品质量或者不能诚信履约的其他情形。</w:t>
      </w:r>
    </w:p>
    <w:p w14:paraId="632F5509">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48340325">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highlight w:val="none"/>
        </w:rPr>
        <w:t>投标供应商不能提供书面说明、证明材料，或者提供的书面说明、证明材料不能证明其报价合理性的，评标委员会应当将其作为无效投标处理。</w:t>
      </w:r>
    </w:p>
    <w:p w14:paraId="6E4CACE1">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4C0790B5">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异常低价投标审查的启动原因、审查意见和审查结果应当在评审报告中记录，并随供应商提供的相关书面说明及证明材料，以及评标委员会有关互联网浏览、查询历史一并归档。</w:t>
      </w:r>
    </w:p>
    <w:p w14:paraId="0E2C3218">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（3）评标委员会按照招标文件中规定的评标方法和标准计算各投标人的报价得分。在计算过程中，不得去掉最高报价或者最低报价。</w:t>
      </w:r>
    </w:p>
    <w:p w14:paraId="019DB875">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（4）各投标人的得分为所有评委的有效评分的算术平均数。</w:t>
      </w:r>
    </w:p>
    <w:p w14:paraId="43798F46">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（5）评标委员会按照招标文件中的规定推荐中标候选人。</w:t>
      </w:r>
    </w:p>
    <w:p w14:paraId="79DC7CB4">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4414816C">
      <w:pPr>
        <w:snapToGrid w:val="0"/>
        <w:spacing w:line="360" w:lineRule="auto"/>
        <w:ind w:firstLine="424" w:firstLineChars="202"/>
        <w:jc w:val="center"/>
        <w:rPr>
          <w:color w:val="auto"/>
          <w:highlight w:val="none"/>
        </w:rPr>
      </w:pPr>
      <w:r>
        <w:rPr>
          <w:color w:val="auto"/>
          <w:highlight w:val="none"/>
        </w:rPr>
        <w:br w:type="page"/>
      </w:r>
      <w:r>
        <w:rPr>
          <w:rFonts w:ascii="宋体" w:hAnsi="宋体" w:cs="宋体"/>
          <w:b/>
          <w:bCs/>
          <w:color w:val="auto"/>
          <w:sz w:val="32"/>
          <w:szCs w:val="32"/>
          <w:highlight w:val="none"/>
        </w:rPr>
        <w:t>三</w:t>
      </w:r>
      <w:r>
        <w:rPr>
          <w:rFonts w:hint="eastAsia" w:ascii="宋体" w:hAnsi="宋体" w:cs="宋体"/>
          <w:b/>
          <w:bCs/>
          <w:color w:val="auto"/>
          <w:sz w:val="32"/>
          <w:szCs w:val="32"/>
          <w:highlight w:val="none"/>
        </w:rPr>
        <w:t>、评标标准</w:t>
      </w:r>
    </w:p>
    <w:p w14:paraId="54C1F760">
      <w:pPr>
        <w:pStyle w:val="4"/>
        <w:keepNext w:val="0"/>
        <w:keepLines w:val="0"/>
        <w:jc w:val="center"/>
        <w:rPr>
          <w:color w:val="auto"/>
          <w:highlight w:val="none"/>
        </w:rPr>
      </w:pPr>
      <w:r>
        <w:rPr>
          <w:rFonts w:hint="eastAsia"/>
          <w:color w:val="auto"/>
          <w:highlight w:val="none"/>
        </w:rPr>
        <w:t>综合评分法</w:t>
      </w:r>
    </w:p>
    <w:p w14:paraId="460A10D7">
      <w:pPr>
        <w:jc w:val="center"/>
        <w:rPr>
          <w:b/>
          <w:bCs/>
          <w:color w:val="auto"/>
          <w:kern w:val="0"/>
          <w:sz w:val="32"/>
          <w:szCs w:val="32"/>
          <w:highlight w:val="none"/>
        </w:rPr>
      </w:pPr>
      <w:r>
        <w:rPr>
          <w:rFonts w:hint="eastAsia"/>
          <w:b/>
          <w:bCs/>
          <w:color w:val="auto"/>
          <w:kern w:val="0"/>
          <w:sz w:val="32"/>
          <w:szCs w:val="32"/>
          <w:highlight w:val="none"/>
        </w:rPr>
        <w:t>1、2分标适用</w:t>
      </w:r>
    </w:p>
    <w:p w14:paraId="7B473B63">
      <w:pPr>
        <w:pStyle w:val="17"/>
        <w:rPr>
          <w:color w:val="auto"/>
          <w:highlight w:val="none"/>
        </w:rPr>
      </w:pPr>
    </w:p>
    <w:tbl>
      <w:tblPr>
        <w:tblStyle w:val="49"/>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711"/>
        <w:gridCol w:w="1905"/>
        <w:gridCol w:w="5277"/>
      </w:tblGrid>
      <w:tr w14:paraId="49E40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3" w:type="dxa"/>
            <w:gridSpan w:val="2"/>
            <w:vAlign w:val="center"/>
          </w:tcPr>
          <w:p w14:paraId="221480E4">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序号</w:t>
            </w:r>
          </w:p>
        </w:tc>
        <w:tc>
          <w:tcPr>
            <w:tcW w:w="1905" w:type="dxa"/>
            <w:vAlign w:val="center"/>
          </w:tcPr>
          <w:p w14:paraId="6AA639C1">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评审因素</w:t>
            </w:r>
          </w:p>
        </w:tc>
        <w:tc>
          <w:tcPr>
            <w:tcW w:w="5277" w:type="dxa"/>
            <w:vAlign w:val="center"/>
          </w:tcPr>
          <w:p w14:paraId="58A79F5D">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评标标准</w:t>
            </w:r>
          </w:p>
        </w:tc>
      </w:tr>
      <w:tr w14:paraId="25A8A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773459D4">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1</w:t>
            </w:r>
          </w:p>
        </w:tc>
        <w:tc>
          <w:tcPr>
            <w:tcW w:w="1711" w:type="dxa"/>
            <w:vAlign w:val="center"/>
          </w:tcPr>
          <w:p w14:paraId="7FDE1E06">
            <w:pPr>
              <w:adjustRightInd w:val="0"/>
              <w:spacing w:line="360" w:lineRule="auto"/>
              <w:jc w:val="center"/>
              <w:textAlignment w:val="baseline"/>
              <w:rPr>
                <w:rFonts w:ascii="宋体" w:hAnsi="宋体" w:cs="宋体"/>
                <w:b/>
                <w:bCs/>
                <w:color w:val="auto"/>
                <w:szCs w:val="21"/>
                <w:highlight w:val="none"/>
              </w:rPr>
            </w:pPr>
            <w:r>
              <w:rPr>
                <w:rFonts w:hint="eastAsia" w:ascii="宋体" w:hAnsi="宋体" w:cs="宋体"/>
                <w:b/>
                <w:bCs/>
                <w:color w:val="auto"/>
                <w:szCs w:val="21"/>
                <w:highlight w:val="none"/>
              </w:rPr>
              <w:t>价格分</w:t>
            </w:r>
          </w:p>
          <w:p w14:paraId="6F77C62B">
            <w:pPr>
              <w:adjustRightInd w:val="0"/>
              <w:spacing w:line="360" w:lineRule="auto"/>
              <w:jc w:val="center"/>
              <w:textAlignment w:val="baseline"/>
              <w:rPr>
                <w:rFonts w:ascii="宋体" w:hAnsi="宋体" w:cs="宋体"/>
                <w:b/>
                <w:bCs/>
                <w:color w:val="auto"/>
                <w:szCs w:val="21"/>
                <w:highlight w:val="none"/>
              </w:rPr>
            </w:pPr>
            <w:r>
              <w:rPr>
                <w:rFonts w:hint="eastAsia" w:ascii="宋体" w:hAnsi="宋体" w:cs="宋体"/>
                <w:b/>
                <w:bCs/>
                <w:color w:val="auto"/>
                <w:szCs w:val="21"/>
                <w:highlight w:val="none"/>
              </w:rPr>
              <w:t>（满分</w:t>
            </w:r>
            <w:r>
              <w:rPr>
                <w:rFonts w:hint="eastAsia" w:ascii="宋体" w:hAnsi="宋体" w:cs="宋体"/>
                <w:b/>
                <w:bCs/>
                <w:color w:val="auto"/>
                <w:szCs w:val="21"/>
                <w:highlight w:val="none"/>
                <w:u w:val="single"/>
              </w:rPr>
              <w:t>40</w:t>
            </w:r>
            <w:r>
              <w:rPr>
                <w:rFonts w:hint="eastAsia" w:ascii="宋体" w:hAnsi="宋体" w:cs="宋体"/>
                <w:b/>
                <w:bCs/>
                <w:color w:val="auto"/>
                <w:szCs w:val="21"/>
                <w:highlight w:val="none"/>
              </w:rPr>
              <w:t>分）</w:t>
            </w:r>
          </w:p>
          <w:p w14:paraId="05FD1C25">
            <w:pPr>
              <w:adjustRightInd w:val="0"/>
              <w:spacing w:line="360" w:lineRule="auto"/>
              <w:jc w:val="left"/>
              <w:textAlignment w:val="baseline"/>
              <w:rPr>
                <w:rFonts w:ascii="宋体" w:hAnsi="宋体" w:cs="宋体"/>
                <w:b/>
                <w:bCs/>
                <w:color w:val="auto"/>
                <w:szCs w:val="21"/>
                <w:highlight w:val="none"/>
              </w:rPr>
            </w:pPr>
          </w:p>
        </w:tc>
        <w:tc>
          <w:tcPr>
            <w:tcW w:w="1905" w:type="dxa"/>
            <w:vAlign w:val="center"/>
          </w:tcPr>
          <w:p w14:paraId="2B85931E">
            <w:pPr>
              <w:adjustRightInd w:val="0"/>
              <w:spacing w:line="360" w:lineRule="auto"/>
              <w:jc w:val="center"/>
              <w:textAlignment w:val="baseline"/>
              <w:rPr>
                <w:rFonts w:ascii="宋体" w:hAnsi="宋体" w:cs="宋体"/>
                <w:b/>
                <w:bCs/>
                <w:color w:val="auto"/>
                <w:szCs w:val="21"/>
                <w:highlight w:val="none"/>
              </w:rPr>
            </w:pPr>
            <w:r>
              <w:rPr>
                <w:rFonts w:hint="eastAsia" w:ascii="宋体" w:hAnsi="宋体" w:cs="宋体"/>
                <w:b/>
                <w:bCs/>
                <w:color w:val="auto"/>
                <w:szCs w:val="21"/>
                <w:highlight w:val="none"/>
              </w:rPr>
              <w:t>投标报价</w:t>
            </w:r>
          </w:p>
        </w:tc>
        <w:tc>
          <w:tcPr>
            <w:tcW w:w="5277" w:type="dxa"/>
            <w:vAlign w:val="center"/>
          </w:tcPr>
          <w:p w14:paraId="54FAC5C5">
            <w:pPr>
              <w:snapToGrid w:val="0"/>
              <w:spacing w:line="360" w:lineRule="auto"/>
              <w:rPr>
                <w:rFonts w:ascii="宋体" w:hAnsi="宋体"/>
                <w:bCs/>
                <w:color w:val="auto"/>
                <w:szCs w:val="21"/>
                <w:highlight w:val="none"/>
              </w:rPr>
            </w:pPr>
            <w:r>
              <w:rPr>
                <w:rFonts w:hint="eastAsia" w:ascii="宋体" w:hAnsi="宋体"/>
                <w:bCs/>
                <w:color w:val="auto"/>
                <w:szCs w:val="21"/>
                <w:highlight w:val="none"/>
              </w:rPr>
              <w:t>（1）评标报价为投标人的投标报价进行政策性扣除后的价格，评标报价只是作为评标时使用。最终中标人的中标金额等于投标报价。</w:t>
            </w:r>
          </w:p>
          <w:p w14:paraId="7814260D">
            <w:pPr>
              <w:spacing w:line="360" w:lineRule="auto"/>
              <w:rPr>
                <w:rFonts w:ascii="宋体" w:hAnsi="宋体" w:cs="宋体"/>
                <w:bCs/>
                <w:color w:val="auto"/>
                <w:szCs w:val="21"/>
                <w:highlight w:val="none"/>
              </w:rPr>
            </w:pPr>
            <w:r>
              <w:rPr>
                <w:rFonts w:hint="eastAsia" w:ascii="宋体" w:hAnsi="宋体" w:cs="宋体"/>
                <w:bCs/>
                <w:color w:val="auto"/>
                <w:szCs w:val="21"/>
                <w:highlight w:val="none"/>
              </w:rPr>
              <w:t>（2）本分标专门面向中小企业，不重复享受</w:t>
            </w:r>
            <w:r>
              <w:rPr>
                <w:rFonts w:hint="eastAsia"/>
                <w:color w:val="auto"/>
                <w:highlight w:val="none"/>
              </w:rPr>
              <w:t>中小企业政策性扣除</w:t>
            </w:r>
            <w:r>
              <w:rPr>
                <w:rFonts w:hint="eastAsia" w:ascii="宋体" w:hAnsi="宋体" w:cs="宋体"/>
                <w:bCs/>
                <w:color w:val="auto"/>
                <w:szCs w:val="21"/>
                <w:highlight w:val="none"/>
              </w:rPr>
              <w:t>扶持政策。</w:t>
            </w:r>
          </w:p>
          <w:p w14:paraId="4AA13C1E">
            <w:pPr>
              <w:pStyle w:val="24"/>
              <w:spacing w:line="360" w:lineRule="auto"/>
              <w:rPr>
                <w:rFonts w:hAnsi="宋体"/>
                <w:color w:val="auto"/>
                <w:kern w:val="2"/>
                <w:sz w:val="21"/>
                <w:highlight w:val="none"/>
              </w:rPr>
            </w:pPr>
            <w:r>
              <w:rPr>
                <w:rFonts w:hint="eastAsia" w:hAnsi="宋体"/>
                <w:color w:val="auto"/>
                <w:kern w:val="2"/>
                <w:sz w:val="21"/>
                <w:highlight w:val="none"/>
              </w:rPr>
              <w:t>（3）本国产品政策性扣除计算方法。</w:t>
            </w:r>
          </w:p>
          <w:p w14:paraId="538B68C9">
            <w:pPr>
              <w:pStyle w:val="24"/>
              <w:spacing w:line="360" w:lineRule="auto"/>
              <w:ind w:firstLine="420" w:firstLineChars="200"/>
              <w:rPr>
                <w:rFonts w:hAnsi="宋体"/>
                <w:color w:val="auto"/>
                <w:kern w:val="2"/>
                <w:sz w:val="21"/>
                <w:highlight w:val="none"/>
              </w:rPr>
            </w:pPr>
            <w:r>
              <w:rPr>
                <w:rFonts w:hint="eastAsia" w:hAnsi="宋体"/>
                <w:color w:val="auto"/>
                <w:kern w:val="2"/>
                <w:sz w:val="21"/>
                <w:highlight w:val="none"/>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79C253A5">
            <w:pPr>
              <w:pStyle w:val="24"/>
              <w:spacing w:line="360" w:lineRule="auto"/>
              <w:ind w:firstLine="420" w:firstLineChars="200"/>
              <w:rPr>
                <w:rFonts w:hAnsi="宋体"/>
                <w:color w:val="auto"/>
                <w:kern w:val="2"/>
                <w:sz w:val="21"/>
                <w:highlight w:val="none"/>
              </w:rPr>
            </w:pPr>
            <w:r>
              <w:rPr>
                <w:rFonts w:hint="eastAsia" w:hAnsi="宋体"/>
                <w:color w:val="auto"/>
                <w:kern w:val="2"/>
                <w:sz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1F59E906">
            <w:pPr>
              <w:pStyle w:val="24"/>
              <w:spacing w:line="360" w:lineRule="auto"/>
              <w:ind w:firstLine="420" w:firstLineChars="200"/>
              <w:rPr>
                <w:rFonts w:hAnsi="宋体"/>
                <w:color w:val="auto"/>
                <w:kern w:val="2"/>
                <w:sz w:val="21"/>
                <w:highlight w:val="none"/>
              </w:rPr>
            </w:pPr>
            <w:r>
              <w:rPr>
                <w:rFonts w:hint="eastAsia" w:hAnsi="宋体"/>
                <w:color w:val="auto"/>
                <w:kern w:val="2"/>
                <w:sz w:val="21"/>
                <w:highlight w:val="none"/>
              </w:rPr>
              <w:t>供应商在其投标文件中提供《关于符合本国产品标准的声明函》或财政部会同有关部门规定的有关证明文件，出具符合要求的《声明函》或有关证明文件的，该产品视为本国产品。</w:t>
            </w:r>
          </w:p>
          <w:p w14:paraId="1018E867">
            <w:pPr>
              <w:spacing w:line="360" w:lineRule="auto"/>
              <w:ind w:firstLine="420" w:firstLineChars="200"/>
              <w:rPr>
                <w:rFonts w:hAnsi="宋体"/>
                <w:color w:val="auto"/>
                <w:highlight w:val="none"/>
              </w:rPr>
            </w:pPr>
            <w:r>
              <w:rPr>
                <w:rFonts w:hint="eastAsia" w:hAnsi="宋体"/>
                <w:color w:val="auto"/>
                <w:highlight w:val="none"/>
              </w:rPr>
              <w:t>如果所有参与竞争的供应商均可享受本国产品价格评审优惠，则统一不进行价格扣除。</w:t>
            </w:r>
          </w:p>
          <w:p w14:paraId="2CF6935D">
            <w:pPr>
              <w:pStyle w:val="24"/>
              <w:spacing w:line="360" w:lineRule="auto"/>
              <w:rPr>
                <w:rFonts w:hAnsi="宋体"/>
                <w:color w:val="auto"/>
                <w:kern w:val="2"/>
                <w:sz w:val="21"/>
                <w:highlight w:val="none"/>
              </w:rPr>
            </w:pPr>
            <w:r>
              <w:rPr>
                <w:rFonts w:hint="eastAsia"/>
                <w:color w:val="auto"/>
                <w:highlight w:val="none"/>
              </w:rPr>
              <w:t>（4）</w:t>
            </w:r>
            <w:r>
              <w:rPr>
                <w:rFonts w:hint="eastAsia" w:hAnsi="宋体"/>
                <w:color w:val="auto"/>
                <w:kern w:val="2"/>
                <w:sz w:val="21"/>
                <w:highlight w:val="none"/>
              </w:rPr>
              <w:t>用扣除后的价格参加评审。即</w:t>
            </w:r>
            <w:r>
              <w:rPr>
                <w:rFonts w:hint="eastAsia" w:hAnsi="宋体"/>
                <w:color w:val="auto"/>
                <w:kern w:val="2"/>
                <w:sz w:val="21"/>
                <w:highlight w:val="none"/>
              </w:rPr>
              <w:t>评标报价</w:t>
            </w:r>
            <w:r>
              <w:rPr>
                <w:rFonts w:hint="eastAsia" w:hAnsi="宋体"/>
                <w:color w:val="auto"/>
                <w:kern w:val="2"/>
                <w:sz w:val="21"/>
                <w:highlight w:val="none"/>
              </w:rPr>
              <w:t>=投标报价-本国产品政策性折扣，除上述情况外，</w:t>
            </w:r>
            <w:r>
              <w:rPr>
                <w:rFonts w:hint="eastAsia" w:hAnsi="宋体"/>
                <w:color w:val="auto"/>
                <w:kern w:val="2"/>
                <w:sz w:val="21"/>
                <w:highlight w:val="none"/>
              </w:rPr>
              <w:t>评标报价</w:t>
            </w:r>
            <w:r>
              <w:rPr>
                <w:rFonts w:hint="eastAsia" w:hAnsi="宋体"/>
                <w:color w:val="auto"/>
                <w:kern w:val="2"/>
                <w:sz w:val="21"/>
                <w:highlight w:val="none"/>
              </w:rPr>
              <w:t>=投标报价。</w:t>
            </w:r>
          </w:p>
          <w:p w14:paraId="6A21B2F7">
            <w:pPr>
              <w:spacing w:line="360" w:lineRule="auto"/>
              <w:rPr>
                <w:rFonts w:ascii="宋体" w:hAnsi="宋体" w:cs="宋体"/>
                <w:bCs/>
                <w:color w:val="auto"/>
                <w:szCs w:val="21"/>
                <w:highlight w:val="none"/>
              </w:rPr>
            </w:pPr>
            <w:r>
              <w:rPr>
                <w:rFonts w:hint="eastAsia" w:ascii="宋体" w:hAnsi="宋体" w:cs="宋体"/>
                <w:bCs/>
                <w:color w:val="auto"/>
                <w:szCs w:val="21"/>
                <w:highlight w:val="none"/>
              </w:rPr>
              <w:t>（5）满足招标文件要求且评标报价最低的评标报价为评标基准价，其价格分为满分。</w:t>
            </w:r>
          </w:p>
          <w:p w14:paraId="2C9A4E5A">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（6）价格分计算公式：        </w:t>
            </w:r>
          </w:p>
          <w:p w14:paraId="094EBEC0">
            <w:pPr>
              <w:spacing w:line="360" w:lineRule="auto"/>
              <w:rPr>
                <w:rFonts w:ascii="宋体" w:hAnsi="宋体" w:cs="宋体"/>
                <w:bCs/>
                <w:color w:val="auto"/>
                <w:szCs w:val="21"/>
                <w:highlight w:val="none"/>
              </w:rPr>
            </w:pPr>
            <w:r>
              <w:rPr>
                <w:rFonts w:hint="eastAsia" w:ascii="宋体" w:hAnsi="宋体" w:cs="宋体"/>
                <w:bCs/>
                <w:color w:val="auto"/>
                <w:szCs w:val="21"/>
                <w:highlight w:val="none"/>
              </w:rPr>
              <w:t>价格分=（评标基准价／评标报价）×40分</w:t>
            </w:r>
          </w:p>
        </w:tc>
      </w:tr>
      <w:tr w14:paraId="20873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14:paraId="15174E4A">
            <w:pPr>
              <w:adjustRightInd w:val="0"/>
              <w:snapToGri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2</w:t>
            </w:r>
          </w:p>
        </w:tc>
        <w:tc>
          <w:tcPr>
            <w:tcW w:w="1711" w:type="dxa"/>
            <w:vMerge w:val="restart"/>
            <w:vAlign w:val="center"/>
          </w:tcPr>
          <w:p w14:paraId="433B3522">
            <w:pPr>
              <w:adjustRightInd w:val="0"/>
              <w:spacing w:line="360" w:lineRule="auto"/>
              <w:ind w:left="-105" w:leftChars="-50" w:right="-105" w:rightChars="-50"/>
              <w:jc w:val="center"/>
              <w:textAlignment w:val="baseline"/>
              <w:rPr>
                <w:rFonts w:ascii="宋体" w:hAnsi="宋体" w:cs="宋体"/>
                <w:b/>
                <w:bCs/>
                <w:color w:val="auto"/>
                <w:szCs w:val="21"/>
                <w:highlight w:val="none"/>
              </w:rPr>
            </w:pPr>
            <w:r>
              <w:rPr>
                <w:rFonts w:hint="eastAsia" w:ascii="宋体" w:hAnsi="宋体" w:cs="宋体"/>
                <w:b/>
                <w:bCs/>
                <w:color w:val="auto"/>
                <w:szCs w:val="21"/>
                <w:highlight w:val="none"/>
              </w:rPr>
              <w:t>技术分</w:t>
            </w:r>
          </w:p>
          <w:p w14:paraId="58BEA4C5">
            <w:pPr>
              <w:adjustRightInd w:val="0"/>
              <w:snapToGrid w:val="0"/>
              <w:spacing w:line="360" w:lineRule="auto"/>
              <w:ind w:left="-105" w:leftChars="-50" w:right="-105" w:rightChars="-50"/>
              <w:jc w:val="center"/>
              <w:textAlignment w:val="baseline"/>
              <w:rPr>
                <w:rFonts w:ascii="宋体" w:hAnsi="宋体" w:cs="宋体"/>
                <w:color w:val="auto"/>
                <w:spacing w:val="-18"/>
                <w:szCs w:val="21"/>
                <w:highlight w:val="none"/>
              </w:rPr>
            </w:pPr>
            <w:r>
              <w:rPr>
                <w:rFonts w:hint="eastAsia" w:ascii="宋体" w:hAnsi="宋体" w:cs="宋体"/>
                <w:b/>
                <w:color w:val="auto"/>
                <w:szCs w:val="21"/>
                <w:highlight w:val="none"/>
              </w:rPr>
              <w:t>（满分32分）</w:t>
            </w:r>
          </w:p>
        </w:tc>
        <w:tc>
          <w:tcPr>
            <w:tcW w:w="1905" w:type="dxa"/>
            <w:vAlign w:val="center"/>
          </w:tcPr>
          <w:p w14:paraId="114A32A8">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（1）设备性能分（满分20分）</w:t>
            </w:r>
          </w:p>
        </w:tc>
        <w:tc>
          <w:tcPr>
            <w:tcW w:w="5277" w:type="dxa"/>
            <w:vAlign w:val="center"/>
          </w:tcPr>
          <w:p w14:paraId="2D8C0536">
            <w:pPr>
              <w:adjustRightInd w:val="0"/>
              <w:spacing w:line="360" w:lineRule="auto"/>
              <w:textAlignment w:val="baseline"/>
              <w:rPr>
                <w:rFonts w:ascii="宋体" w:hAnsi="宋体" w:cs="宋体"/>
                <w:color w:val="auto"/>
                <w:szCs w:val="21"/>
                <w:highlight w:val="none"/>
              </w:rPr>
            </w:pPr>
            <w:r>
              <w:rPr>
                <w:rFonts w:hint="eastAsia" w:ascii="宋体" w:hAnsi="宋体" w:cs="宋体"/>
                <w:color w:val="auto"/>
                <w:szCs w:val="21"/>
                <w:highlight w:val="none"/>
              </w:rPr>
              <w:t>通过资格审查与符合性审查的投标人得基本分20分，无标记的一般技术参数，负偏离或漏项的每一项扣2分，最多扣完20分。</w:t>
            </w:r>
            <w:r>
              <w:rPr>
                <w:rFonts w:hint="eastAsia" w:ascii="宋体" w:hAnsi="宋体" w:cs="宋体"/>
                <w:bCs/>
                <w:color w:val="auto"/>
                <w:szCs w:val="21"/>
                <w:highlight w:val="none"/>
              </w:rPr>
              <w:t>技术参数</w:t>
            </w:r>
            <w:r>
              <w:rPr>
                <w:rFonts w:hint="eastAsia" w:ascii="宋体" w:hAnsi="宋体" w:cs="宋体"/>
                <w:color w:val="auto"/>
                <w:szCs w:val="21"/>
                <w:highlight w:val="none"/>
              </w:rPr>
              <w:t>负偏离的项数总和不能超过10项。</w:t>
            </w:r>
          </w:p>
        </w:tc>
      </w:tr>
      <w:tr w14:paraId="0826E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0062C3ED">
            <w:pPr>
              <w:adjustRightInd w:val="0"/>
              <w:snapToGrid w:val="0"/>
              <w:spacing w:line="360" w:lineRule="auto"/>
              <w:jc w:val="center"/>
              <w:textAlignment w:val="baseline"/>
              <w:rPr>
                <w:rFonts w:ascii="宋体" w:hAnsi="宋体" w:cs="宋体"/>
                <w:color w:val="auto"/>
                <w:szCs w:val="21"/>
                <w:highlight w:val="none"/>
              </w:rPr>
            </w:pPr>
          </w:p>
        </w:tc>
        <w:tc>
          <w:tcPr>
            <w:tcW w:w="1711" w:type="dxa"/>
            <w:vMerge w:val="continue"/>
            <w:vAlign w:val="center"/>
          </w:tcPr>
          <w:p w14:paraId="12043281">
            <w:pPr>
              <w:adjustRightInd w:val="0"/>
              <w:snapToGrid w:val="0"/>
              <w:spacing w:line="360" w:lineRule="auto"/>
              <w:ind w:left="-105" w:leftChars="-50" w:right="-105" w:rightChars="-50"/>
              <w:jc w:val="center"/>
              <w:textAlignment w:val="baseline"/>
              <w:rPr>
                <w:rFonts w:ascii="宋体" w:hAnsi="宋体" w:cs="宋体"/>
                <w:b/>
                <w:color w:val="auto"/>
                <w:szCs w:val="21"/>
                <w:highlight w:val="none"/>
              </w:rPr>
            </w:pPr>
          </w:p>
        </w:tc>
        <w:tc>
          <w:tcPr>
            <w:tcW w:w="1905" w:type="dxa"/>
            <w:vAlign w:val="center"/>
          </w:tcPr>
          <w:p w14:paraId="550EB1E2">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（2）项目实施方案</w:t>
            </w:r>
          </w:p>
          <w:p w14:paraId="79D4A598">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（满分12分）</w:t>
            </w:r>
          </w:p>
        </w:tc>
        <w:tc>
          <w:tcPr>
            <w:tcW w:w="5277" w:type="dxa"/>
            <w:vAlign w:val="center"/>
          </w:tcPr>
          <w:p w14:paraId="7F1F14E6">
            <w:pPr>
              <w:adjustRightInd w:val="0"/>
              <w:spacing w:line="360" w:lineRule="auto"/>
              <w:rPr>
                <w:rFonts w:ascii="宋体" w:hAnsi="宋体" w:cs="宋体"/>
                <w:color w:val="auto"/>
                <w:szCs w:val="21"/>
                <w:highlight w:val="none"/>
              </w:rPr>
            </w:pPr>
            <w:r>
              <w:rPr>
                <w:rFonts w:hint="eastAsia" w:ascii="宋体" w:hAnsi="宋体" w:cs="宋体"/>
                <w:color w:val="auto"/>
                <w:szCs w:val="21"/>
                <w:highlight w:val="none"/>
              </w:rPr>
              <w:t>评标委员会根据投标人制定的项目实施方案进行独立评审，包括:</w:t>
            </w:r>
          </w:p>
          <w:p w14:paraId="5E0B6868">
            <w:pPr>
              <w:adjustRightInd w:val="0"/>
              <w:spacing w:line="360" w:lineRule="auto"/>
              <w:rPr>
                <w:rFonts w:ascii="宋体" w:hAnsi="宋体" w:cs="宋体"/>
                <w:color w:val="auto"/>
                <w:szCs w:val="21"/>
                <w:highlight w:val="none"/>
              </w:rPr>
            </w:pPr>
            <w:r>
              <w:rPr>
                <w:rFonts w:hint="eastAsia" w:ascii="宋体" w:hAnsi="宋体" w:cs="宋体"/>
                <w:color w:val="auto"/>
                <w:szCs w:val="21"/>
                <w:highlight w:val="none"/>
              </w:rPr>
              <w:t>①项目实施方案包括管理措施、质量保证措施、风险防范等措施；</w:t>
            </w:r>
          </w:p>
          <w:p w14:paraId="7F64A1BF">
            <w:pPr>
              <w:adjustRightInd w:val="0"/>
              <w:spacing w:line="360" w:lineRule="auto"/>
              <w:rPr>
                <w:rFonts w:ascii="宋体" w:hAnsi="宋体" w:cs="宋体"/>
                <w:color w:val="auto"/>
                <w:szCs w:val="21"/>
                <w:highlight w:val="none"/>
              </w:rPr>
            </w:pPr>
            <w:r>
              <w:rPr>
                <w:rFonts w:hint="eastAsia" w:ascii="宋体" w:hAnsi="宋体" w:cs="宋体"/>
                <w:color w:val="auto"/>
                <w:szCs w:val="21"/>
                <w:highlight w:val="none"/>
              </w:rPr>
              <w:t>②实施流程、实施内容和项目进度表；</w:t>
            </w:r>
          </w:p>
          <w:p w14:paraId="0DC0E7FA">
            <w:pPr>
              <w:adjustRightInd w:val="0"/>
              <w:spacing w:line="360" w:lineRule="auto"/>
              <w:rPr>
                <w:rFonts w:ascii="宋体" w:hAnsi="宋体" w:cs="宋体"/>
                <w:color w:val="auto"/>
                <w:szCs w:val="21"/>
                <w:highlight w:val="none"/>
              </w:rPr>
            </w:pPr>
            <w:r>
              <w:rPr>
                <w:rFonts w:hint="eastAsia" w:ascii="宋体" w:hAnsi="宋体" w:cs="宋体"/>
                <w:color w:val="auto"/>
                <w:szCs w:val="21"/>
                <w:highlight w:val="none"/>
              </w:rPr>
              <w:t>③安装调试方案，分析安装调试环节重、难点和相应的应对策略。</w:t>
            </w:r>
          </w:p>
          <w:p w14:paraId="4560AE31">
            <w:pPr>
              <w:adjustRightInd w:val="0"/>
              <w:spacing w:line="360" w:lineRule="auto"/>
              <w:rPr>
                <w:rFonts w:ascii="宋体" w:hAnsi="宋体" w:cs="宋体"/>
                <w:color w:val="auto"/>
                <w:szCs w:val="21"/>
                <w:highlight w:val="none"/>
              </w:rPr>
            </w:pPr>
            <w:r>
              <w:rPr>
                <w:rFonts w:hint="eastAsia" w:ascii="宋体" w:hAnsi="宋体" w:cs="宋体"/>
                <w:color w:val="auto"/>
                <w:szCs w:val="21"/>
                <w:highlight w:val="none"/>
              </w:rPr>
              <w:t>注：①-③项，每项得4分(每项基础分为4分，其中，内容合理完整(1.5分)、对应本项目要求(1.5分)、有利于项目顺利实施（1分）、内容缺项或不对应(0分)，满分12分。</w:t>
            </w:r>
          </w:p>
        </w:tc>
      </w:tr>
      <w:tr w14:paraId="34190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14:paraId="36ADD50A">
            <w:pPr>
              <w:adjustRightInd w:val="0"/>
              <w:snapToGri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3</w:t>
            </w:r>
          </w:p>
        </w:tc>
        <w:tc>
          <w:tcPr>
            <w:tcW w:w="1711" w:type="dxa"/>
            <w:vMerge w:val="restart"/>
            <w:vAlign w:val="center"/>
          </w:tcPr>
          <w:p w14:paraId="792B7D68">
            <w:pPr>
              <w:adjustRightInd w:val="0"/>
              <w:spacing w:line="360" w:lineRule="auto"/>
              <w:ind w:left="-105" w:leftChars="-50" w:right="-105" w:rightChars="-50"/>
              <w:jc w:val="center"/>
              <w:textAlignment w:val="baseline"/>
              <w:rPr>
                <w:rFonts w:ascii="宋体" w:hAnsi="宋体" w:cs="宋体"/>
                <w:b/>
                <w:bCs/>
                <w:color w:val="auto"/>
                <w:szCs w:val="21"/>
                <w:highlight w:val="none"/>
              </w:rPr>
            </w:pPr>
            <w:r>
              <w:rPr>
                <w:rFonts w:hint="eastAsia" w:ascii="宋体" w:hAnsi="宋体" w:cs="宋体"/>
                <w:b/>
                <w:bCs/>
                <w:color w:val="auto"/>
                <w:szCs w:val="21"/>
                <w:highlight w:val="none"/>
              </w:rPr>
              <w:t>商务分</w:t>
            </w:r>
          </w:p>
          <w:p w14:paraId="7E3E88EA">
            <w:pPr>
              <w:adjustRightInd w:val="0"/>
              <w:snapToGrid w:val="0"/>
              <w:spacing w:line="360" w:lineRule="auto"/>
              <w:jc w:val="center"/>
              <w:textAlignment w:val="baseline"/>
              <w:rPr>
                <w:rFonts w:ascii="宋体" w:hAnsi="宋体" w:cs="宋体"/>
                <w:color w:val="auto"/>
                <w:szCs w:val="21"/>
                <w:highlight w:val="none"/>
              </w:rPr>
            </w:pPr>
            <w:r>
              <w:rPr>
                <w:rFonts w:hint="eastAsia" w:ascii="宋体" w:hAnsi="宋体" w:cs="宋体"/>
                <w:b/>
                <w:color w:val="auto"/>
                <w:szCs w:val="21"/>
                <w:highlight w:val="none"/>
              </w:rPr>
              <w:t>（满分28分）</w:t>
            </w:r>
          </w:p>
        </w:tc>
        <w:tc>
          <w:tcPr>
            <w:tcW w:w="1905" w:type="dxa"/>
            <w:vAlign w:val="center"/>
          </w:tcPr>
          <w:p w14:paraId="4431FF23">
            <w:pPr>
              <w:widowControl/>
              <w:snapToGrid w:val="0"/>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（1）售后服务方案（满分12分）</w:t>
            </w:r>
          </w:p>
        </w:tc>
        <w:tc>
          <w:tcPr>
            <w:tcW w:w="5277" w:type="dxa"/>
            <w:vAlign w:val="center"/>
          </w:tcPr>
          <w:p w14:paraId="293F087F">
            <w:pPr>
              <w:adjustRightInd w:val="0"/>
              <w:spacing w:line="360" w:lineRule="auto"/>
              <w:rPr>
                <w:rFonts w:ascii="宋体" w:hAnsi="宋体" w:cs="宋体"/>
                <w:color w:val="auto"/>
                <w:szCs w:val="21"/>
                <w:highlight w:val="none"/>
              </w:rPr>
            </w:pPr>
            <w:r>
              <w:rPr>
                <w:rFonts w:hint="eastAsia" w:ascii="宋体" w:hAnsi="宋体" w:cs="宋体"/>
                <w:color w:val="auto"/>
                <w:szCs w:val="21"/>
                <w:highlight w:val="none"/>
              </w:rPr>
              <w:t>评标委员会根据投标人制定售后服务方案(包括质量全面保证、应急响应方案、排除故障响应时间、运维期内的保养方案)进行独立评审，包括：</w:t>
            </w:r>
          </w:p>
          <w:p w14:paraId="19E8A941">
            <w:pPr>
              <w:adjustRightInd w:val="0"/>
              <w:spacing w:line="360" w:lineRule="auto"/>
              <w:rPr>
                <w:rFonts w:ascii="宋体" w:hAnsi="宋体" w:cs="宋体"/>
                <w:color w:val="auto"/>
                <w:szCs w:val="21"/>
                <w:highlight w:val="none"/>
              </w:rPr>
            </w:pPr>
            <w:r>
              <w:rPr>
                <w:rFonts w:hint="eastAsia" w:ascii="宋体" w:hAnsi="宋体" w:cs="宋体"/>
                <w:color w:val="auto"/>
                <w:szCs w:val="21"/>
                <w:highlight w:val="none"/>
              </w:rPr>
              <w:t>①设备的维护保养方案及质保期外的含零配件的优惠供应等内容；</w:t>
            </w:r>
          </w:p>
          <w:p w14:paraId="401EB212">
            <w:pPr>
              <w:adjustRightInd w:val="0"/>
              <w:spacing w:line="360" w:lineRule="auto"/>
              <w:rPr>
                <w:rFonts w:ascii="宋体" w:hAnsi="宋体" w:cs="宋体"/>
                <w:color w:val="auto"/>
                <w:szCs w:val="21"/>
                <w:highlight w:val="none"/>
              </w:rPr>
            </w:pPr>
            <w:r>
              <w:rPr>
                <w:rFonts w:hint="eastAsia" w:ascii="宋体" w:hAnsi="宋体" w:cs="宋体"/>
                <w:color w:val="auto"/>
                <w:szCs w:val="21"/>
                <w:highlight w:val="none"/>
              </w:rPr>
              <w:t>②应急响应方案（包括设备使用过程中的质量控制、操作规程、保养与管理，常见故障的排除、紧急情况的处理等）</w:t>
            </w:r>
          </w:p>
          <w:p w14:paraId="6D9B3A69">
            <w:pPr>
              <w:adjustRightInd w:val="0"/>
              <w:spacing w:line="360" w:lineRule="auto"/>
              <w:rPr>
                <w:rFonts w:ascii="宋体" w:hAnsi="宋体" w:cs="宋体"/>
                <w:color w:val="auto"/>
                <w:szCs w:val="21"/>
                <w:highlight w:val="none"/>
              </w:rPr>
            </w:pPr>
            <w:r>
              <w:rPr>
                <w:rFonts w:hint="eastAsia" w:ascii="宋体" w:hAnsi="宋体" w:cs="宋体"/>
                <w:color w:val="auto"/>
                <w:szCs w:val="21"/>
                <w:highlight w:val="none"/>
              </w:rPr>
              <w:t>③后期服务运行机制。</w:t>
            </w:r>
          </w:p>
          <w:p w14:paraId="3A1ED4AE">
            <w:pPr>
              <w:adjustRightInd w:val="0"/>
              <w:spacing w:line="360" w:lineRule="auto"/>
              <w:rPr>
                <w:rFonts w:ascii="宋体" w:hAnsi="宋体" w:cs="宋体"/>
                <w:color w:val="auto"/>
                <w:szCs w:val="21"/>
                <w:highlight w:val="none"/>
              </w:rPr>
            </w:pPr>
            <w:r>
              <w:rPr>
                <w:rFonts w:hint="eastAsia" w:ascii="宋体" w:hAnsi="宋体" w:cs="宋体"/>
                <w:color w:val="auto"/>
                <w:szCs w:val="21"/>
                <w:highlight w:val="none"/>
              </w:rPr>
              <w:t>注：①-③项，每项得4分(每项基础分为4分，其中，内容合理完整(1.5分)、对应本项目要求(1.5分)、有利于项目顺利实施（1分）、内容缺项或不对应(0分)，满分12分。</w:t>
            </w:r>
          </w:p>
        </w:tc>
      </w:tr>
      <w:tr w14:paraId="3B08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33537537">
            <w:pPr>
              <w:adjustRightInd w:val="0"/>
              <w:snapToGrid w:val="0"/>
              <w:spacing w:line="360" w:lineRule="auto"/>
              <w:jc w:val="center"/>
              <w:textAlignment w:val="baseline"/>
              <w:rPr>
                <w:rFonts w:ascii="宋体" w:hAnsi="宋体" w:cs="宋体"/>
                <w:color w:val="auto"/>
                <w:szCs w:val="21"/>
                <w:highlight w:val="none"/>
              </w:rPr>
            </w:pPr>
          </w:p>
        </w:tc>
        <w:tc>
          <w:tcPr>
            <w:tcW w:w="1711" w:type="dxa"/>
            <w:vMerge w:val="continue"/>
            <w:vAlign w:val="center"/>
          </w:tcPr>
          <w:p w14:paraId="7F4DA9EB">
            <w:pPr>
              <w:adjustRightInd w:val="0"/>
              <w:snapToGrid w:val="0"/>
              <w:spacing w:line="360" w:lineRule="auto"/>
              <w:jc w:val="center"/>
              <w:textAlignment w:val="baseline"/>
              <w:rPr>
                <w:rFonts w:ascii="宋体" w:hAnsi="宋体" w:cs="宋体"/>
                <w:b/>
                <w:color w:val="auto"/>
                <w:szCs w:val="21"/>
                <w:highlight w:val="none"/>
              </w:rPr>
            </w:pPr>
          </w:p>
        </w:tc>
        <w:tc>
          <w:tcPr>
            <w:tcW w:w="1905" w:type="dxa"/>
            <w:vAlign w:val="center"/>
          </w:tcPr>
          <w:p w14:paraId="28403386">
            <w:pPr>
              <w:adjustRightInd w:val="0"/>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（2）技术培训方案（满分12分）</w:t>
            </w:r>
          </w:p>
        </w:tc>
        <w:tc>
          <w:tcPr>
            <w:tcW w:w="5277" w:type="dxa"/>
            <w:vAlign w:val="center"/>
          </w:tcPr>
          <w:p w14:paraId="762E53CD">
            <w:pPr>
              <w:adjustRightInd w:val="0"/>
              <w:spacing w:line="360" w:lineRule="auto"/>
              <w:rPr>
                <w:rFonts w:ascii="宋体" w:hAnsi="宋体" w:cs="宋体"/>
                <w:color w:val="auto"/>
                <w:szCs w:val="21"/>
                <w:highlight w:val="none"/>
              </w:rPr>
            </w:pPr>
            <w:r>
              <w:rPr>
                <w:rFonts w:hint="eastAsia" w:ascii="宋体" w:hAnsi="宋体" w:cs="宋体"/>
                <w:color w:val="auto"/>
                <w:szCs w:val="21"/>
                <w:highlight w:val="none"/>
              </w:rPr>
              <w:t>评标委员会根据投标人制定的技术培训方案进行独立评审，包括:</w:t>
            </w:r>
          </w:p>
          <w:p w14:paraId="4FD457FA">
            <w:pPr>
              <w:adjustRightInd w:val="0"/>
              <w:spacing w:line="360" w:lineRule="auto"/>
              <w:rPr>
                <w:rFonts w:ascii="宋体" w:hAnsi="宋体" w:cs="宋体"/>
                <w:color w:val="auto"/>
                <w:szCs w:val="21"/>
                <w:highlight w:val="none"/>
              </w:rPr>
            </w:pPr>
            <w:r>
              <w:rPr>
                <w:rFonts w:hint="eastAsia" w:ascii="宋体" w:hAnsi="宋体" w:cs="宋体"/>
                <w:color w:val="auto"/>
                <w:szCs w:val="21"/>
                <w:highlight w:val="none"/>
              </w:rPr>
              <w:t>①培训计划及流程安排，其中培训对象包含设备管理员、系统管理人员、操作员(医生、护士、技术员)、采购人维修技术员等；</w:t>
            </w:r>
          </w:p>
          <w:p w14:paraId="7FF3D3CE">
            <w:pPr>
              <w:adjustRightInd w:val="0"/>
              <w:spacing w:line="360" w:lineRule="auto"/>
              <w:rPr>
                <w:rFonts w:ascii="宋体" w:hAnsi="宋体" w:cs="宋体"/>
                <w:color w:val="auto"/>
                <w:szCs w:val="21"/>
                <w:highlight w:val="none"/>
              </w:rPr>
            </w:pPr>
            <w:r>
              <w:rPr>
                <w:rFonts w:hint="eastAsia" w:ascii="宋体" w:hAnsi="宋体" w:cs="宋体"/>
                <w:color w:val="auto"/>
                <w:szCs w:val="21"/>
                <w:highlight w:val="none"/>
              </w:rPr>
              <w:t>②培训课程及内容，包括但不限于培训内容、培训方式、培训教材、培训时间等；</w:t>
            </w:r>
          </w:p>
          <w:p w14:paraId="25114707">
            <w:pPr>
              <w:adjustRightInd w:val="0"/>
              <w:spacing w:line="360" w:lineRule="auto"/>
              <w:rPr>
                <w:rFonts w:ascii="宋体" w:hAnsi="宋体" w:cs="宋体"/>
                <w:color w:val="auto"/>
                <w:szCs w:val="21"/>
                <w:highlight w:val="none"/>
              </w:rPr>
            </w:pPr>
            <w:r>
              <w:rPr>
                <w:rFonts w:hint="eastAsia" w:ascii="宋体" w:hAnsi="宋体" w:cs="宋体"/>
                <w:color w:val="auto"/>
                <w:szCs w:val="21"/>
                <w:highlight w:val="none"/>
              </w:rPr>
              <w:t>③培训评估与改进，包括但不限于培训效果跟踪、反馈机制等。</w:t>
            </w:r>
          </w:p>
          <w:p w14:paraId="4E8F4ED4">
            <w:pPr>
              <w:adjustRightInd w:val="0"/>
              <w:spacing w:line="360" w:lineRule="auto"/>
              <w:rPr>
                <w:rFonts w:ascii="宋体" w:hAnsi="宋体" w:cs="宋体"/>
                <w:color w:val="auto"/>
                <w:szCs w:val="21"/>
                <w:highlight w:val="none"/>
              </w:rPr>
            </w:pPr>
            <w:r>
              <w:rPr>
                <w:rFonts w:hint="eastAsia" w:ascii="宋体" w:hAnsi="宋体" w:cs="宋体"/>
                <w:color w:val="auto"/>
                <w:szCs w:val="21"/>
                <w:highlight w:val="none"/>
              </w:rPr>
              <w:t>注：①-③项，每项得4分(每项基础分为4分，其中，内容合理完整(1.5分)、对应本项目要求(1.5分)、有利于项目顺利实施（1分）、内容缺项或不对应(0分)，满分12分。</w:t>
            </w:r>
          </w:p>
        </w:tc>
      </w:tr>
      <w:tr w14:paraId="38D17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539E5FE6">
            <w:pPr>
              <w:adjustRightInd w:val="0"/>
              <w:snapToGrid w:val="0"/>
              <w:spacing w:line="360" w:lineRule="auto"/>
              <w:jc w:val="center"/>
              <w:textAlignment w:val="baseline"/>
              <w:rPr>
                <w:rFonts w:ascii="宋体" w:hAnsi="宋体" w:cs="宋体"/>
                <w:color w:val="auto"/>
                <w:szCs w:val="21"/>
                <w:highlight w:val="none"/>
              </w:rPr>
            </w:pPr>
          </w:p>
        </w:tc>
        <w:tc>
          <w:tcPr>
            <w:tcW w:w="1711" w:type="dxa"/>
            <w:vMerge w:val="continue"/>
            <w:vAlign w:val="center"/>
          </w:tcPr>
          <w:p w14:paraId="3130FD39">
            <w:pPr>
              <w:adjustRightInd w:val="0"/>
              <w:snapToGrid w:val="0"/>
              <w:spacing w:line="360" w:lineRule="auto"/>
              <w:jc w:val="center"/>
              <w:textAlignment w:val="baseline"/>
              <w:rPr>
                <w:rFonts w:ascii="宋体" w:hAnsi="宋体" w:cs="宋体"/>
                <w:b/>
                <w:color w:val="auto"/>
                <w:szCs w:val="21"/>
                <w:highlight w:val="none"/>
              </w:rPr>
            </w:pPr>
          </w:p>
        </w:tc>
        <w:tc>
          <w:tcPr>
            <w:tcW w:w="1905" w:type="dxa"/>
            <w:vAlign w:val="center"/>
          </w:tcPr>
          <w:p w14:paraId="1FAA9656">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（3）质保期承诺</w:t>
            </w:r>
          </w:p>
          <w:p w14:paraId="37852059">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（满分</w:t>
            </w:r>
            <w:r>
              <w:rPr>
                <w:rFonts w:hint="eastAsia" w:ascii="宋体" w:hAnsi="宋体" w:cs="宋体"/>
                <w:b/>
                <w:bCs/>
                <w:color w:val="auto"/>
                <w:szCs w:val="21"/>
                <w:highlight w:val="none"/>
                <w:u w:val="single"/>
              </w:rPr>
              <w:t>3</w:t>
            </w:r>
            <w:r>
              <w:rPr>
                <w:rFonts w:hint="eastAsia" w:ascii="宋体" w:hAnsi="宋体" w:cs="宋体"/>
                <w:b/>
                <w:bCs/>
                <w:color w:val="auto"/>
                <w:szCs w:val="21"/>
                <w:highlight w:val="none"/>
              </w:rPr>
              <w:t>分）</w:t>
            </w:r>
          </w:p>
          <w:p w14:paraId="477DA07B">
            <w:pPr>
              <w:spacing w:line="360" w:lineRule="auto"/>
              <w:jc w:val="center"/>
              <w:rPr>
                <w:rFonts w:ascii="宋体" w:hAnsi="宋体" w:cs="宋体"/>
                <w:b/>
                <w:bCs/>
                <w:color w:val="auto"/>
                <w:szCs w:val="21"/>
                <w:highlight w:val="none"/>
              </w:rPr>
            </w:pPr>
          </w:p>
        </w:tc>
        <w:tc>
          <w:tcPr>
            <w:tcW w:w="5277" w:type="dxa"/>
            <w:vAlign w:val="center"/>
          </w:tcPr>
          <w:p w14:paraId="3B59E572">
            <w:pPr>
              <w:pStyle w:val="24"/>
              <w:spacing w:line="360" w:lineRule="auto"/>
              <w:ind w:firstLine="420" w:firstLineChars="200"/>
              <w:rPr>
                <w:rFonts w:hAnsi="宋体" w:cs="宋体"/>
                <w:bCs/>
                <w:color w:val="auto"/>
                <w:kern w:val="2"/>
                <w:sz w:val="21"/>
                <w:highlight w:val="none"/>
              </w:rPr>
            </w:pPr>
            <w:r>
              <w:rPr>
                <w:rFonts w:hint="eastAsia" w:hAnsi="宋体" w:cs="宋体"/>
                <w:bCs/>
                <w:color w:val="auto"/>
                <w:kern w:val="2"/>
                <w:sz w:val="21"/>
                <w:highlight w:val="none"/>
              </w:rPr>
              <w:t>在满足商务要求的质保期要求基础上，投标人承诺所有标的每增加一年质保期得1.5分，满分3分。</w:t>
            </w:r>
          </w:p>
          <w:p w14:paraId="76EFA781">
            <w:pPr>
              <w:pStyle w:val="24"/>
              <w:spacing w:line="360" w:lineRule="auto"/>
              <w:rPr>
                <w:rFonts w:hAnsi="宋体" w:cs="宋体"/>
                <w:color w:val="auto"/>
                <w:sz w:val="21"/>
                <w:highlight w:val="none"/>
              </w:rPr>
            </w:pPr>
            <w:r>
              <w:rPr>
                <w:rFonts w:hint="eastAsia" w:hAnsi="宋体" w:cs="宋体"/>
                <w:b/>
                <w:bCs/>
                <w:color w:val="auto"/>
                <w:sz w:val="21"/>
                <w:highlight w:val="none"/>
              </w:rPr>
              <w:t>注：须在投标文件中提供承诺书并加盖投标人公章，不提供不得分。</w:t>
            </w:r>
          </w:p>
        </w:tc>
      </w:tr>
      <w:tr w14:paraId="492C1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6B25070A">
            <w:pPr>
              <w:adjustRightInd w:val="0"/>
              <w:snapToGrid w:val="0"/>
              <w:spacing w:line="360" w:lineRule="auto"/>
              <w:jc w:val="center"/>
              <w:textAlignment w:val="baseline"/>
              <w:rPr>
                <w:rFonts w:ascii="宋体" w:hAnsi="宋体" w:cs="宋体"/>
                <w:color w:val="auto"/>
                <w:szCs w:val="21"/>
                <w:highlight w:val="none"/>
              </w:rPr>
            </w:pPr>
          </w:p>
        </w:tc>
        <w:tc>
          <w:tcPr>
            <w:tcW w:w="1711" w:type="dxa"/>
            <w:vMerge w:val="continue"/>
            <w:vAlign w:val="center"/>
          </w:tcPr>
          <w:p w14:paraId="39A7071C">
            <w:pPr>
              <w:adjustRightInd w:val="0"/>
              <w:snapToGrid w:val="0"/>
              <w:spacing w:line="360" w:lineRule="auto"/>
              <w:jc w:val="center"/>
              <w:textAlignment w:val="baseline"/>
              <w:rPr>
                <w:rFonts w:ascii="宋体" w:hAnsi="宋体" w:cs="宋体"/>
                <w:color w:val="auto"/>
                <w:szCs w:val="21"/>
                <w:highlight w:val="none"/>
              </w:rPr>
            </w:pPr>
          </w:p>
        </w:tc>
        <w:tc>
          <w:tcPr>
            <w:tcW w:w="1905" w:type="dxa"/>
            <w:vAlign w:val="center"/>
          </w:tcPr>
          <w:p w14:paraId="2114EE32">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（4）政策分</w:t>
            </w:r>
          </w:p>
          <w:p w14:paraId="1394BB07">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（满分</w:t>
            </w:r>
            <w:r>
              <w:rPr>
                <w:rFonts w:hint="eastAsia" w:ascii="宋体" w:hAnsi="宋体" w:cs="宋体"/>
                <w:b/>
                <w:bCs/>
                <w:color w:val="auto"/>
                <w:szCs w:val="21"/>
                <w:highlight w:val="none"/>
                <w:u w:val="single"/>
              </w:rPr>
              <w:t>1</w:t>
            </w:r>
            <w:r>
              <w:rPr>
                <w:rFonts w:hint="eastAsia" w:ascii="宋体" w:hAnsi="宋体" w:cs="宋体"/>
                <w:b/>
                <w:bCs/>
                <w:color w:val="auto"/>
                <w:szCs w:val="21"/>
                <w:highlight w:val="none"/>
              </w:rPr>
              <w:t>分）</w:t>
            </w:r>
          </w:p>
          <w:p w14:paraId="7D01A026">
            <w:pPr>
              <w:spacing w:line="360" w:lineRule="auto"/>
              <w:jc w:val="center"/>
              <w:rPr>
                <w:rFonts w:ascii="宋体" w:hAnsi="宋体" w:cs="宋体"/>
                <w:b/>
                <w:bCs/>
                <w:color w:val="auto"/>
                <w:szCs w:val="21"/>
                <w:highlight w:val="none"/>
              </w:rPr>
            </w:pPr>
          </w:p>
        </w:tc>
        <w:tc>
          <w:tcPr>
            <w:tcW w:w="5277" w:type="dxa"/>
            <w:vAlign w:val="center"/>
          </w:tcPr>
          <w:p w14:paraId="57C60CD3">
            <w:pPr>
              <w:pStyle w:val="24"/>
              <w:spacing w:line="360" w:lineRule="auto"/>
              <w:rPr>
                <w:rFonts w:hAnsi="宋体" w:cs="宋体"/>
                <w:bCs/>
                <w:color w:val="auto"/>
                <w:kern w:val="2"/>
                <w:sz w:val="21"/>
                <w:highlight w:val="none"/>
              </w:rPr>
            </w:pPr>
            <w:r>
              <w:rPr>
                <w:rFonts w:hint="eastAsia" w:hAnsi="宋体" w:cs="宋体"/>
                <w:bCs/>
                <w:color w:val="auto"/>
                <w:kern w:val="2"/>
                <w:sz w:val="21"/>
                <w:highlight w:val="none"/>
              </w:rPr>
              <w:t>（1）属于财政部《节能产品政府采购品目清单》内优先采购（清单内未标注“★”的品目）的产品[投标文件中提供有效的认证证书复印件及品目清单（标注出投标产品在品目清单中所属的品目），并加盖投标人公章]，根据其所占项目（或者分标）投标报价比例得</w:t>
            </w:r>
            <w:r>
              <w:rPr>
                <w:rFonts w:hint="eastAsia" w:hAnsi="宋体" w:cs="宋体"/>
                <w:bCs/>
                <w:color w:val="auto"/>
                <w:kern w:val="2"/>
                <w:sz w:val="21"/>
                <w:highlight w:val="none"/>
                <w:u w:val="single"/>
              </w:rPr>
              <w:t>0</w:t>
            </w:r>
            <w:r>
              <w:rPr>
                <w:rFonts w:hint="eastAsia" w:hAnsi="宋体" w:cs="宋体"/>
                <w:bCs/>
                <w:color w:val="auto"/>
                <w:kern w:val="2"/>
                <w:sz w:val="21"/>
                <w:highlight w:val="none"/>
              </w:rPr>
              <w:t>至</w:t>
            </w:r>
            <w:r>
              <w:rPr>
                <w:rFonts w:hint="eastAsia" w:hAnsi="宋体" w:cs="宋体"/>
                <w:bCs/>
                <w:color w:val="auto"/>
                <w:kern w:val="2"/>
                <w:sz w:val="21"/>
                <w:highlight w:val="none"/>
                <w:u w:val="single"/>
              </w:rPr>
              <w:t>0.5</w:t>
            </w:r>
            <w:r>
              <w:rPr>
                <w:rFonts w:hint="eastAsia" w:hAnsi="宋体" w:cs="宋体"/>
                <w:bCs/>
                <w:color w:val="auto"/>
                <w:kern w:val="2"/>
                <w:sz w:val="21"/>
                <w:highlight w:val="none"/>
              </w:rPr>
              <w:t>分，满分</w:t>
            </w:r>
            <w:r>
              <w:rPr>
                <w:rFonts w:hint="eastAsia" w:hAnsi="宋体" w:cs="宋体"/>
                <w:bCs/>
                <w:color w:val="auto"/>
                <w:kern w:val="2"/>
                <w:sz w:val="21"/>
                <w:highlight w:val="none"/>
                <w:u w:val="single"/>
              </w:rPr>
              <w:t>0.5</w:t>
            </w:r>
            <w:r>
              <w:rPr>
                <w:rFonts w:hint="eastAsia" w:hAnsi="宋体" w:cs="宋体"/>
                <w:bCs/>
                <w:color w:val="auto"/>
                <w:kern w:val="2"/>
                <w:sz w:val="21"/>
                <w:highlight w:val="none"/>
              </w:rPr>
              <w:t>分。</w:t>
            </w:r>
          </w:p>
          <w:p w14:paraId="0F07A18D">
            <w:pPr>
              <w:pStyle w:val="24"/>
              <w:spacing w:line="360" w:lineRule="auto"/>
              <w:rPr>
                <w:rFonts w:hAnsi="宋体" w:cs="宋体"/>
                <w:bCs/>
                <w:color w:val="auto"/>
                <w:kern w:val="2"/>
                <w:sz w:val="21"/>
                <w:highlight w:val="none"/>
              </w:rPr>
            </w:pPr>
            <w:r>
              <w:rPr>
                <w:rFonts w:hint="eastAsia" w:hAnsi="宋体" w:cs="宋体"/>
                <w:bCs/>
                <w:color w:val="auto"/>
                <w:kern w:val="2"/>
                <w:sz w:val="21"/>
                <w:highlight w:val="none"/>
              </w:rPr>
              <w:t>（2）属于财政部《环境标志产品政府采购品目清单》内的产品[投标文件中提供有效的认证证书复印件及品目清单（标注出投标产品在品目清单中所属的品目），并加盖投标人公章]，根据其所占项目（或者分标）投标报价比例得</w:t>
            </w:r>
            <w:r>
              <w:rPr>
                <w:rFonts w:hint="eastAsia" w:hAnsi="宋体" w:cs="宋体"/>
                <w:bCs/>
                <w:color w:val="auto"/>
                <w:kern w:val="2"/>
                <w:sz w:val="21"/>
                <w:highlight w:val="none"/>
                <w:u w:val="single"/>
              </w:rPr>
              <w:t>0</w:t>
            </w:r>
            <w:r>
              <w:rPr>
                <w:rFonts w:hint="eastAsia" w:hAnsi="宋体" w:cs="宋体"/>
                <w:bCs/>
                <w:color w:val="auto"/>
                <w:kern w:val="2"/>
                <w:sz w:val="21"/>
                <w:highlight w:val="none"/>
              </w:rPr>
              <w:t>至</w:t>
            </w:r>
            <w:r>
              <w:rPr>
                <w:rFonts w:hint="eastAsia" w:hAnsi="宋体" w:cs="宋体"/>
                <w:bCs/>
                <w:color w:val="auto"/>
                <w:kern w:val="2"/>
                <w:sz w:val="21"/>
                <w:highlight w:val="none"/>
                <w:u w:val="single"/>
              </w:rPr>
              <w:t>0.5</w:t>
            </w:r>
            <w:r>
              <w:rPr>
                <w:rFonts w:hint="eastAsia" w:hAnsi="宋体" w:cs="宋体"/>
                <w:bCs/>
                <w:color w:val="auto"/>
                <w:kern w:val="2"/>
                <w:sz w:val="21"/>
                <w:highlight w:val="none"/>
              </w:rPr>
              <w:t>分，满分</w:t>
            </w:r>
            <w:r>
              <w:rPr>
                <w:rFonts w:hint="eastAsia" w:hAnsi="宋体" w:cs="宋体"/>
                <w:bCs/>
                <w:color w:val="auto"/>
                <w:kern w:val="2"/>
                <w:sz w:val="21"/>
                <w:highlight w:val="none"/>
                <w:u w:val="single"/>
              </w:rPr>
              <w:t>0.5</w:t>
            </w:r>
            <w:r>
              <w:rPr>
                <w:rFonts w:hint="eastAsia" w:hAnsi="宋体" w:cs="宋体"/>
                <w:bCs/>
                <w:color w:val="auto"/>
                <w:kern w:val="2"/>
                <w:sz w:val="21"/>
                <w:highlight w:val="none"/>
              </w:rPr>
              <w:t>分；</w:t>
            </w:r>
          </w:p>
          <w:p w14:paraId="7F5DDF6C">
            <w:pPr>
              <w:pStyle w:val="24"/>
              <w:spacing w:line="360" w:lineRule="auto"/>
              <w:rPr>
                <w:rFonts w:hAnsi="宋体" w:cs="宋体"/>
                <w:bCs/>
                <w:color w:val="auto"/>
                <w:kern w:val="2"/>
                <w:sz w:val="21"/>
                <w:highlight w:val="none"/>
              </w:rPr>
            </w:pPr>
            <w:r>
              <w:rPr>
                <w:rFonts w:hint="eastAsia" w:hAnsi="宋体" w:cs="宋体"/>
                <w:b/>
                <w:bCs/>
                <w:color w:val="auto"/>
                <w:sz w:val="21"/>
                <w:highlight w:val="none"/>
              </w:rPr>
              <w:t>备注：</w:t>
            </w:r>
            <w:r>
              <w:rPr>
                <w:rFonts w:hint="eastAsia" w:hAnsi="宋体" w:cs="宋体"/>
                <w:bCs/>
                <w:color w:val="auto"/>
                <w:sz w:val="21"/>
                <w:highlight w:val="none"/>
              </w:rPr>
              <w:t>以上（1）（2）分值计算公式列举说明，如某投标人属于优先采购环境标志产品总值占本投标报价的比例为35.6%，那该项得分为0.5×0.356=0.178分；</w:t>
            </w:r>
          </w:p>
          <w:p w14:paraId="40075C8F">
            <w:pPr>
              <w:pStyle w:val="24"/>
              <w:spacing w:line="360" w:lineRule="auto"/>
              <w:rPr>
                <w:rFonts w:hAnsi="宋体" w:cs="宋体"/>
                <w:color w:val="auto"/>
                <w:sz w:val="21"/>
                <w:highlight w:val="none"/>
              </w:rPr>
            </w:pPr>
            <w:r>
              <w:rPr>
                <w:rFonts w:hint="eastAsia" w:hAnsi="宋体" w:cs="宋体"/>
                <w:bCs/>
                <w:color w:val="auto"/>
                <w:kern w:val="2"/>
                <w:sz w:val="21"/>
                <w:highlight w:val="none"/>
              </w:rPr>
              <w:t>（3）非节能、环境标志产品的不得分。</w:t>
            </w:r>
          </w:p>
        </w:tc>
      </w:tr>
      <w:tr w14:paraId="71B3B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5" w:type="dxa"/>
            <w:gridSpan w:val="4"/>
            <w:vAlign w:val="center"/>
          </w:tcPr>
          <w:p w14:paraId="58C79A63">
            <w:pPr>
              <w:pStyle w:val="24"/>
              <w:snapToGrid w:val="0"/>
              <w:spacing w:line="360" w:lineRule="auto"/>
              <w:rPr>
                <w:rFonts w:hAnsi="宋体" w:cs="宋体"/>
                <w:b/>
                <w:bCs/>
                <w:color w:val="auto"/>
                <w:sz w:val="21"/>
                <w:highlight w:val="none"/>
              </w:rPr>
            </w:pPr>
            <w:r>
              <w:rPr>
                <w:rFonts w:hint="eastAsia" w:hAnsi="宋体" w:cs="宋体"/>
                <w:b/>
                <w:bCs/>
                <w:color w:val="auto"/>
                <w:sz w:val="21"/>
                <w:highlight w:val="none"/>
              </w:rPr>
              <w:t>总得分为以上各项评审因素得分合计。</w:t>
            </w:r>
          </w:p>
        </w:tc>
      </w:tr>
    </w:tbl>
    <w:p w14:paraId="158965BD">
      <w:pPr>
        <w:pStyle w:val="24"/>
        <w:spacing w:line="360" w:lineRule="auto"/>
        <w:ind w:firstLine="420"/>
        <w:rPr>
          <w:rFonts w:hAnsi="宋体"/>
          <w:bCs/>
          <w:color w:val="auto"/>
          <w:sz w:val="21"/>
          <w:highlight w:val="none"/>
        </w:rPr>
      </w:pPr>
      <w:r>
        <w:rPr>
          <w:rFonts w:hint="eastAsia" w:hAnsi="宋体"/>
          <w:bCs/>
          <w:color w:val="auto"/>
          <w:sz w:val="21"/>
          <w:highlight w:val="none"/>
        </w:rPr>
        <w:t>注：计分方法按四舍五入取至百分位</w:t>
      </w:r>
    </w:p>
    <w:p w14:paraId="21F14BFE">
      <w:pPr>
        <w:pStyle w:val="24"/>
        <w:spacing w:line="360" w:lineRule="auto"/>
        <w:rPr>
          <w:rFonts w:hAnsi="宋体"/>
          <w:bCs/>
          <w:color w:val="auto"/>
          <w:sz w:val="21"/>
          <w:highlight w:val="none"/>
        </w:rPr>
      </w:pPr>
      <w:r>
        <w:rPr>
          <w:color w:val="auto"/>
          <w:highlight w:val="none"/>
        </w:rPr>
        <w:br w:type="page"/>
      </w:r>
    </w:p>
    <w:p w14:paraId="77C1F50B">
      <w:pPr>
        <w:rPr>
          <w:color w:val="auto"/>
          <w:sz w:val="30"/>
          <w:szCs w:val="30"/>
          <w:highlight w:val="none"/>
        </w:rPr>
      </w:pPr>
    </w:p>
    <w:p w14:paraId="32428A57">
      <w:pPr>
        <w:pStyle w:val="4"/>
        <w:keepNext w:val="0"/>
        <w:keepLines w:val="0"/>
        <w:jc w:val="center"/>
        <w:rPr>
          <w:color w:val="auto"/>
          <w:sz w:val="30"/>
          <w:szCs w:val="30"/>
          <w:highlight w:val="none"/>
        </w:rPr>
      </w:pPr>
      <w:r>
        <w:rPr>
          <w:rFonts w:hint="eastAsia"/>
          <w:color w:val="auto"/>
          <w:sz w:val="30"/>
          <w:szCs w:val="30"/>
          <w:highlight w:val="none"/>
        </w:rPr>
        <w:t>四、中标候选人推荐</w:t>
      </w:r>
    </w:p>
    <w:p w14:paraId="220E3643">
      <w:pPr>
        <w:pStyle w:val="24"/>
        <w:spacing w:line="360" w:lineRule="auto"/>
        <w:contextualSpacing/>
        <w:rPr>
          <w:rFonts w:hAnsi="宋体"/>
          <w:b/>
          <w:bCs/>
          <w:color w:val="auto"/>
          <w:sz w:val="24"/>
          <w:szCs w:val="24"/>
          <w:highlight w:val="none"/>
        </w:rPr>
      </w:pPr>
      <w:r>
        <w:rPr>
          <w:rFonts w:hint="eastAsia" w:hAnsi="宋体"/>
          <w:b/>
          <w:bCs/>
          <w:color w:val="auto"/>
          <w:sz w:val="24"/>
          <w:szCs w:val="24"/>
          <w:highlight w:val="none"/>
        </w:rPr>
        <w:t>综合评分法</w:t>
      </w:r>
    </w:p>
    <w:p w14:paraId="4158712F">
      <w:pPr>
        <w:pStyle w:val="24"/>
        <w:spacing w:line="360" w:lineRule="auto"/>
        <w:ind w:firstLine="420" w:firstLineChars="200"/>
        <w:contextualSpacing/>
        <w:rPr>
          <w:rFonts w:hAnsi="宋体"/>
          <w:color w:val="auto"/>
          <w:sz w:val="21"/>
          <w:highlight w:val="none"/>
        </w:rPr>
      </w:pPr>
      <w:r>
        <w:rPr>
          <w:rFonts w:hint="eastAsia" w:hAnsi="宋体"/>
          <w:color w:val="auto"/>
          <w:sz w:val="21"/>
          <w:highlight w:val="none"/>
        </w:rPr>
        <w:t>1</w:t>
      </w:r>
      <w:r>
        <w:rPr>
          <w:rFonts w:hAnsi="宋体"/>
          <w:color w:val="auto"/>
          <w:sz w:val="21"/>
          <w:highlight w:val="none"/>
        </w:rPr>
        <w:t>.</w:t>
      </w:r>
      <w:r>
        <w:rPr>
          <w:rFonts w:hint="eastAsia" w:hAnsi="宋体"/>
          <w:color w:val="auto"/>
          <w:sz w:val="21"/>
          <w:highlight w:val="none"/>
        </w:rPr>
        <w:t>评标委员会根据原始评标记录和评标结果编写评标报告，并通过电子交易平台向采购人、采购代理机构提交。</w:t>
      </w:r>
    </w:p>
    <w:p w14:paraId="79123EB8">
      <w:pPr>
        <w:pStyle w:val="24"/>
        <w:spacing w:line="360" w:lineRule="auto"/>
        <w:ind w:firstLine="420" w:firstLineChars="200"/>
        <w:contextualSpacing/>
        <w:rPr>
          <w:rFonts w:hAnsi="宋体"/>
          <w:color w:val="auto"/>
          <w:sz w:val="21"/>
          <w:highlight w:val="none"/>
        </w:rPr>
      </w:pPr>
      <w:r>
        <w:rPr>
          <w:rFonts w:hint="eastAsia" w:hAnsi="宋体"/>
          <w:color w:val="auto"/>
          <w:sz w:val="21"/>
          <w:highlight w:val="none"/>
        </w:rPr>
        <w:t>2</w:t>
      </w:r>
      <w:r>
        <w:rPr>
          <w:rFonts w:hAnsi="宋体"/>
          <w:color w:val="auto"/>
          <w:sz w:val="21"/>
          <w:highlight w:val="none"/>
        </w:rPr>
        <w:t>.</w:t>
      </w:r>
      <w:r>
        <w:rPr>
          <w:rFonts w:hint="eastAsia" w:hAnsi="宋体"/>
          <w:color w:val="auto"/>
          <w:sz w:val="21"/>
          <w:highlight w:val="none"/>
        </w:rPr>
        <w:t>评标委员会将根据总得分由高到低排列次序并推荐中标候选人。得分相同的，按投标报价由低到高顺序排列。得分相同且投标报价相同的并列。投标文件满足招标文件全部实质性要求，且按照评审因素的量化指标评审得分最高的投标人为排名第一的中标候选人。</w:t>
      </w:r>
    </w:p>
    <w:p w14:paraId="20C55D20">
      <w:pPr>
        <w:spacing w:before="120" w:beforeLines="50" w:after="120" w:afterLines="50" w:line="400" w:lineRule="exact"/>
        <w:rPr>
          <w:rFonts w:ascii="宋体" w:hAnsi="宋体"/>
          <w:b/>
          <w:color w:val="auto"/>
          <w:sz w:val="24"/>
          <w:highlight w:val="none"/>
        </w:rPr>
      </w:pPr>
    </w:p>
    <w:p w14:paraId="543C08EC">
      <w:pPr>
        <w:spacing w:before="120" w:beforeLines="50" w:after="120" w:afterLines="50" w:line="400" w:lineRule="exact"/>
        <w:rPr>
          <w:rFonts w:ascii="宋体" w:hAnsi="宋体"/>
          <w:b/>
          <w:color w:val="auto"/>
          <w:sz w:val="24"/>
          <w:highlight w:val="none"/>
        </w:rPr>
      </w:pPr>
    </w:p>
    <w:p w14:paraId="2439BDC5">
      <w:pPr>
        <w:spacing w:before="120" w:beforeLines="50" w:after="120" w:afterLines="50" w:line="400" w:lineRule="exact"/>
        <w:rPr>
          <w:rFonts w:ascii="宋体" w:hAnsi="宋体"/>
          <w:b/>
          <w:color w:val="auto"/>
          <w:sz w:val="24"/>
          <w:highlight w:val="none"/>
        </w:rPr>
      </w:pPr>
    </w:p>
    <w:p w14:paraId="557C1093">
      <w:pPr>
        <w:spacing w:before="120" w:beforeLines="50" w:after="120" w:afterLines="50" w:line="400" w:lineRule="exact"/>
        <w:rPr>
          <w:rFonts w:ascii="宋体" w:hAnsi="宋体"/>
          <w:b/>
          <w:color w:val="auto"/>
          <w:sz w:val="24"/>
          <w:highlight w:val="none"/>
        </w:rPr>
      </w:pPr>
    </w:p>
    <w:p w14:paraId="6C2AB2B5">
      <w:pPr>
        <w:spacing w:before="120" w:beforeLines="50" w:after="120" w:afterLines="50" w:line="400" w:lineRule="exact"/>
        <w:rPr>
          <w:rFonts w:ascii="宋体" w:hAnsi="宋体"/>
          <w:b/>
          <w:color w:val="auto"/>
          <w:sz w:val="24"/>
          <w:highlight w:val="none"/>
        </w:rPr>
      </w:pPr>
    </w:p>
    <w:p w14:paraId="32DCE672">
      <w:pPr>
        <w:spacing w:before="120" w:beforeLines="50" w:after="120" w:afterLines="50" w:line="400" w:lineRule="exact"/>
        <w:rPr>
          <w:rFonts w:ascii="宋体" w:hAnsi="宋体"/>
          <w:b/>
          <w:color w:val="auto"/>
          <w:sz w:val="24"/>
          <w:highlight w:val="none"/>
        </w:rPr>
      </w:pPr>
    </w:p>
    <w:p w14:paraId="48EBA0EF">
      <w:pPr>
        <w:spacing w:before="120" w:beforeLines="50" w:after="120" w:afterLines="50" w:line="400" w:lineRule="exact"/>
        <w:rPr>
          <w:rFonts w:ascii="宋体" w:hAnsi="宋体"/>
          <w:b/>
          <w:color w:val="auto"/>
          <w:sz w:val="24"/>
          <w:highlight w:val="none"/>
        </w:rPr>
      </w:pPr>
    </w:p>
    <w:p w14:paraId="7D4EB497">
      <w:pPr>
        <w:spacing w:before="120" w:beforeLines="50" w:after="120" w:afterLines="50" w:line="400" w:lineRule="exact"/>
        <w:rPr>
          <w:rFonts w:ascii="宋体" w:hAnsi="宋体"/>
          <w:b/>
          <w:color w:val="auto"/>
          <w:sz w:val="24"/>
          <w:highlight w:val="none"/>
        </w:rPr>
      </w:pPr>
    </w:p>
    <w:p w14:paraId="05FDBA60">
      <w:pPr>
        <w:spacing w:before="120" w:beforeLines="50" w:after="120" w:afterLines="50" w:line="400" w:lineRule="exact"/>
        <w:rPr>
          <w:rFonts w:ascii="宋体" w:hAnsi="宋体"/>
          <w:b/>
          <w:color w:val="auto"/>
          <w:sz w:val="24"/>
          <w:highlight w:val="none"/>
        </w:rPr>
      </w:pPr>
    </w:p>
    <w:p w14:paraId="5B58485D">
      <w:pPr>
        <w:spacing w:before="120" w:beforeLines="50" w:after="120" w:afterLines="50" w:line="400" w:lineRule="exact"/>
        <w:rPr>
          <w:rFonts w:ascii="宋体" w:hAnsi="宋体"/>
          <w:b/>
          <w:color w:val="auto"/>
          <w:sz w:val="24"/>
          <w:highlight w:val="none"/>
        </w:rPr>
      </w:pPr>
    </w:p>
    <w:p w14:paraId="64AAE8F4">
      <w:pPr>
        <w:pStyle w:val="3"/>
        <w:keepNext w:val="0"/>
        <w:keepLines w:val="0"/>
        <w:jc w:val="center"/>
        <w:rPr>
          <w:color w:val="auto"/>
          <w:highlight w:val="none"/>
        </w:rPr>
      </w:pPr>
      <w:r>
        <w:rPr>
          <w:color w:val="auto"/>
          <w:highlight w:val="none"/>
        </w:rPr>
        <w:br w:type="page"/>
      </w:r>
    </w:p>
    <w:p w14:paraId="3FB983E6">
      <w:pPr>
        <w:pStyle w:val="3"/>
        <w:keepNext w:val="0"/>
        <w:keepLines w:val="0"/>
        <w:jc w:val="center"/>
        <w:rPr>
          <w:color w:val="auto"/>
          <w:highlight w:val="none"/>
        </w:rPr>
      </w:pPr>
    </w:p>
    <w:p w14:paraId="3F7D8DD6">
      <w:pPr>
        <w:pStyle w:val="3"/>
        <w:keepNext w:val="0"/>
        <w:keepLines w:val="0"/>
        <w:jc w:val="center"/>
        <w:rPr>
          <w:color w:val="auto"/>
          <w:highlight w:val="none"/>
        </w:rPr>
      </w:pPr>
    </w:p>
    <w:p w14:paraId="4A273A74">
      <w:pPr>
        <w:pStyle w:val="3"/>
        <w:keepNext w:val="0"/>
        <w:keepLines w:val="0"/>
        <w:jc w:val="center"/>
        <w:rPr>
          <w:color w:val="auto"/>
          <w:highlight w:val="none"/>
        </w:rPr>
      </w:pPr>
    </w:p>
    <w:p w14:paraId="01AE9616">
      <w:pPr>
        <w:pStyle w:val="3"/>
        <w:keepNext w:val="0"/>
        <w:keepLines w:val="0"/>
        <w:jc w:val="center"/>
        <w:rPr>
          <w:color w:val="auto"/>
          <w:highlight w:val="none"/>
        </w:rPr>
      </w:pPr>
    </w:p>
    <w:p w14:paraId="5FFC2921">
      <w:pPr>
        <w:pStyle w:val="3"/>
        <w:keepNext w:val="0"/>
        <w:keepLines w:val="0"/>
        <w:jc w:val="center"/>
        <w:rPr>
          <w:color w:val="auto"/>
          <w:highlight w:val="none"/>
        </w:rPr>
      </w:pPr>
    </w:p>
    <w:p w14:paraId="68B576ED">
      <w:pPr>
        <w:pStyle w:val="3"/>
        <w:keepNext w:val="0"/>
        <w:keepLines w:val="0"/>
        <w:jc w:val="center"/>
        <w:rPr>
          <w:color w:val="auto"/>
          <w:highlight w:val="none"/>
        </w:rPr>
      </w:pPr>
    </w:p>
    <w:p w14:paraId="5AEBC7C9">
      <w:pPr>
        <w:pStyle w:val="2"/>
        <w:jc w:val="center"/>
        <w:rPr>
          <w:color w:val="auto"/>
          <w:highlight w:val="none"/>
        </w:rPr>
      </w:pPr>
      <w:bookmarkStart w:id="155" w:name="_Toc74320804"/>
      <w:r>
        <w:rPr>
          <w:rFonts w:hint="eastAsia"/>
          <w:color w:val="auto"/>
          <w:highlight w:val="none"/>
        </w:rPr>
        <w:t>第五章  拟签订的合同文本</w:t>
      </w:r>
      <w:bookmarkEnd w:id="155"/>
    </w:p>
    <w:p w14:paraId="2977C371">
      <w:pPr>
        <w:snapToGrid w:val="0"/>
        <w:jc w:val="center"/>
        <w:rPr>
          <w:rFonts w:ascii="宋体" w:hAnsi="宋体"/>
          <w:bCs/>
          <w:color w:val="auto"/>
          <w:sz w:val="32"/>
          <w:szCs w:val="32"/>
          <w:highlight w:val="none"/>
        </w:rPr>
      </w:pPr>
    </w:p>
    <w:p w14:paraId="0E89CD4E">
      <w:pPr>
        <w:snapToGrid w:val="0"/>
        <w:jc w:val="center"/>
        <w:rPr>
          <w:rFonts w:ascii="宋体" w:hAnsi="宋体"/>
          <w:bCs/>
          <w:color w:val="auto"/>
          <w:sz w:val="32"/>
          <w:szCs w:val="32"/>
          <w:highlight w:val="none"/>
        </w:rPr>
      </w:pPr>
    </w:p>
    <w:p w14:paraId="778D4505">
      <w:pPr>
        <w:snapToGrid w:val="0"/>
        <w:jc w:val="center"/>
        <w:rPr>
          <w:rFonts w:ascii="宋体" w:hAnsi="宋体"/>
          <w:bCs/>
          <w:color w:val="auto"/>
          <w:sz w:val="32"/>
          <w:szCs w:val="32"/>
          <w:highlight w:val="none"/>
        </w:rPr>
      </w:pPr>
    </w:p>
    <w:p w14:paraId="67FE14AB">
      <w:pPr>
        <w:snapToGrid w:val="0"/>
        <w:jc w:val="center"/>
        <w:rPr>
          <w:rFonts w:ascii="宋体" w:hAnsi="宋体"/>
          <w:bCs/>
          <w:color w:val="auto"/>
          <w:sz w:val="32"/>
          <w:szCs w:val="32"/>
          <w:highlight w:val="none"/>
        </w:rPr>
      </w:pPr>
    </w:p>
    <w:p w14:paraId="664F254F">
      <w:pPr>
        <w:snapToGrid w:val="0"/>
        <w:jc w:val="center"/>
        <w:rPr>
          <w:rFonts w:ascii="宋体" w:hAnsi="宋体"/>
          <w:bCs/>
          <w:color w:val="auto"/>
          <w:sz w:val="32"/>
          <w:szCs w:val="32"/>
          <w:highlight w:val="none"/>
        </w:rPr>
      </w:pPr>
    </w:p>
    <w:p w14:paraId="3A809061">
      <w:pPr>
        <w:snapToGrid w:val="0"/>
        <w:jc w:val="center"/>
        <w:rPr>
          <w:rFonts w:ascii="宋体" w:hAnsi="宋体"/>
          <w:bCs/>
          <w:color w:val="auto"/>
          <w:sz w:val="32"/>
          <w:szCs w:val="32"/>
          <w:highlight w:val="none"/>
        </w:rPr>
      </w:pPr>
    </w:p>
    <w:p w14:paraId="594B89D8">
      <w:pPr>
        <w:snapToGrid w:val="0"/>
        <w:jc w:val="center"/>
        <w:rPr>
          <w:rFonts w:ascii="宋体" w:hAnsi="宋体"/>
          <w:bCs/>
          <w:color w:val="auto"/>
          <w:sz w:val="32"/>
          <w:szCs w:val="32"/>
          <w:highlight w:val="none"/>
        </w:rPr>
      </w:pPr>
    </w:p>
    <w:p w14:paraId="5AE6BDAA">
      <w:pPr>
        <w:snapToGrid w:val="0"/>
        <w:jc w:val="center"/>
        <w:rPr>
          <w:rFonts w:ascii="宋体" w:hAnsi="宋体"/>
          <w:bCs/>
          <w:color w:val="auto"/>
          <w:sz w:val="32"/>
          <w:szCs w:val="32"/>
          <w:highlight w:val="none"/>
        </w:rPr>
      </w:pPr>
    </w:p>
    <w:p w14:paraId="1981AF40">
      <w:pPr>
        <w:snapToGrid w:val="0"/>
        <w:jc w:val="center"/>
        <w:rPr>
          <w:rFonts w:ascii="宋体" w:hAnsi="宋体"/>
          <w:bCs/>
          <w:color w:val="auto"/>
          <w:sz w:val="32"/>
          <w:szCs w:val="32"/>
          <w:highlight w:val="none"/>
        </w:rPr>
      </w:pPr>
    </w:p>
    <w:p w14:paraId="7D71ED1C">
      <w:pPr>
        <w:snapToGrid w:val="0"/>
        <w:jc w:val="center"/>
        <w:rPr>
          <w:rFonts w:ascii="宋体" w:hAnsi="宋体"/>
          <w:bCs/>
          <w:color w:val="auto"/>
          <w:sz w:val="32"/>
          <w:szCs w:val="32"/>
          <w:highlight w:val="none"/>
        </w:rPr>
      </w:pPr>
    </w:p>
    <w:p w14:paraId="6DEA33C4">
      <w:pPr>
        <w:snapToGrid w:val="0"/>
        <w:jc w:val="center"/>
        <w:rPr>
          <w:rFonts w:ascii="宋体" w:hAnsi="宋体"/>
          <w:bCs/>
          <w:color w:val="auto"/>
          <w:sz w:val="32"/>
          <w:szCs w:val="32"/>
          <w:highlight w:val="none"/>
        </w:rPr>
      </w:pPr>
    </w:p>
    <w:p w14:paraId="1CBE0489">
      <w:pPr>
        <w:snapToGrid w:val="0"/>
        <w:rPr>
          <w:rFonts w:ascii="宋体" w:hAnsi="宋体"/>
          <w:bCs/>
          <w:color w:val="auto"/>
          <w:sz w:val="32"/>
          <w:szCs w:val="32"/>
          <w:highlight w:val="none"/>
        </w:rPr>
      </w:pPr>
      <w:bookmarkStart w:id="156" w:name="_Hlk55381736"/>
      <w:r>
        <w:rPr>
          <w:rFonts w:ascii="宋体" w:hAnsi="宋体"/>
          <w:bCs/>
          <w:color w:val="auto"/>
          <w:sz w:val="32"/>
          <w:szCs w:val="32"/>
          <w:highlight w:val="none"/>
        </w:rPr>
        <w:t xml:space="preserve"> </w:t>
      </w:r>
    </w:p>
    <w:p w14:paraId="24722CDE">
      <w:pPr>
        <w:snapToGrid w:val="0"/>
        <w:spacing w:line="360" w:lineRule="auto"/>
        <w:ind w:firstLine="640" w:firstLineChars="200"/>
        <w:rPr>
          <w:rFonts w:ascii="宋体" w:hAnsi="宋体"/>
          <w:b/>
          <w:color w:val="auto"/>
          <w:sz w:val="32"/>
          <w:szCs w:val="32"/>
          <w:highlight w:val="none"/>
        </w:rPr>
      </w:pPr>
      <w:r>
        <w:rPr>
          <w:rFonts w:ascii="宋体" w:hAnsi="宋体"/>
          <w:bCs/>
          <w:color w:val="auto"/>
          <w:sz w:val="32"/>
          <w:szCs w:val="32"/>
          <w:highlight w:val="none"/>
        </w:rPr>
        <w:br w:type="page"/>
      </w:r>
    </w:p>
    <w:p w14:paraId="5210B89E">
      <w:pPr>
        <w:snapToGrid w:val="0"/>
        <w:spacing w:line="360" w:lineRule="auto"/>
        <w:jc w:val="center"/>
        <w:rPr>
          <w:rFonts w:ascii="宋体" w:hAnsi="宋体"/>
          <w:b/>
          <w:bCs/>
          <w:color w:val="auto"/>
          <w:sz w:val="32"/>
          <w:szCs w:val="32"/>
          <w:highlight w:val="none"/>
        </w:rPr>
      </w:pPr>
    </w:p>
    <w:p w14:paraId="026FDD9E">
      <w:pPr>
        <w:snapToGrid w:val="0"/>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《广西壮族自治区政府采购合同》</w:t>
      </w:r>
    </w:p>
    <w:p w14:paraId="2D7E1B3B">
      <w:pPr>
        <w:snapToGrid w:val="0"/>
        <w:spacing w:line="360" w:lineRule="auto"/>
        <w:jc w:val="center"/>
        <w:rPr>
          <w:rFonts w:ascii="宋体" w:hAnsi="宋体"/>
          <w:b/>
          <w:bCs/>
          <w:color w:val="auto"/>
          <w:sz w:val="32"/>
          <w:szCs w:val="32"/>
          <w:highlight w:val="none"/>
        </w:rPr>
      </w:pPr>
    </w:p>
    <w:p w14:paraId="51E107CF">
      <w:pPr>
        <w:snapToGrid w:val="0"/>
        <w:spacing w:line="360" w:lineRule="auto"/>
        <w:ind w:right="480" w:firstLine="5250" w:firstLineChars="2500"/>
        <w:rPr>
          <w:rFonts w:ascii="宋体" w:hAnsi="宋体"/>
          <w:bCs/>
          <w:color w:val="auto"/>
          <w:szCs w:val="21"/>
          <w:highlight w:val="none"/>
          <w:u w:val="single"/>
        </w:rPr>
      </w:pPr>
      <w:r>
        <w:rPr>
          <w:rFonts w:hint="eastAsia" w:ascii="宋体" w:hAnsi="宋体"/>
          <w:bCs/>
          <w:color w:val="auto"/>
          <w:szCs w:val="21"/>
          <w:highlight w:val="none"/>
        </w:rPr>
        <w:t>合同编号：</w:t>
      </w:r>
    </w:p>
    <w:p w14:paraId="662A3DAC">
      <w:pPr>
        <w:snapToGrid w:val="0"/>
        <w:spacing w:line="360" w:lineRule="auto"/>
        <w:rPr>
          <w:rFonts w:ascii="宋体" w:hAnsi="宋体"/>
          <w:color w:val="auto"/>
          <w:szCs w:val="21"/>
          <w:highlight w:val="none"/>
        </w:rPr>
      </w:pPr>
    </w:p>
    <w:p w14:paraId="758FC49E">
      <w:pPr>
        <w:snapToGrid w:val="0"/>
        <w:spacing w:line="360" w:lineRule="auto"/>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采购人（甲方）：</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406B4351">
      <w:pPr>
        <w:snapToGrid w:val="0"/>
        <w:spacing w:line="360" w:lineRule="auto"/>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供应商（乙方）：</w:t>
      </w:r>
      <w:r>
        <w:rPr>
          <w:rFonts w:hint="eastAsia" w:asciiTheme="minorEastAsia" w:hAnsiTheme="minorEastAsia" w:eastAsiaTheme="minorEastAsia" w:cstheme="minorEastAsia"/>
          <w:color w:val="auto"/>
          <w:szCs w:val="21"/>
          <w:highlight w:val="none"/>
          <w:u w:val="single"/>
        </w:rPr>
        <w:t xml:space="preserve">                          </w:t>
      </w:r>
    </w:p>
    <w:p w14:paraId="72E017DA">
      <w:pPr>
        <w:snapToGrid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pacing w:val="-20"/>
          <w:szCs w:val="21"/>
          <w:highlight w:val="none"/>
        </w:rPr>
        <w:t>采 购 计 划 号：</w:t>
      </w:r>
      <w:r>
        <w:rPr>
          <w:rFonts w:hint="eastAsia" w:asciiTheme="minorEastAsia" w:hAnsiTheme="minorEastAsia" w:eastAsiaTheme="minorEastAsia" w:cstheme="minorEastAsia"/>
          <w:color w:val="auto"/>
          <w:szCs w:val="21"/>
          <w:highlight w:val="none"/>
          <w:u w:val="single"/>
        </w:rPr>
        <w:t xml:space="preserve">                         </w:t>
      </w:r>
    </w:p>
    <w:p w14:paraId="755241F6">
      <w:pPr>
        <w:snapToGrid w:val="0"/>
        <w:spacing w:line="360" w:lineRule="auto"/>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项目名称：</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项目编号：</w:t>
      </w:r>
      <w:r>
        <w:rPr>
          <w:rFonts w:hint="eastAsia" w:asciiTheme="minorEastAsia" w:hAnsiTheme="minorEastAsia" w:eastAsiaTheme="minorEastAsia" w:cstheme="minorEastAsia"/>
          <w:color w:val="auto"/>
          <w:szCs w:val="21"/>
          <w:highlight w:val="none"/>
          <w:u w:val="single"/>
        </w:rPr>
        <w:t xml:space="preserve">                       </w:t>
      </w:r>
    </w:p>
    <w:p w14:paraId="32F7EB07">
      <w:pPr>
        <w:snapToGrid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合同类型：</w:t>
      </w:r>
      <w:r>
        <w:rPr>
          <w:rFonts w:hint="eastAsia" w:asciiTheme="minorEastAsia" w:hAnsiTheme="minorEastAsia" w:eastAsiaTheme="minorEastAsia" w:cstheme="minorEastAsia"/>
          <w:color w:val="auto"/>
          <w:szCs w:val="21"/>
          <w:highlight w:val="none"/>
          <w:u w:val="single"/>
        </w:rPr>
        <w:t>买卖合同</w:t>
      </w:r>
    </w:p>
    <w:p w14:paraId="2960C89A">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本合同是否为中小企业预留合同：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2DBF00E8">
      <w:pPr>
        <w:spacing w:line="360" w:lineRule="auto"/>
        <w:rPr>
          <w:rFonts w:asciiTheme="minorEastAsia" w:hAnsiTheme="minorEastAsia" w:eastAsiaTheme="minorEastAsia" w:cstheme="minorEastAsia"/>
          <w:color w:val="auto"/>
          <w:kern w:val="0"/>
          <w:szCs w:val="21"/>
          <w:highlight w:val="none"/>
        </w:rPr>
      </w:pPr>
    </w:p>
    <w:bookmarkEnd w:id="156"/>
    <w:p w14:paraId="3189BBB9">
      <w:pP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根据《中华人民共和国政府采购法》、《中华人民共和国民法典》等法律、法规等规定，按照招标报价文件（采购文件）规定条款和中标（成交）供应商承诺，甲乙双方签订本合同。</w:t>
      </w:r>
    </w:p>
    <w:p w14:paraId="2E05C106">
      <w:pPr>
        <w:snapToGrid w:val="0"/>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第一条　合同标的</w:t>
      </w:r>
    </w:p>
    <w:p w14:paraId="2A6C0982">
      <w:pPr>
        <w:snapToGrid w:val="0"/>
        <w:spacing w:line="360" w:lineRule="auto"/>
        <w:ind w:left="420"/>
        <w:rPr>
          <w:rFonts w:ascii="宋体" w:hAnsi="宋体" w:cs="宋体"/>
          <w:color w:val="auto"/>
          <w:szCs w:val="21"/>
          <w:highlight w:val="none"/>
        </w:rPr>
      </w:pPr>
      <w:r>
        <w:rPr>
          <w:rFonts w:hint="eastAsia" w:ascii="宋体" w:hAnsi="宋体" w:cs="宋体"/>
          <w:color w:val="auto"/>
          <w:szCs w:val="21"/>
          <w:highlight w:val="none"/>
        </w:rPr>
        <w:t>1.供货一览表</w:t>
      </w:r>
    </w:p>
    <w:tbl>
      <w:tblPr>
        <w:tblStyle w:val="4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129"/>
        <w:gridCol w:w="876"/>
        <w:gridCol w:w="1399"/>
        <w:gridCol w:w="940"/>
        <w:gridCol w:w="860"/>
        <w:gridCol w:w="622"/>
        <w:gridCol w:w="1199"/>
        <w:gridCol w:w="1199"/>
        <w:gridCol w:w="720"/>
      </w:tblGrid>
      <w:tr w14:paraId="51331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671" w:type="dxa"/>
            <w:vAlign w:val="center"/>
          </w:tcPr>
          <w:p w14:paraId="1FD5B4F6">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129" w:type="dxa"/>
            <w:vAlign w:val="center"/>
          </w:tcPr>
          <w:p w14:paraId="305C39BB">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产品</w:t>
            </w:r>
          </w:p>
          <w:p w14:paraId="5FE38562">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876" w:type="dxa"/>
            <w:vAlign w:val="center"/>
          </w:tcPr>
          <w:p w14:paraId="0176BE55">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商标</w:t>
            </w:r>
          </w:p>
          <w:p w14:paraId="49E9D40B">
            <w:pPr>
              <w:snapToGrid w:val="0"/>
              <w:spacing w:line="360" w:lineRule="auto"/>
              <w:jc w:val="center"/>
              <w:rPr>
                <w:rFonts w:ascii="宋体" w:hAnsi="宋体" w:cs="宋体"/>
                <w:color w:val="auto"/>
                <w:szCs w:val="21"/>
                <w:highlight w:val="none"/>
              </w:rPr>
            </w:pPr>
          </w:p>
        </w:tc>
        <w:tc>
          <w:tcPr>
            <w:tcW w:w="1399" w:type="dxa"/>
            <w:vAlign w:val="center"/>
          </w:tcPr>
          <w:p w14:paraId="7EEE1B8A">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规格</w:t>
            </w:r>
          </w:p>
          <w:p w14:paraId="56317BC3">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型号</w:t>
            </w:r>
          </w:p>
        </w:tc>
        <w:tc>
          <w:tcPr>
            <w:tcW w:w="940" w:type="dxa"/>
            <w:vAlign w:val="center"/>
          </w:tcPr>
          <w:p w14:paraId="49B12DA1">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生产</w:t>
            </w:r>
          </w:p>
          <w:p w14:paraId="5C0A1653">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厂家</w:t>
            </w:r>
          </w:p>
        </w:tc>
        <w:tc>
          <w:tcPr>
            <w:tcW w:w="860" w:type="dxa"/>
            <w:vAlign w:val="center"/>
          </w:tcPr>
          <w:p w14:paraId="639C8539">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  量</w:t>
            </w:r>
          </w:p>
        </w:tc>
        <w:tc>
          <w:tcPr>
            <w:tcW w:w="622" w:type="dxa"/>
            <w:vAlign w:val="center"/>
          </w:tcPr>
          <w:p w14:paraId="7E47EC83">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1199" w:type="dxa"/>
            <w:vAlign w:val="center"/>
          </w:tcPr>
          <w:p w14:paraId="1101BDFD">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  价</w:t>
            </w:r>
          </w:p>
          <w:p w14:paraId="41AC1242">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（元）</w:t>
            </w:r>
          </w:p>
        </w:tc>
        <w:tc>
          <w:tcPr>
            <w:tcW w:w="1199" w:type="dxa"/>
            <w:vAlign w:val="center"/>
          </w:tcPr>
          <w:p w14:paraId="71206117">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金  额</w:t>
            </w:r>
          </w:p>
          <w:p w14:paraId="33AA0F6C">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（元）</w:t>
            </w:r>
          </w:p>
        </w:tc>
        <w:tc>
          <w:tcPr>
            <w:tcW w:w="720" w:type="dxa"/>
            <w:vAlign w:val="center"/>
          </w:tcPr>
          <w:p w14:paraId="07567319">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12388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671" w:type="dxa"/>
            <w:vAlign w:val="center"/>
          </w:tcPr>
          <w:p w14:paraId="61A7AD3E">
            <w:pPr>
              <w:snapToGrid w:val="0"/>
              <w:spacing w:line="360" w:lineRule="auto"/>
              <w:jc w:val="center"/>
              <w:rPr>
                <w:rFonts w:ascii="宋体" w:hAnsi="宋体" w:cs="宋体"/>
                <w:color w:val="auto"/>
                <w:szCs w:val="21"/>
                <w:highlight w:val="none"/>
              </w:rPr>
            </w:pPr>
          </w:p>
        </w:tc>
        <w:tc>
          <w:tcPr>
            <w:tcW w:w="1129" w:type="dxa"/>
            <w:vAlign w:val="center"/>
          </w:tcPr>
          <w:p w14:paraId="26787720">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 </w:t>
            </w:r>
          </w:p>
        </w:tc>
        <w:tc>
          <w:tcPr>
            <w:tcW w:w="876" w:type="dxa"/>
            <w:vAlign w:val="center"/>
          </w:tcPr>
          <w:p w14:paraId="7EF301F5">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 </w:t>
            </w:r>
          </w:p>
        </w:tc>
        <w:tc>
          <w:tcPr>
            <w:tcW w:w="1399" w:type="dxa"/>
            <w:vAlign w:val="center"/>
          </w:tcPr>
          <w:p w14:paraId="1AEAB87C">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 </w:t>
            </w:r>
          </w:p>
        </w:tc>
        <w:tc>
          <w:tcPr>
            <w:tcW w:w="940" w:type="dxa"/>
            <w:vAlign w:val="center"/>
          </w:tcPr>
          <w:p w14:paraId="5FAC33AF">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 </w:t>
            </w:r>
          </w:p>
        </w:tc>
        <w:tc>
          <w:tcPr>
            <w:tcW w:w="860" w:type="dxa"/>
            <w:vAlign w:val="center"/>
          </w:tcPr>
          <w:p w14:paraId="73C6DF14">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 </w:t>
            </w:r>
          </w:p>
        </w:tc>
        <w:tc>
          <w:tcPr>
            <w:tcW w:w="622" w:type="dxa"/>
            <w:vAlign w:val="center"/>
          </w:tcPr>
          <w:p w14:paraId="7CC3EA68">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 </w:t>
            </w:r>
          </w:p>
        </w:tc>
        <w:tc>
          <w:tcPr>
            <w:tcW w:w="1199" w:type="dxa"/>
            <w:vAlign w:val="center"/>
          </w:tcPr>
          <w:p w14:paraId="38987F64">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 </w:t>
            </w:r>
          </w:p>
        </w:tc>
        <w:tc>
          <w:tcPr>
            <w:tcW w:w="1199" w:type="dxa"/>
            <w:vAlign w:val="center"/>
          </w:tcPr>
          <w:p w14:paraId="09BAF372">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 </w:t>
            </w:r>
          </w:p>
        </w:tc>
        <w:tc>
          <w:tcPr>
            <w:tcW w:w="720" w:type="dxa"/>
            <w:vAlign w:val="center"/>
          </w:tcPr>
          <w:p w14:paraId="6453E850">
            <w:pPr>
              <w:snapToGrid w:val="0"/>
              <w:spacing w:line="360" w:lineRule="auto"/>
              <w:jc w:val="center"/>
              <w:rPr>
                <w:rFonts w:ascii="宋体" w:hAnsi="宋体" w:cs="宋体"/>
                <w:color w:val="auto"/>
                <w:szCs w:val="21"/>
                <w:highlight w:val="none"/>
              </w:rPr>
            </w:pPr>
          </w:p>
        </w:tc>
      </w:tr>
      <w:tr w14:paraId="6E5B6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615" w:type="dxa"/>
            <w:gridSpan w:val="10"/>
            <w:vAlign w:val="center"/>
          </w:tcPr>
          <w:p w14:paraId="6AE28E0C">
            <w:pP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人民币合计金额（大写）：</w:t>
            </w:r>
            <w:r>
              <w:rPr>
                <w:rFonts w:hint="eastAsia" w:ascii="宋体" w:hAnsi="宋体" w:cs="宋体"/>
                <w:color w:val="auto"/>
                <w:spacing w:val="-6"/>
                <w:szCs w:val="21"/>
                <w:highlight w:val="none"/>
              </w:rPr>
              <w:t xml:space="preserve">   人民币</w:t>
            </w:r>
            <w:r>
              <w:rPr>
                <w:rFonts w:hint="eastAsia" w:ascii="宋体" w:hAnsi="宋体" w:cs="宋体"/>
                <w:color w:val="auto"/>
                <w:szCs w:val="21"/>
                <w:highlight w:val="none"/>
              </w:rPr>
              <w:t>（小写）：</w:t>
            </w:r>
            <w:r>
              <w:rPr>
                <w:rFonts w:hint="eastAsia" w:ascii="宋体" w:hAnsi="宋体" w:cs="宋体"/>
                <w:color w:val="auto"/>
                <w:spacing w:val="-6"/>
                <w:szCs w:val="21"/>
                <w:highlight w:val="none"/>
              </w:rPr>
              <w:t>（￥）</w:t>
            </w:r>
            <w:r>
              <w:rPr>
                <w:rFonts w:hint="eastAsia" w:ascii="宋体" w:hAnsi="宋体" w:cs="宋体"/>
                <w:color w:val="auto"/>
                <w:szCs w:val="21"/>
                <w:highlight w:val="none"/>
              </w:rPr>
              <w:t xml:space="preserve">                </w:t>
            </w:r>
          </w:p>
        </w:tc>
      </w:tr>
      <w:tr w14:paraId="2841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615" w:type="dxa"/>
            <w:gridSpan w:val="10"/>
            <w:vAlign w:val="center"/>
          </w:tcPr>
          <w:p w14:paraId="752924D2">
            <w:pPr>
              <w:snapToGrid w:val="0"/>
              <w:spacing w:line="360" w:lineRule="auto"/>
              <w:ind w:firstLine="420"/>
              <w:rPr>
                <w:rFonts w:ascii="宋体" w:hAnsi="宋体" w:cs="宋体"/>
                <w:color w:val="auto"/>
                <w:szCs w:val="21"/>
                <w:highlight w:val="none"/>
              </w:rPr>
            </w:pPr>
          </w:p>
        </w:tc>
      </w:tr>
    </w:tbl>
    <w:p w14:paraId="1A34BEB7">
      <w:pPr>
        <w:snapToGrid w:val="0"/>
        <w:spacing w:line="360" w:lineRule="auto"/>
        <w:ind w:right="420" w:firstLine="420"/>
        <w:rPr>
          <w:rFonts w:ascii="宋体" w:hAnsi="宋体" w:cs="宋体"/>
          <w:color w:val="auto"/>
          <w:szCs w:val="21"/>
          <w:highlight w:val="none"/>
        </w:rPr>
      </w:pPr>
      <w:r>
        <w:rPr>
          <w:rFonts w:hint="eastAsia" w:ascii="宋体" w:hAnsi="宋体" w:cs="宋体"/>
          <w:color w:val="auto"/>
          <w:szCs w:val="21"/>
          <w:highlight w:val="none"/>
        </w:rPr>
        <w:t>2.合同合计金额包括：①货物的价格：包括货款、杂配件、安装调试费、验收费、计量检测费（如有）、信息系统接入费，培训费；②货物的标准附件、备品备件、专用工具的价格</w:t>
      </w:r>
      <w:r>
        <w:rPr>
          <w:rFonts w:hint="eastAsia" w:ascii="宋体" w:hAnsi="宋体" w:cs="宋体"/>
          <w:color w:val="auto"/>
          <w:kern w:val="0"/>
          <w:szCs w:val="21"/>
          <w:highlight w:val="none"/>
          <w:lang w:bidi="ar"/>
        </w:rPr>
        <w:t>，以及为实现项目采购目的达成的一切费用</w:t>
      </w:r>
      <w:r>
        <w:rPr>
          <w:rFonts w:hint="eastAsia" w:ascii="宋体" w:hAnsi="宋体" w:cs="宋体"/>
          <w:color w:val="auto"/>
          <w:szCs w:val="21"/>
          <w:highlight w:val="none"/>
        </w:rPr>
        <w:t>。③运输、装卸、调试、培训、技术支持、售后服务费，第三方检测验收费用（如有）。④保险费和各项税金。</w:t>
      </w:r>
    </w:p>
    <w:p w14:paraId="6EE5104A">
      <w:pPr>
        <w:snapToGrid w:val="0"/>
        <w:spacing w:line="360" w:lineRule="auto"/>
        <w:ind w:right="420" w:firstLine="420"/>
        <w:rPr>
          <w:rFonts w:ascii="宋体" w:hAnsi="宋体" w:cs="宋体"/>
          <w:color w:val="auto"/>
          <w:szCs w:val="21"/>
          <w:highlight w:val="none"/>
        </w:rPr>
      </w:pPr>
      <w:r>
        <w:rPr>
          <w:rFonts w:hint="eastAsia" w:ascii="宋体" w:hAnsi="宋体" w:cs="宋体"/>
          <w:color w:val="auto"/>
          <w:szCs w:val="21"/>
          <w:highlight w:val="none"/>
        </w:rPr>
        <w:t>注：乙方自行考虑完成项目所需的辅材、杂配件等数量，合同金额中应包含全部内容，</w:t>
      </w:r>
      <w:r>
        <w:rPr>
          <w:rFonts w:hint="eastAsia" w:ascii="宋体" w:hAnsi="宋体" w:cs="宋体"/>
          <w:color w:val="auto"/>
          <w:szCs w:val="21"/>
          <w:highlight w:val="none"/>
        </w:rPr>
        <w:t>中标</w:t>
      </w:r>
      <w:r>
        <w:rPr>
          <w:rFonts w:hint="eastAsia" w:ascii="宋体" w:hAnsi="宋体" w:cs="宋体"/>
          <w:color w:val="auto"/>
          <w:szCs w:val="21"/>
          <w:highlight w:val="none"/>
        </w:rPr>
        <w:t>后甲方不再另行支付额外费用。</w:t>
      </w:r>
    </w:p>
    <w:p w14:paraId="52823846">
      <w:pPr>
        <w:snapToGrid w:val="0"/>
        <w:spacing w:line="360" w:lineRule="auto"/>
        <w:ind w:firstLine="422"/>
        <w:rPr>
          <w:rFonts w:ascii="宋体" w:hAnsi="宋体" w:cs="宋体"/>
          <w:color w:val="auto"/>
          <w:szCs w:val="21"/>
          <w:highlight w:val="none"/>
        </w:rPr>
      </w:pPr>
      <w:r>
        <w:rPr>
          <w:rFonts w:hint="eastAsia" w:ascii="宋体" w:hAnsi="宋体" w:cs="宋体"/>
          <w:b/>
          <w:color w:val="auto"/>
          <w:szCs w:val="21"/>
          <w:highlight w:val="none"/>
        </w:rPr>
        <w:t>第二条　质量保证</w:t>
      </w:r>
    </w:p>
    <w:p w14:paraId="02CB199B">
      <w:pP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1.乙方所提供的货物型号、技术规格、技术参数等质量必须与报价文件和承诺相一致。</w:t>
      </w:r>
    </w:p>
    <w:p w14:paraId="4FB2E42F">
      <w:pPr>
        <w:snapToGrid w:val="0"/>
        <w:spacing w:line="360" w:lineRule="auto"/>
        <w:ind w:firstLine="420"/>
        <w:rPr>
          <w:rFonts w:ascii="宋体" w:hAnsi="宋体" w:cs="宋体"/>
          <w:color w:val="auto"/>
          <w:szCs w:val="21"/>
          <w:highlight w:val="none"/>
          <w:u w:val="single"/>
        </w:rPr>
      </w:pPr>
      <w:r>
        <w:rPr>
          <w:rFonts w:hint="eastAsia" w:ascii="宋体" w:hAnsi="宋体" w:cs="宋体"/>
          <w:color w:val="auto"/>
          <w:szCs w:val="21"/>
          <w:highlight w:val="none"/>
        </w:rPr>
        <w:t>2.乙方所提供的货物出厂日期/生产日期必须为签订合同之前6个月内全新、未使用的原装正品，且在正常安装、使用和保养条件下，其使用寿命期内各项指标均达到质量要求。</w:t>
      </w:r>
    </w:p>
    <w:p w14:paraId="1DA8FF2D">
      <w:pPr>
        <w:snapToGrid w:val="0"/>
        <w:spacing w:line="360" w:lineRule="auto"/>
        <w:ind w:firstLine="422"/>
        <w:rPr>
          <w:rFonts w:ascii="宋体" w:hAnsi="宋体" w:cs="宋体"/>
          <w:color w:val="auto"/>
          <w:szCs w:val="21"/>
          <w:highlight w:val="none"/>
        </w:rPr>
      </w:pPr>
      <w:r>
        <w:rPr>
          <w:rFonts w:hint="eastAsia" w:ascii="宋体" w:hAnsi="宋体" w:cs="宋体"/>
          <w:b/>
          <w:color w:val="auto"/>
          <w:szCs w:val="21"/>
          <w:highlight w:val="none"/>
        </w:rPr>
        <w:t>第三条　权力保证</w:t>
      </w:r>
    </w:p>
    <w:p w14:paraId="6242809B">
      <w:pP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1.乙方应保证所提供货物在使用时不会侵犯任何第三方的专利权、商标权、工业设计权或其他权利。</w:t>
      </w:r>
    </w:p>
    <w:p w14:paraId="0B475947">
      <w:pP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2.乙方应按报价文件规定的时间向甲方提供使用货物的有关技术资料。</w:t>
      </w:r>
    </w:p>
    <w:p w14:paraId="2C9B8A60">
      <w:pP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7280BB66">
      <w:pP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4.乙方保证所交付的货物的所有权完全属于乙方且无任何抵押、质押、查封等产权瑕疵。</w:t>
      </w:r>
    </w:p>
    <w:p w14:paraId="47BFF7B1">
      <w:pPr>
        <w:snapToGrid w:val="0"/>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第四条　包装和运输</w:t>
      </w:r>
    </w:p>
    <w:p w14:paraId="5406C321">
      <w:pP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1.乙方提供的货物均应按报价文件要求的包装材料、包装标准、包装方式进行包装，每一包装单元内应附详细的装箱单、质量合格证和使用说明书。</w:t>
      </w:r>
    </w:p>
    <w:p w14:paraId="0DFF7CDE">
      <w:pP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2.货物的运输方式：</w:t>
      </w:r>
      <w:r>
        <w:rPr>
          <w:rFonts w:hint="eastAsia" w:ascii="宋体" w:hAnsi="宋体" w:cs="宋体"/>
          <w:color w:val="auto"/>
          <w:szCs w:val="21"/>
          <w:highlight w:val="none"/>
          <w:u w:val="single"/>
        </w:rPr>
        <w:t>乙方自定。</w:t>
      </w:r>
    </w:p>
    <w:p w14:paraId="589E454B">
      <w:pPr>
        <w:snapToGrid w:val="0"/>
        <w:spacing w:line="360" w:lineRule="auto"/>
        <w:ind w:firstLine="420"/>
        <w:rPr>
          <w:rFonts w:ascii="宋体" w:hAnsi="宋体" w:cs="宋体"/>
          <w:color w:val="auto"/>
          <w:szCs w:val="21"/>
          <w:highlight w:val="none"/>
          <w:u w:val="single"/>
        </w:rPr>
      </w:pPr>
      <w:r>
        <w:rPr>
          <w:rFonts w:hint="eastAsia" w:ascii="宋体" w:hAnsi="宋体" w:cs="宋体"/>
          <w:color w:val="auto"/>
          <w:szCs w:val="21"/>
          <w:highlight w:val="none"/>
        </w:rPr>
        <w:t>3.乙方负责货物运输，货物运输合理损耗及计算方法：</w:t>
      </w:r>
      <w:r>
        <w:rPr>
          <w:rFonts w:hint="eastAsia" w:ascii="宋体" w:hAnsi="宋体" w:cs="宋体"/>
          <w:color w:val="auto"/>
          <w:szCs w:val="21"/>
          <w:highlight w:val="none"/>
          <w:u w:val="single"/>
        </w:rPr>
        <w:t>无。</w:t>
      </w:r>
    </w:p>
    <w:p w14:paraId="2DCEBF42">
      <w:pPr>
        <w:snapToGrid w:val="0"/>
        <w:spacing w:line="360" w:lineRule="auto"/>
        <w:ind w:firstLine="422"/>
        <w:rPr>
          <w:rFonts w:ascii="宋体" w:hAnsi="宋体" w:cs="宋体"/>
          <w:color w:val="auto"/>
          <w:szCs w:val="21"/>
          <w:highlight w:val="none"/>
        </w:rPr>
      </w:pPr>
      <w:r>
        <w:rPr>
          <w:rFonts w:hint="eastAsia" w:ascii="宋体" w:hAnsi="宋体" w:cs="宋体"/>
          <w:b/>
          <w:color w:val="auto"/>
          <w:szCs w:val="21"/>
          <w:highlight w:val="none"/>
        </w:rPr>
        <w:t>第五条　交付和验收</w:t>
      </w:r>
    </w:p>
    <w:p w14:paraId="72FF9F3E">
      <w:pPr>
        <w:snapToGrid w:val="0"/>
        <w:spacing w:line="360" w:lineRule="auto"/>
        <w:ind w:firstLine="420"/>
        <w:rPr>
          <w:rFonts w:ascii="宋体" w:hAnsi="宋体" w:cs="宋体"/>
          <w:color w:val="auto"/>
          <w:szCs w:val="21"/>
          <w:highlight w:val="none"/>
          <w:u w:val="single"/>
        </w:rPr>
      </w:pPr>
      <w:r>
        <w:rPr>
          <w:rFonts w:hint="eastAsia" w:ascii="宋体" w:hAnsi="宋体" w:cs="宋体"/>
          <w:color w:val="auto"/>
          <w:szCs w:val="21"/>
          <w:highlight w:val="none"/>
        </w:rPr>
        <w:t>1.交货时间：</w:t>
      </w:r>
      <w:r>
        <w:rPr>
          <w:rFonts w:hint="eastAsia" w:ascii="宋体" w:hAnsi="宋体" w:cs="宋体"/>
          <w:color w:val="auto"/>
          <w:szCs w:val="21"/>
          <w:highlight w:val="none"/>
          <w:u w:val="single"/>
        </w:rPr>
        <w:t>自签订合同之日起30天内完成安装、调试、培训工作。</w:t>
      </w:r>
    </w:p>
    <w:p w14:paraId="0C14B041">
      <w:pP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地点：</w:t>
      </w:r>
      <w:r>
        <w:rPr>
          <w:rFonts w:hint="eastAsia" w:ascii="宋体" w:hAnsi="宋体" w:cs="宋体"/>
          <w:color w:val="auto"/>
          <w:szCs w:val="21"/>
          <w:highlight w:val="none"/>
          <w:u w:val="single"/>
        </w:rPr>
        <w:t>广西梧州藤县藤州镇藤县人民医院指定位置。</w:t>
      </w:r>
    </w:p>
    <w:p w14:paraId="497C30B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ar-SA"/>
        </w:rPr>
        <w:t>.</w:t>
      </w:r>
      <w:r>
        <w:rPr>
          <w:rFonts w:hint="eastAsia" w:ascii="宋体" w:hAnsi="宋体" w:cs="宋体"/>
          <w:color w:val="auto"/>
          <w:szCs w:val="21"/>
          <w:highlight w:val="none"/>
        </w:rPr>
        <w:t xml:space="preserve"> 乙方提供不符合公告规定的、采购文件、投标文件承诺的或本合同规定的货物，甲方有权拒绝接受。</w:t>
      </w:r>
    </w:p>
    <w:p w14:paraId="486E7913">
      <w:pP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3.乙方应将所提供货物的装箱清单、用户手册、原厂保修卡、随机资料、工具和备品、备件等交付给甲方，如有缺失应在一个星期内补齐，否则视为逾期交货。</w:t>
      </w:r>
    </w:p>
    <w:p w14:paraId="7427FE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 甲方应当在到货并安装、调试完后</w:t>
      </w:r>
      <w:bookmarkStart w:id="157" w:name="OLE_LINK12"/>
      <w:bookmarkStart w:id="158" w:name="OLE_LINK11"/>
      <w:r>
        <w:rPr>
          <w:rFonts w:hint="eastAsia" w:ascii="宋体" w:hAnsi="宋体" w:cs="宋体"/>
          <w:color w:val="auto"/>
          <w:szCs w:val="21"/>
          <w:highlight w:val="none"/>
        </w:rPr>
        <w:t>一个月内进行验收</w:t>
      </w:r>
      <w:bookmarkEnd w:id="157"/>
      <w:bookmarkEnd w:id="158"/>
      <w:r>
        <w:rPr>
          <w:rFonts w:hint="eastAsia" w:ascii="宋体" w:hAnsi="宋体" w:cs="宋体"/>
          <w:color w:val="auto"/>
          <w:szCs w:val="21"/>
          <w:highlight w:val="none"/>
        </w:rPr>
        <w:t>。验收合格后由甲乙双方签署货物验收单并加盖采购单位公章，甲乙双方各执一份。</w:t>
      </w:r>
    </w:p>
    <w:p w14:paraId="498413C1">
      <w:pPr>
        <w:adjustRightInd w:val="0"/>
        <w:snapToGrid w:val="0"/>
        <w:spacing w:after="200" w:line="500" w:lineRule="exact"/>
        <w:ind w:firstLine="420" w:firstLineChars="200"/>
        <w:jc w:val="left"/>
        <w:rPr>
          <w:rFonts w:ascii="宋体" w:hAnsi="宋体" w:cs="宋体"/>
          <w:b/>
          <w:bCs/>
          <w:color w:val="auto"/>
          <w:kern w:val="0"/>
          <w:sz w:val="24"/>
          <w:highlight w:val="none"/>
        </w:rPr>
      </w:pPr>
      <w:r>
        <w:rPr>
          <w:rFonts w:hint="eastAsia" w:ascii="宋体" w:hAnsi="宋体" w:cs="宋体"/>
          <w:color w:val="auto"/>
          <w:szCs w:val="21"/>
          <w:highlight w:val="none"/>
        </w:rPr>
        <w:t>5.对技术复杂</w:t>
      </w:r>
      <w:r>
        <w:rPr>
          <w:rFonts w:hint="eastAsia" w:ascii="宋体" w:hAnsi="宋体" w:cs="宋体"/>
          <w:color w:val="auto"/>
          <w:szCs w:val="21"/>
          <w:highlight w:val="none"/>
        </w:rPr>
        <w:t>或甲方认为有必要</w:t>
      </w:r>
      <w:r>
        <w:rPr>
          <w:rFonts w:hint="eastAsia" w:ascii="宋体" w:hAnsi="宋体" w:cs="宋体"/>
          <w:color w:val="auto"/>
          <w:szCs w:val="21"/>
          <w:highlight w:val="none"/>
        </w:rPr>
        <w:t>的货物，甲方</w:t>
      </w:r>
      <w:r>
        <w:rPr>
          <w:rFonts w:hint="eastAsia" w:ascii="宋体" w:hAnsi="宋体" w:cs="宋体"/>
          <w:color w:val="auto"/>
          <w:szCs w:val="21"/>
          <w:highlight w:val="none"/>
        </w:rPr>
        <w:t>可以委托</w:t>
      </w:r>
      <w:r>
        <w:rPr>
          <w:rFonts w:hint="eastAsia" w:ascii="宋体" w:hAnsi="宋体" w:cs="宋体"/>
          <w:color w:val="auto"/>
          <w:szCs w:val="21"/>
          <w:highlight w:val="none"/>
        </w:rPr>
        <w:t xml:space="preserve">国家认可的专业检测机构参与初步验收及最终验收，并由其出具质量检测报告。 </w:t>
      </w:r>
      <w:r>
        <w:rPr>
          <w:rFonts w:hint="eastAsia" w:ascii="宋体" w:hAnsi="宋体" w:cs="宋体"/>
          <w:color w:val="auto"/>
          <w:kern w:val="0"/>
          <w:szCs w:val="21"/>
          <w:highlight w:val="none"/>
        </w:rPr>
        <w:t>如验收不合格，相关检测费用由乙方承担；如验收合格，检测费用由甲方承担，双方另有约定的除外。</w:t>
      </w:r>
      <w:r>
        <w:rPr>
          <w:rFonts w:hint="eastAsia" w:ascii="宋体" w:hAnsi="宋体" w:cs="宋体"/>
          <w:color w:val="auto"/>
          <w:szCs w:val="21"/>
          <w:highlight w:val="none"/>
        </w:rPr>
        <w:t>其验收时间以该项目验收方案确定的验收时间为准，验收结果以该项目验收报告结论为准。</w:t>
      </w:r>
      <w:r>
        <w:rPr>
          <w:rFonts w:hint="eastAsia" w:ascii="宋体" w:hAnsi="宋体" w:cs="宋体"/>
          <w:b/>
          <w:bCs/>
          <w:color w:val="auto"/>
          <w:kern w:val="0"/>
          <w:sz w:val="24"/>
          <w:highlight w:val="none"/>
        </w:rPr>
        <w:t xml:space="preserve"> </w:t>
      </w:r>
    </w:p>
    <w:p w14:paraId="43B9D2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6.验收时甲乙方必须在现场，验收完毕后作出验收结果报告；验收费用由乙方负责。</w:t>
      </w:r>
    </w:p>
    <w:p w14:paraId="159865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 甲方对验收有异议的，在验收后五个工作日内以书面形式向乙方提出，乙方应自收到甲方书面异议后五日内及时予以解决。</w:t>
      </w:r>
    </w:p>
    <w:p w14:paraId="1538DA4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rPr>
        <w:t>在验收过程中发现乙方有违约问题，可暂缓资金结算，待违约问题解决后，方可办理资金结算事宜。</w:t>
      </w:r>
    </w:p>
    <w:p w14:paraId="74BCCF5A">
      <w:pPr>
        <w:snapToGrid w:val="0"/>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第六条　安装和培训</w:t>
      </w:r>
    </w:p>
    <w:p w14:paraId="34BFE5CE">
      <w:pP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1.甲方应提供必要安装条件（如场地、电源、水源等）。</w:t>
      </w:r>
    </w:p>
    <w:p w14:paraId="35E0FDF3">
      <w:pPr>
        <w:snapToGrid w:val="0"/>
        <w:spacing w:line="360" w:lineRule="auto"/>
        <w:ind w:firstLine="420"/>
        <w:rPr>
          <w:rFonts w:ascii="宋体" w:hAnsi="宋体" w:cs="宋体"/>
          <w:color w:val="auto"/>
          <w:szCs w:val="21"/>
          <w:highlight w:val="none"/>
          <w:u w:val="single"/>
        </w:rPr>
      </w:pPr>
      <w:r>
        <w:rPr>
          <w:rFonts w:hint="eastAsia" w:ascii="宋体" w:hAnsi="宋体" w:cs="宋体"/>
          <w:color w:val="auto"/>
          <w:szCs w:val="21"/>
          <w:highlight w:val="none"/>
        </w:rPr>
        <w:t>2.乙方负责甲方有关人员的培训。培训时间：</w:t>
      </w:r>
      <w:r>
        <w:rPr>
          <w:rFonts w:hint="eastAsia" w:ascii="宋体" w:hAnsi="宋体" w:cs="宋体"/>
          <w:color w:val="auto"/>
          <w:szCs w:val="21"/>
          <w:highlight w:val="none"/>
          <w:u w:val="single"/>
        </w:rPr>
        <w:t>货物到货经安装、调试、验收合格后</w:t>
      </w:r>
      <w:r>
        <w:rPr>
          <w:rFonts w:hint="eastAsia" w:ascii="宋体" w:hAnsi="宋体" w:cs="宋体"/>
          <w:color w:val="auto"/>
          <w:szCs w:val="21"/>
          <w:highlight w:val="none"/>
        </w:rPr>
        <w:t>、地点：</w:t>
      </w:r>
      <w:r>
        <w:rPr>
          <w:rFonts w:hint="eastAsia" w:ascii="宋体" w:hAnsi="宋体" w:cs="宋体"/>
          <w:color w:val="auto"/>
          <w:szCs w:val="21"/>
          <w:highlight w:val="none"/>
          <w:u w:val="single"/>
        </w:rPr>
        <w:t>藤县人民医院内。</w:t>
      </w:r>
    </w:p>
    <w:p w14:paraId="0DF9F0EF">
      <w:pPr>
        <w:snapToGrid w:val="0"/>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第七条  售后服务、质保期</w:t>
      </w:r>
    </w:p>
    <w:p w14:paraId="73E0B4EB">
      <w:pP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1.乙方应按照国家有关法律法规和“三包”规定以及响应文件和本合同所附的《服务承诺》，为甲方提供售后服务。</w:t>
      </w:r>
    </w:p>
    <w:p w14:paraId="701AAD17">
      <w:pPr>
        <w:snapToGrid w:val="0"/>
        <w:spacing w:line="360" w:lineRule="auto"/>
        <w:ind w:firstLine="420"/>
        <w:rPr>
          <w:rFonts w:ascii="宋体" w:hAnsi="宋体" w:cs="宋体"/>
          <w:color w:val="auto"/>
          <w:szCs w:val="21"/>
          <w:highlight w:val="none"/>
          <w:u w:val="single"/>
        </w:rPr>
      </w:pPr>
      <w:r>
        <w:rPr>
          <w:rFonts w:hint="eastAsia" w:ascii="宋体" w:hAnsi="宋体" w:cs="宋体"/>
          <w:color w:val="auto"/>
          <w:szCs w:val="21"/>
          <w:highlight w:val="none"/>
        </w:rPr>
        <w:t>2.货物质保期</w:t>
      </w:r>
      <w:r>
        <w:rPr>
          <w:rFonts w:hint="eastAsia" w:ascii="宋体" w:hAnsi="宋体" w:cs="宋体"/>
          <w:color w:val="auto"/>
          <w:szCs w:val="21"/>
          <w:highlight w:val="none"/>
          <w:u w:val="single"/>
        </w:rPr>
        <w:t>：         整机（含配件）质保期   年。质保期内，厂家应每年不少于 2 次对设备进行维护保养，设备出现故障，</w:t>
      </w:r>
      <w:bookmarkStart w:id="159" w:name="_Hlk223079830"/>
      <w:r>
        <w:rPr>
          <w:rFonts w:hint="eastAsia" w:ascii="宋体" w:hAnsi="宋体" w:cs="宋体"/>
          <w:color w:val="auto"/>
          <w:kern w:val="0"/>
          <w:szCs w:val="21"/>
          <w:highlight w:val="none"/>
          <w:u w:val="single"/>
        </w:rPr>
        <w:t>乙方在接到甲方通知后在24小时内</w:t>
      </w:r>
      <w:r>
        <w:rPr>
          <w:rFonts w:hint="eastAsia" w:ascii="宋体" w:hAnsi="宋体" w:cs="宋体"/>
          <w:color w:val="auto"/>
          <w:szCs w:val="21"/>
          <w:highlight w:val="none"/>
          <w:u w:val="single"/>
        </w:rPr>
        <w:t>须派出技术工程师到达甲方现场处理故障，承担一切费用，并提供备用产品。</w:t>
      </w:r>
      <w:r>
        <w:rPr>
          <w:rFonts w:hint="eastAsia" w:ascii="宋体" w:hAnsi="宋体" w:cs="宋体"/>
          <w:color w:val="auto"/>
          <w:kern w:val="0"/>
          <w:szCs w:val="21"/>
          <w:highlight w:val="none"/>
          <w:u w:val="single"/>
        </w:rPr>
        <w:t>若乙方未在约定时间内到达，每发生一次，应向甲方支付合同总价款 1% 的违约金。</w:t>
      </w:r>
      <w:bookmarkEnd w:id="159"/>
      <w:r>
        <w:rPr>
          <w:rFonts w:hint="eastAsia" w:ascii="宋体" w:hAnsi="宋体" w:cs="宋体"/>
          <w:color w:val="auto"/>
          <w:szCs w:val="21"/>
          <w:highlight w:val="none"/>
          <w:u w:val="single"/>
        </w:rPr>
        <w:t>质保期外</w:t>
      </w:r>
      <w:r>
        <w:rPr>
          <w:rFonts w:hint="eastAsia" w:ascii="宋体" w:hAnsi="宋体" w:cs="宋体"/>
          <w:color w:val="auto"/>
          <w:szCs w:val="21"/>
          <w:highlight w:val="none"/>
          <w:u w:val="single"/>
        </w:rPr>
        <w:t>乙方承诺提供免费维护维修服务，</w:t>
      </w:r>
      <w:r>
        <w:rPr>
          <w:rFonts w:hint="eastAsia" w:ascii="宋体" w:hAnsi="宋体" w:cs="宋体"/>
          <w:color w:val="auto"/>
          <w:kern w:val="0"/>
          <w:szCs w:val="21"/>
          <w:highlight w:val="none"/>
          <w:u w:val="single"/>
        </w:rPr>
        <w:t>维修时仅收取更换部件的成本费（成本费按乙方进货价或生产厂商出厂价确定，并需向甲方出示相关采购凭证），免收人工费、上门费、交通费等任何其他费用，同时提供产品“三包”服务。</w:t>
      </w:r>
      <w:r>
        <w:rPr>
          <w:rFonts w:hint="eastAsia" w:ascii="宋体" w:hAnsi="宋体" w:cs="宋体"/>
          <w:color w:val="auto"/>
          <w:szCs w:val="21"/>
          <w:highlight w:val="none"/>
          <w:u w:val="single"/>
        </w:rPr>
        <w:t>并保证备件如期供应。</w:t>
      </w:r>
    </w:p>
    <w:p w14:paraId="11BE4B37">
      <w:pPr>
        <w:snapToGrid w:val="0"/>
        <w:spacing w:line="360" w:lineRule="auto"/>
        <w:ind w:firstLine="420"/>
        <w:rPr>
          <w:rFonts w:ascii="宋体" w:hAnsi="宋体" w:cs="宋体"/>
          <w:color w:val="auto"/>
          <w:szCs w:val="21"/>
          <w:highlight w:val="none"/>
          <w:u w:val="single"/>
        </w:rPr>
      </w:pPr>
      <w:r>
        <w:rPr>
          <w:rFonts w:hint="eastAsia" w:ascii="宋体" w:hAnsi="宋体" w:cs="宋体"/>
          <w:color w:val="auto"/>
          <w:szCs w:val="21"/>
          <w:highlight w:val="none"/>
        </w:rPr>
        <w:t>3.乙方提供的服务承诺和售后服务及质保期责任等其它具体约定事项。（见合同附件）</w:t>
      </w:r>
    </w:p>
    <w:p w14:paraId="30FA56CD">
      <w:pPr>
        <w:snapToGrid w:val="0"/>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第八条　付款方式</w:t>
      </w:r>
    </w:p>
    <w:p w14:paraId="24768256">
      <w:pPr>
        <w:snapToGrid w:val="0"/>
        <w:spacing w:line="360" w:lineRule="auto"/>
        <w:ind w:firstLine="420"/>
        <w:rPr>
          <w:rFonts w:ascii="宋体" w:hAnsi="宋体" w:cs="宋体"/>
          <w:color w:val="auto"/>
          <w:szCs w:val="21"/>
          <w:highlight w:val="none"/>
        </w:rPr>
      </w:pPr>
      <w:r>
        <w:rPr>
          <w:rFonts w:hint="eastAsia" w:ascii="宋体" w:hAnsi="宋体" w:cs="宋体"/>
          <w:bCs/>
          <w:color w:val="auto"/>
          <w:szCs w:val="21"/>
          <w:highlight w:val="none"/>
        </w:rPr>
        <w:t>1.</w:t>
      </w:r>
      <w:r>
        <w:rPr>
          <w:rFonts w:hint="eastAsia" w:ascii="宋体" w:hAnsi="宋体" w:cs="宋体"/>
          <w:color w:val="auto"/>
          <w:szCs w:val="21"/>
          <w:highlight w:val="none"/>
        </w:rPr>
        <w:t>当采购数量与实际使用数量不一致时，乙方应根据实际使用量供货，合同的最终结算金额按实际使用量乘以成交单价进行计算。</w:t>
      </w:r>
    </w:p>
    <w:p w14:paraId="513B50F4">
      <w:pP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付款方式：(1)首期款（20%）：设备安装调试完成后，甲乙双方共同组织验收，验收合格且乙方提供符合国家税务规定的全额完税发票后20个工作日内，甲方支付合同总金额20%。(2)分期款（75%）：验收款支付完成后，甲方自次月起，凭乙方的请款函分12个月向乙方支付合同总金额的75%，分12个月平均支付。(3)设备尾款（5%）：乙方完全履行合同义务后，甲方凭乙方的请款函30个工作日内无息支付尾款5%。若质保期内设备出现质量问题，乙方未按约定维修或更换，甲方有权从尾款中扣除相应维修费用或损失赔偿款。</w:t>
      </w:r>
    </w:p>
    <w:p w14:paraId="5EC5AE7F">
      <w:pPr>
        <w:pStyle w:val="24"/>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第九条　</w:t>
      </w:r>
      <w:r>
        <w:rPr>
          <w:rFonts w:hint="eastAsia" w:hAnsi="宋体" w:cs="宋体"/>
          <w:bCs/>
          <w:color w:val="auto"/>
          <w:sz w:val="21"/>
          <w:highlight w:val="none"/>
        </w:rPr>
        <w:t>税费本合同执行中相关的一切税费均由乙方负担。</w:t>
      </w:r>
    </w:p>
    <w:p w14:paraId="6C434CF9">
      <w:pPr>
        <w:snapToGrid w:val="0"/>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第十条  质量保证</w:t>
      </w:r>
    </w:p>
    <w:p w14:paraId="50CE7C24">
      <w:pP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1.乙方应按报价规定的货物性能、技术要求、质量标准向甲方提供未经使用的全新产品。不符合要求者，可按以下办法处理：</w:t>
      </w:r>
    </w:p>
    <w:p w14:paraId="65962676">
      <w:pPr>
        <w:pStyle w:val="24"/>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退货处理：乙方应退还甲方支付的合同款，同时应承担该货物的直接费用（运输、保险、检验、货款利息及银行手续费等）。</w:t>
      </w:r>
    </w:p>
    <w:p w14:paraId="654DB154">
      <w:pPr>
        <w:pStyle w:val="24"/>
        <w:snapToGrid w:val="0"/>
        <w:spacing w:line="360" w:lineRule="auto"/>
        <w:ind w:firstLine="420"/>
        <w:rPr>
          <w:rFonts w:hAnsi="宋体" w:cs="宋体"/>
          <w:color w:val="auto"/>
          <w:sz w:val="21"/>
          <w:highlight w:val="none"/>
        </w:rPr>
      </w:pPr>
      <w:r>
        <w:rPr>
          <w:rFonts w:hint="eastAsia" w:hAnsi="宋体" w:cs="宋体"/>
          <w:color w:val="auto"/>
          <w:sz w:val="21"/>
          <w:highlight w:val="none"/>
        </w:rPr>
        <w:t>2.如在使用过程中发生质量问题，乙方在接到甲方通知后在</w:t>
      </w:r>
      <w:r>
        <w:rPr>
          <w:rFonts w:hint="eastAsia" w:hAnsi="宋体" w:cs="宋体"/>
          <w:color w:val="auto"/>
          <w:sz w:val="21"/>
          <w:highlight w:val="none"/>
          <w:u w:val="single"/>
        </w:rPr>
        <w:t>24</w:t>
      </w:r>
      <w:r>
        <w:rPr>
          <w:rFonts w:hint="eastAsia" w:hAnsi="宋体" w:cs="宋体"/>
          <w:color w:val="auto"/>
          <w:sz w:val="21"/>
          <w:highlight w:val="none"/>
        </w:rPr>
        <w:t>小时内到达甲方现场处理。</w:t>
      </w:r>
      <w:r>
        <w:rPr>
          <w:rFonts w:hint="eastAsia" w:hAnsi="宋体" w:cs="宋体"/>
          <w:color w:val="auto"/>
          <w:sz w:val="21"/>
          <w:highlight w:val="none"/>
        </w:rPr>
        <w:t>若乙方未在约定时间内到达，每发生一次，应向甲方支付合同总价款 1% 的违约金。</w:t>
      </w:r>
    </w:p>
    <w:p w14:paraId="3E69FFF6">
      <w:pPr>
        <w:pStyle w:val="24"/>
        <w:snapToGrid w:val="0"/>
        <w:spacing w:line="360" w:lineRule="auto"/>
        <w:ind w:firstLine="420"/>
        <w:rPr>
          <w:rFonts w:hAnsi="宋体" w:cs="宋体"/>
          <w:color w:val="auto"/>
          <w:sz w:val="21"/>
          <w:highlight w:val="none"/>
        </w:rPr>
      </w:pPr>
      <w:r>
        <w:rPr>
          <w:rFonts w:hint="eastAsia" w:hAnsi="宋体" w:cs="宋体"/>
          <w:color w:val="auto"/>
          <w:sz w:val="21"/>
          <w:highlight w:val="none"/>
        </w:rPr>
        <w:t>3.在质保期内，乙方应对货物出现的质量及安全问题负责处理解决并承担一切费用。</w:t>
      </w:r>
    </w:p>
    <w:p w14:paraId="0E984722">
      <w:pPr>
        <w:pStyle w:val="24"/>
        <w:snapToGrid w:val="0"/>
        <w:spacing w:line="360" w:lineRule="auto"/>
        <w:ind w:firstLine="413" w:firstLineChars="196"/>
        <w:rPr>
          <w:rFonts w:hAnsi="宋体" w:cs="宋体"/>
          <w:b/>
          <w:color w:val="auto"/>
          <w:sz w:val="21"/>
          <w:highlight w:val="none"/>
        </w:rPr>
      </w:pPr>
      <w:r>
        <w:rPr>
          <w:rFonts w:hint="eastAsia" w:hAnsi="宋体" w:cs="宋体"/>
          <w:b/>
          <w:color w:val="auto"/>
          <w:sz w:val="21"/>
          <w:highlight w:val="none"/>
        </w:rPr>
        <w:t>第十一条  货物包装、发运及运输</w:t>
      </w:r>
    </w:p>
    <w:p w14:paraId="42B06081">
      <w:pPr>
        <w:pStyle w:val="24"/>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1. 乙方应在货物发运前对其进行满足运输距离、防潮、防震、防锈和防破损装卸等要求包装，以保证货物安全运达甲方指定地点。</w:t>
      </w:r>
    </w:p>
    <w:p w14:paraId="7AA12A03">
      <w:pPr>
        <w:pStyle w:val="24"/>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 使用说明书、质量检验证明书、随配附件和工具以及清单一并附于货物内。</w:t>
      </w:r>
    </w:p>
    <w:p w14:paraId="54F4B09D">
      <w:pPr>
        <w:pStyle w:val="24"/>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3. 乙方在货物发运手续办理完毕后24小时内或货到甲方48小时前通知甲方，以准备接货。</w:t>
      </w:r>
    </w:p>
    <w:p w14:paraId="0A445918">
      <w:pPr>
        <w:pStyle w:val="24"/>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4. 货物在验收合格交付甲方使用前发生的所有风险均由乙方负责。</w:t>
      </w:r>
    </w:p>
    <w:p w14:paraId="101FC323">
      <w:pPr>
        <w:pStyle w:val="24"/>
        <w:snapToGrid w:val="0"/>
        <w:spacing w:line="360" w:lineRule="auto"/>
        <w:ind w:right="26" w:firstLine="420" w:firstLineChars="200"/>
        <w:rPr>
          <w:rFonts w:hAnsi="宋体" w:cs="宋体"/>
          <w:color w:val="auto"/>
          <w:spacing w:val="-8"/>
          <w:sz w:val="21"/>
          <w:highlight w:val="none"/>
        </w:rPr>
      </w:pPr>
      <w:r>
        <w:rPr>
          <w:rFonts w:hint="eastAsia" w:hAnsi="宋体" w:cs="宋体"/>
          <w:color w:val="auto"/>
          <w:sz w:val="21"/>
          <w:highlight w:val="none"/>
        </w:rPr>
        <w:t>5. 货</w:t>
      </w:r>
      <w:r>
        <w:rPr>
          <w:rFonts w:hint="eastAsia" w:hAnsi="宋体" w:cs="宋体"/>
          <w:color w:val="auto"/>
          <w:spacing w:val="-8"/>
          <w:sz w:val="21"/>
          <w:highlight w:val="none"/>
        </w:rPr>
        <w:t>物在规定的交付期限内由乙方送达甲方指定的地点，乙方同时需通知甲方货物已送达。</w:t>
      </w:r>
    </w:p>
    <w:p w14:paraId="35352462">
      <w:pPr>
        <w:snapToGrid w:val="0"/>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第十二条　违约责任</w:t>
      </w:r>
    </w:p>
    <w:p w14:paraId="67F7A5FB">
      <w:pPr>
        <w:snapToGrid w:val="0"/>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 xml:space="preserve">1.乙方所提供的货物规格、技术标准、材料等质量不合格存在质量问题的，甲方不予接收。                                       </w:t>
      </w:r>
    </w:p>
    <w:p w14:paraId="0275A128">
      <w:pPr>
        <w:snapToGrid w:val="0"/>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2.乙方提供的货物如侵犯了第三方合法权益而引发的任何纠纷或诉讼，均由乙方负责处理并承担全部责任。</w:t>
      </w:r>
    </w:p>
    <w:p w14:paraId="299D1FF3">
      <w:pPr>
        <w:snapToGrid w:val="0"/>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3.因包装、运输引起的货物损坏，按质量不合格处罚。</w:t>
      </w:r>
    </w:p>
    <w:p w14:paraId="21D36BE6">
      <w:pPr>
        <w:adjustRightInd w:val="0"/>
        <w:snapToGrid w:val="0"/>
        <w:spacing w:after="200" w:line="500" w:lineRule="exact"/>
        <w:ind w:firstLine="420" w:firstLineChars="200"/>
        <w:jc w:val="left"/>
        <w:rPr>
          <w:rFonts w:ascii="宋体" w:hAnsi="宋体" w:cs="宋体"/>
          <w:b/>
          <w:bCs/>
          <w:color w:val="auto"/>
          <w:kern w:val="0"/>
          <w:szCs w:val="21"/>
          <w:highlight w:val="none"/>
        </w:rPr>
      </w:pPr>
      <w:r>
        <w:rPr>
          <w:rFonts w:hint="eastAsia" w:ascii="宋体" w:hAnsi="宋体" w:cs="宋体"/>
          <w:color w:val="auto"/>
          <w:kern w:val="1"/>
          <w:szCs w:val="21"/>
          <w:highlight w:val="none"/>
        </w:rPr>
        <w:t>4.乙方逾期交货的，</w:t>
      </w:r>
      <w:r>
        <w:rPr>
          <w:rFonts w:hint="eastAsia" w:ascii="宋体" w:hAnsi="宋体" w:cs="宋体"/>
          <w:color w:val="auto"/>
          <w:kern w:val="0"/>
          <w:szCs w:val="21"/>
          <w:highlight w:val="none"/>
        </w:rPr>
        <w:t>每延迟一日，</w:t>
      </w:r>
      <w:r>
        <w:rPr>
          <w:rFonts w:hint="eastAsia" w:ascii="宋体" w:hAnsi="宋体" w:cs="宋体"/>
          <w:color w:val="auto"/>
          <w:kern w:val="1"/>
          <w:szCs w:val="21"/>
          <w:highlight w:val="none"/>
        </w:rPr>
        <w:t>每天向甲方偿付合同货款的3‰违约金，但违约金累计不得超过合同货款的5%，超过20天未交货的甲方有权</w:t>
      </w:r>
      <w:r>
        <w:rPr>
          <w:rFonts w:hint="eastAsia" w:ascii="宋体" w:hAnsi="宋体" w:cs="宋体"/>
          <w:color w:val="auto"/>
          <w:kern w:val="0"/>
          <w:szCs w:val="21"/>
          <w:highlight w:val="none"/>
        </w:rPr>
        <w:t>单方</w:t>
      </w:r>
      <w:r>
        <w:rPr>
          <w:rFonts w:hint="eastAsia" w:ascii="宋体" w:hAnsi="宋体" w:cs="宋体"/>
          <w:color w:val="auto"/>
          <w:kern w:val="1"/>
          <w:szCs w:val="21"/>
          <w:highlight w:val="none"/>
        </w:rPr>
        <w:t>解除合同，</w:t>
      </w:r>
      <w:r>
        <w:rPr>
          <w:rFonts w:hint="eastAsia" w:ascii="宋体" w:hAnsi="宋体" w:cs="宋体"/>
          <w:color w:val="auto"/>
          <w:kern w:val="0"/>
          <w:szCs w:val="21"/>
          <w:highlight w:val="none"/>
        </w:rPr>
        <w:t xml:space="preserve">并要求乙方支付合同总额20%的违约金，违约金不足以弥补甲方损失的，乙方还应赔偿甲方全部损失。 </w:t>
      </w:r>
    </w:p>
    <w:p w14:paraId="424F565A">
      <w:pPr>
        <w:snapToGrid w:val="0"/>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5.乙方未按本合同和报价文件中规定的服务承诺提供售后服务的，乙方应按本合同款额的5%向甲方支付违约金。</w:t>
      </w:r>
    </w:p>
    <w:p w14:paraId="0458D3FE">
      <w:pPr>
        <w:snapToGrid w:val="0"/>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6.乙方提供的货物在质量保证期内，因设计、工艺或材料的缺陷和其它质量原因产生的问题，由乙方负责解决，并赔偿因此给甲方造成的经济损失。</w:t>
      </w:r>
    </w:p>
    <w:p w14:paraId="131EF7D2">
      <w:pPr>
        <w:snapToGrid w:val="0"/>
        <w:spacing w:line="360" w:lineRule="auto"/>
        <w:ind w:firstLine="420"/>
        <w:rPr>
          <w:rFonts w:ascii="宋体" w:hAnsi="宋体" w:cs="宋体"/>
          <w:color w:val="auto"/>
          <w:kern w:val="1"/>
          <w:szCs w:val="21"/>
          <w:highlight w:val="none"/>
        </w:rPr>
      </w:pPr>
      <w:r>
        <w:rPr>
          <w:rFonts w:hint="eastAsia" w:ascii="宋体" w:hAnsi="宋体" w:cs="宋体"/>
          <w:color w:val="auto"/>
          <w:kern w:val="1"/>
          <w:szCs w:val="21"/>
          <w:highlight w:val="none"/>
        </w:rPr>
        <w:t>7.其它违约行为按合同货款额的5%收取违约金并赔偿甲方的经济损失。</w:t>
      </w:r>
    </w:p>
    <w:p w14:paraId="2CBD0D6C">
      <w:pPr>
        <w:snapToGrid w:val="0"/>
        <w:spacing w:line="360" w:lineRule="auto"/>
        <w:ind w:firstLine="420"/>
        <w:rPr>
          <w:rFonts w:ascii="宋体" w:hAnsi="宋体" w:cs="宋体"/>
          <w:color w:val="auto"/>
          <w:szCs w:val="21"/>
          <w:highlight w:val="none"/>
        </w:rPr>
      </w:pPr>
      <w:r>
        <w:rPr>
          <w:rFonts w:hint="eastAsia" w:ascii="宋体" w:hAnsi="宋体" w:cs="宋体"/>
          <w:color w:val="auto"/>
          <w:kern w:val="1"/>
          <w:szCs w:val="21"/>
          <w:highlight w:val="none"/>
        </w:rPr>
        <w:t>8.如因乙方的违约行为，甲方为维权所产生的诉讼费、保全费、保函费、律师费、差旅费、调查费等均由乙方承担。</w:t>
      </w:r>
    </w:p>
    <w:p w14:paraId="109472C7">
      <w:pPr>
        <w:pStyle w:val="24"/>
        <w:snapToGrid w:val="0"/>
        <w:spacing w:line="360" w:lineRule="auto"/>
        <w:ind w:firstLine="413" w:firstLineChars="196"/>
        <w:rPr>
          <w:rFonts w:hAnsi="宋体" w:cs="宋体"/>
          <w:b/>
          <w:color w:val="auto"/>
          <w:sz w:val="21"/>
          <w:highlight w:val="none"/>
        </w:rPr>
      </w:pPr>
      <w:r>
        <w:rPr>
          <w:rFonts w:hint="eastAsia" w:hAnsi="宋体" w:cs="宋体"/>
          <w:b/>
          <w:color w:val="auto"/>
          <w:sz w:val="21"/>
          <w:highlight w:val="none"/>
        </w:rPr>
        <w:t>第十三条  不可抗力事件处理</w:t>
      </w:r>
    </w:p>
    <w:p w14:paraId="2E34DA4E">
      <w:pPr>
        <w:pStyle w:val="24"/>
        <w:snapToGrid w:val="0"/>
        <w:spacing w:line="360" w:lineRule="auto"/>
        <w:ind w:firstLine="420"/>
        <w:rPr>
          <w:rFonts w:hAnsi="宋体" w:cs="宋体"/>
          <w:color w:val="auto"/>
          <w:sz w:val="21"/>
          <w:highlight w:val="none"/>
        </w:rPr>
      </w:pPr>
      <w:r>
        <w:rPr>
          <w:rFonts w:hint="eastAsia" w:hAnsi="宋体" w:cs="宋体"/>
          <w:color w:val="auto"/>
          <w:sz w:val="21"/>
          <w:highlight w:val="none"/>
        </w:rPr>
        <w:t>1. 在合同有效期内，任何一方因不可抗力事件导致不能履行合同，则合同履行期可延长，其延长期与不可抗力影响期相同。</w:t>
      </w:r>
    </w:p>
    <w:p w14:paraId="3482971A">
      <w:pPr>
        <w:pStyle w:val="24"/>
        <w:snapToGrid w:val="0"/>
        <w:spacing w:line="360" w:lineRule="auto"/>
        <w:ind w:firstLine="420"/>
        <w:rPr>
          <w:rFonts w:hAnsi="宋体" w:cs="宋体"/>
          <w:color w:val="auto"/>
          <w:sz w:val="21"/>
          <w:highlight w:val="none"/>
        </w:rPr>
      </w:pPr>
      <w:r>
        <w:rPr>
          <w:rFonts w:hint="eastAsia" w:hAnsi="宋体" w:cs="宋体"/>
          <w:color w:val="auto"/>
          <w:sz w:val="21"/>
          <w:highlight w:val="none"/>
        </w:rPr>
        <w:t>2. 不可抗力事件发生后，应立即通知对方，并寄送有关权威机构出具的证明。</w:t>
      </w:r>
    </w:p>
    <w:p w14:paraId="298440DC">
      <w:pPr>
        <w:pStyle w:val="24"/>
        <w:snapToGrid w:val="0"/>
        <w:spacing w:line="360" w:lineRule="auto"/>
        <w:ind w:firstLine="420"/>
        <w:rPr>
          <w:rFonts w:hAnsi="宋体" w:cs="宋体"/>
          <w:color w:val="auto"/>
          <w:sz w:val="21"/>
          <w:highlight w:val="none"/>
        </w:rPr>
      </w:pPr>
      <w:r>
        <w:rPr>
          <w:rFonts w:hint="eastAsia" w:hAnsi="宋体" w:cs="宋体"/>
          <w:color w:val="auto"/>
          <w:sz w:val="21"/>
          <w:highlight w:val="none"/>
        </w:rPr>
        <w:t>3. 不可抗力事件延续60天以上，双方应通过友好协商，确定是否继续履行合同。</w:t>
      </w:r>
    </w:p>
    <w:p w14:paraId="241E17C1">
      <w:pPr>
        <w:snapToGrid w:val="0"/>
        <w:spacing w:line="360" w:lineRule="auto"/>
        <w:ind w:firstLine="422"/>
        <w:rPr>
          <w:rFonts w:ascii="宋体" w:hAnsi="宋体" w:cs="宋体"/>
          <w:color w:val="auto"/>
          <w:szCs w:val="21"/>
          <w:highlight w:val="none"/>
        </w:rPr>
      </w:pPr>
      <w:r>
        <w:rPr>
          <w:rFonts w:hint="eastAsia" w:ascii="宋体" w:hAnsi="宋体" w:cs="宋体"/>
          <w:b/>
          <w:color w:val="auto"/>
          <w:szCs w:val="21"/>
          <w:highlight w:val="none"/>
        </w:rPr>
        <w:t>第十四条  合同争议解决</w:t>
      </w:r>
    </w:p>
    <w:p w14:paraId="6EDA4782">
      <w:pP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1.因货物质量问题发生争议的，应邀请国家认可的质量检测机构对货物质量进行鉴定。货物符合标准的，鉴定费由甲方承担；货物不符合标准的，鉴定费由乙方承担。</w:t>
      </w:r>
    </w:p>
    <w:p w14:paraId="600F1D5E">
      <w:pP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2.因履行本合同引起的或与本合同有关的争议，甲乙双方应首先通过友好协商解决，如果协商不能解决，可向甲方所在地人民法院提起诉讼。</w:t>
      </w:r>
    </w:p>
    <w:p w14:paraId="5401A33F">
      <w:pPr>
        <w:snapToGrid w:val="0"/>
        <w:spacing w:line="360" w:lineRule="auto"/>
        <w:ind w:firstLine="420"/>
        <w:rPr>
          <w:rFonts w:ascii="宋体" w:hAnsi="宋体" w:cs="宋体"/>
          <w:color w:val="auto"/>
          <w:kern w:val="0"/>
          <w:sz w:val="24"/>
          <w:highlight w:val="none"/>
        </w:rPr>
      </w:pPr>
      <w:r>
        <w:rPr>
          <w:rFonts w:hint="eastAsia" w:ascii="宋体" w:hAnsi="宋体" w:cs="宋体"/>
          <w:color w:val="auto"/>
          <w:szCs w:val="21"/>
          <w:highlight w:val="none"/>
        </w:rPr>
        <w:t>3.诉讼期间，</w:t>
      </w:r>
      <w:r>
        <w:rPr>
          <w:rFonts w:hint="eastAsia" w:ascii="宋体" w:hAnsi="宋体" w:cs="宋体"/>
          <w:color w:val="auto"/>
          <w:kern w:val="0"/>
          <w:szCs w:val="21"/>
          <w:highlight w:val="none"/>
        </w:rPr>
        <w:t>除涉及诉讼标的之条款外，不影响合同中其他无争议条款的继续履行。</w:t>
      </w:r>
    </w:p>
    <w:p w14:paraId="16B1A81C">
      <w:pPr>
        <w:snapToGrid w:val="0"/>
        <w:spacing w:line="360" w:lineRule="auto"/>
        <w:ind w:firstLine="420"/>
        <w:rPr>
          <w:rFonts w:hAnsi="宋体" w:cs="宋体"/>
          <w:color w:val="auto"/>
          <w:highlight w:val="none"/>
        </w:rPr>
      </w:pPr>
      <w:r>
        <w:rPr>
          <w:rFonts w:hint="eastAsia" w:ascii="宋体" w:hAnsi="宋体" w:cs="宋体"/>
          <w:b/>
          <w:color w:val="auto"/>
          <w:szCs w:val="21"/>
          <w:highlight w:val="none"/>
        </w:rPr>
        <w:t>第十五条  合同生效及其它</w:t>
      </w:r>
    </w:p>
    <w:p w14:paraId="74C1FC82">
      <w:pPr>
        <w:pStyle w:val="24"/>
        <w:snapToGrid w:val="0"/>
        <w:spacing w:line="360" w:lineRule="auto"/>
        <w:ind w:left="420" w:leftChars="200"/>
        <w:rPr>
          <w:rFonts w:hAnsi="宋体" w:cs="宋体"/>
          <w:bCs/>
          <w:color w:val="auto"/>
          <w:sz w:val="21"/>
          <w:highlight w:val="none"/>
        </w:rPr>
      </w:pPr>
      <w:r>
        <w:rPr>
          <w:rFonts w:hint="eastAsia" w:hAnsi="宋体" w:cs="宋体"/>
          <w:bCs/>
          <w:color w:val="auto"/>
          <w:sz w:val="21"/>
          <w:highlight w:val="none"/>
        </w:rPr>
        <w:t>1．合同经双方法定代表人或授权代表签字并加盖单位公章后生效。</w:t>
      </w:r>
    </w:p>
    <w:p w14:paraId="77F37A54">
      <w:pPr>
        <w:pStyle w:val="24"/>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2．本合同未尽事宜，遵照《中华人民共和国民法典》有关条文执行。</w:t>
      </w:r>
    </w:p>
    <w:p w14:paraId="1A9840EE">
      <w:pPr>
        <w:snapToGrid w:val="0"/>
        <w:spacing w:line="360" w:lineRule="auto"/>
        <w:ind w:firstLine="211" w:firstLineChars="100"/>
        <w:rPr>
          <w:rFonts w:ascii="宋体" w:hAnsi="宋体" w:cs="宋体"/>
          <w:b/>
          <w:color w:val="auto"/>
          <w:szCs w:val="21"/>
          <w:highlight w:val="none"/>
        </w:rPr>
      </w:pPr>
      <w:r>
        <w:rPr>
          <w:rFonts w:hint="eastAsia" w:ascii="宋体" w:hAnsi="宋体" w:cs="宋体"/>
          <w:b/>
          <w:color w:val="auto"/>
          <w:szCs w:val="21"/>
          <w:highlight w:val="none"/>
        </w:rPr>
        <w:t>第十六条　签订本合同依据</w:t>
      </w:r>
    </w:p>
    <w:p w14:paraId="627170B6">
      <w:pPr>
        <w:pStyle w:val="6"/>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1.政府采购招标文件；</w:t>
      </w:r>
    </w:p>
    <w:p w14:paraId="0563080C">
      <w:pPr>
        <w:pStyle w:val="6"/>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2.乙方提供的报价文件；</w:t>
      </w:r>
    </w:p>
    <w:p w14:paraId="1EEC8F72">
      <w:pPr>
        <w:pStyle w:val="6"/>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3.报价承诺书；</w:t>
      </w:r>
    </w:p>
    <w:p w14:paraId="07485312">
      <w:pPr>
        <w:pStyle w:val="6"/>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4.中标通知书。</w:t>
      </w:r>
    </w:p>
    <w:p w14:paraId="76B6CFF0">
      <w:pPr>
        <w:pStyle w:val="24"/>
        <w:snapToGrid w:val="0"/>
        <w:spacing w:line="360" w:lineRule="auto"/>
        <w:ind w:left="420" w:leftChars="200"/>
        <w:rPr>
          <w:rFonts w:hAnsi="宋体" w:cs="宋体"/>
          <w:color w:val="auto"/>
          <w:kern w:val="1"/>
          <w:sz w:val="21"/>
          <w:highlight w:val="none"/>
        </w:rPr>
      </w:pPr>
      <w:r>
        <w:rPr>
          <w:rFonts w:hint="eastAsia" w:hAnsi="宋体" w:cs="宋体"/>
          <w:color w:val="auto"/>
          <w:kern w:val="1"/>
          <w:sz w:val="21"/>
          <w:highlight w:val="none"/>
        </w:rPr>
        <w:t>5.资信证明</w:t>
      </w:r>
    </w:p>
    <w:p w14:paraId="43B350C3">
      <w:pPr>
        <w:pStyle w:val="24"/>
        <w:snapToGrid w:val="0"/>
        <w:spacing w:line="360" w:lineRule="auto"/>
        <w:ind w:left="420" w:leftChars="200"/>
        <w:rPr>
          <w:rFonts w:hAnsi="宋体" w:cs="宋体"/>
          <w:color w:val="auto"/>
          <w:kern w:val="1"/>
          <w:sz w:val="21"/>
          <w:highlight w:val="none"/>
        </w:rPr>
      </w:pPr>
      <w:r>
        <w:rPr>
          <w:rFonts w:hint="eastAsia" w:hAnsi="宋体" w:cs="宋体"/>
          <w:color w:val="auto"/>
          <w:kern w:val="1"/>
          <w:sz w:val="21"/>
          <w:highlight w:val="none"/>
        </w:rPr>
        <w:t>6.履约能力证明</w:t>
      </w:r>
    </w:p>
    <w:p w14:paraId="0419EDE9">
      <w:pPr>
        <w:snapToGrid w:val="0"/>
        <w:spacing w:line="360" w:lineRule="auto"/>
        <w:ind w:firstLine="422"/>
        <w:rPr>
          <w:rFonts w:ascii="宋体" w:hAnsi="宋体" w:cs="宋体"/>
          <w:color w:val="auto"/>
          <w:szCs w:val="21"/>
          <w:highlight w:val="none"/>
        </w:rPr>
      </w:pPr>
      <w:r>
        <w:rPr>
          <w:rFonts w:hint="eastAsia" w:ascii="宋体" w:hAnsi="宋体" w:cs="宋体"/>
          <w:b/>
          <w:color w:val="auto"/>
          <w:szCs w:val="21"/>
          <w:highlight w:val="none"/>
        </w:rPr>
        <w:t>第十七条　</w:t>
      </w:r>
      <w:r>
        <w:rPr>
          <w:rFonts w:hint="eastAsia" w:ascii="宋体" w:hAnsi="宋体" w:cs="宋体"/>
          <w:color w:val="auto"/>
          <w:szCs w:val="21"/>
          <w:highlight w:val="none"/>
        </w:rPr>
        <w:t>本合同一式捌份，具有同等法律效力。甲方伍份，乙方壹份，财政部门（政府采购监管部门）、采购代理机构各壹份。</w:t>
      </w:r>
    </w:p>
    <w:p w14:paraId="0517171D">
      <w:pP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本合同甲乙双方法定代表人签字盖章后生效。</w:t>
      </w:r>
    </w:p>
    <w:p w14:paraId="2613ECCC">
      <w:pPr>
        <w:pStyle w:val="46"/>
        <w:ind w:firstLine="210"/>
        <w:rPr>
          <w:color w:val="auto"/>
          <w:highlight w:val="none"/>
        </w:rPr>
      </w:pPr>
    </w:p>
    <w:tbl>
      <w:tblPr>
        <w:tblStyle w:val="49"/>
        <w:tblpPr w:leftFromText="180" w:rightFromText="180" w:vertAnchor="page" w:horzAnchor="page" w:tblpX="1211" w:tblpY="6012"/>
        <w:tblOverlap w:val="never"/>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79C57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0" w:hRule="atLeast"/>
        </w:trPr>
        <w:tc>
          <w:tcPr>
            <w:tcW w:w="4516" w:type="dxa"/>
            <w:vAlign w:val="center"/>
          </w:tcPr>
          <w:p w14:paraId="4B2E6417">
            <w:pP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甲方（章）           </w:t>
            </w:r>
          </w:p>
          <w:p w14:paraId="2FA2BC76">
            <w:pP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藤县人民医院</w:t>
            </w:r>
          </w:p>
          <w:p w14:paraId="5117F19D">
            <w:pPr>
              <w:snapToGrid w:val="0"/>
              <w:spacing w:line="360" w:lineRule="auto"/>
              <w:ind w:firstLine="945" w:firstLineChars="450"/>
              <w:jc w:val="right"/>
              <w:rPr>
                <w:rFonts w:ascii="宋体" w:hAnsi="宋体" w:cs="宋体"/>
                <w:color w:val="auto"/>
                <w:szCs w:val="21"/>
                <w:highlight w:val="none"/>
              </w:rPr>
            </w:pPr>
            <w:r>
              <w:rPr>
                <w:rFonts w:hint="eastAsia" w:ascii="宋体" w:hAnsi="宋体" w:cs="宋体"/>
                <w:color w:val="auto"/>
                <w:szCs w:val="21"/>
                <w:highlight w:val="none"/>
              </w:rPr>
              <w:t>2026年  月   日</w:t>
            </w:r>
          </w:p>
        </w:tc>
        <w:tc>
          <w:tcPr>
            <w:tcW w:w="4517" w:type="dxa"/>
            <w:vAlign w:val="center"/>
          </w:tcPr>
          <w:p w14:paraId="59014AB8">
            <w:pP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乙方（章）              </w:t>
            </w:r>
            <w:bookmarkStart w:id="168" w:name="_GoBack"/>
            <w:bookmarkEnd w:id="168"/>
          </w:p>
          <w:p w14:paraId="657FC905">
            <w:pPr>
              <w:snapToGrid w:val="0"/>
              <w:spacing w:line="360" w:lineRule="auto"/>
              <w:ind w:firstLine="420"/>
              <w:rPr>
                <w:rFonts w:ascii="宋体" w:hAnsi="宋体" w:cs="宋体"/>
                <w:color w:val="auto"/>
                <w:szCs w:val="21"/>
                <w:highlight w:val="none"/>
              </w:rPr>
            </w:pPr>
          </w:p>
          <w:p w14:paraId="0A732A8A">
            <w:pPr>
              <w:snapToGrid w:val="0"/>
              <w:spacing w:line="360" w:lineRule="auto"/>
              <w:ind w:firstLine="420"/>
              <w:jc w:val="center"/>
              <w:rPr>
                <w:rFonts w:ascii="宋体" w:hAnsi="宋体" w:cs="宋体"/>
                <w:color w:val="auto"/>
                <w:szCs w:val="21"/>
                <w:highlight w:val="none"/>
              </w:rPr>
            </w:pPr>
            <w:r>
              <w:rPr>
                <w:rFonts w:hint="eastAsia" w:ascii="宋体" w:hAnsi="宋体" w:cs="宋体"/>
                <w:color w:val="auto"/>
                <w:szCs w:val="21"/>
                <w:highlight w:val="none"/>
              </w:rPr>
              <w:t xml:space="preserve">       2026 年  月   日</w:t>
            </w:r>
          </w:p>
        </w:tc>
      </w:tr>
      <w:tr w14:paraId="02581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vAlign w:val="center"/>
          </w:tcPr>
          <w:p w14:paraId="5A5CB052">
            <w:pP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单位地址：藤县藤州镇藤州大道东10号</w:t>
            </w:r>
          </w:p>
        </w:tc>
        <w:tc>
          <w:tcPr>
            <w:tcW w:w="4517" w:type="dxa"/>
            <w:vAlign w:val="center"/>
          </w:tcPr>
          <w:p w14:paraId="1B363566">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单位地址：</w:t>
            </w:r>
          </w:p>
        </w:tc>
      </w:tr>
      <w:tr w14:paraId="7B56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516" w:type="dxa"/>
            <w:vAlign w:val="center"/>
          </w:tcPr>
          <w:p w14:paraId="5E9E51E3">
            <w:pP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法定代表人：</w:t>
            </w:r>
          </w:p>
        </w:tc>
        <w:tc>
          <w:tcPr>
            <w:tcW w:w="4517" w:type="dxa"/>
            <w:vAlign w:val="center"/>
          </w:tcPr>
          <w:p w14:paraId="4F65ED42">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w:t>
            </w:r>
          </w:p>
        </w:tc>
      </w:tr>
      <w:tr w14:paraId="66A8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516" w:type="dxa"/>
            <w:vAlign w:val="center"/>
          </w:tcPr>
          <w:p w14:paraId="700A3FCE">
            <w:pP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委托代理人：</w:t>
            </w:r>
          </w:p>
        </w:tc>
        <w:tc>
          <w:tcPr>
            <w:tcW w:w="4517" w:type="dxa"/>
            <w:vAlign w:val="center"/>
          </w:tcPr>
          <w:p w14:paraId="1CB86EED">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委托代理人：</w:t>
            </w:r>
          </w:p>
        </w:tc>
      </w:tr>
      <w:tr w14:paraId="27AF9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vAlign w:val="center"/>
          </w:tcPr>
          <w:p w14:paraId="496F6664">
            <w:pP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电话：0774-7282366</w:t>
            </w:r>
          </w:p>
        </w:tc>
        <w:tc>
          <w:tcPr>
            <w:tcW w:w="4517" w:type="dxa"/>
            <w:vAlign w:val="center"/>
          </w:tcPr>
          <w:p w14:paraId="7F8111B8">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电话：</w:t>
            </w:r>
          </w:p>
        </w:tc>
      </w:tr>
      <w:tr w14:paraId="059E8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4516" w:type="dxa"/>
            <w:vAlign w:val="center"/>
          </w:tcPr>
          <w:p w14:paraId="76AA8799">
            <w:pP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电子邮箱：txrmyy@163.com</w:t>
            </w:r>
          </w:p>
        </w:tc>
        <w:tc>
          <w:tcPr>
            <w:tcW w:w="4517" w:type="dxa"/>
            <w:vAlign w:val="center"/>
          </w:tcPr>
          <w:p w14:paraId="7A3FF359">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电子邮箱：</w:t>
            </w:r>
          </w:p>
        </w:tc>
      </w:tr>
      <w:tr w14:paraId="638AB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vAlign w:val="center"/>
          </w:tcPr>
          <w:p w14:paraId="50FFFDFE">
            <w:pP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开户银行：中国工商银行藤县支行</w:t>
            </w:r>
          </w:p>
        </w:tc>
        <w:tc>
          <w:tcPr>
            <w:tcW w:w="4517" w:type="dxa"/>
            <w:vAlign w:val="center"/>
          </w:tcPr>
          <w:p w14:paraId="5627BEF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开户银行：</w:t>
            </w:r>
          </w:p>
        </w:tc>
      </w:tr>
      <w:tr w14:paraId="73B98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vAlign w:val="center"/>
          </w:tcPr>
          <w:p w14:paraId="00023DBA">
            <w:pP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账号：2104308019201002784</w:t>
            </w:r>
          </w:p>
        </w:tc>
        <w:tc>
          <w:tcPr>
            <w:tcW w:w="4517" w:type="dxa"/>
            <w:vAlign w:val="center"/>
          </w:tcPr>
          <w:p w14:paraId="3F6E1743">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账号：</w:t>
            </w:r>
          </w:p>
        </w:tc>
      </w:tr>
      <w:tr w14:paraId="5DBE5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vAlign w:val="center"/>
          </w:tcPr>
          <w:p w14:paraId="0621353D">
            <w:pP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邮政编码：543300</w:t>
            </w:r>
          </w:p>
        </w:tc>
        <w:tc>
          <w:tcPr>
            <w:tcW w:w="4517" w:type="dxa"/>
            <w:vAlign w:val="center"/>
          </w:tcPr>
          <w:p w14:paraId="4426FA89">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邮政编码：</w:t>
            </w:r>
          </w:p>
        </w:tc>
      </w:tr>
      <w:tr w14:paraId="594BF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9033" w:type="dxa"/>
            <w:gridSpan w:val="2"/>
          </w:tcPr>
          <w:p w14:paraId="46991F7D">
            <w:pPr>
              <w:wordWrap w:val="0"/>
              <w:snapToGrid w:val="0"/>
              <w:spacing w:line="360" w:lineRule="auto"/>
              <w:ind w:right="240" w:firstLine="420"/>
              <w:rPr>
                <w:rFonts w:ascii="宋体" w:hAnsi="宋体" w:cs="宋体"/>
                <w:color w:val="auto"/>
                <w:szCs w:val="21"/>
                <w:highlight w:val="none"/>
              </w:rPr>
            </w:pPr>
            <w:r>
              <w:rPr>
                <w:rFonts w:hint="eastAsia" w:ascii="宋体" w:hAnsi="宋体" w:cs="宋体"/>
                <w:color w:val="auto"/>
                <w:szCs w:val="21"/>
                <w:highlight w:val="none"/>
              </w:rPr>
              <w:t>经办人：                                                2026  年   月    日</w:t>
            </w:r>
          </w:p>
        </w:tc>
      </w:tr>
    </w:tbl>
    <w:p w14:paraId="319D503F">
      <w:pPr>
        <w:snapToGrid w:val="0"/>
        <w:ind w:firstLine="422"/>
        <w:jc w:val="center"/>
        <w:rPr>
          <w:rFonts w:ascii="宋体" w:hAnsi="宋体"/>
          <w:b/>
          <w:color w:val="auto"/>
          <w:szCs w:val="21"/>
          <w:highlight w:val="none"/>
        </w:rPr>
      </w:pPr>
      <w:r>
        <w:rPr>
          <w:rFonts w:ascii="宋体" w:hAnsi="宋体"/>
          <w:bCs/>
          <w:color w:val="auto"/>
          <w:sz w:val="32"/>
          <w:szCs w:val="32"/>
          <w:highlight w:val="none"/>
        </w:rPr>
        <w:br w:type="page"/>
      </w:r>
      <w:r>
        <w:rPr>
          <w:rFonts w:ascii="宋体" w:hAnsi="宋体"/>
          <w:b/>
          <w:color w:val="auto"/>
          <w:szCs w:val="21"/>
          <w:highlight w:val="none"/>
        </w:rPr>
        <w:t>合 同 附 件</w:t>
      </w:r>
    </w:p>
    <w:p w14:paraId="6F4C4E2C">
      <w:pPr>
        <w:rPr>
          <w:rFonts w:ascii="宋体" w:hAnsi="宋体"/>
          <w:bCs/>
          <w:color w:val="auto"/>
          <w:sz w:val="32"/>
          <w:szCs w:val="32"/>
          <w:highlight w:val="none"/>
        </w:rPr>
      </w:pPr>
    </w:p>
    <w:tbl>
      <w:tblPr>
        <w:tblStyle w:val="49"/>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8"/>
        <w:gridCol w:w="4860"/>
      </w:tblGrid>
      <w:tr w14:paraId="49722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108" w:type="dxa"/>
            <w:gridSpan w:val="2"/>
            <w:tcBorders>
              <w:top w:val="single" w:color="auto" w:sz="4" w:space="0"/>
              <w:left w:val="single" w:color="auto" w:sz="4" w:space="0"/>
              <w:right w:val="single" w:color="auto" w:sz="4" w:space="0"/>
            </w:tcBorders>
            <w:vAlign w:val="center"/>
          </w:tcPr>
          <w:p w14:paraId="56EEC4A4">
            <w:pPr>
              <w:snapToGrid w:val="0"/>
              <w:ind w:firstLine="42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乙方</w:t>
            </w:r>
            <w:r>
              <w:rPr>
                <w:rFonts w:ascii="宋体" w:hAnsi="宋体"/>
                <w:color w:val="auto"/>
                <w:szCs w:val="21"/>
                <w:highlight w:val="none"/>
              </w:rPr>
              <w:t>承诺具体事项：</w:t>
            </w:r>
          </w:p>
        </w:tc>
      </w:tr>
      <w:tr w14:paraId="34A09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08" w:type="dxa"/>
            <w:gridSpan w:val="2"/>
            <w:tcBorders>
              <w:left w:val="single" w:color="auto" w:sz="4" w:space="0"/>
              <w:right w:val="single" w:color="auto" w:sz="4" w:space="0"/>
            </w:tcBorders>
            <w:vAlign w:val="center"/>
          </w:tcPr>
          <w:p w14:paraId="307965BF">
            <w:pPr>
              <w:snapToGrid w:val="0"/>
              <w:ind w:firstLine="420"/>
              <w:rPr>
                <w:rFonts w:ascii="宋体" w:hAnsi="宋体"/>
                <w:color w:val="auto"/>
                <w:szCs w:val="21"/>
                <w:highlight w:val="none"/>
              </w:rPr>
            </w:pPr>
            <w:r>
              <w:rPr>
                <w:rFonts w:hint="eastAsia" w:ascii="宋体" w:hAnsi="宋体"/>
                <w:color w:val="auto"/>
                <w:szCs w:val="21"/>
                <w:highlight w:val="none"/>
              </w:rPr>
              <w:t>见附件1</w:t>
            </w:r>
          </w:p>
        </w:tc>
      </w:tr>
      <w:tr w14:paraId="1AAE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108" w:type="dxa"/>
            <w:gridSpan w:val="2"/>
            <w:tcBorders>
              <w:top w:val="single" w:color="auto" w:sz="4" w:space="0"/>
              <w:left w:val="single" w:color="auto" w:sz="4" w:space="0"/>
              <w:right w:val="single" w:color="auto" w:sz="4" w:space="0"/>
            </w:tcBorders>
            <w:vAlign w:val="center"/>
          </w:tcPr>
          <w:p w14:paraId="45460818">
            <w:pPr>
              <w:snapToGrid w:val="0"/>
              <w:ind w:firstLine="420"/>
              <w:rPr>
                <w:rFonts w:ascii="宋体" w:hAnsi="宋体"/>
                <w:color w:val="auto"/>
                <w:szCs w:val="21"/>
                <w:highlight w:val="none"/>
              </w:rPr>
            </w:pPr>
            <w:r>
              <w:rPr>
                <w:rFonts w:ascii="宋体" w:hAnsi="宋体"/>
                <w:color w:val="auto"/>
                <w:szCs w:val="21"/>
                <w:highlight w:val="none"/>
              </w:rPr>
              <w:t>2、售后服务具体事项：</w:t>
            </w:r>
          </w:p>
        </w:tc>
      </w:tr>
      <w:tr w14:paraId="02ED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108" w:type="dxa"/>
            <w:gridSpan w:val="2"/>
            <w:tcBorders>
              <w:left w:val="single" w:color="auto" w:sz="4" w:space="0"/>
              <w:bottom w:val="single" w:color="auto" w:sz="4" w:space="0"/>
              <w:right w:val="single" w:color="auto" w:sz="4" w:space="0"/>
            </w:tcBorders>
            <w:vAlign w:val="center"/>
          </w:tcPr>
          <w:p w14:paraId="7B604045">
            <w:pPr>
              <w:snapToGrid w:val="0"/>
              <w:ind w:firstLine="420"/>
              <w:rPr>
                <w:rFonts w:ascii="宋体" w:hAnsi="宋体"/>
                <w:color w:val="auto"/>
                <w:szCs w:val="21"/>
                <w:highlight w:val="none"/>
              </w:rPr>
            </w:pPr>
            <w:r>
              <w:rPr>
                <w:rFonts w:hint="eastAsia" w:ascii="宋体" w:hAnsi="宋体"/>
                <w:color w:val="auto"/>
                <w:szCs w:val="21"/>
                <w:highlight w:val="none"/>
              </w:rPr>
              <w:t>见附件2</w:t>
            </w:r>
          </w:p>
        </w:tc>
      </w:tr>
      <w:tr w14:paraId="345B1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108" w:type="dxa"/>
            <w:gridSpan w:val="2"/>
            <w:tcBorders>
              <w:top w:val="single" w:color="auto" w:sz="4" w:space="0"/>
              <w:left w:val="single" w:color="auto" w:sz="4" w:space="0"/>
              <w:right w:val="single" w:color="auto" w:sz="4" w:space="0"/>
            </w:tcBorders>
            <w:vAlign w:val="center"/>
          </w:tcPr>
          <w:p w14:paraId="29751992">
            <w:pPr>
              <w:snapToGrid w:val="0"/>
              <w:ind w:firstLine="42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质保期</w:t>
            </w:r>
            <w:r>
              <w:rPr>
                <w:rFonts w:ascii="宋体" w:hAnsi="宋体"/>
                <w:color w:val="auto"/>
                <w:szCs w:val="21"/>
                <w:highlight w:val="none"/>
              </w:rPr>
              <w:t>责任：</w:t>
            </w:r>
          </w:p>
        </w:tc>
      </w:tr>
      <w:tr w14:paraId="5AA8D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108" w:type="dxa"/>
            <w:gridSpan w:val="2"/>
            <w:tcBorders>
              <w:left w:val="single" w:color="auto" w:sz="4" w:space="0"/>
              <w:bottom w:val="single" w:color="auto" w:sz="4" w:space="0"/>
              <w:right w:val="single" w:color="auto" w:sz="4" w:space="0"/>
            </w:tcBorders>
            <w:vAlign w:val="center"/>
          </w:tcPr>
          <w:p w14:paraId="434A214C">
            <w:pPr>
              <w:snapToGrid w:val="0"/>
              <w:ind w:firstLine="420"/>
              <w:rPr>
                <w:rFonts w:ascii="宋体" w:hAnsi="宋体"/>
                <w:color w:val="auto"/>
                <w:szCs w:val="21"/>
                <w:highlight w:val="none"/>
              </w:rPr>
            </w:pPr>
            <w:r>
              <w:rPr>
                <w:rFonts w:hint="eastAsia" w:ascii="宋体" w:hAnsi="宋体"/>
                <w:color w:val="auto"/>
                <w:szCs w:val="21"/>
                <w:highlight w:val="none"/>
              </w:rPr>
              <w:t>质保期：乙方签订合同时必须提供原厂加盖印章的</w:t>
            </w:r>
            <w:r>
              <w:rPr>
                <w:rFonts w:hint="eastAsia" w:ascii="宋体" w:hAnsi="宋体"/>
                <w:color w:val="auto"/>
                <w:szCs w:val="21"/>
                <w:highlight w:val="none"/>
                <w:u w:val="single"/>
              </w:rPr>
              <w:t xml:space="preserve">  </w:t>
            </w:r>
            <w:r>
              <w:rPr>
                <w:rFonts w:hint="eastAsia" w:ascii="宋体" w:hAnsi="宋体"/>
                <w:color w:val="auto"/>
                <w:szCs w:val="21"/>
                <w:highlight w:val="none"/>
              </w:rPr>
              <w:t>年保修承诺书。</w:t>
            </w:r>
            <w:r>
              <w:rPr>
                <w:rFonts w:hint="eastAsia" w:ascii="宋体" w:hAnsi="宋体" w:eastAsia="宋体" w:cs="宋体"/>
                <w:color w:val="auto"/>
                <w:sz w:val="21"/>
                <w:szCs w:val="21"/>
                <w:highlight w:val="none"/>
              </w:rPr>
              <w:t>（以乙方投标文件中实际承诺为准）</w:t>
            </w:r>
            <w:r>
              <w:rPr>
                <w:rFonts w:hint="eastAsia" w:ascii="宋体" w:hAnsi="宋体" w:eastAsia="宋体" w:cs="宋体"/>
                <w:color w:val="auto"/>
                <w:sz w:val="21"/>
                <w:szCs w:val="21"/>
                <w:highlight w:val="none"/>
                <w:lang w:eastAsia="zh-CN"/>
              </w:rPr>
              <w:t>，</w:t>
            </w:r>
            <w:r>
              <w:rPr>
                <w:rFonts w:hint="eastAsia" w:ascii="宋体" w:hAnsi="宋体"/>
                <w:color w:val="auto"/>
                <w:szCs w:val="21"/>
                <w:highlight w:val="none"/>
              </w:rPr>
              <w:t>（该售后承诺书应包含乙方承诺中标后能给甲方提供的最短的供货期限、退换货现场响应时间不超过</w:t>
            </w:r>
            <w:r>
              <w:rPr>
                <w:rFonts w:hint="eastAsia" w:ascii="宋体" w:hAnsi="宋体"/>
                <w:color w:val="auto"/>
                <w:szCs w:val="21"/>
                <w:highlight w:val="none"/>
                <w:u w:val="single"/>
              </w:rPr>
              <w:t xml:space="preserve">   </w:t>
            </w:r>
            <w:r>
              <w:rPr>
                <w:rFonts w:hint="eastAsia" w:ascii="宋体" w:hAnsi="宋体"/>
                <w:color w:val="auto"/>
                <w:szCs w:val="21"/>
                <w:highlight w:val="none"/>
              </w:rPr>
              <w:t>小时，出现不合格产品的处理措施、培训、技术支持服务能力的承诺、伴随服务、配送能力等）</w:t>
            </w:r>
          </w:p>
        </w:tc>
      </w:tr>
      <w:tr w14:paraId="0FD7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108" w:type="dxa"/>
            <w:gridSpan w:val="2"/>
            <w:tcBorders>
              <w:top w:val="single" w:color="auto" w:sz="4" w:space="0"/>
              <w:left w:val="single" w:color="auto" w:sz="4" w:space="0"/>
              <w:right w:val="single" w:color="auto" w:sz="4" w:space="0"/>
            </w:tcBorders>
            <w:vAlign w:val="center"/>
          </w:tcPr>
          <w:p w14:paraId="2D4A1595">
            <w:pPr>
              <w:snapToGrid w:val="0"/>
              <w:ind w:firstLine="420"/>
              <w:rPr>
                <w:rFonts w:ascii="宋体" w:hAnsi="宋体"/>
                <w:color w:val="auto"/>
                <w:szCs w:val="21"/>
                <w:highlight w:val="none"/>
              </w:rPr>
            </w:pPr>
            <w:r>
              <w:rPr>
                <w:rFonts w:ascii="宋体" w:hAnsi="宋体"/>
                <w:color w:val="auto"/>
                <w:szCs w:val="21"/>
                <w:highlight w:val="none"/>
              </w:rPr>
              <w:t>4、其他具体事项：</w:t>
            </w:r>
          </w:p>
        </w:tc>
      </w:tr>
      <w:tr w14:paraId="42E47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108" w:type="dxa"/>
            <w:gridSpan w:val="2"/>
            <w:tcBorders>
              <w:left w:val="single" w:color="auto" w:sz="4" w:space="0"/>
              <w:right w:val="single" w:color="auto" w:sz="4" w:space="0"/>
            </w:tcBorders>
            <w:vAlign w:val="center"/>
          </w:tcPr>
          <w:p w14:paraId="0EF1FC66">
            <w:pPr>
              <w:snapToGrid w:val="0"/>
              <w:ind w:firstLine="420"/>
              <w:rPr>
                <w:rFonts w:ascii="宋体" w:hAnsi="宋体"/>
                <w:color w:val="auto"/>
                <w:szCs w:val="21"/>
                <w:highlight w:val="none"/>
              </w:rPr>
            </w:pPr>
            <w:r>
              <w:rPr>
                <w:rFonts w:hint="eastAsia" w:ascii="宋体" w:hAnsi="宋体"/>
                <w:color w:val="auto"/>
                <w:szCs w:val="21"/>
                <w:highlight w:val="none"/>
              </w:rPr>
              <w:t>交付使用期：</w:t>
            </w:r>
            <w:r>
              <w:rPr>
                <w:rFonts w:hint="eastAsia" w:ascii="宋体" w:hAnsi="宋体"/>
                <w:color w:val="auto"/>
                <w:szCs w:val="21"/>
                <w:highlight w:val="none"/>
                <w:u w:val="single"/>
              </w:rPr>
              <w:t xml:space="preserve">    </w:t>
            </w:r>
            <w:r>
              <w:rPr>
                <w:rFonts w:hint="eastAsia" w:ascii="宋体" w:hAnsi="宋体"/>
                <w:color w:val="auto"/>
                <w:szCs w:val="21"/>
                <w:highlight w:val="none"/>
              </w:rPr>
              <w:t>日历天</w:t>
            </w:r>
          </w:p>
        </w:tc>
      </w:tr>
      <w:tr w14:paraId="77B2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trPr>
        <w:tc>
          <w:tcPr>
            <w:tcW w:w="4248" w:type="dxa"/>
            <w:tcBorders>
              <w:top w:val="single" w:color="auto" w:sz="4" w:space="0"/>
              <w:left w:val="single" w:color="auto" w:sz="4" w:space="0"/>
              <w:bottom w:val="single" w:color="auto" w:sz="4" w:space="0"/>
              <w:right w:val="single" w:color="auto" w:sz="4" w:space="0"/>
            </w:tcBorders>
            <w:vAlign w:val="center"/>
          </w:tcPr>
          <w:p w14:paraId="32CB0A7B">
            <w:pPr>
              <w:snapToGrid w:val="0"/>
              <w:ind w:firstLine="420"/>
              <w:rPr>
                <w:rFonts w:ascii="宋体" w:hAnsi="宋体"/>
                <w:color w:val="auto"/>
                <w:szCs w:val="21"/>
                <w:highlight w:val="none"/>
              </w:rPr>
            </w:pPr>
            <w:r>
              <w:rPr>
                <w:rFonts w:ascii="宋体" w:hAnsi="宋体"/>
                <w:color w:val="auto"/>
                <w:szCs w:val="21"/>
                <w:highlight w:val="none"/>
              </w:rPr>
              <w:t>甲方（章）</w:t>
            </w:r>
          </w:p>
          <w:p w14:paraId="0ED58A44">
            <w:pPr>
              <w:snapToGrid w:val="0"/>
              <w:ind w:firstLine="420"/>
              <w:rPr>
                <w:rFonts w:ascii="宋体" w:hAnsi="宋体"/>
                <w:color w:val="auto"/>
                <w:szCs w:val="21"/>
                <w:highlight w:val="none"/>
              </w:rPr>
            </w:pPr>
          </w:p>
          <w:p w14:paraId="45D1CBB4">
            <w:pPr>
              <w:snapToGrid w:val="0"/>
              <w:ind w:firstLine="420"/>
              <w:rPr>
                <w:rFonts w:ascii="宋体" w:hAnsi="宋体"/>
                <w:color w:val="auto"/>
                <w:szCs w:val="21"/>
                <w:highlight w:val="none"/>
              </w:rPr>
            </w:pPr>
          </w:p>
          <w:p w14:paraId="6A11F7D0">
            <w:pPr>
              <w:snapToGrid w:val="0"/>
              <w:ind w:firstLine="420"/>
              <w:rPr>
                <w:rFonts w:ascii="宋体" w:hAnsi="宋体"/>
                <w:color w:val="auto"/>
                <w:szCs w:val="21"/>
                <w:highlight w:val="none"/>
              </w:rPr>
            </w:pPr>
          </w:p>
          <w:p w14:paraId="459C146C">
            <w:pPr>
              <w:snapToGrid w:val="0"/>
              <w:ind w:firstLine="420"/>
              <w:rPr>
                <w:rFonts w:ascii="宋体" w:hAnsi="宋体"/>
                <w:color w:val="auto"/>
                <w:szCs w:val="21"/>
                <w:highlight w:val="none"/>
              </w:rPr>
            </w:pPr>
          </w:p>
          <w:p w14:paraId="5A4FEBED">
            <w:pPr>
              <w:snapToGrid w:val="0"/>
              <w:ind w:firstLine="420"/>
              <w:rPr>
                <w:rFonts w:ascii="宋体" w:hAnsi="宋体"/>
                <w:color w:val="auto"/>
                <w:szCs w:val="21"/>
                <w:highlight w:val="none"/>
              </w:rPr>
            </w:pPr>
          </w:p>
          <w:p w14:paraId="484867DA">
            <w:pPr>
              <w:snapToGrid w:val="0"/>
              <w:ind w:firstLine="420"/>
              <w:rPr>
                <w:rFonts w:ascii="宋体" w:hAnsi="宋体"/>
                <w:color w:val="auto"/>
                <w:szCs w:val="21"/>
                <w:highlight w:val="none"/>
              </w:rPr>
            </w:pPr>
          </w:p>
          <w:p w14:paraId="3F273A07">
            <w:pPr>
              <w:snapToGrid w:val="0"/>
              <w:ind w:firstLine="420"/>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2026</w:t>
            </w:r>
            <w:r>
              <w:rPr>
                <w:rFonts w:ascii="宋体" w:hAnsi="宋体"/>
                <w:color w:val="auto"/>
                <w:szCs w:val="21"/>
                <w:highlight w:val="none"/>
              </w:rPr>
              <w:t xml:space="preserve">年   月   日 </w:t>
            </w:r>
          </w:p>
        </w:tc>
        <w:tc>
          <w:tcPr>
            <w:tcW w:w="4860" w:type="dxa"/>
            <w:tcBorders>
              <w:top w:val="single" w:color="auto" w:sz="4" w:space="0"/>
              <w:left w:val="single" w:color="auto" w:sz="4" w:space="0"/>
              <w:bottom w:val="single" w:color="auto" w:sz="4" w:space="0"/>
              <w:right w:val="single" w:color="auto" w:sz="4" w:space="0"/>
            </w:tcBorders>
            <w:vAlign w:val="center"/>
          </w:tcPr>
          <w:p w14:paraId="0107F7E4">
            <w:pPr>
              <w:snapToGrid w:val="0"/>
              <w:ind w:firstLine="420"/>
              <w:rPr>
                <w:rFonts w:ascii="宋体" w:hAnsi="宋体"/>
                <w:color w:val="auto"/>
                <w:szCs w:val="21"/>
                <w:highlight w:val="none"/>
              </w:rPr>
            </w:pPr>
            <w:r>
              <w:rPr>
                <w:rFonts w:ascii="宋体" w:hAnsi="宋体"/>
                <w:color w:val="auto"/>
                <w:szCs w:val="21"/>
                <w:highlight w:val="none"/>
              </w:rPr>
              <w:t>乙方（章）</w:t>
            </w:r>
          </w:p>
          <w:p w14:paraId="6E20197D">
            <w:pPr>
              <w:snapToGrid w:val="0"/>
              <w:ind w:firstLine="420"/>
              <w:rPr>
                <w:rFonts w:ascii="宋体" w:hAnsi="宋体"/>
                <w:color w:val="auto"/>
                <w:szCs w:val="21"/>
                <w:highlight w:val="none"/>
              </w:rPr>
            </w:pPr>
          </w:p>
          <w:p w14:paraId="4D5FCE4F">
            <w:pPr>
              <w:snapToGrid w:val="0"/>
              <w:ind w:firstLine="420"/>
              <w:rPr>
                <w:rFonts w:ascii="宋体" w:hAnsi="宋体"/>
                <w:color w:val="auto"/>
                <w:szCs w:val="21"/>
                <w:highlight w:val="none"/>
              </w:rPr>
            </w:pPr>
          </w:p>
          <w:p w14:paraId="3F64200F">
            <w:pPr>
              <w:snapToGrid w:val="0"/>
              <w:ind w:firstLine="420"/>
              <w:rPr>
                <w:rFonts w:ascii="宋体" w:hAnsi="宋体"/>
                <w:color w:val="auto"/>
                <w:szCs w:val="21"/>
                <w:highlight w:val="none"/>
              </w:rPr>
            </w:pPr>
          </w:p>
          <w:p w14:paraId="2E75C92C">
            <w:pPr>
              <w:snapToGrid w:val="0"/>
              <w:ind w:firstLine="420"/>
              <w:rPr>
                <w:rFonts w:ascii="宋体" w:hAnsi="宋体"/>
                <w:color w:val="auto"/>
                <w:szCs w:val="21"/>
                <w:highlight w:val="none"/>
              </w:rPr>
            </w:pPr>
          </w:p>
          <w:p w14:paraId="12AA325D">
            <w:pPr>
              <w:snapToGrid w:val="0"/>
              <w:ind w:firstLine="420"/>
              <w:rPr>
                <w:rFonts w:ascii="宋体" w:hAnsi="宋体"/>
                <w:color w:val="auto"/>
                <w:szCs w:val="21"/>
                <w:highlight w:val="none"/>
              </w:rPr>
            </w:pPr>
          </w:p>
          <w:p w14:paraId="0B72D4AA">
            <w:pPr>
              <w:snapToGrid w:val="0"/>
              <w:ind w:firstLine="420"/>
              <w:rPr>
                <w:rFonts w:ascii="宋体" w:hAnsi="宋体"/>
                <w:color w:val="auto"/>
                <w:szCs w:val="21"/>
                <w:highlight w:val="none"/>
              </w:rPr>
            </w:pPr>
          </w:p>
          <w:p w14:paraId="5AEB30BA">
            <w:pPr>
              <w:snapToGrid w:val="0"/>
              <w:ind w:firstLine="420"/>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2026年  月   日</w:t>
            </w:r>
          </w:p>
        </w:tc>
      </w:tr>
    </w:tbl>
    <w:p w14:paraId="6FA2192F">
      <w:pPr>
        <w:pStyle w:val="17"/>
        <w:rPr>
          <w:color w:val="auto"/>
          <w:highlight w:val="none"/>
        </w:rPr>
      </w:pPr>
    </w:p>
    <w:p w14:paraId="0CF037CC">
      <w:pPr>
        <w:snapToGrid w:val="0"/>
        <w:jc w:val="center"/>
        <w:rPr>
          <w:rFonts w:ascii="宋体" w:hAnsi="宋体"/>
          <w:bCs/>
          <w:color w:val="auto"/>
          <w:sz w:val="32"/>
          <w:szCs w:val="32"/>
          <w:highlight w:val="none"/>
        </w:rPr>
      </w:pPr>
    </w:p>
    <w:p w14:paraId="4B3A2DD7">
      <w:pPr>
        <w:snapToGrid w:val="0"/>
        <w:jc w:val="center"/>
        <w:rPr>
          <w:rFonts w:ascii="宋体" w:hAnsi="宋体"/>
          <w:bCs/>
          <w:color w:val="auto"/>
          <w:sz w:val="32"/>
          <w:szCs w:val="32"/>
          <w:highlight w:val="none"/>
        </w:rPr>
      </w:pPr>
    </w:p>
    <w:p w14:paraId="58927DB2">
      <w:pPr>
        <w:snapToGrid w:val="0"/>
        <w:jc w:val="center"/>
        <w:rPr>
          <w:rFonts w:ascii="宋体" w:hAnsi="宋体"/>
          <w:bCs/>
          <w:color w:val="auto"/>
          <w:sz w:val="32"/>
          <w:szCs w:val="32"/>
          <w:highlight w:val="none"/>
        </w:rPr>
      </w:pPr>
    </w:p>
    <w:p w14:paraId="6BA6F7F5">
      <w:pPr>
        <w:snapToGrid w:val="0"/>
        <w:jc w:val="center"/>
        <w:rPr>
          <w:rFonts w:ascii="宋体" w:hAnsi="宋体"/>
          <w:bCs/>
          <w:color w:val="auto"/>
          <w:sz w:val="32"/>
          <w:szCs w:val="32"/>
          <w:highlight w:val="none"/>
        </w:rPr>
      </w:pPr>
    </w:p>
    <w:p w14:paraId="45B6A155">
      <w:pPr>
        <w:snapToGrid w:val="0"/>
        <w:jc w:val="center"/>
        <w:rPr>
          <w:rFonts w:ascii="宋体" w:hAnsi="宋体"/>
          <w:bCs/>
          <w:color w:val="auto"/>
          <w:sz w:val="32"/>
          <w:szCs w:val="32"/>
          <w:highlight w:val="none"/>
        </w:rPr>
      </w:pPr>
    </w:p>
    <w:p w14:paraId="7108EA28">
      <w:pPr>
        <w:snapToGrid w:val="0"/>
        <w:jc w:val="center"/>
        <w:rPr>
          <w:rFonts w:ascii="宋体" w:hAnsi="宋体"/>
          <w:bCs/>
          <w:color w:val="auto"/>
          <w:sz w:val="32"/>
          <w:szCs w:val="32"/>
          <w:highlight w:val="none"/>
        </w:rPr>
      </w:pPr>
    </w:p>
    <w:p w14:paraId="6979D9FB">
      <w:pPr>
        <w:snapToGrid w:val="0"/>
        <w:jc w:val="center"/>
        <w:rPr>
          <w:rFonts w:ascii="宋体" w:hAnsi="宋体"/>
          <w:bCs/>
          <w:color w:val="auto"/>
          <w:sz w:val="32"/>
          <w:szCs w:val="32"/>
          <w:highlight w:val="none"/>
        </w:rPr>
      </w:pPr>
    </w:p>
    <w:p w14:paraId="77B8463F">
      <w:pPr>
        <w:snapToGrid w:val="0"/>
        <w:jc w:val="center"/>
        <w:rPr>
          <w:rFonts w:ascii="宋体" w:hAnsi="宋体"/>
          <w:bCs/>
          <w:color w:val="auto"/>
          <w:sz w:val="32"/>
          <w:szCs w:val="32"/>
          <w:highlight w:val="none"/>
        </w:rPr>
      </w:pPr>
    </w:p>
    <w:p w14:paraId="5AE395F9">
      <w:pPr>
        <w:snapToGrid w:val="0"/>
        <w:jc w:val="center"/>
        <w:rPr>
          <w:rFonts w:ascii="宋体" w:hAnsi="宋体"/>
          <w:bCs/>
          <w:color w:val="auto"/>
          <w:sz w:val="32"/>
          <w:szCs w:val="32"/>
          <w:highlight w:val="none"/>
        </w:rPr>
      </w:pPr>
    </w:p>
    <w:p w14:paraId="5E0F37D6">
      <w:pPr>
        <w:snapToGrid w:val="0"/>
        <w:jc w:val="center"/>
        <w:rPr>
          <w:rFonts w:ascii="宋体" w:hAnsi="宋体"/>
          <w:bCs/>
          <w:color w:val="auto"/>
          <w:sz w:val="32"/>
          <w:szCs w:val="32"/>
          <w:highlight w:val="none"/>
        </w:rPr>
      </w:pPr>
    </w:p>
    <w:p w14:paraId="42DC96CD">
      <w:pPr>
        <w:snapToGrid w:val="0"/>
        <w:jc w:val="center"/>
        <w:rPr>
          <w:rFonts w:ascii="宋体" w:hAnsi="宋体"/>
          <w:bCs/>
          <w:color w:val="auto"/>
          <w:sz w:val="32"/>
          <w:szCs w:val="32"/>
          <w:highlight w:val="none"/>
        </w:rPr>
      </w:pPr>
    </w:p>
    <w:p w14:paraId="7D3F21FB">
      <w:pPr>
        <w:snapToGrid w:val="0"/>
        <w:jc w:val="center"/>
        <w:rPr>
          <w:rFonts w:ascii="宋体" w:hAnsi="宋体"/>
          <w:bCs/>
          <w:color w:val="auto"/>
          <w:sz w:val="32"/>
          <w:szCs w:val="32"/>
          <w:highlight w:val="none"/>
        </w:rPr>
      </w:pPr>
    </w:p>
    <w:p w14:paraId="30179570">
      <w:pPr>
        <w:pStyle w:val="17"/>
        <w:rPr>
          <w:rFonts w:ascii="宋体" w:hAnsi="宋体"/>
          <w:bCs/>
          <w:color w:val="auto"/>
          <w:sz w:val="32"/>
          <w:szCs w:val="32"/>
          <w:highlight w:val="none"/>
        </w:rPr>
      </w:pPr>
    </w:p>
    <w:p w14:paraId="1F18FD3E">
      <w:pPr>
        <w:pStyle w:val="17"/>
        <w:rPr>
          <w:rFonts w:ascii="宋体" w:hAnsi="宋体"/>
          <w:bCs/>
          <w:color w:val="auto"/>
          <w:sz w:val="32"/>
          <w:szCs w:val="32"/>
          <w:highlight w:val="none"/>
        </w:rPr>
      </w:pPr>
    </w:p>
    <w:p w14:paraId="1126BA9C">
      <w:pPr>
        <w:pStyle w:val="17"/>
        <w:rPr>
          <w:rFonts w:ascii="宋体" w:hAnsi="宋体"/>
          <w:bCs/>
          <w:color w:val="auto"/>
          <w:sz w:val="32"/>
          <w:szCs w:val="32"/>
          <w:highlight w:val="none"/>
        </w:rPr>
      </w:pPr>
    </w:p>
    <w:p w14:paraId="207CDBE2">
      <w:pPr>
        <w:rPr>
          <w:b/>
          <w:bCs/>
          <w:color w:val="auto"/>
          <w:sz w:val="24"/>
          <w:highlight w:val="none"/>
        </w:rPr>
      </w:pPr>
      <w:r>
        <w:rPr>
          <w:b/>
          <w:bCs/>
          <w:color w:val="auto"/>
          <w:sz w:val="24"/>
          <w:highlight w:val="none"/>
        </w:rPr>
        <w:t>附件1</w:t>
      </w:r>
    </w:p>
    <w:p w14:paraId="2C675045">
      <w:pPr>
        <w:jc w:val="center"/>
        <w:rPr>
          <w:b/>
          <w:bCs/>
          <w:color w:val="auto"/>
          <w:sz w:val="30"/>
          <w:szCs w:val="30"/>
          <w:highlight w:val="none"/>
        </w:rPr>
      </w:pPr>
      <w:r>
        <w:rPr>
          <w:b/>
          <w:bCs/>
          <w:color w:val="auto"/>
          <w:sz w:val="30"/>
          <w:szCs w:val="30"/>
          <w:highlight w:val="none"/>
        </w:rPr>
        <w:t>供应商承诺书</w:t>
      </w:r>
    </w:p>
    <w:p w14:paraId="20EB80A8">
      <w:pPr>
        <w:spacing w:line="245" w:lineRule="auto"/>
        <w:rPr>
          <w:rFonts w:ascii="Arial"/>
          <w:color w:val="auto"/>
          <w:highlight w:val="none"/>
        </w:rPr>
      </w:pPr>
    </w:p>
    <w:p w14:paraId="5697009E">
      <w:pPr>
        <w:spacing w:line="245" w:lineRule="auto"/>
        <w:rPr>
          <w:rFonts w:ascii="Arial"/>
          <w:color w:val="auto"/>
          <w:highlight w:val="none"/>
        </w:rPr>
      </w:pPr>
    </w:p>
    <w:p w14:paraId="5648193E">
      <w:pPr>
        <w:spacing w:line="245" w:lineRule="auto"/>
        <w:rPr>
          <w:rFonts w:ascii="Arial"/>
          <w:color w:val="auto"/>
          <w:highlight w:val="none"/>
        </w:rPr>
      </w:pPr>
    </w:p>
    <w:p w14:paraId="0961C75C">
      <w:pPr>
        <w:spacing w:line="360" w:lineRule="auto"/>
        <w:ind w:firstLine="560" w:firstLineChars="200"/>
        <w:rPr>
          <w:color w:val="auto"/>
          <w:sz w:val="28"/>
          <w:szCs w:val="28"/>
          <w:highlight w:val="none"/>
        </w:rPr>
      </w:pPr>
      <w:r>
        <w:rPr>
          <w:color w:val="auto"/>
          <w:sz w:val="28"/>
          <w:szCs w:val="28"/>
          <w:highlight w:val="none"/>
        </w:rPr>
        <w:t>为确保设备的质量，保证设备的安全、有效。我方严格遵守各项法律法规，确保产品经销操作规程的有效性，并对所销售的设备质量向你们作如下承诺</w:t>
      </w:r>
    </w:p>
    <w:p w14:paraId="78BD57C3">
      <w:pPr>
        <w:spacing w:line="360" w:lineRule="auto"/>
        <w:rPr>
          <w:color w:val="auto"/>
          <w:sz w:val="28"/>
          <w:szCs w:val="28"/>
          <w:highlight w:val="none"/>
        </w:rPr>
      </w:pPr>
      <w:r>
        <w:rPr>
          <w:rFonts w:hint="eastAsia"/>
          <w:color w:val="auto"/>
          <w:sz w:val="28"/>
          <w:szCs w:val="28"/>
          <w:highlight w:val="none"/>
        </w:rPr>
        <w:t>1、</w:t>
      </w:r>
      <w:r>
        <w:rPr>
          <w:color w:val="auto"/>
          <w:sz w:val="28"/>
          <w:szCs w:val="28"/>
          <w:highlight w:val="none"/>
        </w:rPr>
        <w:t>我方所从事设备销售具有设备经营许可证、设备产品注册证：</w:t>
      </w:r>
    </w:p>
    <w:p w14:paraId="6AE551C1">
      <w:pPr>
        <w:spacing w:line="360" w:lineRule="auto"/>
        <w:rPr>
          <w:color w:val="auto"/>
          <w:sz w:val="28"/>
          <w:szCs w:val="28"/>
          <w:highlight w:val="none"/>
        </w:rPr>
      </w:pPr>
      <w:r>
        <w:rPr>
          <w:rFonts w:hint="eastAsia"/>
          <w:color w:val="auto"/>
          <w:sz w:val="28"/>
          <w:szCs w:val="28"/>
          <w:highlight w:val="none"/>
        </w:rPr>
        <w:t>2、</w:t>
      </w:r>
      <w:r>
        <w:rPr>
          <w:color w:val="auto"/>
          <w:sz w:val="28"/>
          <w:szCs w:val="28"/>
          <w:highlight w:val="none"/>
        </w:rPr>
        <w:t>我方所提供的设备符合国家质量标准，全部为全新合格产品；</w:t>
      </w:r>
    </w:p>
    <w:p w14:paraId="41763540">
      <w:pPr>
        <w:spacing w:line="360" w:lineRule="auto"/>
        <w:rPr>
          <w:color w:val="auto"/>
          <w:sz w:val="28"/>
          <w:szCs w:val="28"/>
          <w:highlight w:val="none"/>
        </w:rPr>
      </w:pPr>
      <w:r>
        <w:rPr>
          <w:color w:val="auto"/>
          <w:sz w:val="28"/>
          <w:szCs w:val="28"/>
          <w:highlight w:val="none"/>
        </w:rPr>
        <w:t>3、我方所提供的设备均提供规范的售后服务；</w:t>
      </w:r>
    </w:p>
    <w:p w14:paraId="0158BD0C">
      <w:pPr>
        <w:spacing w:line="360" w:lineRule="auto"/>
        <w:rPr>
          <w:color w:val="auto"/>
          <w:sz w:val="28"/>
          <w:szCs w:val="28"/>
          <w:highlight w:val="none"/>
        </w:rPr>
      </w:pPr>
      <w:r>
        <w:rPr>
          <w:color w:val="auto"/>
          <w:sz w:val="28"/>
          <w:szCs w:val="28"/>
          <w:highlight w:val="none"/>
        </w:rPr>
        <w:t>4</w:t>
      </w:r>
      <w:r>
        <w:rPr>
          <w:rFonts w:hint="eastAsia"/>
          <w:color w:val="auto"/>
          <w:sz w:val="28"/>
          <w:szCs w:val="28"/>
          <w:highlight w:val="none"/>
        </w:rPr>
        <w:t>、</w:t>
      </w:r>
      <w:r>
        <w:rPr>
          <w:color w:val="auto"/>
          <w:sz w:val="28"/>
          <w:szCs w:val="28"/>
          <w:highlight w:val="none"/>
        </w:rPr>
        <w:t>我方一旦发现产品质量问题，将及时通知你们并采取相应的召回等处理措施</w:t>
      </w:r>
      <w:r>
        <w:rPr>
          <w:rFonts w:hint="eastAsia"/>
          <w:color w:val="auto"/>
          <w:sz w:val="28"/>
          <w:szCs w:val="28"/>
          <w:highlight w:val="none"/>
        </w:rPr>
        <w:t>，</w:t>
      </w:r>
      <w:r>
        <w:rPr>
          <w:color w:val="auto"/>
          <w:sz w:val="28"/>
          <w:szCs w:val="28"/>
          <w:highlight w:val="none"/>
        </w:rPr>
        <w:t>以确保用户的利益和安全。</w:t>
      </w:r>
    </w:p>
    <w:p w14:paraId="7DC39E08">
      <w:pPr>
        <w:spacing w:line="360" w:lineRule="auto"/>
        <w:rPr>
          <w:color w:val="auto"/>
          <w:sz w:val="28"/>
          <w:szCs w:val="28"/>
          <w:highlight w:val="none"/>
        </w:rPr>
      </w:pPr>
      <w:r>
        <w:rPr>
          <w:color w:val="auto"/>
          <w:sz w:val="28"/>
          <w:szCs w:val="28"/>
          <w:highlight w:val="none"/>
        </w:rPr>
        <w:t>5、本质量保证书长期有效。</w:t>
      </w:r>
    </w:p>
    <w:p w14:paraId="1B4A7E8B">
      <w:pPr>
        <w:spacing w:line="360" w:lineRule="auto"/>
        <w:ind w:firstLine="3640" w:firstLineChars="1300"/>
        <w:rPr>
          <w:color w:val="auto"/>
          <w:sz w:val="28"/>
          <w:szCs w:val="28"/>
          <w:highlight w:val="none"/>
        </w:rPr>
      </w:pPr>
      <w:r>
        <w:rPr>
          <w:color w:val="auto"/>
          <w:sz w:val="28"/>
          <w:szCs w:val="28"/>
          <w:highlight w:val="none"/>
        </w:rPr>
        <w:t>承诺单位：</w:t>
      </w:r>
    </w:p>
    <w:p w14:paraId="2B143DFA">
      <w:pPr>
        <w:spacing w:line="360" w:lineRule="auto"/>
        <w:jc w:val="center"/>
        <w:rPr>
          <w:color w:val="auto"/>
          <w:sz w:val="28"/>
          <w:szCs w:val="28"/>
          <w:highlight w:val="none"/>
        </w:rPr>
      </w:pPr>
      <w:r>
        <w:rPr>
          <w:rFonts w:hint="eastAsia"/>
          <w:color w:val="auto"/>
          <w:sz w:val="28"/>
          <w:szCs w:val="28"/>
          <w:highlight w:val="none"/>
        </w:rPr>
        <w:t xml:space="preserve">     </w:t>
      </w:r>
      <w:r>
        <w:rPr>
          <w:color w:val="auto"/>
          <w:sz w:val="28"/>
          <w:szCs w:val="28"/>
          <w:highlight w:val="none"/>
        </w:rPr>
        <w:t>承诺单位法定代表人：</w:t>
      </w:r>
    </w:p>
    <w:p w14:paraId="5E052A00">
      <w:pPr>
        <w:spacing w:line="360" w:lineRule="auto"/>
        <w:jc w:val="center"/>
        <w:rPr>
          <w:color w:val="auto"/>
          <w:sz w:val="28"/>
          <w:szCs w:val="28"/>
          <w:highlight w:val="none"/>
        </w:rPr>
      </w:pPr>
      <w:r>
        <w:rPr>
          <w:rFonts w:hint="eastAsia"/>
          <w:color w:val="auto"/>
          <w:sz w:val="28"/>
          <w:szCs w:val="28"/>
          <w:highlight w:val="none"/>
        </w:rPr>
        <w:t xml:space="preserve">   </w:t>
      </w:r>
      <w:r>
        <w:rPr>
          <w:color w:val="auto"/>
          <w:sz w:val="28"/>
          <w:szCs w:val="28"/>
          <w:highlight w:val="none"/>
        </w:rPr>
        <w:t xml:space="preserve">2 0 2 </w:t>
      </w:r>
      <w:r>
        <w:rPr>
          <w:rFonts w:hint="eastAsia"/>
          <w:color w:val="auto"/>
          <w:sz w:val="28"/>
          <w:szCs w:val="28"/>
          <w:highlight w:val="none"/>
        </w:rPr>
        <w:t>6</w:t>
      </w:r>
      <w:r>
        <w:rPr>
          <w:color w:val="auto"/>
          <w:sz w:val="28"/>
          <w:szCs w:val="28"/>
          <w:highlight w:val="none"/>
        </w:rPr>
        <w:t xml:space="preserve"> 年 </w:t>
      </w:r>
      <w:r>
        <w:rPr>
          <w:rFonts w:hint="eastAsia"/>
          <w:color w:val="auto"/>
          <w:sz w:val="28"/>
          <w:szCs w:val="28"/>
          <w:highlight w:val="none"/>
        </w:rPr>
        <w:t xml:space="preserve">   </w:t>
      </w:r>
      <w:r>
        <w:rPr>
          <w:color w:val="auto"/>
          <w:sz w:val="28"/>
          <w:szCs w:val="28"/>
          <w:highlight w:val="none"/>
        </w:rPr>
        <w:t xml:space="preserve">月 </w:t>
      </w:r>
      <w:r>
        <w:rPr>
          <w:rFonts w:hint="eastAsia"/>
          <w:color w:val="auto"/>
          <w:sz w:val="28"/>
          <w:szCs w:val="28"/>
          <w:highlight w:val="none"/>
        </w:rPr>
        <w:t xml:space="preserve">  </w:t>
      </w:r>
      <w:r>
        <w:rPr>
          <w:color w:val="auto"/>
          <w:sz w:val="28"/>
          <w:szCs w:val="28"/>
          <w:highlight w:val="none"/>
        </w:rPr>
        <w:t>日</w:t>
      </w:r>
    </w:p>
    <w:p w14:paraId="6A2C6C26">
      <w:pPr>
        <w:spacing w:before="1" w:line="360" w:lineRule="auto"/>
        <w:jc w:val="center"/>
        <w:rPr>
          <w:color w:val="auto"/>
          <w:sz w:val="28"/>
          <w:szCs w:val="28"/>
          <w:highlight w:val="none"/>
        </w:rPr>
      </w:pPr>
    </w:p>
    <w:p w14:paraId="5B644A49">
      <w:pPr>
        <w:spacing w:before="1" w:line="570" w:lineRule="exact"/>
        <w:jc w:val="left"/>
        <w:rPr>
          <w:color w:val="auto"/>
          <w:highlight w:val="none"/>
        </w:rPr>
      </w:pPr>
    </w:p>
    <w:p w14:paraId="4689B409">
      <w:pPr>
        <w:spacing w:before="1" w:line="570" w:lineRule="exact"/>
        <w:jc w:val="left"/>
        <w:rPr>
          <w:color w:val="auto"/>
          <w:highlight w:val="none"/>
        </w:rPr>
      </w:pPr>
    </w:p>
    <w:p w14:paraId="52843CD3">
      <w:pPr>
        <w:rPr>
          <w:b/>
          <w:bCs/>
          <w:color w:val="auto"/>
          <w:highlight w:val="none"/>
        </w:rPr>
      </w:pPr>
    </w:p>
    <w:p w14:paraId="1A89C992">
      <w:pPr>
        <w:rPr>
          <w:b/>
          <w:bCs/>
          <w:color w:val="auto"/>
          <w:highlight w:val="none"/>
        </w:rPr>
      </w:pPr>
    </w:p>
    <w:p w14:paraId="77E1EFC1">
      <w:pPr>
        <w:rPr>
          <w:b/>
          <w:bCs/>
          <w:color w:val="auto"/>
          <w:highlight w:val="none"/>
        </w:rPr>
      </w:pPr>
    </w:p>
    <w:p w14:paraId="3B402C15">
      <w:pPr>
        <w:rPr>
          <w:b/>
          <w:bCs/>
          <w:color w:val="auto"/>
          <w:highlight w:val="none"/>
        </w:rPr>
      </w:pPr>
    </w:p>
    <w:p w14:paraId="025F8192">
      <w:pPr>
        <w:rPr>
          <w:b/>
          <w:bCs/>
          <w:color w:val="auto"/>
          <w:highlight w:val="none"/>
        </w:rPr>
      </w:pPr>
    </w:p>
    <w:p w14:paraId="51D0D108">
      <w:pPr>
        <w:rPr>
          <w:b/>
          <w:bCs/>
          <w:color w:val="auto"/>
          <w:highlight w:val="none"/>
        </w:rPr>
      </w:pPr>
    </w:p>
    <w:p w14:paraId="0174FEDC">
      <w:pPr>
        <w:rPr>
          <w:b/>
          <w:bCs/>
          <w:color w:val="auto"/>
          <w:highlight w:val="none"/>
        </w:rPr>
      </w:pPr>
    </w:p>
    <w:p w14:paraId="366D74F5">
      <w:pPr>
        <w:rPr>
          <w:b/>
          <w:bCs/>
          <w:color w:val="auto"/>
          <w:highlight w:val="none"/>
        </w:rPr>
      </w:pPr>
    </w:p>
    <w:p w14:paraId="618B4FB3">
      <w:pPr>
        <w:rPr>
          <w:b/>
          <w:bCs/>
          <w:color w:val="auto"/>
          <w:highlight w:val="none"/>
        </w:rPr>
      </w:pPr>
    </w:p>
    <w:p w14:paraId="72E0879D">
      <w:pPr>
        <w:rPr>
          <w:b/>
          <w:bCs/>
          <w:color w:val="auto"/>
          <w:highlight w:val="none"/>
        </w:rPr>
      </w:pPr>
    </w:p>
    <w:p w14:paraId="68484C12">
      <w:pPr>
        <w:rPr>
          <w:b/>
          <w:bCs/>
          <w:color w:val="auto"/>
          <w:highlight w:val="none"/>
        </w:rPr>
      </w:pPr>
    </w:p>
    <w:p w14:paraId="1F2B18B2">
      <w:pPr>
        <w:rPr>
          <w:b/>
          <w:bCs/>
          <w:color w:val="auto"/>
          <w:highlight w:val="none"/>
        </w:rPr>
      </w:pPr>
    </w:p>
    <w:p w14:paraId="5A2A44D9">
      <w:pPr>
        <w:rPr>
          <w:b/>
          <w:bCs/>
          <w:color w:val="auto"/>
          <w:highlight w:val="none"/>
        </w:rPr>
      </w:pPr>
    </w:p>
    <w:p w14:paraId="06EDA8F4">
      <w:pPr>
        <w:rPr>
          <w:b/>
          <w:bCs/>
          <w:color w:val="auto"/>
          <w:highlight w:val="none"/>
        </w:rPr>
      </w:pPr>
    </w:p>
    <w:p w14:paraId="18222AC3">
      <w:pPr>
        <w:rPr>
          <w:b/>
          <w:bCs/>
          <w:color w:val="auto"/>
          <w:highlight w:val="none"/>
        </w:rPr>
      </w:pPr>
    </w:p>
    <w:p w14:paraId="1AEAA8FF">
      <w:pPr>
        <w:rPr>
          <w:b/>
          <w:bCs/>
          <w:color w:val="auto"/>
          <w:highlight w:val="none"/>
        </w:rPr>
      </w:pPr>
    </w:p>
    <w:p w14:paraId="07108A5A">
      <w:pPr>
        <w:rPr>
          <w:b/>
          <w:bCs/>
          <w:color w:val="auto"/>
          <w:highlight w:val="none"/>
        </w:rPr>
      </w:pPr>
    </w:p>
    <w:p w14:paraId="54668BCD">
      <w:pPr>
        <w:rPr>
          <w:b/>
          <w:bCs/>
          <w:color w:val="auto"/>
          <w:highlight w:val="none"/>
        </w:rPr>
      </w:pPr>
    </w:p>
    <w:p w14:paraId="31326C85">
      <w:pPr>
        <w:rPr>
          <w:b/>
          <w:bCs/>
          <w:color w:val="auto"/>
          <w:highlight w:val="none"/>
        </w:rPr>
      </w:pPr>
    </w:p>
    <w:p w14:paraId="170E19F2">
      <w:pPr>
        <w:rPr>
          <w:b/>
          <w:bCs/>
          <w:color w:val="auto"/>
          <w:highlight w:val="none"/>
        </w:rPr>
      </w:pPr>
      <w:r>
        <w:rPr>
          <w:b/>
          <w:bCs/>
          <w:color w:val="auto"/>
          <w:highlight w:val="none"/>
        </w:rPr>
        <w:t>附件2</w:t>
      </w:r>
    </w:p>
    <w:p w14:paraId="6EFA8F90">
      <w:pPr>
        <w:jc w:val="center"/>
        <w:rPr>
          <w:b/>
          <w:bCs/>
          <w:color w:val="auto"/>
          <w:sz w:val="30"/>
          <w:szCs w:val="30"/>
          <w:highlight w:val="none"/>
        </w:rPr>
      </w:pPr>
      <w:r>
        <w:rPr>
          <w:b/>
          <w:bCs/>
          <w:color w:val="auto"/>
          <w:sz w:val="30"/>
          <w:szCs w:val="30"/>
          <w:highlight w:val="none"/>
        </w:rPr>
        <w:t>售后服务承诺书</w:t>
      </w:r>
    </w:p>
    <w:p w14:paraId="497CB596">
      <w:pPr>
        <w:spacing w:line="432" w:lineRule="auto"/>
        <w:rPr>
          <w:rFonts w:ascii="Arial"/>
          <w:color w:val="auto"/>
          <w:highlight w:val="none"/>
        </w:rPr>
      </w:pPr>
    </w:p>
    <w:p w14:paraId="094DF7FA">
      <w:pPr>
        <w:rPr>
          <w:color w:val="auto"/>
          <w:sz w:val="28"/>
          <w:szCs w:val="28"/>
          <w:highlight w:val="none"/>
        </w:rPr>
      </w:pPr>
      <w:r>
        <w:rPr>
          <w:color w:val="auto"/>
          <w:sz w:val="28"/>
          <w:szCs w:val="28"/>
          <w:highlight w:val="none"/>
        </w:rPr>
        <w:t>我公司对出售产品在质量、服务等方面的事宜，承诺如下：</w:t>
      </w:r>
    </w:p>
    <w:p w14:paraId="2605C6A3">
      <w:pPr>
        <w:spacing w:line="394" w:lineRule="auto"/>
        <w:rPr>
          <w:rFonts w:ascii="Arial"/>
          <w:color w:val="auto"/>
          <w:highlight w:val="none"/>
        </w:rPr>
      </w:pPr>
    </w:p>
    <w:p w14:paraId="6EB744AB">
      <w:pPr>
        <w:spacing w:line="360" w:lineRule="auto"/>
        <w:rPr>
          <w:color w:val="auto"/>
          <w:sz w:val="28"/>
          <w:szCs w:val="28"/>
          <w:highlight w:val="none"/>
        </w:rPr>
      </w:pPr>
      <w:r>
        <w:rPr>
          <w:color w:val="auto"/>
          <w:sz w:val="28"/>
          <w:szCs w:val="28"/>
          <w:highlight w:val="none"/>
        </w:rPr>
        <w:t>一 、保修维修：对于本公司出售的设备保修</w:t>
      </w:r>
      <w:r>
        <w:rPr>
          <w:rFonts w:hint="eastAsia"/>
          <w:color w:val="auto"/>
          <w:sz w:val="28"/>
          <w:szCs w:val="28"/>
          <w:highlight w:val="none"/>
        </w:rPr>
        <w:t xml:space="preserve">   </w:t>
      </w:r>
      <w:r>
        <w:rPr>
          <w:color w:val="auto"/>
          <w:sz w:val="28"/>
          <w:szCs w:val="28"/>
          <w:highlight w:val="none"/>
        </w:rPr>
        <w:t>年(人为因素及耗材除外), 超过</w:t>
      </w:r>
      <w:r>
        <w:rPr>
          <w:rFonts w:hint="eastAsia"/>
          <w:color w:val="auto"/>
          <w:sz w:val="28"/>
          <w:szCs w:val="28"/>
          <w:highlight w:val="none"/>
        </w:rPr>
        <w:t>质保期</w:t>
      </w:r>
      <w:r>
        <w:rPr>
          <w:color w:val="auto"/>
          <w:sz w:val="28"/>
          <w:szCs w:val="28"/>
          <w:highlight w:val="none"/>
        </w:rPr>
        <w:t>的产品实行终身维修服务。</w:t>
      </w:r>
    </w:p>
    <w:p w14:paraId="285787D3">
      <w:pPr>
        <w:spacing w:line="360" w:lineRule="auto"/>
        <w:rPr>
          <w:color w:val="auto"/>
          <w:sz w:val="28"/>
          <w:szCs w:val="28"/>
          <w:highlight w:val="none"/>
        </w:rPr>
      </w:pPr>
      <w:r>
        <w:rPr>
          <w:color w:val="auto"/>
          <w:sz w:val="28"/>
          <w:szCs w:val="28"/>
          <w:highlight w:val="none"/>
        </w:rPr>
        <w:t>二、运输安装：运输过程中可能出现的问题(包括保险、遗失、破损等), 由我公司负责，并由我公司承担此过程中的一切费用。产品可</w:t>
      </w:r>
      <w:r>
        <w:rPr>
          <w:rFonts w:hint="eastAsia"/>
          <w:color w:val="auto"/>
          <w:sz w:val="28"/>
          <w:szCs w:val="28"/>
          <w:highlight w:val="none"/>
          <w:lang w:val="en-US" w:eastAsia="zh-CN"/>
        </w:rPr>
        <w:t>按</w:t>
      </w:r>
      <w:r>
        <w:rPr>
          <w:color w:val="auto"/>
          <w:sz w:val="28"/>
          <w:szCs w:val="28"/>
          <w:highlight w:val="none"/>
        </w:rPr>
        <w:t>要求运送至指定地点</w:t>
      </w:r>
      <w:r>
        <w:rPr>
          <w:rFonts w:hint="eastAsia"/>
          <w:color w:val="auto"/>
          <w:sz w:val="28"/>
          <w:szCs w:val="28"/>
          <w:highlight w:val="none"/>
        </w:rPr>
        <w:t>，</w:t>
      </w:r>
      <w:r>
        <w:rPr>
          <w:color w:val="auto"/>
          <w:sz w:val="28"/>
          <w:szCs w:val="28"/>
          <w:highlight w:val="none"/>
        </w:rPr>
        <w:t>并派人安装调试。</w:t>
      </w:r>
    </w:p>
    <w:p w14:paraId="7C89F0DA">
      <w:pPr>
        <w:spacing w:line="360" w:lineRule="auto"/>
        <w:rPr>
          <w:color w:val="auto"/>
          <w:sz w:val="28"/>
          <w:szCs w:val="28"/>
          <w:highlight w:val="none"/>
        </w:rPr>
      </w:pPr>
      <w:r>
        <w:rPr>
          <w:color w:val="auto"/>
          <w:sz w:val="28"/>
          <w:szCs w:val="28"/>
          <w:highlight w:val="none"/>
        </w:rPr>
        <w:t>三、维修响应：在三保期内出现的质量问题，公司承诺在收到用户通知</w:t>
      </w:r>
      <w:r>
        <w:rPr>
          <w:rFonts w:hint="eastAsia"/>
          <w:color w:val="auto"/>
          <w:sz w:val="28"/>
          <w:szCs w:val="28"/>
          <w:highlight w:val="none"/>
        </w:rPr>
        <w:t xml:space="preserve">  </w:t>
      </w:r>
      <w:r>
        <w:rPr>
          <w:color w:val="auto"/>
          <w:sz w:val="28"/>
          <w:szCs w:val="28"/>
          <w:highlight w:val="none"/>
        </w:rPr>
        <w:t>小时内赶到现场进行修理或更换，对超过</w:t>
      </w:r>
      <w:r>
        <w:rPr>
          <w:rFonts w:hint="eastAsia"/>
          <w:color w:val="auto"/>
          <w:sz w:val="28"/>
          <w:szCs w:val="28"/>
          <w:highlight w:val="none"/>
        </w:rPr>
        <w:t>质保期</w:t>
      </w:r>
      <w:r>
        <w:rPr>
          <w:color w:val="auto"/>
          <w:sz w:val="28"/>
          <w:szCs w:val="28"/>
          <w:highlight w:val="none"/>
        </w:rPr>
        <w:t>的产品实行终身维修服务。</w:t>
      </w:r>
    </w:p>
    <w:p w14:paraId="4D6214D3">
      <w:pPr>
        <w:spacing w:line="360" w:lineRule="auto"/>
        <w:rPr>
          <w:rFonts w:ascii="Arial"/>
          <w:color w:val="auto"/>
          <w:sz w:val="28"/>
          <w:szCs w:val="28"/>
          <w:highlight w:val="none"/>
        </w:rPr>
      </w:pPr>
      <w:r>
        <w:rPr>
          <w:color w:val="auto"/>
          <w:sz w:val="28"/>
          <w:szCs w:val="28"/>
          <w:highlight w:val="none"/>
        </w:rPr>
        <w:t>四、配件服务：</w:t>
      </w:r>
      <w:r>
        <w:rPr>
          <w:rFonts w:hint="eastAsia"/>
          <w:color w:val="auto"/>
          <w:sz w:val="28"/>
          <w:szCs w:val="28"/>
          <w:highlight w:val="none"/>
        </w:rPr>
        <w:t>质保期</w:t>
      </w:r>
      <w:r>
        <w:rPr>
          <w:color w:val="auto"/>
          <w:sz w:val="28"/>
          <w:szCs w:val="28"/>
          <w:highlight w:val="none"/>
        </w:rPr>
        <w:t>以外维修配件的价格，我公司承诺按产品的成本价供货</w:t>
      </w:r>
      <w:r>
        <w:rPr>
          <w:rFonts w:hint="eastAsia"/>
          <w:color w:val="auto"/>
          <w:sz w:val="28"/>
          <w:szCs w:val="28"/>
          <w:highlight w:val="none"/>
        </w:rPr>
        <w:t>。</w:t>
      </w:r>
    </w:p>
    <w:p w14:paraId="61EC3E1F">
      <w:pPr>
        <w:spacing w:line="360" w:lineRule="auto"/>
        <w:rPr>
          <w:color w:val="auto"/>
          <w:sz w:val="28"/>
          <w:szCs w:val="28"/>
          <w:highlight w:val="none"/>
        </w:rPr>
      </w:pPr>
      <w:r>
        <w:rPr>
          <w:color w:val="auto"/>
          <w:sz w:val="28"/>
          <w:szCs w:val="28"/>
          <w:highlight w:val="none"/>
        </w:rPr>
        <w:t>五、对所提供的产品，如有质量问题，可免费更换新品(质保顺延长)。</w:t>
      </w:r>
    </w:p>
    <w:p w14:paraId="3F448DB1">
      <w:pPr>
        <w:pStyle w:val="46"/>
        <w:ind w:firstLine="210"/>
        <w:rPr>
          <w:color w:val="auto"/>
          <w:highlight w:val="none"/>
        </w:rPr>
      </w:pPr>
    </w:p>
    <w:p w14:paraId="405F677C">
      <w:pPr>
        <w:jc w:val="center"/>
        <w:rPr>
          <w:color w:val="auto"/>
          <w:sz w:val="28"/>
          <w:szCs w:val="28"/>
          <w:highlight w:val="none"/>
        </w:rPr>
      </w:pPr>
      <w:r>
        <w:rPr>
          <w:rFonts w:hint="eastAsia"/>
          <w:color w:val="auto"/>
          <w:highlight w:val="none"/>
        </w:rPr>
        <w:t xml:space="preserve">            </w:t>
      </w:r>
      <w:r>
        <w:rPr>
          <w:rFonts w:hint="eastAsia"/>
          <w:color w:val="auto"/>
          <w:sz w:val="28"/>
          <w:szCs w:val="28"/>
          <w:highlight w:val="none"/>
        </w:rPr>
        <w:t xml:space="preserve"> </w:t>
      </w:r>
      <w:r>
        <w:rPr>
          <w:rFonts w:hint="eastAsia"/>
          <w:color w:val="auto"/>
          <w:sz w:val="28"/>
          <w:szCs w:val="28"/>
          <w:highlight w:val="none"/>
        </w:rPr>
        <w:t>中标</w:t>
      </w:r>
      <w:r>
        <w:rPr>
          <w:color w:val="auto"/>
          <w:sz w:val="28"/>
          <w:szCs w:val="28"/>
          <w:highlight w:val="none"/>
        </w:rPr>
        <w:t>供应商(盖章):</w:t>
      </w:r>
    </w:p>
    <w:p w14:paraId="334E5FC7">
      <w:pPr>
        <w:snapToGrid w:val="0"/>
        <w:jc w:val="center"/>
        <w:rPr>
          <w:rFonts w:ascii="宋体" w:hAnsi="宋体"/>
          <w:bCs/>
          <w:color w:val="auto"/>
          <w:sz w:val="32"/>
          <w:szCs w:val="32"/>
          <w:highlight w:val="none"/>
        </w:rPr>
      </w:pPr>
    </w:p>
    <w:p w14:paraId="2C112B3C">
      <w:pPr>
        <w:snapToGrid w:val="0"/>
        <w:jc w:val="center"/>
        <w:rPr>
          <w:rFonts w:ascii="宋体" w:hAnsi="宋体"/>
          <w:bCs/>
          <w:color w:val="auto"/>
          <w:sz w:val="32"/>
          <w:szCs w:val="32"/>
          <w:highlight w:val="none"/>
        </w:rPr>
      </w:pPr>
    </w:p>
    <w:p w14:paraId="5DF11153">
      <w:pPr>
        <w:snapToGrid w:val="0"/>
        <w:jc w:val="center"/>
        <w:rPr>
          <w:rFonts w:hint="default" w:ascii="宋体" w:hAnsi="宋体" w:eastAsia="宋体"/>
          <w:bCs/>
          <w:color w:val="auto"/>
          <w:sz w:val="32"/>
          <w:szCs w:val="32"/>
          <w:highlight w:val="none"/>
          <w:lang w:val="en-US" w:eastAsia="zh-CN"/>
        </w:rPr>
      </w:pPr>
      <w:r>
        <w:rPr>
          <w:rFonts w:hint="eastAsia" w:ascii="宋体" w:hAnsi="宋体"/>
          <w:bCs/>
          <w:color w:val="auto"/>
          <w:sz w:val="32"/>
          <w:szCs w:val="32"/>
          <w:highlight w:val="none"/>
          <w:lang w:val="en-US" w:eastAsia="zh-CN"/>
        </w:rPr>
        <w:t xml:space="preserve">     </w:t>
      </w:r>
      <w:r>
        <w:rPr>
          <w:rFonts w:hint="eastAsia" w:ascii="宋体" w:hAnsi="宋体"/>
          <w:bCs/>
          <w:color w:val="auto"/>
          <w:sz w:val="32"/>
          <w:szCs w:val="32"/>
          <w:highlight w:val="none"/>
          <w:lang w:val="en-US" w:eastAsia="zh-CN"/>
        </w:rPr>
        <w:t xml:space="preserve">  2026年   月  日</w:t>
      </w:r>
    </w:p>
    <w:p w14:paraId="7D049BC6">
      <w:pPr>
        <w:snapToGrid w:val="0"/>
        <w:jc w:val="center"/>
        <w:rPr>
          <w:rFonts w:ascii="宋体" w:hAnsi="宋体"/>
          <w:bCs/>
          <w:color w:val="auto"/>
          <w:sz w:val="32"/>
          <w:szCs w:val="32"/>
          <w:highlight w:val="none"/>
        </w:rPr>
      </w:pPr>
    </w:p>
    <w:p w14:paraId="0846E2C5">
      <w:pPr>
        <w:snapToGrid w:val="0"/>
        <w:jc w:val="center"/>
        <w:rPr>
          <w:rFonts w:ascii="宋体" w:hAnsi="宋体"/>
          <w:bCs/>
          <w:color w:val="auto"/>
          <w:sz w:val="32"/>
          <w:szCs w:val="32"/>
          <w:highlight w:val="none"/>
        </w:rPr>
      </w:pPr>
    </w:p>
    <w:p w14:paraId="203DF6A9">
      <w:pPr>
        <w:snapToGrid w:val="0"/>
        <w:jc w:val="center"/>
        <w:rPr>
          <w:rFonts w:ascii="宋体" w:hAnsi="宋体"/>
          <w:bCs/>
          <w:color w:val="auto"/>
          <w:sz w:val="32"/>
          <w:szCs w:val="32"/>
          <w:highlight w:val="none"/>
        </w:rPr>
      </w:pPr>
    </w:p>
    <w:p w14:paraId="450FDA0D">
      <w:pPr>
        <w:snapToGrid w:val="0"/>
        <w:jc w:val="center"/>
        <w:rPr>
          <w:rFonts w:ascii="宋体" w:hAnsi="宋体"/>
          <w:bCs/>
          <w:color w:val="auto"/>
          <w:sz w:val="32"/>
          <w:szCs w:val="32"/>
          <w:highlight w:val="none"/>
        </w:rPr>
      </w:pPr>
    </w:p>
    <w:p w14:paraId="4732C32E">
      <w:pPr>
        <w:snapToGrid w:val="0"/>
        <w:jc w:val="center"/>
        <w:rPr>
          <w:rFonts w:ascii="宋体" w:hAnsi="宋体"/>
          <w:bCs/>
          <w:color w:val="auto"/>
          <w:sz w:val="32"/>
          <w:szCs w:val="32"/>
          <w:highlight w:val="none"/>
        </w:rPr>
      </w:pPr>
    </w:p>
    <w:p w14:paraId="3435EAE7">
      <w:pPr>
        <w:snapToGrid w:val="0"/>
        <w:jc w:val="center"/>
        <w:rPr>
          <w:rFonts w:ascii="宋体" w:hAnsi="宋体"/>
          <w:bCs/>
          <w:color w:val="auto"/>
          <w:sz w:val="32"/>
          <w:szCs w:val="32"/>
          <w:highlight w:val="none"/>
        </w:rPr>
      </w:pPr>
    </w:p>
    <w:p w14:paraId="0935F99F">
      <w:pPr>
        <w:snapToGrid w:val="0"/>
        <w:jc w:val="center"/>
        <w:rPr>
          <w:rFonts w:ascii="宋体" w:hAnsi="宋体"/>
          <w:bCs/>
          <w:color w:val="auto"/>
          <w:sz w:val="32"/>
          <w:szCs w:val="32"/>
          <w:highlight w:val="none"/>
        </w:rPr>
      </w:pPr>
    </w:p>
    <w:p w14:paraId="6EC77109">
      <w:pPr>
        <w:pStyle w:val="2"/>
        <w:jc w:val="center"/>
        <w:rPr>
          <w:color w:val="auto"/>
          <w:highlight w:val="none"/>
        </w:rPr>
      </w:pPr>
      <w:bookmarkStart w:id="160" w:name="_Toc74320805"/>
    </w:p>
    <w:p w14:paraId="7FD6C3F4">
      <w:pPr>
        <w:pStyle w:val="2"/>
        <w:jc w:val="center"/>
        <w:rPr>
          <w:color w:val="auto"/>
          <w:highlight w:val="none"/>
        </w:rPr>
      </w:pPr>
    </w:p>
    <w:p w14:paraId="7586173A">
      <w:pPr>
        <w:pStyle w:val="2"/>
        <w:jc w:val="center"/>
        <w:rPr>
          <w:color w:val="auto"/>
          <w:highlight w:val="none"/>
        </w:rPr>
      </w:pPr>
    </w:p>
    <w:p w14:paraId="27AD3697">
      <w:pPr>
        <w:pStyle w:val="2"/>
        <w:jc w:val="center"/>
        <w:rPr>
          <w:color w:val="auto"/>
          <w:highlight w:val="none"/>
        </w:rPr>
      </w:pPr>
      <w:r>
        <w:rPr>
          <w:rFonts w:hint="eastAsia"/>
          <w:color w:val="auto"/>
          <w:highlight w:val="none"/>
        </w:rPr>
        <w:t>第六章　投标文件格式</w:t>
      </w:r>
      <w:bookmarkEnd w:id="160"/>
    </w:p>
    <w:p w14:paraId="19C1D1E2">
      <w:pPr>
        <w:snapToGrid w:val="0"/>
        <w:spacing w:before="50" w:after="50"/>
        <w:outlineLvl w:val="1"/>
        <w:rPr>
          <w:rFonts w:ascii="宋体" w:hAnsi="宋体"/>
          <w:color w:val="auto"/>
          <w:sz w:val="32"/>
          <w:szCs w:val="20"/>
          <w:highlight w:val="none"/>
        </w:rPr>
      </w:pPr>
    </w:p>
    <w:p w14:paraId="3A364C7F">
      <w:pPr>
        <w:snapToGrid w:val="0"/>
        <w:spacing w:before="50" w:after="50"/>
        <w:outlineLvl w:val="1"/>
        <w:rPr>
          <w:rFonts w:ascii="宋体" w:hAnsi="宋体"/>
          <w:color w:val="auto"/>
          <w:sz w:val="32"/>
          <w:szCs w:val="20"/>
          <w:highlight w:val="none"/>
        </w:rPr>
      </w:pPr>
    </w:p>
    <w:p w14:paraId="27D2CD07">
      <w:pPr>
        <w:snapToGrid w:val="0"/>
        <w:spacing w:before="50" w:after="50"/>
        <w:outlineLvl w:val="1"/>
        <w:rPr>
          <w:rFonts w:ascii="宋体" w:hAnsi="宋体"/>
          <w:color w:val="auto"/>
          <w:sz w:val="32"/>
          <w:szCs w:val="20"/>
          <w:highlight w:val="none"/>
        </w:rPr>
      </w:pPr>
    </w:p>
    <w:p w14:paraId="472F2014">
      <w:pPr>
        <w:snapToGrid w:val="0"/>
        <w:spacing w:before="50" w:after="50"/>
        <w:outlineLvl w:val="1"/>
        <w:rPr>
          <w:rFonts w:ascii="宋体" w:hAnsi="宋体"/>
          <w:color w:val="auto"/>
          <w:sz w:val="32"/>
          <w:szCs w:val="20"/>
          <w:highlight w:val="none"/>
        </w:rPr>
      </w:pPr>
    </w:p>
    <w:p w14:paraId="2B480EE9">
      <w:pPr>
        <w:snapToGrid w:val="0"/>
        <w:spacing w:before="50" w:after="50"/>
        <w:outlineLvl w:val="1"/>
        <w:rPr>
          <w:rFonts w:ascii="宋体" w:hAnsi="宋体"/>
          <w:color w:val="auto"/>
          <w:sz w:val="32"/>
          <w:szCs w:val="20"/>
          <w:highlight w:val="none"/>
        </w:rPr>
      </w:pPr>
    </w:p>
    <w:p w14:paraId="28A4B7CB">
      <w:pPr>
        <w:snapToGrid w:val="0"/>
        <w:spacing w:before="50" w:after="50"/>
        <w:outlineLvl w:val="1"/>
        <w:rPr>
          <w:rFonts w:ascii="宋体" w:hAnsi="宋体"/>
          <w:color w:val="auto"/>
          <w:sz w:val="32"/>
          <w:szCs w:val="20"/>
          <w:highlight w:val="none"/>
        </w:rPr>
      </w:pPr>
    </w:p>
    <w:p w14:paraId="6DD015C6">
      <w:pPr>
        <w:snapToGrid w:val="0"/>
        <w:spacing w:before="50" w:after="50"/>
        <w:outlineLvl w:val="1"/>
        <w:rPr>
          <w:rFonts w:ascii="宋体" w:hAnsi="宋体"/>
          <w:color w:val="auto"/>
          <w:sz w:val="32"/>
          <w:szCs w:val="20"/>
          <w:highlight w:val="none"/>
        </w:rPr>
      </w:pPr>
    </w:p>
    <w:p w14:paraId="7151B37B">
      <w:pPr>
        <w:snapToGrid w:val="0"/>
        <w:spacing w:before="50" w:after="50"/>
        <w:outlineLvl w:val="1"/>
        <w:rPr>
          <w:rFonts w:ascii="宋体" w:hAnsi="宋体"/>
          <w:color w:val="auto"/>
          <w:sz w:val="32"/>
          <w:szCs w:val="20"/>
          <w:highlight w:val="none"/>
        </w:rPr>
      </w:pPr>
    </w:p>
    <w:p w14:paraId="182A5BE4">
      <w:pPr>
        <w:snapToGrid w:val="0"/>
        <w:spacing w:before="50" w:after="50"/>
        <w:outlineLvl w:val="1"/>
        <w:rPr>
          <w:rFonts w:ascii="宋体" w:hAnsi="宋体"/>
          <w:color w:val="auto"/>
          <w:sz w:val="32"/>
          <w:szCs w:val="20"/>
          <w:highlight w:val="none"/>
        </w:rPr>
      </w:pPr>
    </w:p>
    <w:p w14:paraId="7021EB4B">
      <w:pPr>
        <w:snapToGrid w:val="0"/>
        <w:spacing w:before="50" w:after="50"/>
        <w:outlineLvl w:val="1"/>
        <w:rPr>
          <w:rFonts w:ascii="宋体" w:hAnsi="宋体"/>
          <w:color w:val="auto"/>
          <w:sz w:val="32"/>
          <w:szCs w:val="20"/>
          <w:highlight w:val="none"/>
        </w:rPr>
      </w:pPr>
    </w:p>
    <w:p w14:paraId="0FB4CB8B">
      <w:pPr>
        <w:snapToGrid w:val="0"/>
        <w:spacing w:before="50" w:after="50"/>
        <w:outlineLvl w:val="1"/>
        <w:rPr>
          <w:rFonts w:ascii="宋体" w:hAnsi="宋体"/>
          <w:color w:val="auto"/>
          <w:sz w:val="32"/>
          <w:szCs w:val="20"/>
          <w:highlight w:val="none"/>
        </w:rPr>
      </w:pPr>
    </w:p>
    <w:p w14:paraId="7A701A62">
      <w:pPr>
        <w:snapToGrid w:val="0"/>
        <w:spacing w:before="50" w:after="50"/>
        <w:outlineLvl w:val="1"/>
        <w:rPr>
          <w:rFonts w:ascii="宋体" w:hAnsi="宋体"/>
          <w:color w:val="auto"/>
          <w:sz w:val="32"/>
          <w:szCs w:val="20"/>
          <w:highlight w:val="none"/>
        </w:rPr>
      </w:pPr>
    </w:p>
    <w:p w14:paraId="4E4FA469">
      <w:pPr>
        <w:snapToGrid w:val="0"/>
        <w:spacing w:before="50" w:after="50"/>
        <w:outlineLvl w:val="1"/>
        <w:rPr>
          <w:rFonts w:ascii="宋体" w:hAnsi="宋体"/>
          <w:color w:val="auto"/>
          <w:sz w:val="32"/>
          <w:szCs w:val="20"/>
          <w:highlight w:val="none"/>
        </w:rPr>
      </w:pPr>
    </w:p>
    <w:p w14:paraId="7F6BD133">
      <w:pPr>
        <w:snapToGrid w:val="0"/>
        <w:spacing w:before="120" w:beforeLines="50" w:after="50"/>
        <w:jc w:val="center"/>
        <w:outlineLvl w:val="1"/>
        <w:rPr>
          <w:rFonts w:ascii="宋体" w:hAnsi="宋体"/>
          <w:color w:val="auto"/>
          <w:highlight w:val="none"/>
        </w:rPr>
      </w:pPr>
    </w:p>
    <w:p w14:paraId="082BE647">
      <w:pPr>
        <w:rPr>
          <w:b/>
          <w:color w:val="auto"/>
          <w:sz w:val="28"/>
          <w:szCs w:val="28"/>
          <w:highlight w:val="none"/>
        </w:rPr>
      </w:pPr>
      <w:bookmarkStart w:id="161" w:name="_Toc19686836"/>
      <w:bookmarkStart w:id="162" w:name="_Toc254970698"/>
      <w:bookmarkStart w:id="163" w:name="_Toc254970557"/>
    </w:p>
    <w:p w14:paraId="434EB98E">
      <w:pPr>
        <w:rPr>
          <w:b/>
          <w:color w:val="auto"/>
          <w:sz w:val="28"/>
          <w:szCs w:val="28"/>
          <w:highlight w:val="none"/>
        </w:rPr>
      </w:pPr>
    </w:p>
    <w:p w14:paraId="284F3292">
      <w:pPr>
        <w:rPr>
          <w:b/>
          <w:color w:val="auto"/>
          <w:sz w:val="28"/>
          <w:szCs w:val="28"/>
          <w:highlight w:val="none"/>
        </w:rPr>
      </w:pPr>
    </w:p>
    <w:p w14:paraId="752A9220">
      <w:pPr>
        <w:rPr>
          <w:b/>
          <w:color w:val="auto"/>
          <w:sz w:val="28"/>
          <w:szCs w:val="28"/>
          <w:highlight w:val="none"/>
        </w:rPr>
      </w:pPr>
      <w:r>
        <w:rPr>
          <w:rFonts w:hint="eastAsia"/>
          <w:b/>
          <w:color w:val="auto"/>
          <w:sz w:val="28"/>
          <w:szCs w:val="28"/>
          <w:highlight w:val="none"/>
        </w:rPr>
        <w:t>一、报价文件格式</w:t>
      </w:r>
      <w:bookmarkEnd w:id="161"/>
    </w:p>
    <w:p w14:paraId="0D44998C">
      <w:pPr>
        <w:snapToGrid w:val="0"/>
        <w:spacing w:before="120" w:beforeLines="50" w:after="50" w:line="360" w:lineRule="auto"/>
        <w:ind w:left="142"/>
        <w:jc w:val="left"/>
        <w:rPr>
          <w:rFonts w:ascii="宋体" w:hAnsi="宋体"/>
          <w:b/>
          <w:color w:val="auto"/>
          <w:sz w:val="24"/>
          <w:highlight w:val="none"/>
        </w:rPr>
      </w:pPr>
      <w:r>
        <w:rPr>
          <w:rFonts w:hint="eastAsia" w:ascii="宋体" w:hAnsi="宋体"/>
          <w:b/>
          <w:color w:val="auto"/>
          <w:sz w:val="24"/>
          <w:highlight w:val="none"/>
        </w:rPr>
        <w:t xml:space="preserve">1. 报价文件封面格式： </w:t>
      </w:r>
    </w:p>
    <w:p w14:paraId="283415DE">
      <w:pPr>
        <w:snapToGrid w:val="0"/>
        <w:spacing w:before="120" w:beforeLines="50" w:after="50" w:line="360" w:lineRule="auto"/>
        <w:ind w:left="142"/>
        <w:jc w:val="center"/>
        <w:rPr>
          <w:rFonts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1385E7DF">
      <w:pPr>
        <w:snapToGrid w:val="0"/>
        <w:spacing w:before="120" w:beforeLines="50" w:after="50" w:line="400" w:lineRule="exact"/>
        <w:jc w:val="left"/>
        <w:rPr>
          <w:rFonts w:ascii="宋体" w:hAnsi="宋体" w:eastAsia="方正小标宋简体"/>
          <w:bCs/>
          <w:color w:val="auto"/>
          <w:sz w:val="48"/>
          <w:szCs w:val="48"/>
          <w:highlight w:val="none"/>
        </w:rPr>
      </w:pPr>
    </w:p>
    <w:p w14:paraId="7636C90A">
      <w:pPr>
        <w:snapToGrid w:val="0"/>
        <w:spacing w:before="120" w:beforeLines="50" w:after="50" w:line="4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报  价  文  件</w:t>
      </w:r>
    </w:p>
    <w:p w14:paraId="018323F5">
      <w:pPr>
        <w:snapToGrid w:val="0"/>
        <w:spacing w:before="120" w:beforeLines="50" w:after="50" w:line="400" w:lineRule="exact"/>
        <w:rPr>
          <w:rFonts w:ascii="宋体" w:hAnsi="宋体"/>
          <w:bCs/>
          <w:color w:val="auto"/>
          <w:sz w:val="24"/>
          <w:szCs w:val="20"/>
          <w:highlight w:val="none"/>
        </w:rPr>
      </w:pPr>
    </w:p>
    <w:p w14:paraId="44460F43">
      <w:pPr>
        <w:snapToGrid w:val="0"/>
        <w:spacing w:before="120" w:beforeLines="50" w:after="50" w:line="400" w:lineRule="exact"/>
        <w:rPr>
          <w:rFonts w:ascii="宋体" w:hAnsi="宋体"/>
          <w:bCs/>
          <w:color w:val="auto"/>
          <w:sz w:val="24"/>
          <w:szCs w:val="20"/>
          <w:highlight w:val="none"/>
        </w:rPr>
      </w:pPr>
    </w:p>
    <w:p w14:paraId="20709031">
      <w:pPr>
        <w:snapToGrid w:val="0"/>
        <w:spacing w:before="120" w:beforeLines="50" w:after="50" w:line="400" w:lineRule="exact"/>
        <w:rPr>
          <w:rFonts w:ascii="宋体" w:hAnsi="宋体"/>
          <w:bCs/>
          <w:color w:val="auto"/>
          <w:sz w:val="24"/>
          <w:szCs w:val="20"/>
          <w:highlight w:val="none"/>
        </w:rPr>
      </w:pPr>
    </w:p>
    <w:p w14:paraId="18F52569">
      <w:pPr>
        <w:snapToGrid w:val="0"/>
        <w:spacing w:before="120" w:beforeLines="50" w:after="50" w:line="400" w:lineRule="exact"/>
        <w:rPr>
          <w:rFonts w:ascii="宋体" w:hAnsi="宋体"/>
          <w:bCs/>
          <w:color w:val="auto"/>
          <w:sz w:val="24"/>
          <w:szCs w:val="20"/>
          <w:highlight w:val="none"/>
        </w:rPr>
      </w:pPr>
    </w:p>
    <w:p w14:paraId="5CD799DB">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项目名称： </w:t>
      </w:r>
    </w:p>
    <w:p w14:paraId="35ADBBE6">
      <w:pPr>
        <w:snapToGrid w:val="0"/>
        <w:spacing w:before="120" w:beforeLines="50" w:after="50" w:line="400" w:lineRule="exact"/>
        <w:ind w:firstLine="360" w:firstLineChars="150"/>
        <w:rPr>
          <w:rFonts w:ascii="宋体" w:hAnsi="宋体"/>
          <w:bCs/>
          <w:color w:val="auto"/>
          <w:sz w:val="24"/>
          <w:highlight w:val="none"/>
        </w:rPr>
      </w:pPr>
    </w:p>
    <w:p w14:paraId="62889995">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0C7F242A">
      <w:pPr>
        <w:snapToGrid w:val="0"/>
        <w:spacing w:before="120" w:beforeLines="50" w:after="50" w:line="400" w:lineRule="exact"/>
        <w:ind w:firstLine="360" w:firstLineChars="150"/>
        <w:rPr>
          <w:rFonts w:ascii="宋体" w:hAnsi="宋体"/>
          <w:bCs/>
          <w:color w:val="auto"/>
          <w:sz w:val="24"/>
          <w:highlight w:val="none"/>
        </w:rPr>
      </w:pPr>
    </w:p>
    <w:p w14:paraId="1BAC4B3A">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所投分标：</w:t>
      </w:r>
    </w:p>
    <w:p w14:paraId="31B533AF">
      <w:pPr>
        <w:snapToGrid w:val="0"/>
        <w:spacing w:before="120" w:beforeLines="50" w:after="50" w:line="400" w:lineRule="exact"/>
        <w:ind w:firstLine="360" w:firstLineChars="150"/>
        <w:rPr>
          <w:rFonts w:ascii="宋体" w:hAnsi="宋体"/>
          <w:bCs/>
          <w:color w:val="auto"/>
          <w:sz w:val="24"/>
          <w:highlight w:val="none"/>
        </w:rPr>
      </w:pPr>
    </w:p>
    <w:p w14:paraId="51C19640">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627A6AC6">
      <w:pPr>
        <w:snapToGrid w:val="0"/>
        <w:spacing w:before="120" w:beforeLines="50" w:after="50" w:line="400" w:lineRule="exact"/>
        <w:ind w:firstLine="360" w:firstLineChars="150"/>
        <w:rPr>
          <w:rFonts w:ascii="宋体" w:hAnsi="宋体"/>
          <w:bCs/>
          <w:color w:val="auto"/>
          <w:sz w:val="24"/>
          <w:highlight w:val="none"/>
        </w:rPr>
      </w:pPr>
    </w:p>
    <w:p w14:paraId="1C6865E2">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投标人地址：</w:t>
      </w:r>
    </w:p>
    <w:p w14:paraId="25EDD4EC">
      <w:pPr>
        <w:pStyle w:val="6"/>
        <w:snapToGrid w:val="0"/>
        <w:spacing w:before="50" w:after="50" w:line="400" w:lineRule="exact"/>
        <w:ind w:firstLine="960" w:firstLineChars="400"/>
        <w:rPr>
          <w:rFonts w:ascii="宋体" w:hAnsi="宋体"/>
          <w:bCs/>
          <w:color w:val="auto"/>
          <w:sz w:val="24"/>
          <w:szCs w:val="24"/>
          <w:highlight w:val="none"/>
        </w:rPr>
      </w:pPr>
    </w:p>
    <w:p w14:paraId="71AFE357">
      <w:pPr>
        <w:snapToGrid w:val="0"/>
        <w:spacing w:before="120" w:beforeLines="50" w:after="50" w:line="400" w:lineRule="exact"/>
        <w:rPr>
          <w:rFonts w:ascii="宋体" w:hAnsi="宋体"/>
          <w:color w:val="auto"/>
          <w:sz w:val="30"/>
          <w:szCs w:val="20"/>
          <w:highlight w:val="none"/>
        </w:rPr>
      </w:pPr>
      <w:r>
        <w:rPr>
          <w:rFonts w:hint="eastAsia" w:ascii="宋体" w:hAnsi="宋体"/>
          <w:color w:val="auto"/>
          <w:sz w:val="24"/>
          <w:highlight w:val="none"/>
        </w:rPr>
        <w:t xml:space="preserve">                                   年  月  日</w:t>
      </w:r>
    </w:p>
    <w:p w14:paraId="41F093D8">
      <w:pPr>
        <w:snapToGrid w:val="0"/>
        <w:spacing w:before="120" w:beforeLines="50" w:after="50" w:line="360" w:lineRule="auto"/>
        <w:jc w:val="left"/>
        <w:rPr>
          <w:rFonts w:ascii="宋体" w:hAnsi="宋体"/>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36CEEB2D">
      <w:pPr>
        <w:snapToGrid w:val="0"/>
        <w:spacing w:before="50" w:after="120" w:afterLines="50" w:line="360" w:lineRule="auto"/>
        <w:jc w:val="left"/>
        <w:rPr>
          <w:rFonts w:ascii="宋体" w:hAnsi="宋体"/>
          <w:b/>
          <w:color w:val="auto"/>
          <w:sz w:val="24"/>
          <w:highlight w:val="none"/>
        </w:rPr>
      </w:pPr>
      <w:r>
        <w:rPr>
          <w:rFonts w:hint="eastAsia" w:ascii="宋体" w:hAnsi="宋体"/>
          <w:color w:val="auto"/>
          <w:szCs w:val="21"/>
          <w:highlight w:val="none"/>
        </w:rPr>
        <w:t>根据招标文件规定及投标人提供的材料自行编写目录。</w:t>
      </w:r>
    </w:p>
    <w:p w14:paraId="4A36D302">
      <w:pPr>
        <w:snapToGrid w:val="0"/>
        <w:spacing w:before="120" w:beforeLines="50" w:after="50"/>
        <w:rPr>
          <w:rFonts w:ascii="宋体" w:hAnsi="宋体"/>
          <w:b/>
          <w:color w:val="auto"/>
          <w:sz w:val="24"/>
          <w:highlight w:val="none"/>
        </w:rPr>
      </w:pPr>
    </w:p>
    <w:p w14:paraId="3CCC9A1A">
      <w:pPr>
        <w:snapToGrid w:val="0"/>
        <w:spacing w:before="120" w:beforeLines="50" w:after="50"/>
        <w:rPr>
          <w:rFonts w:ascii="宋体" w:hAnsi="宋体"/>
          <w:b/>
          <w:color w:val="auto"/>
          <w:sz w:val="24"/>
          <w:highlight w:val="none"/>
        </w:rPr>
      </w:pPr>
    </w:p>
    <w:p w14:paraId="7246CAA0">
      <w:pPr>
        <w:snapToGrid w:val="0"/>
        <w:spacing w:before="120" w:beforeLines="50" w:after="50"/>
        <w:rPr>
          <w:rFonts w:ascii="宋体" w:hAnsi="宋体"/>
          <w:b/>
          <w:color w:val="auto"/>
          <w:sz w:val="24"/>
          <w:highlight w:val="none"/>
        </w:rPr>
      </w:pPr>
    </w:p>
    <w:p w14:paraId="73814E4B">
      <w:pPr>
        <w:snapToGrid w:val="0"/>
        <w:spacing w:before="120" w:beforeLines="50" w:after="50"/>
        <w:ind w:left="142"/>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投标函格式：</w:t>
      </w:r>
    </w:p>
    <w:p w14:paraId="7975559C">
      <w:pPr>
        <w:snapToGrid w:val="0"/>
        <w:spacing w:before="120" w:beforeLines="50" w:after="50" w:line="360" w:lineRule="auto"/>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投 标 函</w:t>
      </w:r>
    </w:p>
    <w:p w14:paraId="2177C506">
      <w:pPr>
        <w:snapToGrid w:val="0"/>
        <w:spacing w:before="120" w:beforeLines="50" w:after="50" w:line="320" w:lineRule="exact"/>
        <w:rPr>
          <w:rFonts w:ascii="宋体" w:hAnsi="宋体"/>
          <w:b/>
          <w:color w:val="auto"/>
          <w:sz w:val="32"/>
          <w:szCs w:val="32"/>
          <w:highlight w:val="none"/>
        </w:rPr>
      </w:pPr>
    </w:p>
    <w:p w14:paraId="19ECADB3">
      <w:pPr>
        <w:spacing w:line="360" w:lineRule="auto"/>
        <w:contextualSpacing/>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2F65F755">
      <w:pPr>
        <w:spacing w:line="360" w:lineRule="auto"/>
        <w:ind w:firstLine="480"/>
        <w:contextualSpacing/>
        <w:rPr>
          <w:rFonts w:ascii="宋体" w:hAnsi="宋体"/>
          <w:color w:val="auto"/>
          <w:sz w:val="24"/>
          <w:highlight w:val="none"/>
        </w:rPr>
      </w:pPr>
      <w:r>
        <w:rPr>
          <w:rFonts w:hint="eastAsia" w:ascii="宋体" w:hAnsi="宋体"/>
          <w:color w:val="auto"/>
          <w:sz w:val="24"/>
          <w:highlight w:val="none"/>
        </w:rPr>
        <w:t>根据贵方</w:t>
      </w:r>
      <w:r>
        <w:rPr>
          <w:rFonts w:hint="eastAsia" w:ascii="宋体" w:hAnsi="宋体"/>
          <w:color w:val="auto"/>
          <w:sz w:val="24"/>
          <w:highlight w:val="none"/>
          <w:u w:val="single"/>
        </w:rPr>
        <w:t xml:space="preserve"> 项目名称</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）的招标文件，签字代表______</w:t>
      </w:r>
      <w:r>
        <w:rPr>
          <w:rFonts w:hint="eastAsia" w:ascii="宋体" w:hAnsi="宋体"/>
          <w:color w:val="auto"/>
          <w:sz w:val="24"/>
          <w:highlight w:val="none"/>
          <w:u w:val="single"/>
        </w:rPr>
        <w:t xml:space="preserve">     </w:t>
      </w:r>
      <w:r>
        <w:rPr>
          <w:rFonts w:hint="eastAsia" w:ascii="宋体" w:hAnsi="宋体"/>
          <w:color w:val="auto"/>
          <w:sz w:val="24"/>
          <w:highlight w:val="none"/>
        </w:rPr>
        <w:t>（姓名）经正式授权并代表投标人</w:t>
      </w:r>
      <w:r>
        <w:rPr>
          <w:rFonts w:hint="eastAsia" w:ascii="宋体" w:hAnsi="宋体"/>
          <w:color w:val="auto"/>
          <w:sz w:val="24"/>
          <w:highlight w:val="none"/>
          <w:u w:val="single"/>
        </w:rPr>
        <w:t xml:space="preserve">                 </w:t>
      </w:r>
      <w:r>
        <w:rPr>
          <w:rFonts w:hint="eastAsia" w:ascii="宋体" w:hAnsi="宋体"/>
          <w:color w:val="auto"/>
          <w:sz w:val="24"/>
          <w:highlight w:val="none"/>
        </w:rPr>
        <w:t>（投标人名称）提交投标文件。</w:t>
      </w:r>
    </w:p>
    <w:p w14:paraId="56351827">
      <w:pPr>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据此函，我方宣布同意如下：</w:t>
      </w:r>
    </w:p>
    <w:p w14:paraId="393BA716">
      <w:pPr>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3E14B2C9">
      <w:pPr>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2.我方在投标之前已经完全理解并接受招标文件的各项规定和要求，对招标文件的合理性、合法性不再有异议。</w:t>
      </w:r>
    </w:p>
    <w:p w14:paraId="7C59C133">
      <w:pPr>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3.本投标有效期自投标截止之日起</w:t>
      </w:r>
      <w:r>
        <w:rPr>
          <w:rFonts w:hint="eastAsia" w:ascii="宋体" w:hAnsi="宋体"/>
          <w:color w:val="auto"/>
          <w:sz w:val="24"/>
          <w:highlight w:val="none"/>
          <w:u w:val="single"/>
        </w:rPr>
        <w:t>120</w:t>
      </w:r>
      <w:r>
        <w:rPr>
          <w:rFonts w:hint="eastAsia" w:ascii="宋体" w:hAnsi="宋体"/>
          <w:color w:val="auto"/>
          <w:sz w:val="24"/>
          <w:highlight w:val="none"/>
        </w:rPr>
        <w:t>日。</w:t>
      </w:r>
    </w:p>
    <w:p w14:paraId="396437CE">
      <w:pPr>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4.如中标，本投标文件至本项目合同履行完毕止均保持有效，我方将按“招标文件”及政府采购法律、法规的规定履行合同责任和义务。</w:t>
      </w:r>
    </w:p>
    <w:p w14:paraId="7262DB63">
      <w:pPr>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5.我方同意按照贵方要求提供与投标有关的一切数据或者资料。</w:t>
      </w:r>
    </w:p>
    <w:p w14:paraId="10FC3687">
      <w:pPr>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6.我方向贵方提交的所有投标文件、资料都是准确的和真实的。</w:t>
      </w:r>
    </w:p>
    <w:p w14:paraId="644BEFDC">
      <w:pPr>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7.以上事项如有虚假或者隐瞒，我方愿意承担一切后果，并不再寻求任何旨在减轻或者免除法律责任的辩解。</w:t>
      </w:r>
    </w:p>
    <w:p w14:paraId="26E2241B">
      <w:pPr>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8.根据</w:t>
      </w:r>
      <w:r>
        <w:rPr>
          <w:rFonts w:ascii="宋体" w:hAnsi="宋体"/>
          <w:color w:val="auto"/>
          <w:sz w:val="24"/>
          <w:highlight w:val="none"/>
        </w:rPr>
        <w:t>《中华人民共和国政府采购法实施条例》第五十条要求对政府采购合同进行公告</w:t>
      </w:r>
      <w:r>
        <w:rPr>
          <w:rFonts w:hint="eastAsia" w:ascii="宋体" w:hAnsi="宋体"/>
          <w:color w:val="auto"/>
          <w:sz w:val="24"/>
          <w:highlight w:val="none"/>
        </w:rPr>
        <w:t>，</w:t>
      </w:r>
      <w:r>
        <w:rPr>
          <w:rFonts w:ascii="宋体" w:hAnsi="宋体"/>
          <w:color w:val="auto"/>
          <w:sz w:val="24"/>
          <w:highlight w:val="none"/>
        </w:rPr>
        <w:t>但政府采购合同中涉及国家秘密、商业秘密的内容除外。</w:t>
      </w:r>
      <w:r>
        <w:rPr>
          <w:rFonts w:hint="eastAsia" w:ascii="宋体" w:hAnsi="宋体"/>
          <w:color w:val="auto"/>
          <w:sz w:val="24"/>
          <w:highlight w:val="none"/>
        </w:rPr>
        <w:t>我方就对本次投标文件进行注明如下：（两项内容中必须选择一项）</w:t>
      </w:r>
    </w:p>
    <w:p w14:paraId="1B3E2091">
      <w:pPr>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内容中</w:t>
      </w:r>
      <w:r>
        <w:rPr>
          <w:rFonts w:hint="eastAsia" w:ascii="宋体" w:hAnsi="宋体"/>
          <w:color w:val="auto"/>
          <w:sz w:val="24"/>
          <w:highlight w:val="none"/>
        </w:rPr>
        <w:t>未</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w:t>
      </w:r>
    </w:p>
    <w:p w14:paraId="63F86F55">
      <w:pPr>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的</w:t>
      </w:r>
      <w:r>
        <w:rPr>
          <w:rFonts w:ascii="宋体" w:hAnsi="宋体" w:cs="宋体"/>
          <w:color w:val="auto"/>
          <w:kern w:val="0"/>
          <w:sz w:val="24"/>
          <w:highlight w:val="none"/>
        </w:rPr>
        <w:t>内容</w:t>
      </w:r>
      <w:r>
        <w:rPr>
          <w:rFonts w:hint="eastAsia" w:ascii="宋体" w:hAnsi="宋体" w:cs="宋体"/>
          <w:color w:val="auto"/>
          <w:kern w:val="0"/>
          <w:sz w:val="24"/>
          <w:highlight w:val="none"/>
        </w:rPr>
        <w:t>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1DAF897B">
      <w:pPr>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9.与本项目有关的一切正式往来信函请寄：</w:t>
      </w:r>
    </w:p>
    <w:p w14:paraId="303298AF">
      <w:pPr>
        <w:spacing w:line="360" w:lineRule="auto"/>
        <w:ind w:firstLine="480" w:firstLineChars="200"/>
        <w:contextualSpacing/>
        <w:rPr>
          <w:rFonts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 xml:space="preserve">          </w:t>
      </w:r>
      <w:r>
        <w:rPr>
          <w:rFonts w:hint="eastAsia" w:ascii="宋体" w:hAnsi="宋体"/>
          <w:color w:val="auto"/>
          <w:sz w:val="24"/>
          <w:highlight w:val="none"/>
        </w:rPr>
        <w:t>邮编：</w:t>
      </w:r>
      <w:r>
        <w:rPr>
          <w:rFonts w:hint="eastAsia" w:ascii="宋体" w:hAnsi="宋体"/>
          <w:color w:val="auto"/>
          <w:sz w:val="24"/>
          <w:highlight w:val="none"/>
          <w:u w:val="single"/>
        </w:rPr>
        <w:t xml:space="preserve">            </w:t>
      </w:r>
    </w:p>
    <w:p w14:paraId="05B45058">
      <w:pPr>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联系人：</w:t>
      </w:r>
      <w:r>
        <w:rPr>
          <w:rFonts w:hint="eastAsia" w:ascii="宋体" w:hAnsi="宋体"/>
          <w:color w:val="auto"/>
          <w:sz w:val="24"/>
          <w:highlight w:val="none"/>
          <w:u w:val="single"/>
        </w:rPr>
        <w:t xml:space="preserve">        </w:t>
      </w:r>
      <w:r>
        <w:rPr>
          <w:rFonts w:hint="eastAsia" w:ascii="宋体" w:hAnsi="宋体"/>
          <w:color w:val="auto"/>
          <w:sz w:val="24"/>
          <w:highlight w:val="none"/>
        </w:rPr>
        <w:t>电话：</w:t>
      </w:r>
      <w:r>
        <w:rPr>
          <w:rFonts w:hint="eastAsia" w:ascii="宋体" w:hAnsi="宋体"/>
          <w:color w:val="auto"/>
          <w:sz w:val="24"/>
          <w:highlight w:val="none"/>
          <w:u w:val="single"/>
        </w:rPr>
        <w:t xml:space="preserve">        </w:t>
      </w:r>
      <w:r>
        <w:rPr>
          <w:rFonts w:hint="eastAsia" w:ascii="宋体" w:hAnsi="宋体"/>
          <w:color w:val="auto"/>
          <w:sz w:val="24"/>
          <w:highlight w:val="none"/>
        </w:rPr>
        <w:t>传真：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电子邮箱：</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168D1B3C">
      <w:pPr>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p>
    <w:p w14:paraId="68BE0E9B">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开户银行：</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银行账号：</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24789B36">
      <w:pPr>
        <w:pStyle w:val="17"/>
        <w:rPr>
          <w:color w:val="auto"/>
          <w:highlight w:val="none"/>
        </w:rPr>
      </w:pPr>
    </w:p>
    <w:p w14:paraId="577AE81F">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法定代表人或者委托代理人（签字或者电子签名）：_______ </w:t>
      </w:r>
    </w:p>
    <w:p w14:paraId="500CB63B">
      <w:pPr>
        <w:pStyle w:val="24"/>
        <w:spacing w:line="360" w:lineRule="auto"/>
        <w:contextualSpacing/>
        <w:jc w:val="center"/>
        <w:rPr>
          <w:rFonts w:hAnsi="宋体"/>
          <w:color w:val="auto"/>
          <w:sz w:val="24"/>
          <w:szCs w:val="24"/>
          <w:highlight w:val="none"/>
          <w:u w:val="single"/>
        </w:rPr>
      </w:pPr>
      <w:r>
        <w:rPr>
          <w:rFonts w:hint="eastAsia" w:hAnsi="宋体"/>
          <w:color w:val="auto"/>
          <w:sz w:val="24"/>
          <w:highlight w:val="none"/>
        </w:rPr>
        <w:t xml:space="preserve"> </w:t>
      </w:r>
      <w:r>
        <w:rPr>
          <w:rFonts w:hAnsi="宋体"/>
          <w:color w:val="auto"/>
          <w:sz w:val="24"/>
          <w:highlight w:val="none"/>
        </w:rPr>
        <w:t xml:space="preserve">                                   </w:t>
      </w:r>
      <w:r>
        <w:rPr>
          <w:rFonts w:hint="eastAsia" w:hAnsi="宋体"/>
          <w:color w:val="auto"/>
          <w:sz w:val="24"/>
          <w:highlight w:val="none"/>
        </w:rPr>
        <w:t>投标人名称（电子签章）：</w:t>
      </w:r>
    </w:p>
    <w:p w14:paraId="484E7B99">
      <w:pPr>
        <w:pStyle w:val="24"/>
        <w:spacing w:line="360" w:lineRule="auto"/>
        <w:contextualSpacing/>
        <w:rPr>
          <w:rFonts w:hAnsi="宋体"/>
          <w:color w:val="auto"/>
          <w:sz w:val="24"/>
          <w:highlight w:val="none"/>
        </w:rPr>
      </w:pPr>
      <w:r>
        <w:rPr>
          <w:rFonts w:hint="eastAsia" w:hAnsi="宋体"/>
          <w:color w:val="auto"/>
          <w:sz w:val="24"/>
          <w:szCs w:val="24"/>
          <w:highlight w:val="non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p>
    <w:p w14:paraId="7BD8A16D">
      <w:pPr>
        <w:snapToGrid w:val="0"/>
        <w:spacing w:before="120" w:beforeLines="50" w:after="50"/>
        <w:jc w:val="left"/>
        <w:rPr>
          <w:rFonts w:ascii="宋体" w:hAnsi="宋体"/>
          <w:b/>
          <w:color w:val="auto"/>
          <w:sz w:val="24"/>
          <w:szCs w:val="20"/>
          <w:highlight w:val="none"/>
        </w:rPr>
      </w:pPr>
      <w:r>
        <w:rPr>
          <w:rFonts w:hAnsi="宋体"/>
          <w:color w:val="auto"/>
          <w:highlight w:val="none"/>
          <w:u w:val="single"/>
        </w:rPr>
        <w:br w:type="page"/>
      </w:r>
      <w:r>
        <w:rPr>
          <w:rFonts w:hint="eastAsia" w:ascii="宋体" w:hAnsi="宋体"/>
          <w:b/>
          <w:color w:val="auto"/>
          <w:sz w:val="24"/>
          <w:highlight w:val="none"/>
        </w:rPr>
        <w:t>4. 开标一览表（货物类格式）</w:t>
      </w:r>
    </w:p>
    <w:p w14:paraId="76DA47BF">
      <w:pPr>
        <w:snapToGrid w:val="0"/>
        <w:spacing w:before="50" w:after="50"/>
        <w:jc w:val="center"/>
        <w:rPr>
          <w:rFonts w:ascii="宋体" w:hAnsi="宋体"/>
          <w:b/>
          <w:color w:val="auto"/>
          <w:sz w:val="30"/>
          <w:highlight w:val="none"/>
        </w:rPr>
      </w:pPr>
      <w:r>
        <w:rPr>
          <w:rFonts w:hint="eastAsia" w:ascii="宋体" w:hAnsi="宋体"/>
          <w:b/>
          <w:color w:val="auto"/>
          <w:sz w:val="30"/>
          <w:highlight w:val="none"/>
        </w:rPr>
        <w:t>开标一览表</w:t>
      </w:r>
    </w:p>
    <w:p w14:paraId="23C9F368">
      <w:pPr>
        <w:snapToGrid w:val="0"/>
        <w:spacing w:before="50" w:after="50"/>
        <w:jc w:val="center"/>
        <w:rPr>
          <w:rFonts w:ascii="宋体" w:hAnsi="宋体"/>
          <w:b/>
          <w:color w:val="auto"/>
          <w:sz w:val="30"/>
          <w:szCs w:val="20"/>
          <w:highlight w:val="none"/>
        </w:rPr>
      </w:pPr>
    </w:p>
    <w:p w14:paraId="453DC2CC">
      <w:pPr>
        <w:snapToGrid w:val="0"/>
        <w:spacing w:before="50" w:after="50" w:line="360" w:lineRule="auto"/>
        <w:rPr>
          <w:rFonts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分标：</w:t>
      </w:r>
      <w:r>
        <w:rPr>
          <w:rFonts w:hint="eastAsia" w:ascii="宋体" w:hAnsi="宋体"/>
          <w:color w:val="auto"/>
          <w:sz w:val="24"/>
          <w:highlight w:val="none"/>
          <w:u w:val="single"/>
        </w:rPr>
        <w:t xml:space="preserve">           </w:t>
      </w:r>
    </w:p>
    <w:p w14:paraId="1C75B8E3">
      <w:pPr>
        <w:snapToGrid w:val="0"/>
        <w:spacing w:before="50" w:after="50" w:line="360" w:lineRule="auto"/>
        <w:rPr>
          <w:rFonts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单位：元</w:t>
      </w:r>
    </w:p>
    <w:tbl>
      <w:tblPr>
        <w:tblStyle w:val="49"/>
        <w:tblW w:w="1010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8"/>
        <w:gridCol w:w="1491"/>
        <w:gridCol w:w="937"/>
        <w:gridCol w:w="1245"/>
        <w:gridCol w:w="1261"/>
        <w:gridCol w:w="1365"/>
        <w:gridCol w:w="930"/>
        <w:gridCol w:w="1515"/>
        <w:gridCol w:w="660"/>
      </w:tblGrid>
      <w:tr w14:paraId="6F3B03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3148DE3A">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序号</w:t>
            </w:r>
          </w:p>
        </w:tc>
        <w:tc>
          <w:tcPr>
            <w:tcW w:w="1491" w:type="dxa"/>
            <w:tcBorders>
              <w:top w:val="single" w:color="auto" w:sz="4" w:space="0"/>
              <w:left w:val="single" w:color="auto" w:sz="4" w:space="0"/>
              <w:bottom w:val="single" w:color="auto" w:sz="4" w:space="0"/>
              <w:right w:val="single" w:color="auto" w:sz="4" w:space="0"/>
            </w:tcBorders>
            <w:vAlign w:val="center"/>
          </w:tcPr>
          <w:p w14:paraId="7476E398">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标的的名称</w:t>
            </w:r>
          </w:p>
        </w:tc>
        <w:tc>
          <w:tcPr>
            <w:tcW w:w="937" w:type="dxa"/>
            <w:tcBorders>
              <w:top w:val="single" w:color="auto" w:sz="4" w:space="0"/>
              <w:left w:val="single" w:color="auto" w:sz="4" w:space="0"/>
              <w:bottom w:val="single" w:color="auto" w:sz="4" w:space="0"/>
              <w:right w:val="single" w:color="auto" w:sz="4" w:space="0"/>
            </w:tcBorders>
            <w:vAlign w:val="center"/>
          </w:tcPr>
          <w:p w14:paraId="36F26991">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品牌</w:t>
            </w:r>
          </w:p>
        </w:tc>
        <w:tc>
          <w:tcPr>
            <w:tcW w:w="1245" w:type="dxa"/>
            <w:tcBorders>
              <w:top w:val="single" w:color="auto" w:sz="4" w:space="0"/>
              <w:left w:val="single" w:color="auto" w:sz="4" w:space="0"/>
              <w:bottom w:val="single" w:color="auto" w:sz="4" w:space="0"/>
              <w:right w:val="single" w:color="auto" w:sz="4" w:space="0"/>
            </w:tcBorders>
            <w:vAlign w:val="center"/>
          </w:tcPr>
          <w:p w14:paraId="56163FDA">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规格型号</w:t>
            </w:r>
          </w:p>
        </w:tc>
        <w:tc>
          <w:tcPr>
            <w:tcW w:w="1261" w:type="dxa"/>
            <w:tcBorders>
              <w:top w:val="single" w:color="auto" w:sz="4" w:space="0"/>
              <w:left w:val="single" w:color="auto" w:sz="4" w:space="0"/>
              <w:bottom w:val="single" w:color="auto" w:sz="4" w:space="0"/>
              <w:right w:val="single" w:color="auto" w:sz="4" w:space="0"/>
            </w:tcBorders>
            <w:vAlign w:val="center"/>
          </w:tcPr>
          <w:p w14:paraId="04B5A01D">
            <w:pPr>
              <w:snapToGrid w:val="0"/>
              <w:spacing w:before="50" w:after="50" w:line="360" w:lineRule="auto"/>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生产厂家</w:t>
            </w:r>
          </w:p>
        </w:tc>
        <w:tc>
          <w:tcPr>
            <w:tcW w:w="1365" w:type="dxa"/>
            <w:tcBorders>
              <w:top w:val="single" w:color="auto" w:sz="4" w:space="0"/>
              <w:left w:val="single" w:color="auto" w:sz="4" w:space="0"/>
              <w:bottom w:val="single" w:color="auto" w:sz="4" w:space="0"/>
              <w:right w:val="single" w:color="auto" w:sz="4" w:space="0"/>
            </w:tcBorders>
            <w:vAlign w:val="center"/>
          </w:tcPr>
          <w:p w14:paraId="4F97D142">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数量及单位①</w:t>
            </w:r>
          </w:p>
        </w:tc>
        <w:tc>
          <w:tcPr>
            <w:tcW w:w="930" w:type="dxa"/>
            <w:tcBorders>
              <w:top w:val="single" w:color="auto" w:sz="4" w:space="0"/>
              <w:left w:val="single" w:color="auto" w:sz="4" w:space="0"/>
              <w:bottom w:val="single" w:color="auto" w:sz="4" w:space="0"/>
              <w:right w:val="single" w:color="auto" w:sz="4" w:space="0"/>
            </w:tcBorders>
            <w:vAlign w:val="center"/>
          </w:tcPr>
          <w:p w14:paraId="294C66D0">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单价</w:t>
            </w:r>
          </w:p>
          <w:p w14:paraId="72329746">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②</w:t>
            </w:r>
          </w:p>
        </w:tc>
        <w:tc>
          <w:tcPr>
            <w:tcW w:w="1515" w:type="dxa"/>
            <w:tcBorders>
              <w:top w:val="single" w:color="auto" w:sz="4" w:space="0"/>
              <w:left w:val="single" w:color="auto" w:sz="4" w:space="0"/>
              <w:bottom w:val="single" w:color="auto" w:sz="4" w:space="0"/>
              <w:right w:val="single" w:color="auto" w:sz="4" w:space="0"/>
            </w:tcBorders>
            <w:vAlign w:val="center"/>
          </w:tcPr>
          <w:p w14:paraId="5E904174">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投标报价</w:t>
            </w:r>
          </w:p>
          <w:p w14:paraId="110D90D5">
            <w:pPr>
              <w:snapToGrid w:val="0"/>
              <w:spacing w:before="50" w:after="50" w:line="360" w:lineRule="auto"/>
              <w:jc w:val="center"/>
              <w:rPr>
                <w:rFonts w:ascii="宋体" w:hAnsi="宋体"/>
                <w:b/>
                <w:color w:val="auto"/>
                <w:sz w:val="24"/>
                <w:highlight w:val="none"/>
              </w:rPr>
            </w:pPr>
            <w:r>
              <w:rPr>
                <w:rFonts w:ascii="宋体" w:hAnsi="宋体"/>
                <w:b/>
                <w:color w:val="auto"/>
                <w:sz w:val="24"/>
                <w:highlight w:val="none"/>
              </w:rPr>
              <w:t>③</w:t>
            </w:r>
            <w:r>
              <w:rPr>
                <w:rFonts w:hint="eastAsia" w:ascii="宋体" w:hAnsi="宋体"/>
                <w:b/>
                <w:color w:val="auto"/>
                <w:sz w:val="24"/>
                <w:highlight w:val="none"/>
              </w:rPr>
              <w:t>=①×②</w:t>
            </w:r>
          </w:p>
        </w:tc>
        <w:tc>
          <w:tcPr>
            <w:tcW w:w="660" w:type="dxa"/>
            <w:tcBorders>
              <w:top w:val="single" w:color="auto" w:sz="4" w:space="0"/>
              <w:left w:val="single" w:color="auto" w:sz="4" w:space="0"/>
              <w:bottom w:val="single" w:color="auto" w:sz="4" w:space="0"/>
              <w:right w:val="single" w:color="auto" w:sz="4" w:space="0"/>
            </w:tcBorders>
            <w:vAlign w:val="center"/>
          </w:tcPr>
          <w:p w14:paraId="1D12BB66">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备注</w:t>
            </w:r>
          </w:p>
        </w:tc>
      </w:tr>
      <w:tr w14:paraId="6B14C2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1EE4A585">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1</w:t>
            </w:r>
          </w:p>
        </w:tc>
        <w:tc>
          <w:tcPr>
            <w:tcW w:w="1491" w:type="dxa"/>
            <w:tcBorders>
              <w:top w:val="single" w:color="auto" w:sz="4" w:space="0"/>
              <w:left w:val="single" w:color="auto" w:sz="4" w:space="0"/>
              <w:bottom w:val="single" w:color="auto" w:sz="4" w:space="0"/>
              <w:right w:val="single" w:color="auto" w:sz="4" w:space="0"/>
            </w:tcBorders>
            <w:vAlign w:val="center"/>
          </w:tcPr>
          <w:p w14:paraId="7E39000D">
            <w:pPr>
              <w:snapToGrid w:val="0"/>
              <w:spacing w:before="50" w:after="50" w:line="360" w:lineRule="auto"/>
              <w:jc w:val="center"/>
              <w:rPr>
                <w:rFonts w:ascii="宋体" w:hAnsi="宋体"/>
                <w:b/>
                <w:color w:val="auto"/>
                <w:sz w:val="24"/>
                <w:highlight w:val="none"/>
              </w:rPr>
            </w:pPr>
          </w:p>
        </w:tc>
        <w:tc>
          <w:tcPr>
            <w:tcW w:w="937" w:type="dxa"/>
            <w:tcBorders>
              <w:top w:val="single" w:color="auto" w:sz="4" w:space="0"/>
              <w:left w:val="single" w:color="auto" w:sz="4" w:space="0"/>
              <w:bottom w:val="single" w:color="auto" w:sz="4" w:space="0"/>
              <w:right w:val="single" w:color="auto" w:sz="4" w:space="0"/>
            </w:tcBorders>
            <w:vAlign w:val="center"/>
          </w:tcPr>
          <w:p w14:paraId="5F699B3E">
            <w:pPr>
              <w:snapToGrid w:val="0"/>
              <w:spacing w:before="50" w:after="50" w:line="360" w:lineRule="auto"/>
              <w:rPr>
                <w:rFonts w:ascii="宋体" w:hAnsi="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3B1FB905">
            <w:pPr>
              <w:snapToGrid w:val="0"/>
              <w:spacing w:before="50" w:after="50" w:line="360" w:lineRule="auto"/>
              <w:rPr>
                <w:rFonts w:ascii="宋体" w:hAnsi="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0190FA47">
            <w:pPr>
              <w:snapToGrid w:val="0"/>
              <w:spacing w:before="50" w:after="50" w:line="360" w:lineRule="auto"/>
              <w:rPr>
                <w:rFonts w:ascii="宋体" w:hAnsi="宋体"/>
                <w:color w:val="auto"/>
                <w:sz w:val="24"/>
                <w:highlight w:val="none"/>
              </w:rPr>
            </w:pPr>
          </w:p>
        </w:tc>
        <w:tc>
          <w:tcPr>
            <w:tcW w:w="1365" w:type="dxa"/>
            <w:tcBorders>
              <w:top w:val="single" w:color="auto" w:sz="4" w:space="0"/>
              <w:left w:val="single" w:color="auto" w:sz="4" w:space="0"/>
              <w:bottom w:val="single" w:color="auto" w:sz="4" w:space="0"/>
              <w:right w:val="single" w:color="auto" w:sz="4" w:space="0"/>
            </w:tcBorders>
            <w:vAlign w:val="center"/>
          </w:tcPr>
          <w:p w14:paraId="30812DAC">
            <w:pPr>
              <w:snapToGrid w:val="0"/>
              <w:spacing w:before="50" w:after="50" w:line="360" w:lineRule="auto"/>
              <w:rPr>
                <w:rFonts w:ascii="宋体" w:hAnsi="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21F444F0">
            <w:pPr>
              <w:snapToGrid w:val="0"/>
              <w:spacing w:before="50" w:after="50" w:line="360" w:lineRule="auto"/>
              <w:rPr>
                <w:rFonts w:ascii="宋体" w:hAnsi="宋体"/>
                <w:color w:val="auto"/>
                <w:sz w:val="24"/>
                <w:highlight w:val="none"/>
              </w:rPr>
            </w:pPr>
          </w:p>
        </w:tc>
        <w:tc>
          <w:tcPr>
            <w:tcW w:w="1515" w:type="dxa"/>
            <w:tcBorders>
              <w:top w:val="single" w:color="auto" w:sz="4" w:space="0"/>
              <w:left w:val="single" w:color="auto" w:sz="4" w:space="0"/>
              <w:bottom w:val="single" w:color="auto" w:sz="4" w:space="0"/>
              <w:right w:val="single" w:color="auto" w:sz="4" w:space="0"/>
            </w:tcBorders>
            <w:vAlign w:val="center"/>
          </w:tcPr>
          <w:p w14:paraId="2B55AF3F">
            <w:pPr>
              <w:snapToGrid w:val="0"/>
              <w:spacing w:before="50" w:after="50" w:line="360" w:lineRule="auto"/>
              <w:rPr>
                <w:rFonts w:ascii="宋体" w:hAnsi="宋体"/>
                <w:color w:val="auto"/>
                <w:sz w:val="24"/>
                <w:highlight w:val="none"/>
              </w:rPr>
            </w:pPr>
          </w:p>
        </w:tc>
        <w:tc>
          <w:tcPr>
            <w:tcW w:w="660" w:type="dxa"/>
            <w:tcBorders>
              <w:top w:val="single" w:color="auto" w:sz="4" w:space="0"/>
              <w:left w:val="single" w:color="auto" w:sz="4" w:space="0"/>
              <w:bottom w:val="single" w:color="auto" w:sz="4" w:space="0"/>
              <w:right w:val="single" w:color="auto" w:sz="4" w:space="0"/>
            </w:tcBorders>
            <w:vAlign w:val="center"/>
          </w:tcPr>
          <w:p w14:paraId="3C5733A6">
            <w:pPr>
              <w:snapToGrid w:val="0"/>
              <w:spacing w:before="50" w:after="50" w:line="360" w:lineRule="auto"/>
              <w:rPr>
                <w:rFonts w:ascii="宋体" w:hAnsi="宋体"/>
                <w:color w:val="auto"/>
                <w:sz w:val="24"/>
                <w:highlight w:val="none"/>
              </w:rPr>
            </w:pPr>
          </w:p>
        </w:tc>
      </w:tr>
      <w:tr w14:paraId="47EE53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2A7BAA3E">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2</w:t>
            </w:r>
          </w:p>
        </w:tc>
        <w:tc>
          <w:tcPr>
            <w:tcW w:w="1491" w:type="dxa"/>
            <w:tcBorders>
              <w:top w:val="single" w:color="auto" w:sz="4" w:space="0"/>
              <w:left w:val="single" w:color="auto" w:sz="4" w:space="0"/>
              <w:bottom w:val="single" w:color="auto" w:sz="4" w:space="0"/>
              <w:right w:val="single" w:color="auto" w:sz="4" w:space="0"/>
            </w:tcBorders>
            <w:vAlign w:val="center"/>
          </w:tcPr>
          <w:p w14:paraId="59820519">
            <w:pPr>
              <w:snapToGrid w:val="0"/>
              <w:spacing w:before="50" w:after="50" w:line="360" w:lineRule="auto"/>
              <w:jc w:val="center"/>
              <w:rPr>
                <w:rFonts w:ascii="宋体" w:hAnsi="宋体"/>
                <w:b/>
                <w:color w:val="auto"/>
                <w:sz w:val="24"/>
                <w:highlight w:val="none"/>
              </w:rPr>
            </w:pPr>
          </w:p>
        </w:tc>
        <w:tc>
          <w:tcPr>
            <w:tcW w:w="937" w:type="dxa"/>
            <w:tcBorders>
              <w:top w:val="single" w:color="auto" w:sz="4" w:space="0"/>
              <w:left w:val="single" w:color="auto" w:sz="4" w:space="0"/>
              <w:bottom w:val="single" w:color="auto" w:sz="4" w:space="0"/>
              <w:right w:val="single" w:color="auto" w:sz="4" w:space="0"/>
            </w:tcBorders>
            <w:vAlign w:val="center"/>
          </w:tcPr>
          <w:p w14:paraId="677ED0B7">
            <w:pPr>
              <w:snapToGrid w:val="0"/>
              <w:spacing w:before="50" w:after="50" w:line="360" w:lineRule="auto"/>
              <w:rPr>
                <w:rFonts w:ascii="宋体" w:hAnsi="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35CF5FBB">
            <w:pPr>
              <w:snapToGrid w:val="0"/>
              <w:spacing w:before="50" w:after="50" w:line="360" w:lineRule="auto"/>
              <w:rPr>
                <w:rFonts w:ascii="宋体" w:hAnsi="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30EF1541">
            <w:pPr>
              <w:snapToGrid w:val="0"/>
              <w:spacing w:before="50" w:after="50" w:line="360" w:lineRule="auto"/>
              <w:rPr>
                <w:rFonts w:ascii="宋体" w:hAnsi="宋体"/>
                <w:color w:val="auto"/>
                <w:sz w:val="24"/>
                <w:highlight w:val="none"/>
              </w:rPr>
            </w:pPr>
          </w:p>
        </w:tc>
        <w:tc>
          <w:tcPr>
            <w:tcW w:w="1365" w:type="dxa"/>
            <w:tcBorders>
              <w:top w:val="single" w:color="auto" w:sz="4" w:space="0"/>
              <w:left w:val="single" w:color="auto" w:sz="4" w:space="0"/>
              <w:bottom w:val="single" w:color="auto" w:sz="4" w:space="0"/>
              <w:right w:val="single" w:color="auto" w:sz="4" w:space="0"/>
            </w:tcBorders>
            <w:vAlign w:val="center"/>
          </w:tcPr>
          <w:p w14:paraId="1AB5800D">
            <w:pPr>
              <w:snapToGrid w:val="0"/>
              <w:spacing w:before="50" w:after="50" w:line="360" w:lineRule="auto"/>
              <w:rPr>
                <w:rFonts w:ascii="宋体" w:hAnsi="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5204166C">
            <w:pPr>
              <w:snapToGrid w:val="0"/>
              <w:spacing w:before="50" w:after="50" w:line="360" w:lineRule="auto"/>
              <w:rPr>
                <w:rFonts w:ascii="宋体" w:hAnsi="宋体"/>
                <w:color w:val="auto"/>
                <w:sz w:val="24"/>
                <w:highlight w:val="none"/>
              </w:rPr>
            </w:pPr>
          </w:p>
        </w:tc>
        <w:tc>
          <w:tcPr>
            <w:tcW w:w="1515" w:type="dxa"/>
            <w:tcBorders>
              <w:top w:val="single" w:color="auto" w:sz="4" w:space="0"/>
              <w:left w:val="single" w:color="auto" w:sz="4" w:space="0"/>
              <w:bottom w:val="single" w:color="auto" w:sz="4" w:space="0"/>
              <w:right w:val="single" w:color="auto" w:sz="4" w:space="0"/>
            </w:tcBorders>
            <w:vAlign w:val="center"/>
          </w:tcPr>
          <w:p w14:paraId="06D8FC95">
            <w:pPr>
              <w:snapToGrid w:val="0"/>
              <w:spacing w:before="50" w:after="50" w:line="360" w:lineRule="auto"/>
              <w:rPr>
                <w:rFonts w:ascii="宋体" w:hAnsi="宋体"/>
                <w:color w:val="auto"/>
                <w:sz w:val="24"/>
                <w:highlight w:val="none"/>
              </w:rPr>
            </w:pPr>
          </w:p>
        </w:tc>
        <w:tc>
          <w:tcPr>
            <w:tcW w:w="660" w:type="dxa"/>
            <w:tcBorders>
              <w:top w:val="single" w:color="auto" w:sz="4" w:space="0"/>
              <w:left w:val="single" w:color="auto" w:sz="4" w:space="0"/>
              <w:bottom w:val="single" w:color="auto" w:sz="4" w:space="0"/>
              <w:right w:val="single" w:color="auto" w:sz="4" w:space="0"/>
            </w:tcBorders>
            <w:vAlign w:val="center"/>
          </w:tcPr>
          <w:p w14:paraId="75DFF081">
            <w:pPr>
              <w:snapToGrid w:val="0"/>
              <w:spacing w:before="50" w:after="50" w:line="360" w:lineRule="auto"/>
              <w:rPr>
                <w:rFonts w:ascii="宋体" w:hAnsi="宋体"/>
                <w:color w:val="auto"/>
                <w:sz w:val="24"/>
                <w:highlight w:val="none"/>
              </w:rPr>
            </w:pPr>
          </w:p>
        </w:tc>
      </w:tr>
      <w:tr w14:paraId="15E370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7B4F0C89">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w:t>
            </w:r>
          </w:p>
        </w:tc>
        <w:tc>
          <w:tcPr>
            <w:tcW w:w="1491" w:type="dxa"/>
            <w:tcBorders>
              <w:top w:val="single" w:color="auto" w:sz="4" w:space="0"/>
              <w:left w:val="single" w:color="auto" w:sz="4" w:space="0"/>
              <w:bottom w:val="single" w:color="auto" w:sz="4" w:space="0"/>
              <w:right w:val="single" w:color="auto" w:sz="4" w:space="0"/>
            </w:tcBorders>
            <w:vAlign w:val="center"/>
          </w:tcPr>
          <w:p w14:paraId="6DDDD661">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w:t>
            </w:r>
          </w:p>
        </w:tc>
        <w:tc>
          <w:tcPr>
            <w:tcW w:w="937" w:type="dxa"/>
            <w:tcBorders>
              <w:top w:val="single" w:color="auto" w:sz="4" w:space="0"/>
              <w:left w:val="single" w:color="auto" w:sz="4" w:space="0"/>
              <w:bottom w:val="single" w:color="auto" w:sz="4" w:space="0"/>
              <w:right w:val="single" w:color="auto" w:sz="4" w:space="0"/>
            </w:tcBorders>
            <w:vAlign w:val="center"/>
          </w:tcPr>
          <w:p w14:paraId="4145FD94">
            <w:pPr>
              <w:snapToGrid w:val="0"/>
              <w:spacing w:before="50" w:after="50" w:line="360" w:lineRule="auto"/>
              <w:rPr>
                <w:rFonts w:ascii="宋体" w:hAnsi="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5F52A467">
            <w:pPr>
              <w:snapToGrid w:val="0"/>
              <w:spacing w:before="50" w:after="50" w:line="360" w:lineRule="auto"/>
              <w:rPr>
                <w:rFonts w:ascii="宋体" w:hAnsi="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2AF6B8FB">
            <w:pPr>
              <w:snapToGrid w:val="0"/>
              <w:spacing w:before="50" w:after="50" w:line="360" w:lineRule="auto"/>
              <w:rPr>
                <w:rFonts w:ascii="宋体" w:hAnsi="宋体"/>
                <w:color w:val="auto"/>
                <w:sz w:val="24"/>
                <w:highlight w:val="none"/>
              </w:rPr>
            </w:pPr>
          </w:p>
        </w:tc>
        <w:tc>
          <w:tcPr>
            <w:tcW w:w="1365" w:type="dxa"/>
            <w:tcBorders>
              <w:top w:val="single" w:color="auto" w:sz="4" w:space="0"/>
              <w:left w:val="single" w:color="auto" w:sz="4" w:space="0"/>
              <w:bottom w:val="single" w:color="auto" w:sz="4" w:space="0"/>
              <w:right w:val="single" w:color="auto" w:sz="4" w:space="0"/>
            </w:tcBorders>
            <w:vAlign w:val="center"/>
          </w:tcPr>
          <w:p w14:paraId="66AC1C8C">
            <w:pPr>
              <w:snapToGrid w:val="0"/>
              <w:spacing w:before="50" w:after="50" w:line="360" w:lineRule="auto"/>
              <w:rPr>
                <w:rFonts w:ascii="宋体" w:hAnsi="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3F2A5768">
            <w:pPr>
              <w:snapToGrid w:val="0"/>
              <w:spacing w:before="50" w:after="50" w:line="360" w:lineRule="auto"/>
              <w:rPr>
                <w:rFonts w:ascii="宋体" w:hAnsi="宋体"/>
                <w:color w:val="auto"/>
                <w:sz w:val="24"/>
                <w:highlight w:val="none"/>
              </w:rPr>
            </w:pPr>
          </w:p>
        </w:tc>
        <w:tc>
          <w:tcPr>
            <w:tcW w:w="1515" w:type="dxa"/>
            <w:tcBorders>
              <w:top w:val="single" w:color="auto" w:sz="4" w:space="0"/>
              <w:left w:val="single" w:color="auto" w:sz="4" w:space="0"/>
              <w:bottom w:val="single" w:color="auto" w:sz="4" w:space="0"/>
              <w:right w:val="single" w:color="auto" w:sz="4" w:space="0"/>
            </w:tcBorders>
            <w:vAlign w:val="center"/>
          </w:tcPr>
          <w:p w14:paraId="62821C88">
            <w:pPr>
              <w:snapToGrid w:val="0"/>
              <w:spacing w:before="50" w:after="50" w:line="360" w:lineRule="auto"/>
              <w:rPr>
                <w:rFonts w:ascii="宋体" w:hAnsi="宋体"/>
                <w:color w:val="auto"/>
                <w:sz w:val="24"/>
                <w:highlight w:val="none"/>
              </w:rPr>
            </w:pPr>
          </w:p>
        </w:tc>
        <w:tc>
          <w:tcPr>
            <w:tcW w:w="660" w:type="dxa"/>
            <w:tcBorders>
              <w:top w:val="single" w:color="auto" w:sz="4" w:space="0"/>
              <w:left w:val="single" w:color="auto" w:sz="4" w:space="0"/>
              <w:bottom w:val="single" w:color="auto" w:sz="4" w:space="0"/>
              <w:right w:val="single" w:color="auto" w:sz="4" w:space="0"/>
            </w:tcBorders>
            <w:vAlign w:val="center"/>
          </w:tcPr>
          <w:p w14:paraId="22929DAD">
            <w:pPr>
              <w:snapToGrid w:val="0"/>
              <w:spacing w:before="50" w:after="50" w:line="360" w:lineRule="auto"/>
              <w:rPr>
                <w:rFonts w:ascii="宋体" w:hAnsi="宋体"/>
                <w:color w:val="auto"/>
                <w:sz w:val="24"/>
                <w:highlight w:val="none"/>
              </w:rPr>
            </w:pPr>
          </w:p>
        </w:tc>
      </w:tr>
      <w:tr w14:paraId="7ABB83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10102" w:type="dxa"/>
            <w:gridSpan w:val="9"/>
            <w:tcBorders>
              <w:top w:val="single" w:color="auto" w:sz="4" w:space="0"/>
              <w:left w:val="single" w:color="auto" w:sz="4" w:space="0"/>
              <w:bottom w:val="single" w:color="auto" w:sz="4" w:space="0"/>
              <w:right w:val="single" w:color="auto" w:sz="4" w:space="0"/>
            </w:tcBorders>
            <w:vAlign w:val="center"/>
          </w:tcPr>
          <w:p w14:paraId="5CCC01F1">
            <w:pPr>
              <w:snapToGrid w:val="0"/>
              <w:spacing w:before="50" w:after="50" w:line="360" w:lineRule="auto"/>
              <w:rPr>
                <w:rFonts w:ascii="宋体" w:hAnsi="宋体" w:cs="仿宋_GB2312"/>
                <w:color w:val="auto"/>
                <w:sz w:val="24"/>
                <w:highlight w:val="none"/>
              </w:rPr>
            </w:pPr>
            <w:r>
              <w:rPr>
                <w:rFonts w:hint="eastAsia" w:ascii="宋体" w:hAnsi="宋体" w:cs="仿宋_GB2312"/>
                <w:color w:val="auto"/>
                <w:sz w:val="24"/>
                <w:highlight w:val="none"/>
              </w:rPr>
              <w:t>合计金额大写：人民币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r w14:paraId="0D00B0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10102" w:type="dxa"/>
            <w:gridSpan w:val="9"/>
            <w:tcBorders>
              <w:top w:val="single" w:color="auto" w:sz="4" w:space="0"/>
              <w:left w:val="single" w:color="auto" w:sz="4" w:space="0"/>
              <w:bottom w:val="single" w:color="auto" w:sz="4" w:space="0"/>
              <w:right w:val="single" w:color="auto" w:sz="4" w:space="0"/>
            </w:tcBorders>
            <w:vAlign w:val="center"/>
          </w:tcPr>
          <w:p w14:paraId="62664A52">
            <w:pPr>
              <w:snapToGrid w:val="0"/>
              <w:spacing w:before="50" w:after="50" w:line="360" w:lineRule="auto"/>
              <w:rPr>
                <w:rFonts w:ascii="宋体" w:hAnsi="宋体" w:cs="仿宋_GB2312"/>
                <w:iCs/>
                <w:color w:val="auto"/>
                <w:sz w:val="24"/>
                <w:highlight w:val="none"/>
                <w:u w:val="single"/>
              </w:rPr>
            </w:pPr>
            <w:r>
              <w:rPr>
                <w:rFonts w:hint="eastAsia" w:ascii="宋体" w:hAnsi="宋体" w:cs="仿宋_GB2312"/>
                <w:iCs/>
                <w:color w:val="auto"/>
                <w:sz w:val="24"/>
                <w:highlight w:val="none"/>
                <w:u w:val="single"/>
              </w:rPr>
              <w:t>投标产品中，属于本国产品总值为¥       （具体明细详见附表，附表格式自拟），占投标产品报价的比例为    %。</w:t>
            </w:r>
          </w:p>
        </w:tc>
      </w:tr>
    </w:tbl>
    <w:p w14:paraId="37C11B7E">
      <w:pPr>
        <w:snapToGrid w:val="0"/>
        <w:spacing w:line="360" w:lineRule="auto"/>
        <w:jc w:val="left"/>
        <w:rPr>
          <w:rFonts w:ascii="宋体" w:hAnsi="宋体"/>
          <w:color w:val="auto"/>
          <w:sz w:val="24"/>
          <w:highlight w:val="none"/>
        </w:rPr>
      </w:pPr>
      <w:r>
        <w:rPr>
          <w:rFonts w:hint="eastAsia" w:ascii="宋体" w:hAnsi="宋体"/>
          <w:color w:val="auto"/>
          <w:sz w:val="24"/>
          <w:highlight w:val="none"/>
        </w:rPr>
        <w:t xml:space="preserve">注： </w:t>
      </w:r>
    </w:p>
    <w:p w14:paraId="575E757C">
      <w:pPr>
        <w:snapToGrid w:val="0"/>
        <w:spacing w:line="360" w:lineRule="auto"/>
        <w:ind w:firstLine="480" w:firstLineChars="200"/>
        <w:jc w:val="left"/>
        <w:rPr>
          <w:rFonts w:ascii="宋体" w:hAnsi="宋体"/>
          <w:b/>
          <w:color w:val="auto"/>
          <w:sz w:val="24"/>
          <w:highlight w:val="none"/>
        </w:rPr>
      </w:pPr>
      <w:r>
        <w:rPr>
          <w:rFonts w:hint="eastAsia" w:ascii="宋体" w:hAnsi="宋体"/>
          <w:bCs/>
          <w:color w:val="auto"/>
          <w:sz w:val="24"/>
          <w:highlight w:val="none"/>
        </w:rPr>
        <w:t>1.</w:t>
      </w:r>
      <w:r>
        <w:rPr>
          <w:rFonts w:hint="eastAsia" w:ascii="宋体" w:hAnsi="宋体"/>
          <w:color w:val="auto"/>
          <w:sz w:val="24"/>
          <w:highlight w:val="none"/>
        </w:rPr>
        <w:t>报价一经涂改，应在涂改处加盖投标人公章</w:t>
      </w:r>
      <w:r>
        <w:rPr>
          <w:rFonts w:hint="eastAsia" w:ascii="宋体" w:hAnsi="宋体" w:cs="仿宋_GB2312"/>
          <w:color w:val="auto"/>
          <w:sz w:val="24"/>
          <w:highlight w:val="none"/>
        </w:rPr>
        <w:t>或者加盖电子签章</w:t>
      </w:r>
      <w:r>
        <w:rPr>
          <w:rFonts w:hint="eastAsia" w:ascii="宋体" w:hAnsi="宋体"/>
          <w:color w:val="auto"/>
          <w:sz w:val="24"/>
          <w:highlight w:val="none"/>
        </w:rPr>
        <w:t>或者由法定代表人或者委托代理人签字（或者电子签名）</w:t>
      </w:r>
      <w:r>
        <w:rPr>
          <w:rFonts w:hint="eastAsia" w:ascii="宋体" w:hAnsi="宋体"/>
          <w:b/>
          <w:color w:val="auto"/>
          <w:sz w:val="24"/>
          <w:highlight w:val="none"/>
        </w:rPr>
        <w:t>，否则按无效投标处理。</w:t>
      </w:r>
    </w:p>
    <w:p w14:paraId="05B5A8E3">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2.如有多分标，按分标分别提供开标一览表，</w:t>
      </w:r>
      <w:r>
        <w:rPr>
          <w:rFonts w:hint="eastAsia" w:ascii="宋体" w:hAnsi="宋体"/>
          <w:b/>
          <w:color w:val="auto"/>
          <w:sz w:val="24"/>
          <w:highlight w:val="none"/>
        </w:rPr>
        <w:t>否则按无效投标处理</w:t>
      </w:r>
      <w:r>
        <w:rPr>
          <w:rFonts w:hint="eastAsia" w:ascii="宋体" w:hAnsi="宋体"/>
          <w:color w:val="auto"/>
          <w:sz w:val="24"/>
          <w:highlight w:val="none"/>
        </w:rPr>
        <w:t>。</w:t>
      </w:r>
    </w:p>
    <w:p w14:paraId="4535B819">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本报价包含：①货物的价格：包括货款、杂配件、安装调试费、验收费、计量检测费（如有）、信息系统接入费，培训费；②货物的标准附件、备品备件、专用工具的价格，以及为实现项目采购目的达成的一切费用。③运输、装卸、调试、培训、技术支持、售后服务费，第三方检测验收费用（如有）。④保险费和各项税金。</w:t>
      </w:r>
    </w:p>
    <w:p w14:paraId="0E5F84DE">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4.投标产品须提供产品《医疗器械注册证》复印件并加盖投标人公章，</w:t>
      </w:r>
      <w:r>
        <w:rPr>
          <w:rFonts w:hint="eastAsia" w:ascii="宋体" w:hAnsi="宋体"/>
          <w:b/>
          <w:color w:val="auto"/>
          <w:sz w:val="24"/>
          <w:highlight w:val="none"/>
        </w:rPr>
        <w:t>否则按无效投标处理</w:t>
      </w:r>
      <w:r>
        <w:rPr>
          <w:rFonts w:hint="eastAsia" w:ascii="宋体" w:hAnsi="宋体"/>
          <w:color w:val="auto"/>
          <w:sz w:val="24"/>
          <w:highlight w:val="none"/>
        </w:rPr>
        <w:t>。</w:t>
      </w:r>
    </w:p>
    <w:p w14:paraId="2322C184">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5.投标产品名称、规格型号与《医疗器械注册证》相一致。</w:t>
      </w:r>
    </w:p>
    <w:p w14:paraId="5CCF138C">
      <w:pPr>
        <w:snapToGrid w:val="0"/>
        <w:spacing w:line="360" w:lineRule="auto"/>
        <w:ind w:firstLine="480" w:firstLineChars="200"/>
        <w:jc w:val="left"/>
        <w:rPr>
          <w:rFonts w:hint="eastAsia" w:ascii="宋体" w:hAnsi="宋体" w:eastAsia="宋体" w:cs="Times New Roman"/>
          <w:b/>
          <w:bCs/>
          <w:color w:val="auto"/>
          <w:sz w:val="24"/>
          <w:highlight w:val="none"/>
        </w:rPr>
      </w:pPr>
      <w:r>
        <w:rPr>
          <w:rFonts w:hint="eastAsia" w:ascii="宋体" w:hAnsi="宋体"/>
          <w:color w:val="auto"/>
          <w:sz w:val="24"/>
          <w:highlight w:val="none"/>
        </w:rPr>
        <w:t>6.开标一览表上的品牌</w:t>
      </w:r>
      <w:r>
        <w:rPr>
          <w:rFonts w:hint="eastAsia" w:ascii="宋体" w:hAnsi="宋体" w:eastAsia="宋体" w:cs="Times New Roman"/>
          <w:color w:val="auto"/>
          <w:sz w:val="24"/>
          <w:highlight w:val="none"/>
          <w:lang w:val="en-US" w:eastAsia="zh-CN"/>
        </w:rPr>
        <w:t>必须与设备上标识品牌或铭牌上的品牌相一致</w:t>
      </w:r>
      <w:r>
        <w:rPr>
          <w:rFonts w:hint="eastAsia" w:ascii="宋体" w:hAnsi="宋体" w:eastAsia="宋体" w:cs="Times New Roman"/>
          <w:b/>
          <w:bCs/>
          <w:color w:val="auto"/>
          <w:sz w:val="24"/>
          <w:highlight w:val="none"/>
          <w:lang w:val="en-US" w:eastAsia="zh-CN"/>
        </w:rPr>
        <w:t>（</w:t>
      </w:r>
      <w:r>
        <w:rPr>
          <w:rFonts w:hint="eastAsia" w:ascii="宋体" w:hAnsi="宋体" w:cs="Times New Roman"/>
          <w:b/>
          <w:bCs/>
          <w:color w:val="auto"/>
          <w:sz w:val="24"/>
          <w:highlight w:val="none"/>
          <w:lang w:val="en-US" w:eastAsia="zh-CN"/>
        </w:rPr>
        <w:t>投标文件中</w:t>
      </w:r>
      <w:r>
        <w:rPr>
          <w:rFonts w:hint="eastAsia" w:ascii="宋体" w:hAnsi="宋体" w:eastAsia="宋体" w:cs="Times New Roman"/>
          <w:b/>
          <w:bCs/>
          <w:color w:val="auto"/>
          <w:sz w:val="24"/>
          <w:highlight w:val="none"/>
          <w:lang w:val="en-US" w:eastAsia="zh-CN"/>
        </w:rPr>
        <w:t>提供设备上标识品牌或铭牌截图并加盖投标人公章</w:t>
      </w:r>
      <w:r>
        <w:rPr>
          <w:rFonts w:hint="eastAsia" w:ascii="宋体" w:hAnsi="宋体" w:eastAsia="宋体" w:cs="Times New Roman"/>
          <w:b/>
          <w:bCs/>
          <w:color w:val="auto"/>
          <w:sz w:val="24"/>
          <w:highlight w:val="none"/>
        </w:rPr>
        <w:t>，否则按投标无效处理。</w:t>
      </w:r>
      <w:r>
        <w:rPr>
          <w:rFonts w:hint="eastAsia" w:ascii="宋体" w:hAnsi="宋体" w:eastAsia="宋体" w:cs="Times New Roman"/>
          <w:b/>
          <w:bCs/>
          <w:color w:val="auto"/>
          <w:sz w:val="24"/>
          <w:highlight w:val="none"/>
          <w:lang w:val="en-US" w:eastAsia="zh-CN"/>
        </w:rPr>
        <w:t>）</w:t>
      </w:r>
    </w:p>
    <w:p w14:paraId="15FFC615">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lang w:val="en-US" w:eastAsia="zh-CN"/>
        </w:rPr>
        <w:t>7</w:t>
      </w:r>
      <w:r>
        <w:rPr>
          <w:rFonts w:hint="eastAsia" w:ascii="宋体" w:hAnsi="宋体"/>
          <w:color w:val="auto"/>
          <w:sz w:val="24"/>
          <w:highlight w:val="none"/>
        </w:rPr>
        <w:t>.自签订合同之日起30天内完成安装、调试、培训工作。</w:t>
      </w:r>
    </w:p>
    <w:p w14:paraId="0C260B90">
      <w:pPr>
        <w:snapToGrid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.质保期：自货物安装验收合格之日起不少于1年，</w:t>
      </w:r>
      <w:r>
        <w:rPr>
          <w:rFonts w:hint="eastAsia" w:ascii="宋体" w:hAnsi="宋体" w:cs="宋体"/>
          <w:b/>
          <w:bCs/>
          <w:color w:val="auto"/>
          <w:kern w:val="0"/>
          <w:sz w:val="24"/>
          <w:szCs w:val="24"/>
          <w:highlight w:val="none"/>
          <w:lang w:bidi="ar"/>
        </w:rPr>
        <w:t>各设备具体质保期限要求详见其技术要求。</w:t>
      </w:r>
    </w:p>
    <w:p w14:paraId="3884E7AC">
      <w:pPr>
        <w:snapToGrid w:val="0"/>
        <w:spacing w:line="360" w:lineRule="auto"/>
        <w:ind w:left="-2" w:leftChars="-1" w:right="-817" w:rightChars="-389"/>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 </w:t>
      </w:r>
    </w:p>
    <w:p w14:paraId="46D089A8">
      <w:pPr>
        <w:snapToGrid w:val="0"/>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投标人名称（电子签章）：</w:t>
      </w:r>
    </w:p>
    <w:p w14:paraId="76BCF03D">
      <w:pPr>
        <w:snapToGrid w:val="0"/>
        <w:spacing w:line="360" w:lineRule="auto"/>
        <w:ind w:left="-3" w:leftChars="-15" w:right="-817" w:rightChars="-389" w:hanging="28" w:hangingChars="12"/>
        <w:rPr>
          <w:rFonts w:ascii="宋体" w:hAnsi="宋体"/>
          <w:color w:val="auto"/>
          <w:szCs w:val="21"/>
          <w:highlight w:val="none"/>
        </w:rPr>
      </w:pPr>
      <w:r>
        <w:rPr>
          <w:rFonts w:hint="eastAsia" w:ascii="宋体" w:hAnsi="宋体"/>
          <w:color w:val="auto"/>
          <w:sz w:val="24"/>
          <w:highlight w:val="none"/>
        </w:rPr>
        <w:t xml:space="preserve">                                  日期：    年   月   日</w:t>
      </w:r>
    </w:p>
    <w:p w14:paraId="69FAD115">
      <w:pPr>
        <w:rPr>
          <w:b/>
          <w:color w:val="auto"/>
          <w:sz w:val="28"/>
          <w:szCs w:val="28"/>
          <w:highlight w:val="none"/>
        </w:rPr>
      </w:pPr>
      <w:r>
        <w:rPr>
          <w:rFonts w:ascii="宋体" w:hAnsi="宋体"/>
          <w:b/>
          <w:bCs/>
          <w:color w:val="auto"/>
          <w:sz w:val="24"/>
          <w:highlight w:val="none"/>
        </w:rPr>
        <w:br w:type="page"/>
      </w:r>
      <w:bookmarkStart w:id="164" w:name="_Toc19686837"/>
      <w:r>
        <w:rPr>
          <w:rFonts w:hint="eastAsia"/>
          <w:b/>
          <w:color w:val="auto"/>
          <w:sz w:val="28"/>
          <w:szCs w:val="28"/>
          <w:highlight w:val="none"/>
        </w:rPr>
        <w:t>二、资格证明文件格式</w:t>
      </w:r>
      <w:bookmarkEnd w:id="162"/>
      <w:bookmarkEnd w:id="163"/>
      <w:bookmarkEnd w:id="164"/>
    </w:p>
    <w:p w14:paraId="4B8D6669">
      <w:pPr>
        <w:snapToGrid w:val="0"/>
        <w:spacing w:before="120" w:beforeLines="50" w:after="50" w:line="360" w:lineRule="auto"/>
        <w:jc w:val="left"/>
        <w:rPr>
          <w:rFonts w:ascii="宋体" w:hAnsi="宋体"/>
          <w:b/>
          <w:color w:val="auto"/>
          <w:sz w:val="24"/>
          <w:highlight w:val="none"/>
        </w:rPr>
      </w:pPr>
      <w:r>
        <w:rPr>
          <w:rFonts w:hint="eastAsia" w:ascii="宋体" w:hAnsi="宋体"/>
          <w:b/>
          <w:color w:val="auto"/>
          <w:sz w:val="24"/>
          <w:highlight w:val="none"/>
        </w:rPr>
        <w:t xml:space="preserve">1.资格证明文件封面格式： </w:t>
      </w:r>
    </w:p>
    <w:p w14:paraId="7EF3AB2C">
      <w:pPr>
        <w:snapToGrid w:val="0"/>
        <w:spacing w:before="120" w:beforeLines="50" w:after="50"/>
        <w:jc w:val="center"/>
        <w:rPr>
          <w:rFonts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781A4EEF">
      <w:pPr>
        <w:snapToGrid w:val="0"/>
        <w:spacing w:before="120" w:beforeLines="50" w:after="50"/>
        <w:jc w:val="center"/>
        <w:rPr>
          <w:rFonts w:ascii="宋体" w:hAnsi="宋体"/>
          <w:b/>
          <w:color w:val="auto"/>
          <w:sz w:val="24"/>
          <w:szCs w:val="20"/>
          <w:highlight w:val="none"/>
        </w:rPr>
      </w:pPr>
      <w:r>
        <w:rPr>
          <w:rFonts w:hint="eastAsia" w:ascii="宋体" w:hAnsi="宋体"/>
          <w:b/>
          <w:color w:val="auto"/>
          <w:sz w:val="32"/>
          <w:szCs w:val="32"/>
          <w:highlight w:val="none"/>
        </w:rPr>
        <w:t>资格证明文件</w:t>
      </w:r>
    </w:p>
    <w:p w14:paraId="3E78D2CE">
      <w:pPr>
        <w:snapToGrid w:val="0"/>
        <w:spacing w:before="120" w:beforeLines="50" w:after="50"/>
        <w:rPr>
          <w:rFonts w:ascii="宋体" w:hAnsi="宋体"/>
          <w:bCs/>
          <w:color w:val="auto"/>
          <w:sz w:val="24"/>
          <w:szCs w:val="20"/>
          <w:highlight w:val="none"/>
        </w:rPr>
      </w:pPr>
    </w:p>
    <w:p w14:paraId="137BC069">
      <w:pPr>
        <w:snapToGrid w:val="0"/>
        <w:spacing w:before="120" w:beforeLines="50" w:after="50"/>
        <w:rPr>
          <w:rFonts w:ascii="宋体" w:hAnsi="宋体"/>
          <w:bCs/>
          <w:color w:val="auto"/>
          <w:sz w:val="24"/>
          <w:szCs w:val="20"/>
          <w:highlight w:val="none"/>
        </w:rPr>
      </w:pPr>
    </w:p>
    <w:p w14:paraId="6E311EBE">
      <w:pPr>
        <w:snapToGrid w:val="0"/>
        <w:spacing w:before="120" w:beforeLines="50" w:after="50"/>
        <w:rPr>
          <w:rFonts w:ascii="宋体" w:hAnsi="宋体"/>
          <w:bCs/>
          <w:color w:val="auto"/>
          <w:sz w:val="24"/>
          <w:szCs w:val="20"/>
          <w:highlight w:val="none"/>
        </w:rPr>
      </w:pPr>
    </w:p>
    <w:p w14:paraId="78598CB0">
      <w:pPr>
        <w:snapToGrid w:val="0"/>
        <w:spacing w:before="120" w:beforeLines="50" w:after="50"/>
        <w:rPr>
          <w:rFonts w:ascii="宋体" w:hAnsi="宋体"/>
          <w:bCs/>
          <w:color w:val="auto"/>
          <w:sz w:val="24"/>
          <w:szCs w:val="20"/>
          <w:highlight w:val="none"/>
        </w:rPr>
      </w:pPr>
    </w:p>
    <w:p w14:paraId="4F5B0C02">
      <w:pPr>
        <w:snapToGrid w:val="0"/>
        <w:spacing w:before="120" w:beforeLines="50" w:after="50"/>
        <w:rPr>
          <w:rFonts w:ascii="宋体" w:hAnsi="宋体"/>
          <w:bCs/>
          <w:color w:val="auto"/>
          <w:sz w:val="24"/>
          <w:szCs w:val="20"/>
          <w:highlight w:val="none"/>
        </w:rPr>
      </w:pPr>
    </w:p>
    <w:p w14:paraId="1EE49145">
      <w:pPr>
        <w:snapToGrid w:val="0"/>
        <w:spacing w:before="120" w:beforeLines="50" w:after="50"/>
        <w:rPr>
          <w:rFonts w:ascii="宋体" w:hAnsi="宋体"/>
          <w:bCs/>
          <w:color w:val="auto"/>
          <w:sz w:val="24"/>
          <w:szCs w:val="20"/>
          <w:highlight w:val="none"/>
        </w:rPr>
      </w:pPr>
    </w:p>
    <w:p w14:paraId="7A7C4CEF">
      <w:pPr>
        <w:snapToGrid w:val="0"/>
        <w:spacing w:before="120" w:beforeLines="50" w:after="50"/>
        <w:rPr>
          <w:rFonts w:ascii="宋体" w:hAnsi="宋体"/>
          <w:bCs/>
          <w:color w:val="auto"/>
          <w:sz w:val="24"/>
          <w:szCs w:val="20"/>
          <w:highlight w:val="none"/>
        </w:rPr>
      </w:pPr>
    </w:p>
    <w:p w14:paraId="2EE3A2BD">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项目名称：</w:t>
      </w:r>
    </w:p>
    <w:p w14:paraId="1FEBD808">
      <w:pPr>
        <w:snapToGrid w:val="0"/>
        <w:spacing w:before="120" w:beforeLines="50" w:after="50"/>
        <w:ind w:firstLine="540" w:firstLineChars="225"/>
        <w:rPr>
          <w:rFonts w:ascii="宋体" w:hAnsi="宋体"/>
          <w:bCs/>
          <w:color w:val="auto"/>
          <w:sz w:val="24"/>
          <w:szCs w:val="20"/>
          <w:highlight w:val="none"/>
        </w:rPr>
      </w:pPr>
    </w:p>
    <w:p w14:paraId="304E692E">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项目编号：</w:t>
      </w:r>
    </w:p>
    <w:p w14:paraId="1E6C4C96">
      <w:pPr>
        <w:snapToGrid w:val="0"/>
        <w:spacing w:before="120" w:beforeLines="50" w:after="50"/>
        <w:ind w:firstLine="540" w:firstLineChars="225"/>
        <w:rPr>
          <w:rFonts w:ascii="宋体" w:hAnsi="宋体"/>
          <w:bCs/>
          <w:color w:val="auto"/>
          <w:sz w:val="24"/>
          <w:szCs w:val="20"/>
          <w:highlight w:val="none"/>
        </w:rPr>
      </w:pPr>
      <w:r>
        <w:rPr>
          <w:rFonts w:hint="eastAsia" w:ascii="宋体" w:hAnsi="宋体"/>
          <w:bCs/>
          <w:color w:val="auto"/>
          <w:sz w:val="24"/>
          <w:highlight w:val="none"/>
        </w:rPr>
        <w:t xml:space="preserve"> </w:t>
      </w:r>
    </w:p>
    <w:p w14:paraId="18FCFDE5">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所投分标：</w:t>
      </w:r>
    </w:p>
    <w:p w14:paraId="0D40CCF3">
      <w:pPr>
        <w:pStyle w:val="6"/>
        <w:snapToGrid w:val="0"/>
        <w:spacing w:before="50" w:after="50"/>
        <w:ind w:firstLine="540" w:firstLineChars="225"/>
        <w:rPr>
          <w:rFonts w:ascii="宋体" w:hAnsi="宋体"/>
          <w:bCs/>
          <w:color w:val="auto"/>
          <w:sz w:val="24"/>
          <w:szCs w:val="24"/>
          <w:highlight w:val="none"/>
        </w:rPr>
      </w:pPr>
    </w:p>
    <w:p w14:paraId="37B2ED8F">
      <w:pPr>
        <w:pStyle w:val="6"/>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投标人名称：</w:t>
      </w:r>
    </w:p>
    <w:p w14:paraId="309C1110">
      <w:pPr>
        <w:pStyle w:val="6"/>
        <w:snapToGrid w:val="0"/>
        <w:spacing w:before="50" w:after="50"/>
        <w:ind w:firstLine="540" w:firstLineChars="225"/>
        <w:rPr>
          <w:rFonts w:ascii="宋体" w:hAnsi="宋体"/>
          <w:bCs/>
          <w:color w:val="auto"/>
          <w:sz w:val="24"/>
          <w:szCs w:val="24"/>
          <w:highlight w:val="none"/>
        </w:rPr>
      </w:pPr>
    </w:p>
    <w:p w14:paraId="41D8359F">
      <w:pPr>
        <w:pStyle w:val="6"/>
        <w:snapToGrid w:val="0"/>
        <w:spacing w:before="50" w:after="50"/>
        <w:ind w:firstLine="960" w:firstLineChars="400"/>
        <w:rPr>
          <w:rFonts w:ascii="宋体" w:hAnsi="宋体"/>
          <w:bCs/>
          <w:color w:val="auto"/>
          <w:sz w:val="24"/>
          <w:szCs w:val="24"/>
          <w:highlight w:val="none"/>
        </w:rPr>
      </w:pPr>
    </w:p>
    <w:p w14:paraId="6CE8B56B">
      <w:pPr>
        <w:snapToGrid w:val="0"/>
        <w:spacing w:before="120" w:beforeLines="50" w:after="50"/>
        <w:ind w:firstLine="645"/>
        <w:jc w:val="center"/>
        <w:rPr>
          <w:rFonts w:ascii="宋体" w:hAnsi="宋体"/>
          <w:color w:val="auto"/>
          <w:sz w:val="24"/>
          <w:highlight w:val="none"/>
        </w:rPr>
      </w:pPr>
      <w:r>
        <w:rPr>
          <w:rFonts w:hint="eastAsia" w:ascii="宋体" w:hAnsi="宋体"/>
          <w:color w:val="auto"/>
          <w:sz w:val="24"/>
          <w:highlight w:val="none"/>
        </w:rPr>
        <w:t>年  月  日</w:t>
      </w:r>
    </w:p>
    <w:p w14:paraId="48962B8B">
      <w:pPr>
        <w:snapToGrid w:val="0"/>
        <w:spacing w:before="120"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395B66D9">
      <w:pPr>
        <w:snapToGrid w:val="0"/>
        <w:spacing w:before="120" w:beforeLines="50" w:after="50"/>
        <w:rPr>
          <w:rFonts w:ascii="宋体" w:hAnsi="宋体"/>
          <w:color w:val="auto"/>
          <w:sz w:val="24"/>
          <w:szCs w:val="20"/>
          <w:highlight w:val="none"/>
        </w:rPr>
      </w:pPr>
    </w:p>
    <w:p w14:paraId="2918F332">
      <w:pPr>
        <w:snapToGrid w:val="0"/>
        <w:spacing w:before="120" w:beforeLines="50" w:after="50" w:line="360" w:lineRule="auto"/>
        <w:jc w:val="left"/>
        <w:rPr>
          <w:rFonts w:ascii="宋体" w:hAnsi="宋体"/>
          <w:color w:val="auto"/>
          <w:sz w:val="24"/>
          <w:szCs w:val="20"/>
          <w:highlight w:val="none"/>
        </w:rPr>
      </w:pPr>
      <w:r>
        <w:rPr>
          <w:rFonts w:ascii="宋体" w:hAnsi="宋体"/>
          <w:b/>
          <w:bCs/>
          <w:color w:val="auto"/>
          <w:sz w:val="24"/>
          <w:highlight w:val="none"/>
        </w:rPr>
        <w:br w:type="page"/>
      </w:r>
      <w:r>
        <w:rPr>
          <w:rFonts w:hint="eastAsia" w:ascii="宋体" w:hAnsi="宋体"/>
          <w:b/>
          <w:bCs/>
          <w:color w:val="auto"/>
          <w:sz w:val="24"/>
          <w:highlight w:val="none"/>
        </w:rPr>
        <w:t>2.资格证明文件目录</w:t>
      </w:r>
    </w:p>
    <w:p w14:paraId="34754FC0">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根据招标文件规定及投标人提供的材料自行编写目录。</w:t>
      </w:r>
    </w:p>
    <w:p w14:paraId="0F4736E6">
      <w:pPr>
        <w:snapToGrid w:val="0"/>
        <w:spacing w:before="50" w:after="120" w:afterLines="50"/>
        <w:jc w:val="left"/>
        <w:rPr>
          <w:rFonts w:ascii="宋体" w:hAnsi="宋体"/>
          <w:color w:val="auto"/>
          <w:sz w:val="24"/>
          <w:highlight w:val="none"/>
        </w:rPr>
      </w:pPr>
    </w:p>
    <w:p w14:paraId="53CFD24B">
      <w:pPr>
        <w:snapToGrid w:val="0"/>
        <w:spacing w:before="50" w:after="120" w:afterLines="50"/>
        <w:jc w:val="left"/>
        <w:rPr>
          <w:rFonts w:ascii="宋体" w:hAnsi="宋体"/>
          <w:color w:val="auto"/>
          <w:sz w:val="24"/>
          <w:highlight w:val="none"/>
        </w:rPr>
      </w:pPr>
    </w:p>
    <w:p w14:paraId="33A1ED06">
      <w:pPr>
        <w:snapToGrid w:val="0"/>
        <w:spacing w:before="120" w:beforeLines="50" w:after="50"/>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w:t>
      </w:r>
      <w:r>
        <w:rPr>
          <w:rFonts w:hint="eastAsia" w:ascii="宋体" w:hAnsi="宋体"/>
          <w:b/>
          <w:color w:val="auto"/>
          <w:sz w:val="28"/>
          <w:szCs w:val="28"/>
          <w:highlight w:val="none"/>
        </w:rPr>
        <w:t>投标人直接控股股东信息表</w:t>
      </w:r>
    </w:p>
    <w:p w14:paraId="3F5B8B72">
      <w:pPr>
        <w:snapToGrid w:val="0"/>
        <w:spacing w:before="50" w:after="120" w:afterLines="50"/>
        <w:jc w:val="center"/>
        <w:rPr>
          <w:rFonts w:ascii="宋体" w:hAnsi="宋体"/>
          <w:b/>
          <w:color w:val="auto"/>
          <w:sz w:val="28"/>
          <w:szCs w:val="28"/>
          <w:highlight w:val="none"/>
        </w:rPr>
      </w:pPr>
    </w:p>
    <w:p w14:paraId="18AC8A60">
      <w:pPr>
        <w:snapToGrid w:val="0"/>
        <w:spacing w:before="50" w:after="120" w:afterLines="50" w:line="360" w:lineRule="auto"/>
        <w:jc w:val="center"/>
        <w:rPr>
          <w:rFonts w:ascii="宋体" w:hAnsi="宋体"/>
          <w:b/>
          <w:color w:val="auto"/>
          <w:sz w:val="32"/>
          <w:szCs w:val="32"/>
          <w:highlight w:val="none"/>
        </w:rPr>
      </w:pPr>
      <w:r>
        <w:rPr>
          <w:rFonts w:hint="eastAsia" w:ascii="宋体" w:hAnsi="宋体"/>
          <w:b/>
          <w:color w:val="auto"/>
          <w:sz w:val="32"/>
          <w:szCs w:val="32"/>
          <w:highlight w:val="none"/>
        </w:rPr>
        <w:t>投标人直接控股股东信息表</w:t>
      </w:r>
    </w:p>
    <w:tbl>
      <w:tblPr>
        <w:tblStyle w:val="49"/>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28E189D6">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4C3D967">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F86D0F7">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467F804">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79535F4">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23886D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31B7D64">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396261">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907E71">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3FCA9E">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FB4B02">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EDB83F">
            <w:pPr>
              <w:spacing w:line="360" w:lineRule="auto"/>
              <w:jc w:val="center"/>
              <w:rPr>
                <w:rFonts w:ascii="宋体" w:hAnsi="宋体" w:cs="宋体"/>
                <w:color w:val="auto"/>
                <w:kern w:val="0"/>
                <w:sz w:val="24"/>
                <w:highlight w:val="none"/>
              </w:rPr>
            </w:pPr>
          </w:p>
        </w:tc>
      </w:tr>
      <w:tr w14:paraId="52FF10D6">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AF5E6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B607F2">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9BB581">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4A4E08">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F0BC05">
            <w:pPr>
              <w:spacing w:line="360" w:lineRule="auto"/>
              <w:jc w:val="center"/>
              <w:rPr>
                <w:rFonts w:ascii="宋体" w:hAnsi="宋体" w:cs="宋体"/>
                <w:color w:val="auto"/>
                <w:kern w:val="0"/>
                <w:sz w:val="24"/>
                <w:highlight w:val="none"/>
              </w:rPr>
            </w:pPr>
          </w:p>
        </w:tc>
      </w:tr>
      <w:tr w14:paraId="3A45B6A0">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3D5B6D">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582A21">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523FD5">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185C04">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74768A">
            <w:pPr>
              <w:spacing w:line="360" w:lineRule="auto"/>
              <w:jc w:val="center"/>
              <w:rPr>
                <w:rFonts w:ascii="宋体" w:hAnsi="宋体" w:cs="宋体"/>
                <w:color w:val="auto"/>
                <w:kern w:val="0"/>
                <w:sz w:val="24"/>
                <w:highlight w:val="none"/>
              </w:rPr>
            </w:pPr>
          </w:p>
        </w:tc>
      </w:tr>
      <w:tr w14:paraId="6017F2CE">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7A454B6">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8A38AA">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96842C">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C2E470">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8E6889F">
            <w:pPr>
              <w:spacing w:line="360" w:lineRule="auto"/>
              <w:jc w:val="center"/>
              <w:rPr>
                <w:rFonts w:ascii="宋体" w:hAnsi="宋体" w:cs="宋体"/>
                <w:color w:val="auto"/>
                <w:kern w:val="0"/>
                <w:sz w:val="24"/>
                <w:highlight w:val="none"/>
              </w:rPr>
            </w:pPr>
          </w:p>
        </w:tc>
      </w:tr>
    </w:tbl>
    <w:p w14:paraId="1E8BFB67">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14:paraId="5FE9C14E">
      <w:pPr>
        <w:snapToGrid w:val="0"/>
        <w:spacing w:line="360" w:lineRule="auto"/>
        <w:jc w:val="left"/>
        <w:rPr>
          <w:rFonts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09EF5AB">
      <w:pPr>
        <w:snapToGrid w:val="0"/>
        <w:spacing w:line="360" w:lineRule="auto"/>
        <w:jc w:val="left"/>
        <w:rPr>
          <w:rFonts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577CA88E">
      <w:pPr>
        <w:snapToGrid w:val="0"/>
        <w:spacing w:line="360" w:lineRule="auto"/>
        <w:jc w:val="left"/>
        <w:rPr>
          <w:rFonts w:ascii="宋体" w:hAnsi="宋体"/>
          <w:color w:val="auto"/>
          <w:sz w:val="24"/>
          <w:highlight w:val="none"/>
        </w:rPr>
      </w:pPr>
      <w:r>
        <w:rPr>
          <w:rFonts w:hint="eastAsia" w:ascii="宋体" w:hAnsi="宋体"/>
          <w:color w:val="auto"/>
          <w:sz w:val="24"/>
          <w:highlight w:val="none"/>
        </w:rPr>
        <w:t>3.供应商不存在直接控股股东的，则在“</w:t>
      </w:r>
      <w:r>
        <w:rPr>
          <w:rFonts w:hint="eastAsia" w:ascii="宋体" w:hAnsi="宋体" w:cs="宋体"/>
          <w:b/>
          <w:bCs/>
          <w:color w:val="auto"/>
          <w:kern w:val="0"/>
          <w:sz w:val="24"/>
          <w:highlight w:val="none"/>
        </w:rPr>
        <w:t>直接控股股东名称</w:t>
      </w:r>
      <w:r>
        <w:rPr>
          <w:rFonts w:hint="eastAsia" w:ascii="宋体" w:hAnsi="宋体"/>
          <w:color w:val="auto"/>
          <w:sz w:val="24"/>
          <w:highlight w:val="none"/>
        </w:rPr>
        <w:t>”中填“无”。</w:t>
      </w:r>
    </w:p>
    <w:p w14:paraId="1E39453B">
      <w:pPr>
        <w:snapToGrid w:val="0"/>
        <w:spacing w:line="360" w:lineRule="auto"/>
        <w:jc w:val="left"/>
        <w:rPr>
          <w:rFonts w:ascii="宋体" w:hAnsi="宋体"/>
          <w:color w:val="auto"/>
          <w:sz w:val="24"/>
          <w:highlight w:val="none"/>
        </w:rPr>
      </w:pPr>
    </w:p>
    <w:p w14:paraId="2F599CC6">
      <w:pPr>
        <w:snapToGrid w:val="0"/>
        <w:spacing w:line="360" w:lineRule="auto"/>
        <w:jc w:val="left"/>
        <w:rPr>
          <w:rFonts w:ascii="宋体" w:hAnsi="宋体"/>
          <w:color w:val="auto"/>
          <w:sz w:val="24"/>
          <w:highlight w:val="none"/>
        </w:rPr>
      </w:pPr>
    </w:p>
    <w:p w14:paraId="6BA9E996">
      <w:pPr>
        <w:snapToGrid w:val="0"/>
        <w:spacing w:line="360" w:lineRule="auto"/>
        <w:jc w:val="left"/>
        <w:rPr>
          <w:rFonts w:ascii="宋体" w:hAnsi="宋体"/>
          <w:color w:val="auto"/>
          <w:sz w:val="24"/>
          <w:highlight w:val="none"/>
        </w:rPr>
      </w:pPr>
    </w:p>
    <w:p w14:paraId="49B3CBF3">
      <w:pPr>
        <w:snapToGrid w:val="0"/>
        <w:spacing w:line="360" w:lineRule="auto"/>
        <w:ind w:left="-2" w:leftChars="-1" w:right="-817" w:rightChars="-389"/>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624B7AB2">
      <w:pPr>
        <w:snapToGrid w:val="0"/>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投标人名称（电子签章）：</w:t>
      </w:r>
    </w:p>
    <w:p w14:paraId="427CD653">
      <w:pPr>
        <w:snapToGrid w:val="0"/>
        <w:spacing w:line="360" w:lineRule="auto"/>
        <w:jc w:val="left"/>
        <w:rPr>
          <w:rFonts w:ascii="宋体" w:hAnsi="宋体"/>
          <w:color w:val="auto"/>
          <w:szCs w:val="21"/>
          <w:highlight w:val="none"/>
        </w:rPr>
      </w:pPr>
      <w:r>
        <w:rPr>
          <w:rFonts w:hint="eastAsia" w:ascii="宋体" w:hAnsi="宋体"/>
          <w:color w:val="auto"/>
          <w:sz w:val="24"/>
          <w:highlight w:val="none"/>
        </w:rPr>
        <w:t xml:space="preserve">                                    日期：    年   月   日</w:t>
      </w:r>
    </w:p>
    <w:p w14:paraId="073C67B6">
      <w:pPr>
        <w:snapToGrid w:val="0"/>
        <w:jc w:val="center"/>
        <w:rPr>
          <w:rFonts w:ascii="宋体" w:hAnsi="宋体"/>
          <w:b/>
          <w:color w:val="auto"/>
          <w:sz w:val="28"/>
          <w:szCs w:val="28"/>
          <w:highlight w:val="none"/>
        </w:rPr>
      </w:pPr>
    </w:p>
    <w:p w14:paraId="1324FE23">
      <w:pPr>
        <w:snapToGrid w:val="0"/>
        <w:spacing w:line="360" w:lineRule="auto"/>
        <w:jc w:val="left"/>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24"/>
          <w:highlight w:val="none"/>
        </w:rPr>
        <w:t>4.</w:t>
      </w:r>
      <w:r>
        <w:rPr>
          <w:rFonts w:hint="eastAsia"/>
          <w:color w:val="auto"/>
          <w:highlight w:val="none"/>
        </w:rPr>
        <w:t xml:space="preserve"> </w:t>
      </w:r>
      <w:r>
        <w:rPr>
          <w:rFonts w:hint="eastAsia" w:ascii="宋体" w:hAnsi="宋体"/>
          <w:b/>
          <w:color w:val="auto"/>
          <w:sz w:val="28"/>
          <w:szCs w:val="28"/>
          <w:highlight w:val="none"/>
        </w:rPr>
        <w:t>投标人直接管理关系信息表</w:t>
      </w:r>
    </w:p>
    <w:p w14:paraId="0BB18457">
      <w:pPr>
        <w:snapToGrid w:val="0"/>
        <w:spacing w:line="360" w:lineRule="auto"/>
        <w:jc w:val="center"/>
        <w:rPr>
          <w:rFonts w:ascii="宋体" w:hAnsi="宋体"/>
          <w:color w:val="auto"/>
          <w:sz w:val="32"/>
          <w:szCs w:val="32"/>
          <w:highlight w:val="none"/>
        </w:rPr>
      </w:pPr>
      <w:r>
        <w:rPr>
          <w:rFonts w:hint="eastAsia" w:ascii="宋体" w:hAnsi="宋体"/>
          <w:b/>
          <w:color w:val="auto"/>
          <w:sz w:val="32"/>
          <w:szCs w:val="32"/>
          <w:highlight w:val="none"/>
        </w:rPr>
        <w:t>投标人直接管理关系信息表</w:t>
      </w:r>
    </w:p>
    <w:tbl>
      <w:tblPr>
        <w:tblStyle w:val="49"/>
        <w:tblW w:w="9652" w:type="dxa"/>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385D2F21">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0C305D4">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EEA9A3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D4E0A3C">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764E52B">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35BA3592">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48A27C">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382487">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81D09E">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4FB495">
            <w:pPr>
              <w:spacing w:line="360" w:lineRule="auto"/>
              <w:jc w:val="center"/>
              <w:rPr>
                <w:rFonts w:ascii="宋体" w:hAnsi="宋体" w:cs="宋体"/>
                <w:color w:val="auto"/>
                <w:kern w:val="0"/>
                <w:sz w:val="24"/>
                <w:highlight w:val="none"/>
              </w:rPr>
            </w:pPr>
          </w:p>
        </w:tc>
      </w:tr>
      <w:tr w14:paraId="4200016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3FAC3A">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7DC09F3">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4B604A">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ABF1DE">
            <w:pPr>
              <w:spacing w:line="360" w:lineRule="auto"/>
              <w:jc w:val="center"/>
              <w:rPr>
                <w:rFonts w:ascii="宋体" w:hAnsi="宋体" w:cs="宋体"/>
                <w:color w:val="auto"/>
                <w:kern w:val="0"/>
                <w:sz w:val="24"/>
                <w:highlight w:val="none"/>
              </w:rPr>
            </w:pPr>
          </w:p>
        </w:tc>
      </w:tr>
      <w:tr w14:paraId="49462351">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7642AE">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AD392B">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9325A4">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54F585">
            <w:pPr>
              <w:spacing w:line="360" w:lineRule="auto"/>
              <w:jc w:val="center"/>
              <w:rPr>
                <w:rFonts w:ascii="宋体" w:hAnsi="宋体" w:cs="宋体"/>
                <w:color w:val="auto"/>
                <w:kern w:val="0"/>
                <w:sz w:val="24"/>
                <w:highlight w:val="none"/>
              </w:rPr>
            </w:pPr>
          </w:p>
        </w:tc>
      </w:tr>
      <w:tr w14:paraId="15616B87">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BFEBF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F607C3">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FFC2B34">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83E105">
            <w:pPr>
              <w:spacing w:line="360" w:lineRule="auto"/>
              <w:jc w:val="center"/>
              <w:rPr>
                <w:rFonts w:ascii="宋体" w:hAnsi="宋体" w:cs="宋体"/>
                <w:color w:val="auto"/>
                <w:kern w:val="0"/>
                <w:sz w:val="24"/>
                <w:highlight w:val="none"/>
              </w:rPr>
            </w:pPr>
          </w:p>
        </w:tc>
      </w:tr>
    </w:tbl>
    <w:p w14:paraId="71547929">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14:paraId="7BD8727B">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1D2FC763">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746BD9EE">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3.供应商不存在直接管理关系的，则在“</w:t>
      </w:r>
      <w:r>
        <w:rPr>
          <w:rFonts w:hint="eastAsia" w:ascii="宋体" w:hAnsi="宋体" w:cs="宋体"/>
          <w:b/>
          <w:bCs/>
          <w:color w:val="auto"/>
          <w:kern w:val="0"/>
          <w:sz w:val="24"/>
          <w:highlight w:val="none"/>
        </w:rPr>
        <w:t>直接管理关系单位名称</w:t>
      </w:r>
      <w:r>
        <w:rPr>
          <w:rFonts w:hint="eastAsia" w:ascii="宋体" w:hAnsi="宋体"/>
          <w:color w:val="auto"/>
          <w:sz w:val="24"/>
          <w:highlight w:val="none"/>
        </w:rPr>
        <w:t>”中填“无”。</w:t>
      </w:r>
    </w:p>
    <w:p w14:paraId="6F01C672">
      <w:pPr>
        <w:snapToGrid w:val="0"/>
        <w:spacing w:line="360" w:lineRule="auto"/>
        <w:jc w:val="left"/>
        <w:rPr>
          <w:rFonts w:ascii="宋体" w:hAnsi="宋体"/>
          <w:color w:val="auto"/>
          <w:sz w:val="24"/>
          <w:highlight w:val="none"/>
        </w:rPr>
      </w:pPr>
    </w:p>
    <w:p w14:paraId="34D25104">
      <w:pPr>
        <w:snapToGrid w:val="0"/>
        <w:spacing w:line="360" w:lineRule="auto"/>
        <w:jc w:val="left"/>
        <w:rPr>
          <w:rFonts w:ascii="宋体" w:hAnsi="宋体"/>
          <w:color w:val="auto"/>
          <w:sz w:val="24"/>
          <w:highlight w:val="none"/>
        </w:rPr>
      </w:pPr>
    </w:p>
    <w:p w14:paraId="324434C7">
      <w:pPr>
        <w:snapToGrid w:val="0"/>
        <w:spacing w:line="360" w:lineRule="auto"/>
        <w:jc w:val="left"/>
        <w:rPr>
          <w:rFonts w:ascii="宋体" w:hAnsi="宋体"/>
          <w:color w:val="auto"/>
          <w:sz w:val="24"/>
          <w:highlight w:val="none"/>
        </w:rPr>
      </w:pPr>
    </w:p>
    <w:p w14:paraId="5FD735C8">
      <w:pPr>
        <w:snapToGrid w:val="0"/>
        <w:spacing w:line="360" w:lineRule="auto"/>
        <w:jc w:val="left"/>
        <w:rPr>
          <w:color w:val="auto"/>
          <w:sz w:val="24"/>
          <w:highlight w:val="none"/>
        </w:rPr>
      </w:pPr>
    </w:p>
    <w:p w14:paraId="12317287">
      <w:pPr>
        <w:snapToGrid w:val="0"/>
        <w:spacing w:line="360" w:lineRule="auto"/>
        <w:ind w:left="-2" w:leftChars="-1" w:right="-817" w:rightChars="-389"/>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7F2031CD">
      <w:pPr>
        <w:snapToGrid w:val="0"/>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投标人名称（电子签章）：</w:t>
      </w:r>
    </w:p>
    <w:p w14:paraId="7D9284B7">
      <w:pPr>
        <w:snapToGrid w:val="0"/>
        <w:spacing w:line="360" w:lineRule="auto"/>
        <w:ind w:right="480" w:firstLine="240" w:firstLineChars="100"/>
        <w:jc w:val="left"/>
        <w:rPr>
          <w:rFonts w:ascii="宋体" w:hAnsi="宋体"/>
          <w:color w:val="auto"/>
          <w:szCs w:val="21"/>
          <w:highlight w:val="none"/>
        </w:rPr>
      </w:pPr>
      <w:r>
        <w:rPr>
          <w:rFonts w:hint="eastAsia" w:ascii="宋体" w:hAnsi="宋体"/>
          <w:color w:val="auto"/>
          <w:sz w:val="24"/>
          <w:highlight w:val="none"/>
        </w:rPr>
        <w:t xml:space="preserve">                                日期：    年   月   日</w:t>
      </w:r>
    </w:p>
    <w:p w14:paraId="12CC64FF">
      <w:pPr>
        <w:snapToGrid w:val="0"/>
        <w:spacing w:before="120" w:beforeLines="50" w:after="50"/>
        <w:jc w:val="left"/>
        <w:rPr>
          <w:rFonts w:ascii="宋体" w:hAnsi="宋体"/>
          <w:b/>
          <w:color w:val="auto"/>
          <w:sz w:val="24"/>
          <w:szCs w:val="20"/>
          <w:highlight w:val="none"/>
        </w:rPr>
      </w:pPr>
    </w:p>
    <w:p w14:paraId="2644770A">
      <w:pPr>
        <w:snapToGrid w:val="0"/>
        <w:spacing w:before="120" w:beforeLines="50" w:after="50"/>
        <w:jc w:val="left"/>
        <w:rPr>
          <w:rFonts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5.投标声明</w:t>
      </w:r>
    </w:p>
    <w:p w14:paraId="4515252A">
      <w:pPr>
        <w:snapToGrid w:val="0"/>
        <w:spacing w:before="50" w:after="120" w:afterLines="50"/>
        <w:jc w:val="left"/>
        <w:rPr>
          <w:rFonts w:ascii="宋体" w:hAnsi="宋体"/>
          <w:color w:val="auto"/>
          <w:highlight w:val="none"/>
        </w:rPr>
      </w:pPr>
    </w:p>
    <w:p w14:paraId="16CF3920">
      <w:pPr>
        <w:snapToGrid w:val="0"/>
        <w:spacing w:before="50" w:after="120" w:afterLines="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投标声明</w:t>
      </w:r>
    </w:p>
    <w:p w14:paraId="6A11622A">
      <w:pPr>
        <w:spacing w:line="400" w:lineRule="exact"/>
        <w:contextualSpacing/>
        <w:jc w:val="left"/>
        <w:rPr>
          <w:color w:val="auto"/>
          <w:sz w:val="24"/>
          <w:highlight w:val="none"/>
        </w:rPr>
      </w:pPr>
      <w:r>
        <w:rPr>
          <w:rFonts w:hint="eastAsia"/>
          <w:color w:val="auto"/>
          <w:sz w:val="24"/>
          <w:highlight w:val="none"/>
        </w:rPr>
        <w:t>（采购人名称）：</w:t>
      </w:r>
    </w:p>
    <w:p w14:paraId="0D02ED44">
      <w:pPr>
        <w:spacing w:line="400" w:lineRule="exact"/>
        <w:ind w:firstLine="523" w:firstLineChars="218"/>
        <w:contextualSpacing/>
        <w:jc w:val="left"/>
        <w:rPr>
          <w:rFonts w:ascii="宋体" w:hAnsi="宋体"/>
          <w:color w:val="auto"/>
          <w:sz w:val="24"/>
          <w:highlight w:val="none"/>
        </w:rPr>
      </w:pPr>
      <w:r>
        <w:rPr>
          <w:rFonts w:hint="eastAsia" w:ascii="宋体" w:hAnsi="宋体"/>
          <w:color w:val="auto"/>
          <w:sz w:val="24"/>
          <w:highlight w:val="none"/>
        </w:rPr>
        <w:t>我方参加贵单位组织</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）的政府采购活动。我方在此郑重声明：</w:t>
      </w:r>
    </w:p>
    <w:p w14:paraId="71C4136C">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B121D0E">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2.我方不是为本次采购项目提供整体设计、规范编制或者项目管理、监理、检测等服务的供应商。</w:t>
      </w:r>
    </w:p>
    <w:p w14:paraId="708C6AE8">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3. 我方承诺符合《中华人民共和国政府采购法》第二十二条规定：</w:t>
      </w:r>
    </w:p>
    <w:p w14:paraId="4BD25D82">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（一）具有独立承担民事责任的能力；</w:t>
      </w:r>
    </w:p>
    <w:p w14:paraId="567561A4">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（二）具有良好的商业信誉和健全的财务会计制度；</w:t>
      </w:r>
    </w:p>
    <w:p w14:paraId="496796BA">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（三）具有履行合同所必需的设备和专业技术能力；</w:t>
      </w:r>
    </w:p>
    <w:p w14:paraId="2D68FA7D">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（四）有依法缴纳税收和社会保障资金的良好记录；</w:t>
      </w:r>
    </w:p>
    <w:p w14:paraId="40141C3A">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14:paraId="29ED6D91">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（六）法律、行政法规规定的其他条件。</w:t>
      </w:r>
    </w:p>
    <w:p w14:paraId="25F39031">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4.以上事项如有虚假或者隐瞒，我方愿意承担一切后果，并不再寻求任何旨在减轻或者免除法律责任的辩解。</w:t>
      </w:r>
    </w:p>
    <w:p w14:paraId="07A7757F">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特此承诺。</w:t>
      </w:r>
    </w:p>
    <w:p w14:paraId="05BFC1D6">
      <w:pPr>
        <w:snapToGrid w:val="0"/>
        <w:spacing w:before="50" w:after="50"/>
        <w:rPr>
          <w:rFonts w:ascii="宋体" w:hAnsi="宋体"/>
          <w:color w:val="auto"/>
          <w:sz w:val="24"/>
          <w:highlight w:val="none"/>
        </w:rPr>
      </w:pPr>
      <w:r>
        <w:rPr>
          <w:rFonts w:hint="eastAsia" w:ascii="宋体" w:hAnsi="宋体"/>
          <w:b/>
          <w:color w:val="auto"/>
          <w:sz w:val="24"/>
          <w:highlight w:val="none"/>
        </w:rPr>
        <w:t xml:space="preserve">    </w:t>
      </w:r>
      <w:r>
        <w:rPr>
          <w:rFonts w:hint="eastAsia" w:ascii="宋体" w:hAnsi="宋体"/>
          <w:color w:val="auto"/>
          <w:sz w:val="24"/>
          <w:highlight w:val="none"/>
        </w:rPr>
        <w:t xml:space="preserve">            </w:t>
      </w:r>
    </w:p>
    <w:p w14:paraId="14B6463D">
      <w:pPr>
        <w:snapToGrid w:val="0"/>
        <w:spacing w:before="50" w:after="50"/>
        <w:ind w:firstLine="840" w:firstLineChars="350"/>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20560E52">
      <w:pPr>
        <w:spacing w:line="400" w:lineRule="exact"/>
        <w:contextualSpacing/>
        <w:jc w:val="left"/>
        <w:rPr>
          <w:rFonts w:ascii="宋体" w:hAnsi="宋体"/>
          <w:color w:val="auto"/>
          <w:sz w:val="24"/>
          <w:highlight w:val="none"/>
        </w:rPr>
      </w:pPr>
    </w:p>
    <w:p w14:paraId="7B3D1B9B">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投标人名称（电子签章）：</w:t>
      </w:r>
      <w:r>
        <w:rPr>
          <w:rFonts w:hint="eastAsia" w:ascii="宋体" w:hAnsi="宋体"/>
          <w:color w:val="auto"/>
          <w:sz w:val="24"/>
          <w:highlight w:val="none"/>
          <w:u w:val="single"/>
        </w:rPr>
        <w:t xml:space="preserve">                 </w:t>
      </w:r>
    </w:p>
    <w:p w14:paraId="04D35233">
      <w:pPr>
        <w:spacing w:line="400" w:lineRule="exact"/>
        <w:contextualSpacing/>
        <w:jc w:val="left"/>
        <w:rPr>
          <w:rFonts w:ascii="宋体" w:hAnsi="宋体"/>
          <w:color w:val="auto"/>
          <w:highlight w:val="none"/>
        </w:rPr>
      </w:pPr>
      <w:r>
        <w:rPr>
          <w:rFonts w:hint="eastAsia" w:ascii="宋体" w:hAnsi="宋体"/>
          <w:color w:val="auto"/>
          <w:sz w:val="24"/>
          <w:highlight w:val="none"/>
        </w:rPr>
        <w:t xml:space="preserve">                                                  年    月    日</w:t>
      </w:r>
    </w:p>
    <w:p w14:paraId="0EEC03E3">
      <w:pPr>
        <w:spacing w:line="440" w:lineRule="exact"/>
        <w:contextualSpacing/>
        <w:rPr>
          <w:rFonts w:ascii="宋体" w:hAnsi="宋体"/>
          <w:b/>
          <w:color w:val="auto"/>
          <w:sz w:val="24"/>
          <w:highlight w:val="none"/>
        </w:rPr>
      </w:pPr>
      <w:bookmarkStart w:id="165" w:name="_Toc19686838"/>
      <w:r>
        <w:rPr>
          <w:rFonts w:hint="eastAsia" w:ascii="宋体" w:hAnsi="宋体"/>
          <w:b/>
          <w:color w:val="auto"/>
          <w:sz w:val="24"/>
          <w:highlight w:val="none"/>
        </w:rPr>
        <w:t>注：如为联合体投标，盖章处须加盖联合体牵头人电子签章并由联合体牵头人法定代表人签字或者盖章或者电子签名，否则投标无效。</w:t>
      </w:r>
    </w:p>
    <w:p w14:paraId="24065F51">
      <w:pPr>
        <w:rPr>
          <w:b/>
          <w:color w:val="auto"/>
          <w:sz w:val="28"/>
          <w:szCs w:val="28"/>
          <w:highlight w:val="none"/>
        </w:rPr>
      </w:pPr>
      <w:r>
        <w:rPr>
          <w:b/>
          <w:color w:val="auto"/>
          <w:sz w:val="28"/>
          <w:szCs w:val="28"/>
          <w:highlight w:val="none"/>
        </w:rPr>
        <w:br w:type="page"/>
      </w:r>
      <w:r>
        <w:rPr>
          <w:rFonts w:hint="eastAsia"/>
          <w:b/>
          <w:color w:val="auto"/>
          <w:sz w:val="28"/>
          <w:szCs w:val="28"/>
          <w:highlight w:val="none"/>
        </w:rPr>
        <w:t>三、商务及技术文件格式</w:t>
      </w:r>
      <w:bookmarkEnd w:id="165"/>
    </w:p>
    <w:p w14:paraId="08F194CE">
      <w:pPr>
        <w:snapToGrid w:val="0"/>
        <w:spacing w:before="120" w:beforeLines="50" w:after="50" w:line="360" w:lineRule="auto"/>
        <w:jc w:val="left"/>
        <w:rPr>
          <w:rFonts w:ascii="宋体" w:hAnsi="宋体"/>
          <w:b/>
          <w:color w:val="auto"/>
          <w:sz w:val="24"/>
          <w:highlight w:val="none"/>
        </w:rPr>
      </w:pPr>
      <w:r>
        <w:rPr>
          <w:rFonts w:hint="eastAsia" w:ascii="宋体" w:hAnsi="宋体"/>
          <w:b/>
          <w:color w:val="auto"/>
          <w:sz w:val="24"/>
          <w:highlight w:val="none"/>
        </w:rPr>
        <w:t xml:space="preserve">1.商务及技术文件封面格式： </w:t>
      </w:r>
    </w:p>
    <w:p w14:paraId="6B261214">
      <w:pPr>
        <w:snapToGrid w:val="0"/>
        <w:spacing w:before="120" w:beforeLines="50" w:after="50"/>
        <w:jc w:val="center"/>
        <w:rPr>
          <w:rFonts w:ascii="宋体" w:hAnsi="宋体"/>
          <w:color w:val="auto"/>
          <w:sz w:val="24"/>
          <w:highlight w:val="none"/>
        </w:rPr>
      </w:pPr>
      <w:r>
        <w:rPr>
          <w:rFonts w:hint="eastAsia" w:ascii="宋体" w:hAnsi="宋体" w:eastAsia="方正小标宋简体"/>
          <w:bCs/>
          <w:color w:val="auto"/>
          <w:sz w:val="48"/>
          <w:szCs w:val="48"/>
          <w:highlight w:val="none"/>
        </w:rPr>
        <w:t>电子投标文件</w:t>
      </w:r>
    </w:p>
    <w:p w14:paraId="00AEB5EA">
      <w:pPr>
        <w:snapToGrid w:val="0"/>
        <w:spacing w:before="120"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商务及技术文件</w:t>
      </w:r>
    </w:p>
    <w:p w14:paraId="0DAF0DFF">
      <w:pPr>
        <w:snapToGrid w:val="0"/>
        <w:spacing w:before="120" w:beforeLines="50" w:after="50"/>
        <w:rPr>
          <w:rFonts w:ascii="宋体" w:hAnsi="宋体"/>
          <w:bCs/>
          <w:color w:val="auto"/>
          <w:sz w:val="24"/>
          <w:szCs w:val="20"/>
          <w:highlight w:val="none"/>
        </w:rPr>
      </w:pPr>
    </w:p>
    <w:p w14:paraId="2C8A3C0F">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项目名称：</w:t>
      </w:r>
    </w:p>
    <w:p w14:paraId="02DDC47E">
      <w:pPr>
        <w:snapToGrid w:val="0"/>
        <w:spacing w:before="120" w:beforeLines="50" w:after="50"/>
        <w:ind w:firstLine="540" w:firstLineChars="225"/>
        <w:rPr>
          <w:rFonts w:ascii="宋体" w:hAnsi="宋体"/>
          <w:bCs/>
          <w:color w:val="auto"/>
          <w:sz w:val="24"/>
          <w:szCs w:val="20"/>
          <w:highlight w:val="none"/>
        </w:rPr>
      </w:pPr>
    </w:p>
    <w:p w14:paraId="494B2B25">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项目编号：</w:t>
      </w:r>
    </w:p>
    <w:p w14:paraId="7D47AA5C">
      <w:pPr>
        <w:snapToGrid w:val="0"/>
        <w:spacing w:before="120" w:beforeLines="50" w:after="50"/>
        <w:ind w:firstLine="540" w:firstLineChars="225"/>
        <w:rPr>
          <w:rFonts w:ascii="宋体" w:hAnsi="宋体"/>
          <w:bCs/>
          <w:color w:val="auto"/>
          <w:sz w:val="24"/>
          <w:szCs w:val="20"/>
          <w:highlight w:val="none"/>
        </w:rPr>
      </w:pPr>
      <w:r>
        <w:rPr>
          <w:rFonts w:hint="eastAsia" w:ascii="宋体" w:hAnsi="宋体"/>
          <w:bCs/>
          <w:color w:val="auto"/>
          <w:sz w:val="24"/>
          <w:highlight w:val="none"/>
        </w:rPr>
        <w:t xml:space="preserve"> </w:t>
      </w:r>
    </w:p>
    <w:p w14:paraId="03BE8660">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所投分标：</w:t>
      </w:r>
    </w:p>
    <w:p w14:paraId="47235BAA">
      <w:pPr>
        <w:snapToGrid w:val="0"/>
        <w:spacing w:before="120" w:beforeLines="50" w:after="50"/>
        <w:ind w:firstLine="540" w:firstLineChars="225"/>
        <w:rPr>
          <w:rFonts w:ascii="宋体" w:hAnsi="宋体"/>
          <w:bCs/>
          <w:color w:val="auto"/>
          <w:sz w:val="24"/>
          <w:szCs w:val="20"/>
          <w:highlight w:val="none"/>
        </w:rPr>
      </w:pPr>
    </w:p>
    <w:p w14:paraId="2B674D05">
      <w:pPr>
        <w:pStyle w:val="6"/>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投标人名称：</w:t>
      </w:r>
    </w:p>
    <w:p w14:paraId="14873EC7">
      <w:pPr>
        <w:pStyle w:val="6"/>
        <w:snapToGrid w:val="0"/>
        <w:spacing w:before="50" w:after="50"/>
        <w:ind w:firstLine="540" w:firstLineChars="225"/>
        <w:rPr>
          <w:rFonts w:ascii="宋体" w:hAnsi="宋体"/>
          <w:bCs/>
          <w:color w:val="auto"/>
          <w:sz w:val="24"/>
          <w:szCs w:val="24"/>
          <w:highlight w:val="none"/>
        </w:rPr>
      </w:pPr>
    </w:p>
    <w:p w14:paraId="5558CC7F">
      <w:pPr>
        <w:pStyle w:val="6"/>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投标人地址：</w:t>
      </w:r>
    </w:p>
    <w:p w14:paraId="5946AEAD">
      <w:pPr>
        <w:pStyle w:val="6"/>
        <w:snapToGrid w:val="0"/>
        <w:spacing w:before="50" w:after="50"/>
        <w:ind w:firstLine="960" w:firstLineChars="400"/>
        <w:rPr>
          <w:rFonts w:ascii="宋体" w:hAnsi="宋体"/>
          <w:bCs/>
          <w:color w:val="auto"/>
          <w:sz w:val="24"/>
          <w:szCs w:val="24"/>
          <w:highlight w:val="none"/>
        </w:rPr>
      </w:pPr>
    </w:p>
    <w:p w14:paraId="6C355A0F">
      <w:pPr>
        <w:snapToGrid w:val="0"/>
        <w:spacing w:before="120" w:beforeLines="50" w:after="50"/>
        <w:ind w:firstLine="645"/>
        <w:rPr>
          <w:rFonts w:ascii="宋体" w:hAnsi="宋体"/>
          <w:color w:val="auto"/>
          <w:sz w:val="24"/>
          <w:highlight w:val="none"/>
        </w:rPr>
      </w:pPr>
      <w:r>
        <w:rPr>
          <w:rFonts w:hint="eastAsia" w:ascii="宋体" w:hAnsi="宋体"/>
          <w:color w:val="auto"/>
          <w:sz w:val="24"/>
          <w:highlight w:val="none"/>
        </w:rPr>
        <w:t xml:space="preserve">                        年  月  日</w:t>
      </w:r>
    </w:p>
    <w:p w14:paraId="35DFD40B">
      <w:pPr>
        <w:snapToGrid w:val="0"/>
        <w:spacing w:before="120"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31A8266A">
      <w:pPr>
        <w:snapToGrid w:val="0"/>
        <w:spacing w:line="360" w:lineRule="auto"/>
        <w:jc w:val="left"/>
        <w:rPr>
          <w:rFonts w:ascii="宋体" w:hAnsi="宋体"/>
          <w:b/>
          <w:color w:val="auto"/>
          <w:sz w:val="24"/>
          <w:highlight w:val="none"/>
        </w:rPr>
      </w:pPr>
      <w:r>
        <w:rPr>
          <w:rFonts w:ascii="宋体" w:hAnsi="宋体"/>
          <w:color w:val="auto"/>
          <w:sz w:val="24"/>
          <w:szCs w:val="20"/>
          <w:highlight w:val="none"/>
        </w:rPr>
        <w:br w:type="page"/>
      </w:r>
      <w:r>
        <w:rPr>
          <w:rFonts w:hint="eastAsia" w:ascii="宋体" w:hAnsi="宋体"/>
          <w:b/>
          <w:color w:val="auto"/>
          <w:sz w:val="24"/>
          <w:highlight w:val="none"/>
        </w:rPr>
        <w:t>2.商务及技术文件目录</w:t>
      </w:r>
    </w:p>
    <w:p w14:paraId="2EA84621">
      <w:pPr>
        <w:snapToGrid w:val="0"/>
        <w:spacing w:before="50" w:after="120" w:afterLines="50" w:line="360" w:lineRule="auto"/>
        <w:ind w:firstLine="560" w:firstLineChars="200"/>
        <w:jc w:val="left"/>
        <w:rPr>
          <w:rFonts w:ascii="微软雅黑" w:hAnsi="微软雅黑" w:eastAsia="微软雅黑"/>
          <w:b/>
          <w:bCs/>
          <w:color w:val="auto"/>
          <w:sz w:val="32"/>
          <w:szCs w:val="32"/>
          <w:highlight w:val="none"/>
        </w:rPr>
      </w:pPr>
      <w:r>
        <w:rPr>
          <w:rFonts w:hint="eastAsia" w:ascii="宋体" w:hAnsi="宋体"/>
          <w:color w:val="auto"/>
          <w:sz w:val="28"/>
          <w:szCs w:val="28"/>
          <w:highlight w:val="none"/>
        </w:rPr>
        <w:t>根据招标文件规定及投标人提供的材料自行编写目录。</w:t>
      </w:r>
    </w:p>
    <w:p w14:paraId="74088441">
      <w:pPr>
        <w:snapToGrid w:val="0"/>
        <w:spacing w:before="50" w:after="120" w:afterLines="50"/>
        <w:jc w:val="left"/>
        <w:rPr>
          <w:rFonts w:ascii="宋体" w:hAnsi="宋体"/>
          <w:color w:val="auto"/>
          <w:highlight w:val="none"/>
        </w:rPr>
      </w:pPr>
    </w:p>
    <w:p w14:paraId="70ABDFD6">
      <w:pPr>
        <w:snapToGrid w:val="0"/>
        <w:spacing w:before="120" w:beforeLines="50" w:after="50"/>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3.投标人参加本项目无围标串标行为的承诺</w:t>
      </w:r>
    </w:p>
    <w:p w14:paraId="1D55371F">
      <w:pPr>
        <w:snapToGrid w:val="0"/>
        <w:spacing w:before="120" w:beforeLines="50" w:after="50"/>
        <w:jc w:val="left"/>
        <w:rPr>
          <w:rFonts w:ascii="宋体" w:hAnsi="宋体"/>
          <w:b/>
          <w:color w:val="auto"/>
          <w:sz w:val="24"/>
          <w:highlight w:val="none"/>
        </w:rPr>
      </w:pPr>
    </w:p>
    <w:p w14:paraId="02740748">
      <w:pPr>
        <w:spacing w:line="360" w:lineRule="auto"/>
        <w:contextualSpacing/>
        <w:rPr>
          <w:rFonts w:ascii="宋体" w:hAnsi="宋体"/>
          <w:b/>
          <w:color w:val="auto"/>
          <w:sz w:val="24"/>
          <w:highlight w:val="none"/>
        </w:rPr>
      </w:pPr>
      <w:r>
        <w:rPr>
          <w:rFonts w:hint="eastAsia" w:ascii="方正小标宋简体" w:hAnsi="方正小标宋简体" w:eastAsia="方正小标宋简体" w:cs="方正小标宋简体"/>
          <w:bCs/>
          <w:color w:val="auto"/>
          <w:spacing w:val="-11"/>
          <w:sz w:val="44"/>
          <w:szCs w:val="44"/>
          <w:highlight w:val="none"/>
        </w:rPr>
        <w:t>投标人参加本项目无围标串标行为的承诺函</w:t>
      </w:r>
    </w:p>
    <w:p w14:paraId="0514092A">
      <w:pPr>
        <w:spacing w:line="440" w:lineRule="exact"/>
        <w:contextualSpacing/>
        <w:jc w:val="left"/>
        <w:rPr>
          <w:rFonts w:ascii="宋体" w:hAnsi="宋体"/>
          <w:b/>
          <w:color w:val="auto"/>
          <w:sz w:val="24"/>
          <w:highlight w:val="none"/>
        </w:rPr>
      </w:pPr>
      <w:r>
        <w:rPr>
          <w:rFonts w:hint="eastAsia" w:ascii="宋体" w:hAnsi="宋体"/>
          <w:b/>
          <w:color w:val="auto"/>
          <w:sz w:val="24"/>
          <w:highlight w:val="none"/>
        </w:rPr>
        <w:t>一、我方承诺无下列相互串通投标的情形：</w:t>
      </w:r>
    </w:p>
    <w:p w14:paraId="6F75E3EA">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1.不同投标人的投标文件由同一单位或者个人编制；</w:t>
      </w:r>
    </w:p>
    <w:p w14:paraId="3E4722D5">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2.不同投标人委托同一单位或者个人办理投标事宜；</w:t>
      </w:r>
    </w:p>
    <w:p w14:paraId="23F5803A">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3.不同的投标人的投标文件载明的项目管理员为同一个人；</w:t>
      </w:r>
    </w:p>
    <w:p w14:paraId="75BB7EAD">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4.不同投标人的投标文件异常一致或者投标报价呈规律性差异；</w:t>
      </w:r>
    </w:p>
    <w:p w14:paraId="574F057C">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5.不同投标人的投标文件相互混装；</w:t>
      </w:r>
    </w:p>
    <w:p w14:paraId="536AF918">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6.不同投标人的投标保证金从同一单位或者个人账户转出。</w:t>
      </w:r>
    </w:p>
    <w:p w14:paraId="23E31CDF">
      <w:pPr>
        <w:spacing w:line="440" w:lineRule="exact"/>
        <w:contextualSpacing/>
        <w:jc w:val="left"/>
        <w:rPr>
          <w:rFonts w:ascii="宋体" w:hAnsi="宋体"/>
          <w:color w:val="auto"/>
          <w:sz w:val="24"/>
          <w:highlight w:val="none"/>
        </w:rPr>
      </w:pPr>
      <w:r>
        <w:rPr>
          <w:rFonts w:hint="eastAsia" w:ascii="宋体" w:hAnsi="宋体"/>
          <w:b/>
          <w:color w:val="auto"/>
          <w:sz w:val="24"/>
          <w:highlight w:val="none"/>
        </w:rPr>
        <w:t>二、我方承诺无下列恶意串通的情形：</w:t>
      </w:r>
    </w:p>
    <w:p w14:paraId="2D97F9B7">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1.投标人直接或者间接从采购人或者采购代理机构处获得其他投标人的相关信息并修改其投标文件或者响应文件；</w:t>
      </w:r>
    </w:p>
    <w:p w14:paraId="466BFB93">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2.投标人按照采购人或者采购代理机构的授意撤换、修改投标文件或者响应文件；</w:t>
      </w:r>
    </w:p>
    <w:p w14:paraId="174D85FF">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3.投标人之间协商报价、技术方案等投标文件或者响应文件的实质性内容；</w:t>
      </w:r>
    </w:p>
    <w:p w14:paraId="7B8737E3">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4.属于同一集团、协会、商会等组织成员的投标人按照该组织要求协同参加政府采购活动；</w:t>
      </w:r>
    </w:p>
    <w:p w14:paraId="21289252">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42F68881">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6.投标人之间商定部分投标人放弃参加政府采购活动或者放弃中标；</w:t>
      </w:r>
    </w:p>
    <w:p w14:paraId="60AD0C50">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7.投标人与采购人或者采购代理机构之间、投标人相互之间，为谋求特定投标人中标或者排斥其他投标人的其他串通行为。</w:t>
      </w:r>
    </w:p>
    <w:p w14:paraId="0B7019F5">
      <w:pPr>
        <w:spacing w:line="440" w:lineRule="exact"/>
        <w:ind w:firstLine="472" w:firstLineChars="196"/>
        <w:contextualSpacing/>
        <w:jc w:val="left"/>
        <w:rPr>
          <w:rFonts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6D8F2E82">
      <w:pPr>
        <w:pStyle w:val="24"/>
        <w:spacing w:line="440" w:lineRule="exact"/>
        <w:ind w:firstLine="960" w:firstLineChars="400"/>
        <w:contextualSpacing/>
        <w:rPr>
          <w:rFonts w:hAnsi="宋体"/>
          <w:color w:val="auto"/>
          <w:sz w:val="24"/>
          <w:szCs w:val="24"/>
          <w:highlight w:val="none"/>
        </w:rPr>
      </w:pPr>
      <w:r>
        <w:rPr>
          <w:rFonts w:hint="eastAsia" w:hAnsi="宋体"/>
          <w:color w:val="auto"/>
          <w:sz w:val="24"/>
          <w:highlight w:val="none"/>
        </w:rPr>
        <w:t>法定代表人或者委托代理人</w:t>
      </w:r>
      <w:r>
        <w:rPr>
          <w:rFonts w:hint="eastAsia" w:hAnsi="宋体"/>
          <w:color w:val="auto"/>
          <w:spacing w:val="20"/>
          <w:sz w:val="24"/>
          <w:highlight w:val="none"/>
        </w:rPr>
        <w:t>（签字或者电子签名）：</w:t>
      </w:r>
      <w:r>
        <w:rPr>
          <w:rFonts w:hint="eastAsia" w:hAnsi="宋体"/>
          <w:color w:val="auto"/>
          <w:spacing w:val="20"/>
          <w:sz w:val="24"/>
          <w:highlight w:val="none"/>
          <w:u w:val="single"/>
        </w:rPr>
        <w:t xml:space="preserve">        </w:t>
      </w:r>
    </w:p>
    <w:p w14:paraId="0E626CD3">
      <w:pPr>
        <w:pStyle w:val="24"/>
        <w:spacing w:line="440" w:lineRule="exact"/>
        <w:contextualSpacing/>
        <w:jc w:val="center"/>
        <w:rPr>
          <w:rFonts w:hAnsi="宋体"/>
          <w:color w:val="auto"/>
          <w:sz w:val="24"/>
          <w:szCs w:val="24"/>
          <w:highlight w:val="none"/>
        </w:rPr>
      </w:pPr>
      <w:r>
        <w:rPr>
          <w:rFonts w:hint="eastAsia" w:hAnsi="宋体"/>
          <w:color w:val="auto"/>
          <w:sz w:val="24"/>
          <w:szCs w:val="24"/>
          <w:highlight w:val="none"/>
        </w:rPr>
        <w:t xml:space="preserve"> </w:t>
      </w:r>
      <w:r>
        <w:rPr>
          <w:rFonts w:hAnsi="宋体"/>
          <w:color w:val="auto"/>
          <w:sz w:val="24"/>
          <w:szCs w:val="24"/>
          <w:highlight w:val="none"/>
        </w:rPr>
        <w:t xml:space="preserve">                                   </w:t>
      </w:r>
      <w:r>
        <w:rPr>
          <w:rFonts w:hint="eastAsia" w:hAnsi="宋体"/>
          <w:color w:val="auto"/>
          <w:sz w:val="24"/>
          <w:szCs w:val="24"/>
          <w:highlight w:val="none"/>
        </w:rPr>
        <w:t>投标人名称（电子签章）</w:t>
      </w:r>
    </w:p>
    <w:p w14:paraId="63DADDFA">
      <w:pPr>
        <w:pStyle w:val="24"/>
        <w:spacing w:line="440" w:lineRule="exact"/>
        <w:contextualSpacing/>
        <w:rPr>
          <w:rFonts w:hAnsi="宋体"/>
          <w:color w:val="auto"/>
          <w:sz w:val="24"/>
          <w:highlight w:val="none"/>
        </w:rPr>
      </w:pPr>
      <w:r>
        <w:rPr>
          <w:rFonts w:hint="eastAsia" w:hAnsi="宋体"/>
          <w:color w:val="auto"/>
          <w:sz w:val="24"/>
          <w:highlight w:val="none"/>
        </w:rPr>
        <w:t xml:space="preserve">                                                </w:t>
      </w:r>
      <w:r>
        <w:rPr>
          <w:rFonts w:hint="eastAsia" w:hAnsi="宋体"/>
          <w:color w:val="auto"/>
          <w:sz w:val="24"/>
          <w:highlight w:val="none"/>
          <w:u w:val="single"/>
        </w:rPr>
        <w:t xml:space="preserve">      </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p>
    <w:p w14:paraId="13243D21">
      <w:pPr>
        <w:snapToGrid w:val="0"/>
        <w:spacing w:before="120" w:beforeLines="50" w:after="50"/>
        <w:jc w:val="left"/>
        <w:rPr>
          <w:rFonts w:ascii="宋体" w:hAnsi="宋体"/>
          <w:b/>
          <w:color w:val="auto"/>
          <w:sz w:val="24"/>
          <w:szCs w:val="20"/>
          <w:highlight w:val="none"/>
        </w:rPr>
      </w:pPr>
      <w:r>
        <w:rPr>
          <w:rFonts w:hint="eastAsia" w:ascii="宋体" w:hAnsi="宋体"/>
          <w:b/>
          <w:color w:val="auto"/>
          <w:sz w:val="24"/>
          <w:highlight w:val="none"/>
        </w:rPr>
        <w:t>4.法定代表人身份证明</w:t>
      </w:r>
    </w:p>
    <w:p w14:paraId="66978687">
      <w:pPr>
        <w:spacing w:before="240" w:beforeLines="100" w:after="120" w:afterLines="50"/>
        <w:ind w:left="540"/>
        <w:jc w:val="center"/>
        <w:rPr>
          <w:rFonts w:ascii="宋体" w:hAnsi="Courier New"/>
          <w:b/>
          <w:color w:val="auto"/>
          <w:sz w:val="32"/>
          <w:szCs w:val="32"/>
          <w:highlight w:val="none"/>
        </w:rPr>
      </w:pPr>
    </w:p>
    <w:p w14:paraId="226AA2E8">
      <w:pPr>
        <w:spacing w:before="240" w:beforeLines="100" w:after="120" w:afterLines="50"/>
        <w:ind w:left="54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法定代表人身份证明</w:t>
      </w:r>
    </w:p>
    <w:p w14:paraId="4EF73BDA">
      <w:pPr>
        <w:spacing w:line="500" w:lineRule="exact"/>
        <w:ind w:left="540"/>
        <w:rPr>
          <w:rFonts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2C829668">
      <w:pPr>
        <w:spacing w:line="500" w:lineRule="exact"/>
        <w:ind w:left="540"/>
        <w:rPr>
          <w:rFonts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59439D87">
      <w:pPr>
        <w:spacing w:line="500" w:lineRule="exact"/>
        <w:ind w:left="540"/>
        <w:rPr>
          <w:rFonts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1871B613">
      <w:pPr>
        <w:spacing w:line="500" w:lineRule="exact"/>
        <w:ind w:left="540"/>
        <w:rPr>
          <w:rFonts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784D5C6D">
      <w:pPr>
        <w:spacing w:line="500" w:lineRule="exact"/>
        <w:ind w:left="540"/>
        <w:rPr>
          <w:rFonts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rFonts w:hint="eastAsia"/>
          <w:color w:val="auto"/>
          <w:sz w:val="24"/>
          <w:highlight w:val="none"/>
          <w:u w:val="single"/>
        </w:rPr>
        <w:t xml:space="preserve">                                 </w:t>
      </w:r>
    </w:p>
    <w:p w14:paraId="19D17F81">
      <w:pPr>
        <w:spacing w:line="500" w:lineRule="exact"/>
        <w:ind w:left="540"/>
        <w:rPr>
          <w:rFonts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553EEA28">
      <w:pPr>
        <w:spacing w:line="500" w:lineRule="exact"/>
        <w:ind w:left="540"/>
        <w:rPr>
          <w:rFonts w:ascii="宋体" w:hAnsi="宋体"/>
          <w:color w:val="auto"/>
          <w:sz w:val="24"/>
          <w:highlight w:val="none"/>
        </w:rPr>
      </w:pPr>
      <w:r>
        <w:rPr>
          <w:rFonts w:hint="eastAsia" w:ascii="宋体" w:hAnsi="宋体"/>
          <w:color w:val="auto"/>
          <w:sz w:val="24"/>
          <w:highlight w:val="none"/>
        </w:rPr>
        <w:t>特此证明。</w:t>
      </w:r>
    </w:p>
    <w:p w14:paraId="05D4CDA3">
      <w:pPr>
        <w:spacing w:line="500" w:lineRule="exact"/>
        <w:ind w:left="540"/>
        <w:rPr>
          <w:rFonts w:ascii="宋体" w:hAnsi="宋体"/>
          <w:color w:val="auto"/>
          <w:sz w:val="24"/>
          <w:highlight w:val="none"/>
        </w:rPr>
      </w:pPr>
    </w:p>
    <w:p w14:paraId="4D6E6CD3">
      <w:pPr>
        <w:spacing w:line="500" w:lineRule="exact"/>
        <w:ind w:left="540"/>
        <w:rPr>
          <w:rFonts w:ascii="宋体" w:hAnsi="宋体"/>
          <w:color w:val="auto"/>
          <w:sz w:val="24"/>
          <w:highlight w:val="none"/>
        </w:rPr>
      </w:pPr>
    </w:p>
    <w:p w14:paraId="1BB3A31C">
      <w:pPr>
        <w:spacing w:line="500" w:lineRule="exact"/>
        <w:ind w:left="540"/>
        <w:rPr>
          <w:rFonts w:ascii="宋体" w:hAnsi="宋体"/>
          <w:color w:val="auto"/>
          <w:sz w:val="24"/>
          <w:highlight w:val="none"/>
        </w:rPr>
      </w:pPr>
      <w:r>
        <w:rPr>
          <w:rFonts w:hint="eastAsia" w:ascii="宋体" w:hAnsi="宋体"/>
          <w:color w:val="auto"/>
          <w:sz w:val="24"/>
          <w:highlight w:val="none"/>
        </w:rPr>
        <w:t>附件：法定代表人有效身份证正反面复印件</w:t>
      </w:r>
    </w:p>
    <w:p w14:paraId="0144DDB7">
      <w:pPr>
        <w:spacing w:line="500" w:lineRule="exact"/>
        <w:ind w:left="540"/>
        <w:rPr>
          <w:rFonts w:ascii="宋体" w:hAnsi="宋体"/>
          <w:color w:val="auto"/>
          <w:sz w:val="24"/>
          <w:highlight w:val="none"/>
        </w:rPr>
      </w:pPr>
    </w:p>
    <w:p w14:paraId="3D8FE6B4">
      <w:pPr>
        <w:spacing w:line="500" w:lineRule="exact"/>
        <w:ind w:left="540"/>
        <w:jc w:val="right"/>
        <w:rPr>
          <w:rFonts w:ascii="宋体" w:hAnsi="宋体"/>
          <w:color w:val="auto"/>
          <w:sz w:val="24"/>
          <w:highlight w:val="none"/>
        </w:rPr>
      </w:pPr>
      <w:r>
        <w:rPr>
          <w:rFonts w:hint="eastAsia" w:ascii="宋体" w:hAnsi="宋体"/>
          <w:color w:val="auto"/>
          <w:sz w:val="24"/>
          <w:highlight w:val="none"/>
        </w:rPr>
        <w:t>投标人名称（电子签章）</w:t>
      </w:r>
    </w:p>
    <w:p w14:paraId="3F44873B">
      <w:pPr>
        <w:spacing w:line="500" w:lineRule="exact"/>
        <w:ind w:left="540"/>
        <w:jc w:val="right"/>
        <w:rPr>
          <w:rFonts w:ascii="宋体" w:hAnsi="宋体"/>
          <w:color w:val="auto"/>
          <w:sz w:val="24"/>
          <w:highlight w:val="none"/>
        </w:rPr>
      </w:pPr>
    </w:p>
    <w:p w14:paraId="6B53AE29">
      <w:pPr>
        <w:snapToGrid w:val="0"/>
        <w:spacing w:before="120" w:beforeLines="50" w:after="50"/>
        <w:ind w:left="540"/>
        <w:jc w:val="right"/>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021BEDEE">
      <w:pPr>
        <w:snapToGrid w:val="0"/>
        <w:spacing w:before="120" w:beforeLines="50" w:after="50"/>
        <w:jc w:val="center"/>
        <w:rPr>
          <w:rFonts w:ascii="宋体" w:hAnsi="宋体"/>
          <w:b/>
          <w:color w:val="auto"/>
          <w:sz w:val="24"/>
          <w:highlight w:val="none"/>
        </w:rPr>
      </w:pPr>
    </w:p>
    <w:p w14:paraId="598CE371">
      <w:pPr>
        <w:snapToGrid w:val="0"/>
        <w:spacing w:before="120" w:beforeLines="50" w:after="50"/>
        <w:jc w:val="left"/>
        <w:rPr>
          <w:rFonts w:ascii="宋体" w:hAnsi="宋体"/>
          <w:b/>
          <w:color w:val="auto"/>
          <w:sz w:val="24"/>
          <w:szCs w:val="20"/>
          <w:highlight w:val="none"/>
        </w:rPr>
      </w:pPr>
      <w:r>
        <w:rPr>
          <w:rFonts w:hint="eastAsia" w:ascii="宋体" w:hAnsi="宋体"/>
          <w:color w:val="auto"/>
          <w:sz w:val="24"/>
          <w:highlight w:val="none"/>
        </w:rPr>
        <w:t>注：自然人投标的无需提供</w:t>
      </w:r>
    </w:p>
    <w:p w14:paraId="30C1565F">
      <w:pPr>
        <w:snapToGrid w:val="0"/>
        <w:spacing w:before="120" w:beforeLines="50" w:after="50"/>
        <w:jc w:val="left"/>
        <w:rPr>
          <w:rFonts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5.授权委托书格式</w:t>
      </w:r>
    </w:p>
    <w:p w14:paraId="50DEF055">
      <w:pPr>
        <w:snapToGrid w:val="0"/>
        <w:spacing w:before="120" w:beforeLines="50" w:after="50"/>
        <w:jc w:val="center"/>
        <w:rPr>
          <w:rFonts w:ascii="宋体" w:hAnsi="宋体"/>
          <w:b/>
          <w:color w:val="auto"/>
          <w:sz w:val="44"/>
          <w:szCs w:val="44"/>
          <w:highlight w:val="none"/>
        </w:rPr>
      </w:pPr>
    </w:p>
    <w:p w14:paraId="3A910F07">
      <w:pPr>
        <w:spacing w:line="360" w:lineRule="auto"/>
        <w:contextualSpacing/>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授权委托书</w:t>
      </w:r>
    </w:p>
    <w:p w14:paraId="7F8D36DC">
      <w:pPr>
        <w:spacing w:line="360" w:lineRule="auto"/>
        <w:contextualSpacing/>
        <w:jc w:val="center"/>
        <w:rPr>
          <w:rFonts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32"/>
          <w:szCs w:val="32"/>
          <w:highlight w:val="none"/>
        </w:rPr>
        <w:t>（非联合体投标格式）</w:t>
      </w:r>
    </w:p>
    <w:p w14:paraId="09BC7696">
      <w:pPr>
        <w:spacing w:line="360" w:lineRule="auto"/>
        <w:contextualSpacing/>
        <w:jc w:val="center"/>
        <w:rPr>
          <w:rFonts w:ascii="方正小标宋简体" w:hAnsi="方正小标宋简体" w:eastAsia="方正小标宋简体" w:cs="方正小标宋简体"/>
          <w:bCs/>
          <w:color w:val="auto"/>
          <w:sz w:val="24"/>
          <w:highlight w:val="none"/>
        </w:rPr>
      </w:pPr>
      <w:r>
        <w:rPr>
          <w:rFonts w:hint="eastAsia" w:ascii="方正小标宋简体" w:hAnsi="方正小标宋简体" w:eastAsia="方正小标宋简体" w:cs="方正小标宋简体"/>
          <w:bCs/>
          <w:color w:val="auto"/>
          <w:sz w:val="32"/>
          <w:szCs w:val="32"/>
          <w:highlight w:val="none"/>
        </w:rPr>
        <w:t>（如有委托时）</w:t>
      </w:r>
    </w:p>
    <w:p w14:paraId="04C7DF99">
      <w:pPr>
        <w:spacing w:line="440" w:lineRule="exact"/>
        <w:contextualSpacing/>
        <w:jc w:val="center"/>
        <w:rPr>
          <w:rFonts w:ascii="宋体" w:hAnsi="宋体"/>
          <w:b/>
          <w:color w:val="auto"/>
          <w:sz w:val="24"/>
          <w:highlight w:val="none"/>
        </w:rPr>
      </w:pPr>
    </w:p>
    <w:p w14:paraId="5AF551C9">
      <w:pPr>
        <w:spacing w:line="440" w:lineRule="exact"/>
        <w:contextualSpacing/>
        <w:rPr>
          <w:rFonts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6E0ED391">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459F616E">
      <w:pPr>
        <w:spacing w:line="440" w:lineRule="exact"/>
        <w:contextualSpacing/>
        <w:rPr>
          <w:rFonts w:ascii="宋体" w:hAnsi="宋体"/>
          <w:color w:val="auto"/>
          <w:sz w:val="24"/>
          <w:highlight w:val="none"/>
        </w:rPr>
      </w:pPr>
      <w:r>
        <w:rPr>
          <w:rFonts w:hint="eastAsia" w:ascii="宋体" w:hAnsi="宋体"/>
          <w:color w:val="auto"/>
          <w:sz w:val="24"/>
          <w:highlight w:val="none"/>
        </w:rPr>
        <w:t xml:space="preserve">    我方对委托代理人的签字或者电子签名事项负全部责任。</w:t>
      </w:r>
    </w:p>
    <w:p w14:paraId="168AE1F1">
      <w:pPr>
        <w:spacing w:line="440" w:lineRule="exact"/>
        <w:ind w:firstLine="480"/>
        <w:contextualSpacing/>
        <w:rPr>
          <w:rFonts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21BFB5EE">
      <w:pPr>
        <w:spacing w:line="440" w:lineRule="exact"/>
        <w:ind w:firstLine="480"/>
        <w:contextualSpacing/>
        <w:rPr>
          <w:rFonts w:ascii="宋体" w:hAnsi="宋体"/>
          <w:color w:val="auto"/>
          <w:sz w:val="24"/>
          <w:highlight w:val="none"/>
        </w:rPr>
      </w:pPr>
      <w:r>
        <w:rPr>
          <w:rFonts w:hint="eastAsia" w:ascii="宋体" w:hAnsi="宋体"/>
          <w:color w:val="auto"/>
          <w:sz w:val="24"/>
          <w:highlight w:val="none"/>
        </w:rPr>
        <w:t>委托代理人无转委托权，特此委托。</w:t>
      </w:r>
    </w:p>
    <w:p w14:paraId="211AB331">
      <w:pPr>
        <w:spacing w:line="440" w:lineRule="exact"/>
        <w:ind w:firstLine="480"/>
        <w:contextualSpacing/>
        <w:rPr>
          <w:rFonts w:ascii="宋体" w:hAnsi="宋体"/>
          <w:color w:val="auto"/>
          <w:sz w:val="24"/>
          <w:highlight w:val="none"/>
        </w:rPr>
      </w:pPr>
      <w:r>
        <w:rPr>
          <w:rFonts w:hint="eastAsia" w:ascii="宋体" w:hAnsi="宋体"/>
          <w:color w:val="auto"/>
          <w:sz w:val="24"/>
          <w:highlight w:val="none"/>
        </w:rPr>
        <w:t>附：法定代表人身份证明及委托代理人有效身份证正反面复印件</w:t>
      </w:r>
    </w:p>
    <w:p w14:paraId="27A24C1E">
      <w:pPr>
        <w:spacing w:line="440" w:lineRule="exact"/>
        <w:contextualSpacing/>
        <w:rPr>
          <w:rFonts w:ascii="宋体" w:hAnsi="宋体"/>
          <w:color w:val="auto"/>
          <w:sz w:val="24"/>
          <w:highlight w:val="none"/>
        </w:rPr>
      </w:pPr>
    </w:p>
    <w:p w14:paraId="465EAA61">
      <w:pPr>
        <w:spacing w:line="440" w:lineRule="exact"/>
        <w:contextualSpacing/>
        <w:rPr>
          <w:rFonts w:ascii="宋体" w:hAnsi="宋体"/>
          <w:color w:val="auto"/>
          <w:sz w:val="24"/>
          <w:highlight w:val="none"/>
        </w:rPr>
      </w:pPr>
      <w:r>
        <w:rPr>
          <w:rFonts w:hint="eastAsia" w:ascii="宋体" w:hAnsi="宋体"/>
          <w:color w:val="auto"/>
          <w:sz w:val="24"/>
          <w:highlight w:val="none"/>
        </w:rPr>
        <w:t>委托代理人（签字或者电子签名）：</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406F7D68">
      <w:pPr>
        <w:spacing w:line="440" w:lineRule="exact"/>
        <w:contextualSpacing/>
        <w:rPr>
          <w:rFonts w:ascii="宋体" w:hAnsi="宋体"/>
          <w:color w:val="auto"/>
          <w:sz w:val="24"/>
          <w:highlight w:val="none"/>
          <w:u w:val="single"/>
        </w:rPr>
      </w:pPr>
      <w:r>
        <w:rPr>
          <w:rFonts w:hint="eastAsia" w:ascii="宋体" w:hAnsi="宋体"/>
          <w:color w:val="auto"/>
          <w:sz w:val="24"/>
          <w:highlight w:val="none"/>
        </w:rPr>
        <w:t>委托代理人身份证号码：</w:t>
      </w:r>
      <w:r>
        <w:rPr>
          <w:rFonts w:hint="eastAsia" w:ascii="宋体" w:hAnsi="宋体"/>
          <w:color w:val="auto"/>
          <w:sz w:val="24"/>
          <w:highlight w:val="none"/>
          <w:u w:val="single"/>
        </w:rPr>
        <w:t xml:space="preserve">                             </w:t>
      </w:r>
    </w:p>
    <w:p w14:paraId="48613A22">
      <w:pPr>
        <w:spacing w:line="440" w:lineRule="exact"/>
        <w:contextualSpacing/>
        <w:rPr>
          <w:rFonts w:ascii="宋体" w:hAnsi="宋体"/>
          <w:color w:val="auto"/>
          <w:sz w:val="24"/>
          <w:highlight w:val="none"/>
          <w:u w:val="single"/>
        </w:rPr>
      </w:pPr>
      <w:r>
        <w:rPr>
          <w:rFonts w:hint="eastAsia" w:ascii="宋体" w:hAnsi="宋体"/>
          <w:color w:val="auto"/>
          <w:sz w:val="24"/>
          <w:highlight w:val="none"/>
        </w:rPr>
        <w:t>法定代表人（签字或者盖章或者电子签名）：</w:t>
      </w:r>
      <w:r>
        <w:rPr>
          <w:rFonts w:hint="eastAsia" w:ascii="宋体" w:hAnsi="宋体"/>
          <w:color w:val="auto"/>
          <w:sz w:val="24"/>
          <w:highlight w:val="none"/>
          <w:u w:val="single"/>
        </w:rPr>
        <w:t xml:space="preserve">              </w:t>
      </w:r>
    </w:p>
    <w:p w14:paraId="7EB2F6FA">
      <w:pPr>
        <w:spacing w:line="440" w:lineRule="exact"/>
        <w:contextualSpacing/>
        <w:rPr>
          <w:rFonts w:ascii="宋体" w:hAnsi="宋体"/>
          <w:color w:val="auto"/>
          <w:sz w:val="24"/>
          <w:highlight w:val="none"/>
        </w:rPr>
      </w:pPr>
      <w:r>
        <w:rPr>
          <w:rFonts w:hint="eastAsia" w:ascii="宋体" w:hAnsi="宋体"/>
          <w:color w:val="auto"/>
          <w:sz w:val="24"/>
          <w:highlight w:val="none"/>
        </w:rPr>
        <w:t xml:space="preserve"> </w:t>
      </w:r>
    </w:p>
    <w:p w14:paraId="2CF7F67A">
      <w:pPr>
        <w:spacing w:line="440" w:lineRule="exact"/>
        <w:contextualSpacing/>
        <w:jc w:val="center"/>
        <w:rPr>
          <w:rFonts w:ascii="宋体" w:hAnsi="宋体"/>
          <w:color w:val="auto"/>
          <w:sz w:val="24"/>
          <w:highlight w:val="none"/>
        </w:rPr>
      </w:pPr>
      <w:r>
        <w:rPr>
          <w:rFonts w:hint="eastAsia" w:ascii="宋体" w:hAnsi="宋体"/>
          <w:color w:val="auto"/>
          <w:sz w:val="24"/>
          <w:highlight w:val="none"/>
        </w:rPr>
        <w:t xml:space="preserve">                                                投标人名称（电子签章）：</w:t>
      </w:r>
    </w:p>
    <w:p w14:paraId="5C62BE1B">
      <w:pPr>
        <w:spacing w:line="440" w:lineRule="exact"/>
        <w:contextualSpacing/>
        <w:jc w:val="center"/>
        <w:rPr>
          <w:rFonts w:ascii="宋体" w:hAnsi="宋体"/>
          <w:color w:val="auto"/>
          <w:sz w:val="24"/>
          <w:highlight w:val="none"/>
        </w:rPr>
      </w:pPr>
      <w:r>
        <w:rPr>
          <w:rFonts w:hint="eastAsia" w:ascii="宋体" w:hAnsi="宋体"/>
          <w:color w:val="auto"/>
          <w:sz w:val="24"/>
          <w:highlight w:val="none"/>
        </w:rPr>
        <w:t xml:space="preserve">                                              年    月    日</w:t>
      </w:r>
    </w:p>
    <w:p w14:paraId="59B1C5F0">
      <w:pPr>
        <w:spacing w:line="440" w:lineRule="exact"/>
        <w:contextualSpacing/>
        <w:rPr>
          <w:rFonts w:ascii="宋体" w:hAnsi="宋体" w:cs="仿宋_GB2312"/>
          <w:color w:val="auto"/>
          <w:sz w:val="24"/>
          <w:highlight w:val="none"/>
        </w:rPr>
      </w:pPr>
      <w:r>
        <w:rPr>
          <w:rFonts w:hint="eastAsia" w:ascii="宋体" w:hAnsi="宋体" w:cs="仿宋_GB2312"/>
          <w:color w:val="auto"/>
          <w:sz w:val="24"/>
          <w:highlight w:val="none"/>
        </w:rPr>
        <w:t>注：1.</w:t>
      </w:r>
      <w:bookmarkStart w:id="166" w:name="_Hlk65851555"/>
      <w:bookmarkStart w:id="167" w:name="_Hlk65851620"/>
      <w:r>
        <w:rPr>
          <w:rFonts w:hint="eastAsia" w:ascii="宋体" w:hAnsi="宋体" w:cs="仿宋_GB2312"/>
          <w:color w:val="auto"/>
          <w:sz w:val="24"/>
          <w:highlight w:val="none"/>
        </w:rPr>
        <w:t>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w:t>
      </w:r>
      <w:bookmarkEnd w:id="166"/>
      <w:r>
        <w:rPr>
          <w:rFonts w:hint="eastAsia" w:ascii="宋体" w:hAnsi="宋体" w:cs="仿宋_GB2312"/>
          <w:color w:val="auto"/>
          <w:sz w:val="24"/>
          <w:highlight w:val="none"/>
        </w:rPr>
        <w:t>委托代理人必须在授权委托书上签字</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bookmarkEnd w:id="167"/>
    </w:p>
    <w:p w14:paraId="7D913A12">
      <w:pPr>
        <w:spacing w:line="440" w:lineRule="exact"/>
        <w:ind w:firstLine="480" w:firstLineChars="200"/>
        <w:contextualSpacing/>
        <w:jc w:val="left"/>
        <w:rPr>
          <w:rFonts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4E4D9E85">
      <w:pPr>
        <w:snapToGrid w:val="0"/>
        <w:spacing w:before="120" w:beforeLines="50" w:after="50"/>
        <w:ind w:firstLine="566" w:firstLineChars="236"/>
        <w:jc w:val="center"/>
        <w:rPr>
          <w:rFonts w:ascii="宋体" w:hAnsi="宋体"/>
          <w:color w:val="auto"/>
          <w:sz w:val="24"/>
          <w:highlight w:val="none"/>
        </w:rPr>
      </w:pPr>
      <w:r>
        <w:rPr>
          <w:rFonts w:ascii="宋体" w:hAnsi="宋体"/>
          <w:color w:val="auto"/>
          <w:sz w:val="24"/>
          <w:highlight w:val="none"/>
        </w:rPr>
        <w:br w:type="page"/>
      </w:r>
    </w:p>
    <w:p w14:paraId="5DAB6F4C">
      <w:pPr>
        <w:rPr>
          <w:rFonts w:ascii="宋体" w:hAnsi="宋体"/>
          <w:b/>
          <w:color w:val="auto"/>
          <w:sz w:val="24"/>
          <w:szCs w:val="20"/>
          <w:highlight w:val="none"/>
        </w:rPr>
      </w:pPr>
      <w:r>
        <w:rPr>
          <w:rFonts w:hint="eastAsia" w:ascii="宋体" w:hAnsi="宋体"/>
          <w:b/>
          <w:color w:val="auto"/>
          <w:sz w:val="24"/>
          <w:highlight w:val="none"/>
        </w:rPr>
        <w:t>6.商务要求偏离表格式</w:t>
      </w:r>
    </w:p>
    <w:p w14:paraId="48DAE629">
      <w:pPr>
        <w:snapToGrid w:val="0"/>
        <w:spacing w:before="50"/>
        <w:jc w:val="left"/>
        <w:rPr>
          <w:rFonts w:ascii="宋体" w:hAnsi="宋体"/>
          <w:color w:val="auto"/>
          <w:sz w:val="24"/>
          <w:highlight w:val="none"/>
        </w:rPr>
      </w:pPr>
    </w:p>
    <w:p w14:paraId="4763ADAC">
      <w:pPr>
        <w:pStyle w:val="24"/>
        <w:rPr>
          <w:rFonts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p w14:paraId="5693725D">
      <w:pPr>
        <w:snapToGrid w:val="0"/>
        <w:spacing w:before="50"/>
        <w:jc w:val="left"/>
        <w:rPr>
          <w:rFonts w:ascii="宋体" w:hAnsi="宋体"/>
          <w:color w:val="auto"/>
          <w:sz w:val="24"/>
          <w:highlight w:val="none"/>
          <w:u w:val="single"/>
        </w:rPr>
      </w:pPr>
    </w:p>
    <w:tbl>
      <w:tblPr>
        <w:tblStyle w:val="49"/>
        <w:tblW w:w="8641" w:type="dxa"/>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62689B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14:paraId="6DBE0833">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项目</w:t>
            </w:r>
          </w:p>
        </w:tc>
        <w:tc>
          <w:tcPr>
            <w:tcW w:w="3336" w:type="dxa"/>
            <w:tcBorders>
              <w:top w:val="single" w:color="auto" w:sz="4" w:space="0"/>
              <w:left w:val="single" w:color="auto" w:sz="4" w:space="0"/>
              <w:bottom w:val="single" w:color="auto" w:sz="4" w:space="0"/>
              <w:right w:val="single" w:color="auto" w:sz="4" w:space="0"/>
            </w:tcBorders>
          </w:tcPr>
          <w:p w14:paraId="2ABCEAD5">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755CE7BB">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tcPr>
          <w:p w14:paraId="17FB7CC7">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偏离说明</w:t>
            </w:r>
          </w:p>
        </w:tc>
      </w:tr>
      <w:tr w14:paraId="68BD1E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vAlign w:val="center"/>
          </w:tcPr>
          <w:p w14:paraId="225596C0">
            <w:pPr>
              <w:jc w:val="center"/>
              <w:rPr>
                <w:rFonts w:ascii="宋体" w:hAnsi="宋体"/>
                <w:iCs/>
                <w:color w:val="auto"/>
                <w:sz w:val="24"/>
                <w:highlight w:val="none"/>
              </w:rPr>
            </w:pPr>
            <w:r>
              <w:rPr>
                <w:rFonts w:hint="eastAsia" w:ascii="宋体" w:hAnsi="宋体"/>
                <w:iCs/>
                <w:color w:val="auto"/>
                <w:sz w:val="24"/>
                <w:highlight w:val="none"/>
              </w:rPr>
              <w:t>交付的时间和地点</w:t>
            </w:r>
          </w:p>
        </w:tc>
        <w:tc>
          <w:tcPr>
            <w:tcW w:w="3336" w:type="dxa"/>
            <w:tcBorders>
              <w:top w:val="single" w:color="auto" w:sz="4" w:space="0"/>
              <w:left w:val="single" w:color="auto" w:sz="4" w:space="0"/>
              <w:bottom w:val="single" w:color="auto" w:sz="4" w:space="0"/>
              <w:right w:val="single" w:color="auto" w:sz="4" w:space="0"/>
            </w:tcBorders>
          </w:tcPr>
          <w:p w14:paraId="242825A9">
            <w:pPr>
              <w:snapToGrid w:val="0"/>
              <w:spacing w:before="120" w:beforeLines="50"/>
              <w:jc w:val="center"/>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4429659F">
            <w:pPr>
              <w:snapToGrid w:val="0"/>
              <w:spacing w:before="120" w:beforeLines="5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66F3D925">
            <w:pPr>
              <w:snapToGrid w:val="0"/>
              <w:spacing w:before="120" w:beforeLines="50"/>
              <w:jc w:val="center"/>
              <w:rPr>
                <w:rFonts w:ascii="宋体" w:hAnsi="宋体"/>
                <w:color w:val="auto"/>
                <w:sz w:val="24"/>
                <w:highlight w:val="none"/>
              </w:rPr>
            </w:pPr>
          </w:p>
        </w:tc>
      </w:tr>
      <w:tr w14:paraId="4C0379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vAlign w:val="center"/>
          </w:tcPr>
          <w:p w14:paraId="4215D408">
            <w:pPr>
              <w:jc w:val="center"/>
              <w:rPr>
                <w:rFonts w:ascii="宋体" w:hAnsi="宋体"/>
                <w:iCs/>
                <w:color w:val="auto"/>
                <w:sz w:val="24"/>
                <w:highlight w:val="none"/>
              </w:rPr>
            </w:pPr>
            <w:r>
              <w:rPr>
                <w:rFonts w:hint="eastAsia" w:ascii="宋体" w:hAnsi="宋体"/>
                <w:iCs/>
                <w:color w:val="auto"/>
                <w:sz w:val="24"/>
                <w:highlight w:val="none"/>
              </w:rPr>
              <w:t>合同签订时间</w:t>
            </w:r>
          </w:p>
        </w:tc>
        <w:tc>
          <w:tcPr>
            <w:tcW w:w="3336" w:type="dxa"/>
            <w:tcBorders>
              <w:top w:val="single" w:color="auto" w:sz="4" w:space="0"/>
              <w:left w:val="single" w:color="auto" w:sz="4" w:space="0"/>
              <w:bottom w:val="single" w:color="auto" w:sz="4" w:space="0"/>
              <w:right w:val="single" w:color="auto" w:sz="4" w:space="0"/>
            </w:tcBorders>
          </w:tcPr>
          <w:p w14:paraId="0D7AB60B">
            <w:pPr>
              <w:snapToGrid w:val="0"/>
              <w:spacing w:before="120" w:beforeLines="50"/>
              <w:rPr>
                <w:rFonts w:ascii="宋体" w:hAnsi="宋体"/>
                <w:color w:val="auto"/>
                <w:sz w:val="24"/>
                <w:highlight w:val="none"/>
                <w:u w:val="single"/>
              </w:rPr>
            </w:pPr>
          </w:p>
        </w:tc>
        <w:tc>
          <w:tcPr>
            <w:tcW w:w="1760" w:type="dxa"/>
            <w:tcBorders>
              <w:top w:val="single" w:color="auto" w:sz="4" w:space="0"/>
              <w:left w:val="single" w:color="auto" w:sz="4" w:space="0"/>
              <w:bottom w:val="single" w:color="auto" w:sz="4" w:space="0"/>
              <w:right w:val="single" w:color="auto" w:sz="4" w:space="0"/>
            </w:tcBorders>
          </w:tcPr>
          <w:p w14:paraId="29C8BE46">
            <w:pPr>
              <w:snapToGrid w:val="0"/>
              <w:spacing w:before="120" w:beforeLines="5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09071FA7">
            <w:pPr>
              <w:snapToGrid w:val="0"/>
              <w:spacing w:before="120" w:beforeLines="50"/>
              <w:ind w:left="43"/>
              <w:jc w:val="center"/>
              <w:rPr>
                <w:rFonts w:ascii="宋体" w:hAnsi="宋体"/>
                <w:color w:val="auto"/>
                <w:sz w:val="24"/>
                <w:highlight w:val="none"/>
              </w:rPr>
            </w:pPr>
          </w:p>
        </w:tc>
      </w:tr>
      <w:tr w14:paraId="07CD22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66464879">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w:t>
            </w:r>
          </w:p>
        </w:tc>
        <w:tc>
          <w:tcPr>
            <w:tcW w:w="3336" w:type="dxa"/>
            <w:tcBorders>
              <w:top w:val="single" w:color="auto" w:sz="4" w:space="0"/>
              <w:left w:val="single" w:color="auto" w:sz="4" w:space="0"/>
              <w:bottom w:val="single" w:color="auto" w:sz="4" w:space="0"/>
              <w:right w:val="single" w:color="auto" w:sz="4" w:space="0"/>
            </w:tcBorders>
          </w:tcPr>
          <w:p w14:paraId="7834B949">
            <w:pPr>
              <w:snapToGrid w:val="0"/>
              <w:spacing w:before="120" w:beforeLines="50"/>
              <w:jc w:val="center"/>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59F98263">
            <w:pPr>
              <w:snapToGrid w:val="0"/>
              <w:spacing w:before="120" w:beforeLines="5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1A9EC461">
            <w:pPr>
              <w:snapToGrid w:val="0"/>
              <w:spacing w:before="120" w:beforeLines="50"/>
              <w:jc w:val="center"/>
              <w:rPr>
                <w:rFonts w:ascii="宋体" w:hAnsi="宋体"/>
                <w:color w:val="auto"/>
                <w:sz w:val="24"/>
                <w:highlight w:val="none"/>
              </w:rPr>
            </w:pPr>
          </w:p>
        </w:tc>
      </w:tr>
    </w:tbl>
    <w:p w14:paraId="0E836F4B">
      <w:pPr>
        <w:pStyle w:val="16"/>
        <w:rPr>
          <w:rFonts w:ascii="宋体" w:hAnsi="宋体"/>
          <w:color w:val="auto"/>
          <w:highlight w:val="none"/>
        </w:rPr>
      </w:pPr>
      <w:r>
        <w:rPr>
          <w:rFonts w:hint="eastAsia" w:ascii="宋体" w:hAnsi="宋体"/>
          <w:color w:val="auto"/>
          <w:highlight w:val="none"/>
        </w:rPr>
        <w:t>注：</w:t>
      </w:r>
    </w:p>
    <w:p w14:paraId="22AFCDED">
      <w:pPr>
        <w:pStyle w:val="18"/>
        <w:spacing w:line="520" w:lineRule="exact"/>
        <w:ind w:firstLine="0" w:firstLineChars="0"/>
        <w:rPr>
          <w:rFonts w:hAnsi="仿宋_GB2312" w:cs="仿宋_GB2312"/>
          <w:color w:val="auto"/>
          <w:szCs w:val="32"/>
          <w:highlight w:val="none"/>
        </w:rPr>
      </w:pPr>
      <w:r>
        <w:rPr>
          <w:rFonts w:hint="eastAsia" w:ascii="宋体" w:hAnsi="宋体" w:eastAsia="宋体"/>
          <w:color w:val="auto"/>
          <w:sz w:val="24"/>
          <w:szCs w:val="24"/>
          <w:highlight w:val="none"/>
        </w:rPr>
        <w:t>1.</w:t>
      </w:r>
      <w:r>
        <w:rPr>
          <w:rFonts w:hint="eastAsia"/>
          <w:color w:val="auto"/>
          <w:highlight w:val="none"/>
        </w:rPr>
        <w:t xml:space="preserve"> </w:t>
      </w:r>
      <w:r>
        <w:rPr>
          <w:rFonts w:hint="eastAsia" w:ascii="宋体" w:hAnsi="宋体" w:eastAsia="宋体"/>
          <w:color w:val="auto"/>
          <w:sz w:val="24"/>
          <w:szCs w:val="24"/>
          <w:highlight w:val="none"/>
        </w:rPr>
        <w:t>说明：应对照招标文件“第二章 采购需求”中的商务要求逐条作明确的投标响应，并作出偏离说明。</w:t>
      </w:r>
    </w:p>
    <w:p w14:paraId="0B507BBB">
      <w:pPr>
        <w:pStyle w:val="16"/>
        <w:rPr>
          <w:rFonts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281EA29B">
      <w:pPr>
        <w:snapToGrid w:val="0"/>
        <w:spacing w:before="50" w:after="50"/>
        <w:rPr>
          <w:rFonts w:ascii="宋体" w:hAnsi="宋体"/>
          <w:color w:val="auto"/>
          <w:sz w:val="24"/>
          <w:highlight w:val="none"/>
        </w:rPr>
      </w:pPr>
    </w:p>
    <w:p w14:paraId="6719A1E9">
      <w:pPr>
        <w:snapToGrid w:val="0"/>
        <w:spacing w:before="50" w:after="50"/>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7ADC3CB7">
      <w:pPr>
        <w:snapToGrid w:val="0"/>
        <w:spacing w:before="120" w:beforeLines="50"/>
        <w:rPr>
          <w:rFonts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79D2D31D">
      <w:pPr>
        <w:snapToGrid w:val="0"/>
        <w:spacing w:before="120" w:beforeLines="50"/>
        <w:rPr>
          <w:rFonts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68FEABBD">
      <w:pPr>
        <w:snapToGrid w:val="0"/>
        <w:spacing w:before="120" w:beforeLines="50"/>
        <w:rPr>
          <w:rFonts w:ascii="宋体" w:hAnsi="宋体"/>
          <w:color w:val="auto"/>
          <w:sz w:val="24"/>
          <w:szCs w:val="20"/>
          <w:highlight w:val="none"/>
        </w:rPr>
      </w:pPr>
    </w:p>
    <w:p w14:paraId="40431A15">
      <w:pPr>
        <w:snapToGrid w:val="0"/>
        <w:spacing w:before="120" w:beforeLines="50" w:after="50"/>
        <w:jc w:val="left"/>
        <w:rPr>
          <w:rFonts w:ascii="宋体" w:hAnsi="宋体"/>
          <w:color w:val="auto"/>
          <w:sz w:val="24"/>
          <w:szCs w:val="20"/>
          <w:highlight w:val="none"/>
        </w:rPr>
      </w:pPr>
    </w:p>
    <w:p w14:paraId="7B6E5F3D">
      <w:pPr>
        <w:snapToGrid w:val="0"/>
        <w:spacing w:before="120" w:beforeLines="50" w:after="50"/>
        <w:jc w:val="left"/>
        <w:rPr>
          <w:rFonts w:ascii="宋体" w:hAnsi="宋体"/>
          <w:b/>
          <w:color w:val="auto"/>
          <w:sz w:val="24"/>
          <w:highlight w:val="none"/>
        </w:rPr>
      </w:pPr>
      <w:r>
        <w:rPr>
          <w:rFonts w:ascii="宋体" w:hAnsi="宋体"/>
          <w:color w:val="auto"/>
          <w:sz w:val="24"/>
          <w:szCs w:val="20"/>
          <w:highlight w:val="none"/>
        </w:rPr>
        <w:br w:type="page"/>
      </w:r>
      <w:r>
        <w:rPr>
          <w:rFonts w:hint="eastAsia" w:ascii="宋体" w:hAnsi="宋体"/>
          <w:b/>
          <w:color w:val="auto"/>
          <w:sz w:val="24"/>
          <w:highlight w:val="none"/>
        </w:rPr>
        <w:t>7.投标人业绩证明材料</w:t>
      </w:r>
    </w:p>
    <w:p w14:paraId="687B7CF3">
      <w:pPr>
        <w:pStyle w:val="35"/>
        <w:snapToGrid w:val="0"/>
        <w:ind w:left="480" w:hanging="480"/>
        <w:rPr>
          <w:rFonts w:ascii="宋体" w:hAnsi="宋体"/>
          <w:color w:val="auto"/>
          <w:sz w:val="24"/>
          <w:highlight w:val="none"/>
        </w:rPr>
      </w:pPr>
    </w:p>
    <w:p w14:paraId="6EA2E610">
      <w:pPr>
        <w:pStyle w:val="35"/>
        <w:snapToGrid w:val="0"/>
        <w:ind w:left="480" w:hanging="480"/>
        <w:rPr>
          <w:rFonts w:ascii="宋体" w:hAnsi="宋体"/>
          <w:color w:val="auto"/>
          <w:sz w:val="24"/>
          <w:highlight w:val="none"/>
        </w:rPr>
      </w:pPr>
      <w:r>
        <w:rPr>
          <w:rFonts w:hint="eastAsia" w:ascii="宋体" w:hAnsi="宋体"/>
          <w:color w:val="auto"/>
          <w:sz w:val="24"/>
          <w:highlight w:val="none"/>
        </w:rPr>
        <w:t xml:space="preserve">投标人业绩情况一览表格式： </w:t>
      </w:r>
    </w:p>
    <w:tbl>
      <w:tblPr>
        <w:tblStyle w:val="49"/>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1770"/>
        <w:gridCol w:w="1770"/>
        <w:gridCol w:w="2856"/>
      </w:tblGrid>
      <w:tr w14:paraId="037712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132" w:type="dxa"/>
            <w:vMerge w:val="restart"/>
            <w:tcBorders>
              <w:top w:val="single" w:color="auto" w:sz="4" w:space="0"/>
              <w:left w:val="single" w:color="auto" w:sz="4" w:space="0"/>
              <w:bottom w:val="single" w:color="auto" w:sz="4" w:space="0"/>
              <w:right w:val="single" w:color="auto" w:sz="4" w:space="0"/>
            </w:tcBorders>
            <w:vAlign w:val="center"/>
          </w:tcPr>
          <w:p w14:paraId="538F111A">
            <w:pPr>
              <w:snapToGrid w:val="0"/>
              <w:spacing w:line="240" w:lineRule="exact"/>
              <w:jc w:val="center"/>
              <w:rPr>
                <w:rFonts w:ascii="宋体" w:hAnsi="宋体"/>
                <w:color w:val="auto"/>
                <w:sz w:val="24"/>
                <w:highlight w:val="none"/>
              </w:rPr>
            </w:pPr>
            <w:r>
              <w:rPr>
                <w:rFonts w:hint="eastAsia" w:ascii="宋体" w:hAnsi="宋体"/>
                <w:color w:val="auto"/>
                <w:sz w:val="24"/>
                <w:highlight w:val="none"/>
              </w:rPr>
              <w:t>采购人名称</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14:paraId="25CBA66E">
            <w:pPr>
              <w:snapToGrid w:val="0"/>
              <w:spacing w:line="240" w:lineRule="exact"/>
              <w:jc w:val="center"/>
              <w:rPr>
                <w:rFonts w:ascii="宋体" w:hAnsi="宋体"/>
                <w:color w:val="auto"/>
                <w:sz w:val="24"/>
                <w:highlight w:val="none"/>
              </w:rPr>
            </w:pPr>
            <w:r>
              <w:rPr>
                <w:rFonts w:hint="eastAsia" w:ascii="宋体" w:hAnsi="宋体"/>
                <w:color w:val="auto"/>
                <w:sz w:val="24"/>
                <w:highlight w:val="none"/>
              </w:rPr>
              <w:t>项目名称</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14:paraId="1659A975">
            <w:pPr>
              <w:snapToGrid w:val="0"/>
              <w:spacing w:line="240" w:lineRule="exact"/>
              <w:jc w:val="center"/>
              <w:rPr>
                <w:rFonts w:ascii="宋体" w:hAnsi="宋体"/>
                <w:color w:val="auto"/>
                <w:sz w:val="24"/>
                <w:highlight w:val="none"/>
              </w:rPr>
            </w:pPr>
            <w:r>
              <w:rPr>
                <w:rFonts w:hint="eastAsia" w:ascii="宋体" w:hAnsi="宋体"/>
                <w:color w:val="auto"/>
                <w:sz w:val="24"/>
                <w:highlight w:val="none"/>
              </w:rPr>
              <w:t>合同金额</w:t>
            </w:r>
          </w:p>
          <w:p w14:paraId="0B21EE4F">
            <w:pPr>
              <w:snapToGrid w:val="0"/>
              <w:spacing w:line="240" w:lineRule="exact"/>
              <w:jc w:val="center"/>
              <w:rPr>
                <w:rFonts w:ascii="宋体" w:hAnsi="宋体"/>
                <w:color w:val="auto"/>
                <w:sz w:val="24"/>
                <w:highlight w:val="none"/>
              </w:rPr>
            </w:pPr>
            <w:r>
              <w:rPr>
                <w:rFonts w:hint="eastAsia" w:ascii="宋体" w:hAnsi="宋体"/>
                <w:color w:val="auto"/>
                <w:sz w:val="24"/>
                <w:highlight w:val="none"/>
              </w:rPr>
              <w:t>（万元）</w:t>
            </w:r>
          </w:p>
        </w:tc>
        <w:tc>
          <w:tcPr>
            <w:tcW w:w="2856" w:type="dxa"/>
            <w:vMerge w:val="restart"/>
            <w:tcBorders>
              <w:top w:val="single" w:color="auto" w:sz="4" w:space="0"/>
              <w:left w:val="single" w:color="auto" w:sz="4" w:space="0"/>
              <w:bottom w:val="single" w:color="auto" w:sz="4" w:space="0"/>
              <w:right w:val="single" w:color="auto" w:sz="4" w:space="0"/>
            </w:tcBorders>
            <w:vAlign w:val="center"/>
          </w:tcPr>
          <w:p w14:paraId="0A5982C8">
            <w:pPr>
              <w:snapToGrid w:val="0"/>
              <w:spacing w:line="240" w:lineRule="exact"/>
              <w:jc w:val="center"/>
              <w:rPr>
                <w:rFonts w:ascii="宋体" w:hAnsi="宋体"/>
                <w:color w:val="auto"/>
                <w:sz w:val="24"/>
                <w:highlight w:val="none"/>
              </w:rPr>
            </w:pPr>
            <w:r>
              <w:rPr>
                <w:rFonts w:hint="eastAsia" w:ascii="宋体" w:hAnsi="宋体"/>
                <w:color w:val="auto"/>
                <w:sz w:val="24"/>
                <w:highlight w:val="none"/>
              </w:rPr>
              <w:t>采购人联系人及</w:t>
            </w:r>
          </w:p>
          <w:p w14:paraId="36207E95">
            <w:pPr>
              <w:snapToGrid w:val="0"/>
              <w:spacing w:line="240" w:lineRule="exact"/>
              <w:jc w:val="center"/>
              <w:rPr>
                <w:rFonts w:ascii="宋体" w:hAnsi="宋体"/>
                <w:color w:val="auto"/>
                <w:sz w:val="24"/>
                <w:highlight w:val="none"/>
              </w:rPr>
            </w:pPr>
            <w:r>
              <w:rPr>
                <w:rFonts w:hint="eastAsia" w:ascii="宋体" w:hAnsi="宋体"/>
                <w:color w:val="auto"/>
                <w:sz w:val="24"/>
                <w:highlight w:val="none"/>
              </w:rPr>
              <w:t>联系电话</w:t>
            </w:r>
          </w:p>
        </w:tc>
      </w:tr>
      <w:tr w14:paraId="169386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132" w:type="dxa"/>
            <w:vMerge w:val="continue"/>
            <w:tcBorders>
              <w:top w:val="single" w:color="auto" w:sz="4" w:space="0"/>
              <w:left w:val="single" w:color="auto" w:sz="4" w:space="0"/>
              <w:bottom w:val="single" w:color="auto" w:sz="4" w:space="0"/>
              <w:right w:val="single" w:color="auto" w:sz="4" w:space="0"/>
            </w:tcBorders>
            <w:vAlign w:val="center"/>
          </w:tcPr>
          <w:p w14:paraId="2DF763D4">
            <w:pPr>
              <w:jc w:val="left"/>
              <w:rPr>
                <w:rFonts w:ascii="宋体" w:hAnsi="宋体"/>
                <w:color w:val="auto"/>
                <w:sz w:val="24"/>
                <w:highlight w:val="none"/>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7408D750">
            <w:pPr>
              <w:jc w:val="left"/>
              <w:rPr>
                <w:rFonts w:ascii="宋体" w:hAnsi="宋体"/>
                <w:color w:val="auto"/>
                <w:sz w:val="24"/>
                <w:highlight w:val="none"/>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5B7EBC42">
            <w:pPr>
              <w:jc w:val="left"/>
              <w:rPr>
                <w:rFonts w:ascii="宋体" w:hAnsi="宋体"/>
                <w:color w:val="auto"/>
                <w:sz w:val="24"/>
                <w:highlight w:val="none"/>
              </w:rPr>
            </w:pPr>
          </w:p>
        </w:tc>
        <w:tc>
          <w:tcPr>
            <w:tcW w:w="2856" w:type="dxa"/>
            <w:vMerge w:val="continue"/>
            <w:tcBorders>
              <w:top w:val="single" w:color="auto" w:sz="4" w:space="0"/>
              <w:left w:val="single" w:color="auto" w:sz="4" w:space="0"/>
              <w:bottom w:val="single" w:color="auto" w:sz="4" w:space="0"/>
              <w:right w:val="single" w:color="auto" w:sz="4" w:space="0"/>
            </w:tcBorders>
            <w:vAlign w:val="center"/>
          </w:tcPr>
          <w:p w14:paraId="74A1AAE8">
            <w:pPr>
              <w:jc w:val="left"/>
              <w:rPr>
                <w:rFonts w:ascii="宋体" w:hAnsi="宋体"/>
                <w:color w:val="auto"/>
                <w:sz w:val="24"/>
                <w:highlight w:val="none"/>
              </w:rPr>
            </w:pPr>
          </w:p>
        </w:tc>
      </w:tr>
      <w:tr w14:paraId="61386A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132" w:type="dxa"/>
            <w:tcBorders>
              <w:top w:val="single" w:color="auto" w:sz="4" w:space="0"/>
              <w:left w:val="single" w:color="auto" w:sz="4" w:space="0"/>
              <w:bottom w:val="single" w:color="auto" w:sz="4" w:space="0"/>
              <w:right w:val="single" w:color="auto" w:sz="4" w:space="0"/>
            </w:tcBorders>
          </w:tcPr>
          <w:p w14:paraId="206755A4">
            <w:pPr>
              <w:snapToGrid w:val="0"/>
              <w:spacing w:line="240" w:lineRule="exact"/>
              <w:jc w:val="left"/>
              <w:rPr>
                <w:rFonts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4F986C23">
            <w:pPr>
              <w:snapToGrid w:val="0"/>
              <w:spacing w:line="240" w:lineRule="exact"/>
              <w:jc w:val="left"/>
              <w:rPr>
                <w:rFonts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2FCE4DB3">
            <w:pPr>
              <w:snapToGrid w:val="0"/>
              <w:spacing w:line="240" w:lineRule="exact"/>
              <w:jc w:val="left"/>
              <w:rPr>
                <w:rFonts w:ascii="宋体" w:hAnsi="宋体"/>
                <w:color w:val="auto"/>
                <w:sz w:val="24"/>
                <w:highlight w:val="none"/>
              </w:rPr>
            </w:pPr>
          </w:p>
        </w:tc>
        <w:tc>
          <w:tcPr>
            <w:tcW w:w="2856" w:type="dxa"/>
            <w:tcBorders>
              <w:top w:val="single" w:color="auto" w:sz="4" w:space="0"/>
              <w:left w:val="single" w:color="auto" w:sz="4" w:space="0"/>
              <w:bottom w:val="single" w:color="auto" w:sz="4" w:space="0"/>
              <w:right w:val="single" w:color="auto" w:sz="4" w:space="0"/>
            </w:tcBorders>
          </w:tcPr>
          <w:p w14:paraId="55F711D4">
            <w:pPr>
              <w:snapToGrid w:val="0"/>
              <w:spacing w:line="240" w:lineRule="exact"/>
              <w:jc w:val="left"/>
              <w:rPr>
                <w:rFonts w:ascii="宋体" w:hAnsi="宋体"/>
                <w:color w:val="auto"/>
                <w:sz w:val="24"/>
                <w:highlight w:val="none"/>
              </w:rPr>
            </w:pPr>
          </w:p>
        </w:tc>
      </w:tr>
      <w:tr w14:paraId="1727DB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2" w:type="dxa"/>
            <w:tcBorders>
              <w:top w:val="single" w:color="auto" w:sz="4" w:space="0"/>
              <w:left w:val="single" w:color="auto" w:sz="4" w:space="0"/>
              <w:bottom w:val="single" w:color="auto" w:sz="4" w:space="0"/>
              <w:right w:val="single" w:color="auto" w:sz="4" w:space="0"/>
            </w:tcBorders>
          </w:tcPr>
          <w:p w14:paraId="326FF0AE">
            <w:pPr>
              <w:snapToGrid w:val="0"/>
              <w:spacing w:before="50" w:after="120" w:afterLines="50" w:line="400" w:lineRule="exact"/>
              <w:jc w:val="left"/>
              <w:rPr>
                <w:rFonts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1E6EDBFA">
            <w:pPr>
              <w:snapToGrid w:val="0"/>
              <w:spacing w:before="50" w:after="120" w:afterLines="50" w:line="400" w:lineRule="exact"/>
              <w:jc w:val="left"/>
              <w:rPr>
                <w:rFonts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4BE86341">
            <w:pPr>
              <w:snapToGrid w:val="0"/>
              <w:spacing w:before="50" w:after="120" w:afterLines="50" w:line="400" w:lineRule="exact"/>
              <w:jc w:val="left"/>
              <w:rPr>
                <w:rFonts w:ascii="宋体" w:hAnsi="宋体"/>
                <w:color w:val="auto"/>
                <w:sz w:val="24"/>
                <w:highlight w:val="none"/>
              </w:rPr>
            </w:pPr>
          </w:p>
        </w:tc>
        <w:tc>
          <w:tcPr>
            <w:tcW w:w="2856" w:type="dxa"/>
            <w:tcBorders>
              <w:top w:val="single" w:color="auto" w:sz="4" w:space="0"/>
              <w:left w:val="single" w:color="auto" w:sz="4" w:space="0"/>
              <w:bottom w:val="single" w:color="auto" w:sz="4" w:space="0"/>
              <w:right w:val="single" w:color="auto" w:sz="4" w:space="0"/>
            </w:tcBorders>
          </w:tcPr>
          <w:p w14:paraId="12A718D3">
            <w:pPr>
              <w:snapToGrid w:val="0"/>
              <w:spacing w:before="50" w:after="120" w:afterLines="50" w:line="400" w:lineRule="exact"/>
              <w:jc w:val="left"/>
              <w:rPr>
                <w:rFonts w:ascii="宋体" w:hAnsi="宋体"/>
                <w:color w:val="auto"/>
                <w:sz w:val="24"/>
                <w:highlight w:val="none"/>
              </w:rPr>
            </w:pPr>
          </w:p>
        </w:tc>
      </w:tr>
      <w:tr w14:paraId="5CFA3F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132" w:type="dxa"/>
            <w:tcBorders>
              <w:top w:val="single" w:color="auto" w:sz="4" w:space="0"/>
              <w:left w:val="single" w:color="auto" w:sz="4" w:space="0"/>
              <w:bottom w:val="single" w:color="auto" w:sz="4" w:space="0"/>
              <w:right w:val="single" w:color="auto" w:sz="4" w:space="0"/>
            </w:tcBorders>
          </w:tcPr>
          <w:p w14:paraId="61722F0D">
            <w:pPr>
              <w:snapToGrid w:val="0"/>
              <w:spacing w:before="50" w:after="120" w:afterLines="50" w:line="400" w:lineRule="exact"/>
              <w:jc w:val="left"/>
              <w:rPr>
                <w:rFonts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0B2FC32C">
            <w:pPr>
              <w:snapToGrid w:val="0"/>
              <w:spacing w:before="50" w:after="120" w:afterLines="50" w:line="400" w:lineRule="exact"/>
              <w:jc w:val="left"/>
              <w:rPr>
                <w:rFonts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0373E778">
            <w:pPr>
              <w:snapToGrid w:val="0"/>
              <w:spacing w:before="50" w:after="120" w:afterLines="50" w:line="400" w:lineRule="exact"/>
              <w:jc w:val="left"/>
              <w:rPr>
                <w:rFonts w:ascii="宋体" w:hAnsi="宋体"/>
                <w:color w:val="auto"/>
                <w:sz w:val="24"/>
                <w:highlight w:val="none"/>
              </w:rPr>
            </w:pPr>
          </w:p>
        </w:tc>
        <w:tc>
          <w:tcPr>
            <w:tcW w:w="2856" w:type="dxa"/>
            <w:tcBorders>
              <w:top w:val="single" w:color="auto" w:sz="4" w:space="0"/>
              <w:left w:val="single" w:color="auto" w:sz="4" w:space="0"/>
              <w:bottom w:val="single" w:color="auto" w:sz="4" w:space="0"/>
              <w:right w:val="single" w:color="auto" w:sz="4" w:space="0"/>
            </w:tcBorders>
          </w:tcPr>
          <w:p w14:paraId="7BC672AD">
            <w:pPr>
              <w:snapToGrid w:val="0"/>
              <w:spacing w:before="50" w:after="120" w:afterLines="50" w:line="400" w:lineRule="exact"/>
              <w:jc w:val="left"/>
              <w:rPr>
                <w:rFonts w:ascii="宋体" w:hAnsi="宋体"/>
                <w:color w:val="auto"/>
                <w:sz w:val="24"/>
                <w:highlight w:val="none"/>
              </w:rPr>
            </w:pPr>
          </w:p>
        </w:tc>
      </w:tr>
      <w:tr w14:paraId="4602A1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2" w:type="dxa"/>
            <w:tcBorders>
              <w:top w:val="single" w:color="auto" w:sz="4" w:space="0"/>
              <w:left w:val="single" w:color="auto" w:sz="4" w:space="0"/>
              <w:bottom w:val="single" w:color="auto" w:sz="4" w:space="0"/>
              <w:right w:val="single" w:color="auto" w:sz="4" w:space="0"/>
            </w:tcBorders>
          </w:tcPr>
          <w:p w14:paraId="47BA2306">
            <w:pPr>
              <w:snapToGrid w:val="0"/>
              <w:spacing w:before="50" w:after="120" w:afterLines="50" w:line="400" w:lineRule="exact"/>
              <w:jc w:val="left"/>
              <w:rPr>
                <w:rFonts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3E9BBA94">
            <w:pPr>
              <w:snapToGrid w:val="0"/>
              <w:spacing w:before="50" w:after="120" w:afterLines="50" w:line="400" w:lineRule="exact"/>
              <w:jc w:val="left"/>
              <w:rPr>
                <w:rFonts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4998A0EF">
            <w:pPr>
              <w:snapToGrid w:val="0"/>
              <w:spacing w:before="50" w:after="120" w:afterLines="50" w:line="400" w:lineRule="exact"/>
              <w:jc w:val="left"/>
              <w:rPr>
                <w:rFonts w:ascii="宋体" w:hAnsi="宋体"/>
                <w:color w:val="auto"/>
                <w:sz w:val="24"/>
                <w:highlight w:val="none"/>
              </w:rPr>
            </w:pPr>
          </w:p>
        </w:tc>
        <w:tc>
          <w:tcPr>
            <w:tcW w:w="2856" w:type="dxa"/>
            <w:tcBorders>
              <w:top w:val="single" w:color="auto" w:sz="4" w:space="0"/>
              <w:left w:val="single" w:color="auto" w:sz="4" w:space="0"/>
              <w:bottom w:val="single" w:color="auto" w:sz="4" w:space="0"/>
              <w:right w:val="single" w:color="auto" w:sz="4" w:space="0"/>
            </w:tcBorders>
          </w:tcPr>
          <w:p w14:paraId="6BF4222C">
            <w:pPr>
              <w:snapToGrid w:val="0"/>
              <w:spacing w:before="50" w:after="120" w:afterLines="50" w:line="400" w:lineRule="exact"/>
              <w:jc w:val="left"/>
              <w:rPr>
                <w:rFonts w:ascii="宋体" w:hAnsi="宋体"/>
                <w:color w:val="auto"/>
                <w:sz w:val="24"/>
                <w:highlight w:val="none"/>
              </w:rPr>
            </w:pPr>
          </w:p>
        </w:tc>
      </w:tr>
      <w:tr w14:paraId="3D87EA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2" w:type="dxa"/>
            <w:tcBorders>
              <w:top w:val="single" w:color="auto" w:sz="4" w:space="0"/>
              <w:left w:val="single" w:color="auto" w:sz="4" w:space="0"/>
              <w:bottom w:val="single" w:color="auto" w:sz="4" w:space="0"/>
              <w:right w:val="single" w:color="auto" w:sz="4" w:space="0"/>
            </w:tcBorders>
          </w:tcPr>
          <w:p w14:paraId="2DF3A751">
            <w:pPr>
              <w:snapToGrid w:val="0"/>
              <w:spacing w:before="50" w:after="120" w:afterLines="50" w:line="400" w:lineRule="exact"/>
              <w:jc w:val="left"/>
              <w:rPr>
                <w:rFonts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3AE19D3E">
            <w:pPr>
              <w:snapToGrid w:val="0"/>
              <w:spacing w:before="50" w:after="120" w:afterLines="50" w:line="400" w:lineRule="exact"/>
              <w:jc w:val="left"/>
              <w:rPr>
                <w:rFonts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1BC18CF4">
            <w:pPr>
              <w:snapToGrid w:val="0"/>
              <w:spacing w:before="50" w:after="120" w:afterLines="50" w:line="400" w:lineRule="exact"/>
              <w:jc w:val="left"/>
              <w:rPr>
                <w:rFonts w:ascii="宋体" w:hAnsi="宋体"/>
                <w:color w:val="auto"/>
                <w:sz w:val="24"/>
                <w:highlight w:val="none"/>
              </w:rPr>
            </w:pPr>
          </w:p>
        </w:tc>
        <w:tc>
          <w:tcPr>
            <w:tcW w:w="2856" w:type="dxa"/>
            <w:tcBorders>
              <w:top w:val="single" w:color="auto" w:sz="4" w:space="0"/>
              <w:left w:val="single" w:color="auto" w:sz="4" w:space="0"/>
              <w:bottom w:val="single" w:color="auto" w:sz="4" w:space="0"/>
              <w:right w:val="single" w:color="auto" w:sz="4" w:space="0"/>
            </w:tcBorders>
          </w:tcPr>
          <w:p w14:paraId="52FDF476">
            <w:pPr>
              <w:snapToGrid w:val="0"/>
              <w:spacing w:before="50" w:after="120" w:afterLines="50" w:line="400" w:lineRule="exact"/>
              <w:jc w:val="left"/>
              <w:rPr>
                <w:rFonts w:ascii="宋体" w:hAnsi="宋体"/>
                <w:color w:val="auto"/>
                <w:sz w:val="24"/>
                <w:highlight w:val="none"/>
              </w:rPr>
            </w:pPr>
          </w:p>
        </w:tc>
      </w:tr>
    </w:tbl>
    <w:p w14:paraId="5A1151CC">
      <w:pPr>
        <w:pStyle w:val="13"/>
        <w:spacing w:before="0" w:after="0" w:line="360" w:lineRule="auto"/>
        <w:contextualSpacing/>
        <w:rPr>
          <w:rFonts w:ascii="宋体" w:hAnsi="宋体" w:eastAsia="宋体"/>
          <w:color w:val="auto"/>
          <w:sz w:val="24"/>
          <w:szCs w:val="24"/>
          <w:highlight w:val="none"/>
        </w:rPr>
      </w:pPr>
    </w:p>
    <w:p w14:paraId="5F1BBE6B">
      <w:pPr>
        <w:pStyle w:val="13"/>
        <w:spacing w:before="0" w:after="0" w:line="360" w:lineRule="auto"/>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color w:val="auto"/>
          <w:sz w:val="24"/>
          <w:highlight w:val="none"/>
        </w:rPr>
        <w:t>投标人根据评标标准具体要求附业绩证明材料。</w:t>
      </w:r>
    </w:p>
    <w:p w14:paraId="08ED57A9">
      <w:pPr>
        <w:pStyle w:val="13"/>
        <w:spacing w:before="0" w:after="0" w:line="360" w:lineRule="auto"/>
        <w:contextualSpacing/>
        <w:jc w:val="left"/>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法定代表人或者委托代理人（签字或者电子签名）：</w:t>
      </w:r>
      <w:r>
        <w:rPr>
          <w:rFonts w:hint="eastAsia" w:ascii="宋体" w:hAnsi="宋体" w:eastAsia="宋体"/>
          <w:color w:val="auto"/>
          <w:sz w:val="24"/>
          <w:szCs w:val="24"/>
          <w:highlight w:val="none"/>
          <w:u w:val="single"/>
        </w:rPr>
        <w:t>　　　　　</w:t>
      </w:r>
    </w:p>
    <w:p w14:paraId="68587FA2">
      <w:pPr>
        <w:spacing w:line="360" w:lineRule="auto"/>
        <w:ind w:right="480"/>
        <w:contextualSpacing/>
        <w:jc w:val="left"/>
        <w:rPr>
          <w:rFonts w:ascii="宋体" w:hAnsi="宋体"/>
          <w:color w:val="auto"/>
          <w:sz w:val="24"/>
          <w:szCs w:val="20"/>
          <w:highlight w:val="none"/>
        </w:rPr>
      </w:pPr>
      <w:r>
        <w:rPr>
          <w:rFonts w:hint="eastAsia" w:ascii="宋体" w:hAnsi="宋体" w:cs="Arial"/>
          <w:color w:val="auto"/>
          <w:sz w:val="24"/>
          <w:highlight w:val="none"/>
        </w:rPr>
        <w:t xml:space="preserve">投标人名称（电子签章）：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月    日</w:t>
      </w:r>
    </w:p>
    <w:p w14:paraId="670B2337">
      <w:pPr>
        <w:snapToGrid w:val="0"/>
        <w:spacing w:before="50"/>
        <w:ind w:firstLine="480" w:firstLineChars="200"/>
        <w:jc w:val="left"/>
        <w:rPr>
          <w:rFonts w:ascii="宋体" w:hAnsi="宋体"/>
          <w:color w:val="auto"/>
          <w:sz w:val="24"/>
          <w:szCs w:val="20"/>
          <w:highlight w:val="none"/>
        </w:rPr>
      </w:pPr>
    </w:p>
    <w:p w14:paraId="2AAC8AA8">
      <w:pPr>
        <w:snapToGrid w:val="0"/>
        <w:spacing w:line="360" w:lineRule="auto"/>
        <w:ind w:right="480" w:firstLine="240" w:firstLineChars="100"/>
        <w:jc w:val="left"/>
        <w:rPr>
          <w:rFonts w:ascii="宋体" w:hAnsi="宋体"/>
          <w:color w:val="auto"/>
          <w:szCs w:val="21"/>
          <w:highlight w:val="none"/>
        </w:rPr>
      </w:pPr>
      <w:r>
        <w:rPr>
          <w:rFonts w:ascii="宋体" w:hAnsi="宋体"/>
          <w:color w:val="auto"/>
          <w:sz w:val="24"/>
          <w:highlight w:val="none"/>
        </w:rPr>
        <w:br w:type="page"/>
      </w:r>
    </w:p>
    <w:p w14:paraId="16F514CB">
      <w:pPr>
        <w:snapToGrid w:val="0"/>
        <w:spacing w:before="120" w:beforeLines="50" w:after="50"/>
        <w:jc w:val="left"/>
        <w:rPr>
          <w:rFonts w:ascii="宋体" w:hAnsi="宋体"/>
          <w:b/>
          <w:color w:val="auto"/>
          <w:sz w:val="24"/>
          <w:highlight w:val="none"/>
        </w:rPr>
      </w:pPr>
      <w:r>
        <w:rPr>
          <w:rFonts w:hint="eastAsia" w:ascii="宋体" w:hAnsi="宋体"/>
          <w:b/>
          <w:color w:val="auto"/>
          <w:sz w:val="24"/>
          <w:highlight w:val="none"/>
        </w:rPr>
        <w:t>8 设备性能配置清单格式</w:t>
      </w:r>
    </w:p>
    <w:p w14:paraId="1269220C">
      <w:pPr>
        <w:snapToGrid w:val="0"/>
        <w:spacing w:before="120" w:beforeLines="50" w:after="50"/>
        <w:ind w:left="142"/>
        <w:jc w:val="left"/>
        <w:rPr>
          <w:rFonts w:ascii="宋体" w:hAnsi="宋体"/>
          <w:b/>
          <w:color w:val="auto"/>
          <w:sz w:val="24"/>
          <w:highlight w:val="none"/>
        </w:rPr>
      </w:pPr>
    </w:p>
    <w:p w14:paraId="04C9B75D">
      <w:pPr>
        <w:snapToGrid w:val="0"/>
        <w:spacing w:before="120" w:beforeLines="50" w:after="50"/>
        <w:ind w:left="142"/>
        <w:jc w:val="center"/>
        <w:rPr>
          <w:rFonts w:ascii="宋体" w:hAnsi="宋体"/>
          <w:b/>
          <w:color w:val="auto"/>
          <w:sz w:val="32"/>
          <w:szCs w:val="32"/>
          <w:highlight w:val="none"/>
        </w:rPr>
      </w:pPr>
      <w:r>
        <w:rPr>
          <w:rFonts w:hint="eastAsia" w:ascii="宋体" w:hAnsi="宋体"/>
          <w:b/>
          <w:color w:val="auto"/>
          <w:sz w:val="32"/>
          <w:szCs w:val="32"/>
          <w:highlight w:val="none"/>
        </w:rPr>
        <w:t>设备性能配置清单</w:t>
      </w:r>
    </w:p>
    <w:p w14:paraId="763CEF13">
      <w:pPr>
        <w:pStyle w:val="24"/>
        <w:rPr>
          <w:color w:val="auto"/>
          <w:sz w:val="24"/>
          <w:szCs w:val="24"/>
          <w:highlight w:val="none"/>
        </w:rPr>
      </w:pPr>
      <w:r>
        <w:rPr>
          <w:rFonts w:hint="eastAsia"/>
          <w:color w:val="auto"/>
          <w:sz w:val="24"/>
          <w:szCs w:val="24"/>
          <w:highlight w:val="none"/>
        </w:rPr>
        <w:t>所投分标：</w:t>
      </w:r>
      <w:r>
        <w:rPr>
          <w:rFonts w:hint="eastAsia"/>
          <w:color w:val="auto"/>
          <w:sz w:val="24"/>
          <w:szCs w:val="24"/>
          <w:highlight w:val="none"/>
          <w:u w:val="single"/>
        </w:rPr>
        <w:t xml:space="preserve">     </w:t>
      </w:r>
      <w:r>
        <w:rPr>
          <w:rFonts w:hint="eastAsia"/>
          <w:color w:val="auto"/>
          <w:sz w:val="24"/>
          <w:szCs w:val="24"/>
          <w:highlight w:val="none"/>
        </w:rPr>
        <w:t>分标</w:t>
      </w:r>
    </w:p>
    <w:tbl>
      <w:tblPr>
        <w:tblStyle w:val="49"/>
        <w:tblW w:w="85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56"/>
        <w:gridCol w:w="1736"/>
        <w:gridCol w:w="940"/>
        <w:gridCol w:w="763"/>
        <w:gridCol w:w="1316"/>
        <w:gridCol w:w="1186"/>
        <w:gridCol w:w="703"/>
        <w:gridCol w:w="1428"/>
      </w:tblGrid>
      <w:tr w14:paraId="7F63FF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14:paraId="24D84F37">
            <w:pPr>
              <w:snapToGrid w:val="0"/>
              <w:spacing w:before="50" w:after="50"/>
              <w:jc w:val="center"/>
              <w:rPr>
                <w:rFonts w:ascii="宋体" w:hAnsi="宋体"/>
                <w:color w:val="auto"/>
                <w:sz w:val="24"/>
                <w:highlight w:val="none"/>
              </w:rPr>
            </w:pPr>
            <w:r>
              <w:rPr>
                <w:rFonts w:hint="eastAsia" w:ascii="宋体" w:hAnsi="宋体"/>
                <w:color w:val="auto"/>
                <w:sz w:val="24"/>
                <w:highlight w:val="none"/>
              </w:rPr>
              <w:t>序号</w:t>
            </w:r>
          </w:p>
        </w:tc>
        <w:tc>
          <w:tcPr>
            <w:tcW w:w="1736" w:type="dxa"/>
            <w:tcBorders>
              <w:top w:val="single" w:color="auto" w:sz="4" w:space="0"/>
              <w:left w:val="single" w:color="auto" w:sz="4" w:space="0"/>
              <w:bottom w:val="single" w:color="auto" w:sz="4" w:space="0"/>
              <w:right w:val="single" w:color="auto" w:sz="4" w:space="0"/>
            </w:tcBorders>
            <w:vAlign w:val="center"/>
          </w:tcPr>
          <w:p w14:paraId="56E7FED9">
            <w:pPr>
              <w:snapToGrid w:val="0"/>
              <w:spacing w:before="50" w:after="50"/>
              <w:jc w:val="center"/>
              <w:rPr>
                <w:rFonts w:ascii="宋体" w:hAnsi="宋体"/>
                <w:color w:val="auto"/>
                <w:sz w:val="24"/>
                <w:highlight w:val="none"/>
              </w:rPr>
            </w:pPr>
            <w:r>
              <w:rPr>
                <w:rFonts w:hint="eastAsia" w:hAnsi="宋体" w:cs="Courier New"/>
                <w:color w:val="auto"/>
                <w:sz w:val="24"/>
                <w:highlight w:val="none"/>
              </w:rPr>
              <w:t>标的的名称（货物名称）</w:t>
            </w:r>
          </w:p>
        </w:tc>
        <w:tc>
          <w:tcPr>
            <w:tcW w:w="940" w:type="dxa"/>
            <w:tcBorders>
              <w:top w:val="single" w:color="auto" w:sz="4" w:space="0"/>
              <w:left w:val="single" w:color="auto" w:sz="4" w:space="0"/>
              <w:bottom w:val="single" w:color="auto" w:sz="4" w:space="0"/>
              <w:right w:val="single" w:color="auto" w:sz="4" w:space="0"/>
            </w:tcBorders>
            <w:vAlign w:val="center"/>
          </w:tcPr>
          <w:p w14:paraId="63CC6337">
            <w:pPr>
              <w:snapToGrid w:val="0"/>
              <w:spacing w:before="50" w:after="50"/>
              <w:jc w:val="center"/>
              <w:rPr>
                <w:rFonts w:ascii="宋体" w:hAnsi="宋体"/>
                <w:color w:val="auto"/>
                <w:sz w:val="24"/>
                <w:highlight w:val="none"/>
              </w:rPr>
            </w:pPr>
            <w:r>
              <w:rPr>
                <w:rFonts w:hint="eastAsia" w:ascii="宋体" w:hAnsi="宋体"/>
                <w:color w:val="auto"/>
                <w:sz w:val="24"/>
                <w:highlight w:val="none"/>
              </w:rPr>
              <w:t>数量及单位</w:t>
            </w:r>
          </w:p>
        </w:tc>
        <w:tc>
          <w:tcPr>
            <w:tcW w:w="763" w:type="dxa"/>
            <w:tcBorders>
              <w:top w:val="single" w:color="auto" w:sz="4" w:space="0"/>
              <w:left w:val="single" w:color="auto" w:sz="4" w:space="0"/>
              <w:bottom w:val="single" w:color="auto" w:sz="4" w:space="0"/>
              <w:right w:val="single" w:color="auto" w:sz="4" w:space="0"/>
            </w:tcBorders>
            <w:vAlign w:val="center"/>
          </w:tcPr>
          <w:p w14:paraId="2EC96B83">
            <w:pPr>
              <w:snapToGrid w:val="0"/>
              <w:spacing w:before="50" w:after="50"/>
              <w:jc w:val="center"/>
              <w:rPr>
                <w:rFonts w:ascii="宋体" w:hAnsi="宋体"/>
                <w:color w:val="auto"/>
                <w:sz w:val="24"/>
                <w:highlight w:val="none"/>
              </w:rPr>
            </w:pPr>
            <w:r>
              <w:rPr>
                <w:rFonts w:hint="eastAsia" w:ascii="宋体" w:hAnsi="宋体"/>
                <w:color w:val="auto"/>
                <w:sz w:val="24"/>
                <w:highlight w:val="none"/>
              </w:rPr>
              <w:t>品牌</w:t>
            </w:r>
          </w:p>
        </w:tc>
        <w:tc>
          <w:tcPr>
            <w:tcW w:w="1316" w:type="dxa"/>
            <w:tcBorders>
              <w:top w:val="single" w:color="auto" w:sz="4" w:space="0"/>
              <w:left w:val="single" w:color="auto" w:sz="4" w:space="0"/>
              <w:bottom w:val="single" w:color="auto" w:sz="4" w:space="0"/>
              <w:right w:val="single" w:color="auto" w:sz="4" w:space="0"/>
            </w:tcBorders>
          </w:tcPr>
          <w:p w14:paraId="3173A409">
            <w:pPr>
              <w:snapToGrid w:val="0"/>
              <w:spacing w:before="50" w:after="50"/>
              <w:jc w:val="center"/>
              <w:rPr>
                <w:rFonts w:ascii="宋体" w:hAnsi="宋体"/>
                <w:color w:val="auto"/>
                <w:sz w:val="24"/>
                <w:highlight w:val="none"/>
              </w:rPr>
            </w:pPr>
          </w:p>
          <w:p w14:paraId="0EB9C6BD">
            <w:pPr>
              <w:snapToGrid w:val="0"/>
              <w:spacing w:before="50" w:after="50"/>
              <w:jc w:val="center"/>
              <w:rPr>
                <w:rFonts w:ascii="宋体" w:hAnsi="宋体"/>
                <w:color w:val="auto"/>
                <w:sz w:val="24"/>
                <w:highlight w:val="none"/>
              </w:rPr>
            </w:pPr>
            <w:r>
              <w:rPr>
                <w:rFonts w:hint="eastAsia" w:ascii="宋体" w:hAnsi="宋体"/>
                <w:color w:val="auto"/>
                <w:sz w:val="24"/>
                <w:highlight w:val="none"/>
              </w:rPr>
              <w:t>规格型号</w:t>
            </w:r>
          </w:p>
        </w:tc>
        <w:tc>
          <w:tcPr>
            <w:tcW w:w="1186" w:type="dxa"/>
            <w:tcBorders>
              <w:top w:val="single" w:color="auto" w:sz="4" w:space="0"/>
              <w:left w:val="single" w:color="auto" w:sz="4" w:space="0"/>
              <w:bottom w:val="single" w:color="auto" w:sz="4" w:space="0"/>
              <w:right w:val="single" w:color="auto" w:sz="4" w:space="0"/>
            </w:tcBorders>
            <w:vAlign w:val="center"/>
          </w:tcPr>
          <w:p w14:paraId="0E99D176">
            <w:pPr>
              <w:snapToGrid w:val="0"/>
              <w:spacing w:before="50" w:after="50"/>
              <w:jc w:val="center"/>
              <w:rPr>
                <w:rFonts w:ascii="宋体" w:hAnsi="宋体"/>
                <w:color w:val="auto"/>
                <w:sz w:val="24"/>
                <w:highlight w:val="none"/>
              </w:rPr>
            </w:pPr>
            <w:r>
              <w:rPr>
                <w:rFonts w:hint="eastAsia" w:ascii="宋体" w:hAnsi="宋体"/>
                <w:color w:val="auto"/>
                <w:sz w:val="24"/>
                <w:highlight w:val="none"/>
              </w:rPr>
              <w:t>制造商</w:t>
            </w:r>
          </w:p>
        </w:tc>
        <w:tc>
          <w:tcPr>
            <w:tcW w:w="703" w:type="dxa"/>
            <w:tcBorders>
              <w:top w:val="single" w:color="auto" w:sz="4" w:space="0"/>
              <w:left w:val="single" w:color="auto" w:sz="4" w:space="0"/>
              <w:bottom w:val="single" w:color="auto" w:sz="4" w:space="0"/>
              <w:right w:val="single" w:color="auto" w:sz="4" w:space="0"/>
            </w:tcBorders>
            <w:vAlign w:val="center"/>
          </w:tcPr>
          <w:p w14:paraId="20709FC3">
            <w:pPr>
              <w:snapToGrid w:val="0"/>
              <w:spacing w:before="50" w:after="50"/>
              <w:jc w:val="center"/>
              <w:rPr>
                <w:rFonts w:ascii="宋体" w:hAnsi="宋体"/>
                <w:color w:val="auto"/>
                <w:sz w:val="24"/>
                <w:highlight w:val="none"/>
              </w:rPr>
            </w:pPr>
            <w:r>
              <w:rPr>
                <w:rFonts w:hint="eastAsia" w:ascii="宋体" w:hAnsi="宋体"/>
                <w:color w:val="auto"/>
                <w:sz w:val="24"/>
                <w:highlight w:val="none"/>
              </w:rPr>
              <w:t>原产地</w:t>
            </w:r>
          </w:p>
        </w:tc>
        <w:tc>
          <w:tcPr>
            <w:tcW w:w="1428" w:type="dxa"/>
            <w:tcBorders>
              <w:top w:val="single" w:color="auto" w:sz="4" w:space="0"/>
              <w:left w:val="single" w:color="auto" w:sz="4" w:space="0"/>
              <w:bottom w:val="single" w:color="auto" w:sz="4" w:space="0"/>
              <w:right w:val="single" w:color="auto" w:sz="4" w:space="0"/>
            </w:tcBorders>
            <w:vAlign w:val="center"/>
          </w:tcPr>
          <w:p w14:paraId="65BA2CA4">
            <w:pPr>
              <w:snapToGrid w:val="0"/>
              <w:spacing w:before="50" w:after="50"/>
              <w:jc w:val="center"/>
              <w:rPr>
                <w:rFonts w:ascii="宋体" w:hAnsi="宋体"/>
                <w:color w:val="auto"/>
                <w:sz w:val="24"/>
                <w:highlight w:val="none"/>
              </w:rPr>
            </w:pPr>
            <w:r>
              <w:rPr>
                <w:rFonts w:hint="eastAsia" w:ascii="宋体" w:hAnsi="宋体"/>
                <w:color w:val="auto"/>
                <w:sz w:val="24"/>
                <w:highlight w:val="none"/>
              </w:rPr>
              <w:t>参数性能、指标及配置</w:t>
            </w:r>
          </w:p>
        </w:tc>
      </w:tr>
      <w:tr w14:paraId="12DF01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14:paraId="2F88DC77">
            <w:pPr>
              <w:snapToGrid w:val="0"/>
              <w:spacing w:before="50" w:after="50"/>
              <w:jc w:val="center"/>
              <w:rPr>
                <w:rFonts w:ascii="宋体" w:hAnsi="宋体"/>
                <w:color w:val="auto"/>
                <w:sz w:val="24"/>
                <w:highlight w:val="none"/>
              </w:rPr>
            </w:pPr>
          </w:p>
        </w:tc>
        <w:tc>
          <w:tcPr>
            <w:tcW w:w="1736" w:type="dxa"/>
            <w:tcBorders>
              <w:top w:val="single" w:color="auto" w:sz="4" w:space="0"/>
              <w:left w:val="single" w:color="auto" w:sz="4" w:space="0"/>
              <w:bottom w:val="single" w:color="auto" w:sz="4" w:space="0"/>
              <w:right w:val="single" w:color="auto" w:sz="4" w:space="0"/>
            </w:tcBorders>
            <w:vAlign w:val="center"/>
          </w:tcPr>
          <w:p w14:paraId="4CD228AF">
            <w:pPr>
              <w:snapToGrid w:val="0"/>
              <w:spacing w:before="50" w:after="50"/>
              <w:jc w:val="center"/>
              <w:rPr>
                <w:rFonts w:ascii="宋体" w:hAnsi="宋体"/>
                <w:color w:val="auto"/>
                <w:sz w:val="24"/>
                <w:highlight w:val="none"/>
              </w:rPr>
            </w:pPr>
          </w:p>
        </w:tc>
        <w:tc>
          <w:tcPr>
            <w:tcW w:w="940" w:type="dxa"/>
            <w:tcBorders>
              <w:top w:val="single" w:color="auto" w:sz="4" w:space="0"/>
              <w:left w:val="single" w:color="auto" w:sz="4" w:space="0"/>
              <w:bottom w:val="single" w:color="auto" w:sz="4" w:space="0"/>
              <w:right w:val="single" w:color="auto" w:sz="4" w:space="0"/>
            </w:tcBorders>
            <w:vAlign w:val="center"/>
          </w:tcPr>
          <w:p w14:paraId="4B2592E4">
            <w:pPr>
              <w:snapToGrid w:val="0"/>
              <w:spacing w:before="50" w:after="50"/>
              <w:jc w:val="center"/>
              <w:rPr>
                <w:rFonts w:ascii="宋体" w:hAnsi="宋体"/>
                <w:color w:val="auto"/>
                <w:sz w:val="24"/>
                <w:highlight w:val="none"/>
              </w:rPr>
            </w:pPr>
          </w:p>
        </w:tc>
        <w:tc>
          <w:tcPr>
            <w:tcW w:w="763" w:type="dxa"/>
            <w:tcBorders>
              <w:top w:val="single" w:color="auto" w:sz="4" w:space="0"/>
              <w:left w:val="single" w:color="auto" w:sz="4" w:space="0"/>
              <w:bottom w:val="single" w:color="auto" w:sz="4" w:space="0"/>
              <w:right w:val="single" w:color="auto" w:sz="4" w:space="0"/>
            </w:tcBorders>
            <w:vAlign w:val="center"/>
          </w:tcPr>
          <w:p w14:paraId="7183BC8A">
            <w:pPr>
              <w:snapToGrid w:val="0"/>
              <w:spacing w:before="50" w:after="50"/>
              <w:jc w:val="center"/>
              <w:rPr>
                <w:rFonts w:ascii="宋体" w:hAnsi="宋体"/>
                <w:color w:val="auto"/>
                <w:sz w:val="24"/>
                <w:highlight w:val="none"/>
              </w:rPr>
            </w:pPr>
          </w:p>
        </w:tc>
        <w:tc>
          <w:tcPr>
            <w:tcW w:w="1316" w:type="dxa"/>
            <w:tcBorders>
              <w:top w:val="single" w:color="auto" w:sz="4" w:space="0"/>
              <w:left w:val="single" w:color="auto" w:sz="4" w:space="0"/>
              <w:bottom w:val="single" w:color="auto" w:sz="4" w:space="0"/>
              <w:right w:val="single" w:color="auto" w:sz="4" w:space="0"/>
            </w:tcBorders>
          </w:tcPr>
          <w:p w14:paraId="626A3DD9">
            <w:pPr>
              <w:snapToGrid w:val="0"/>
              <w:spacing w:before="50" w:after="50"/>
              <w:jc w:val="center"/>
              <w:rPr>
                <w:rFonts w:ascii="宋体" w:hAnsi="宋体"/>
                <w:color w:val="auto"/>
                <w:sz w:val="24"/>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0D7564C7">
            <w:pPr>
              <w:snapToGrid w:val="0"/>
              <w:spacing w:before="50" w:after="50"/>
              <w:jc w:val="center"/>
              <w:rPr>
                <w:rFonts w:ascii="宋体" w:hAnsi="宋体"/>
                <w:color w:val="auto"/>
                <w:sz w:val="24"/>
                <w:highlight w:val="none"/>
              </w:rPr>
            </w:pPr>
          </w:p>
        </w:tc>
        <w:tc>
          <w:tcPr>
            <w:tcW w:w="703" w:type="dxa"/>
            <w:tcBorders>
              <w:top w:val="single" w:color="auto" w:sz="4" w:space="0"/>
              <w:left w:val="single" w:color="auto" w:sz="4" w:space="0"/>
              <w:bottom w:val="single" w:color="auto" w:sz="4" w:space="0"/>
              <w:right w:val="single" w:color="auto" w:sz="4" w:space="0"/>
            </w:tcBorders>
            <w:vAlign w:val="center"/>
          </w:tcPr>
          <w:p w14:paraId="752EA462">
            <w:pPr>
              <w:snapToGrid w:val="0"/>
              <w:spacing w:before="50" w:after="50"/>
              <w:jc w:val="center"/>
              <w:rPr>
                <w:rFonts w:ascii="宋体" w:hAnsi="宋体"/>
                <w:color w:val="auto"/>
                <w:sz w:val="24"/>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14:paraId="284B2934">
            <w:pPr>
              <w:snapToGrid w:val="0"/>
              <w:spacing w:before="50" w:after="50"/>
              <w:jc w:val="center"/>
              <w:rPr>
                <w:rFonts w:ascii="宋体" w:hAnsi="宋体"/>
                <w:color w:val="auto"/>
                <w:sz w:val="24"/>
                <w:highlight w:val="none"/>
              </w:rPr>
            </w:pPr>
          </w:p>
        </w:tc>
      </w:tr>
      <w:tr w14:paraId="4A6B2E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14:paraId="19A70FEE">
            <w:pPr>
              <w:snapToGrid w:val="0"/>
              <w:spacing w:before="50" w:after="50"/>
              <w:jc w:val="center"/>
              <w:rPr>
                <w:rFonts w:ascii="宋体" w:hAnsi="宋体"/>
                <w:color w:val="auto"/>
                <w:sz w:val="24"/>
                <w:highlight w:val="none"/>
              </w:rPr>
            </w:pPr>
          </w:p>
        </w:tc>
        <w:tc>
          <w:tcPr>
            <w:tcW w:w="1736" w:type="dxa"/>
            <w:tcBorders>
              <w:top w:val="single" w:color="auto" w:sz="4" w:space="0"/>
              <w:left w:val="single" w:color="auto" w:sz="4" w:space="0"/>
              <w:bottom w:val="single" w:color="auto" w:sz="4" w:space="0"/>
              <w:right w:val="single" w:color="auto" w:sz="4" w:space="0"/>
            </w:tcBorders>
            <w:vAlign w:val="center"/>
          </w:tcPr>
          <w:p w14:paraId="4A30D725">
            <w:pPr>
              <w:snapToGrid w:val="0"/>
              <w:spacing w:before="50" w:after="50"/>
              <w:jc w:val="center"/>
              <w:rPr>
                <w:rFonts w:ascii="宋体" w:hAnsi="宋体"/>
                <w:color w:val="auto"/>
                <w:sz w:val="24"/>
                <w:highlight w:val="none"/>
              </w:rPr>
            </w:pPr>
          </w:p>
        </w:tc>
        <w:tc>
          <w:tcPr>
            <w:tcW w:w="940" w:type="dxa"/>
            <w:tcBorders>
              <w:top w:val="single" w:color="auto" w:sz="4" w:space="0"/>
              <w:left w:val="single" w:color="auto" w:sz="4" w:space="0"/>
              <w:bottom w:val="single" w:color="auto" w:sz="4" w:space="0"/>
              <w:right w:val="single" w:color="auto" w:sz="4" w:space="0"/>
            </w:tcBorders>
            <w:vAlign w:val="center"/>
          </w:tcPr>
          <w:p w14:paraId="2D1AC1EC">
            <w:pPr>
              <w:snapToGrid w:val="0"/>
              <w:spacing w:before="50" w:after="50"/>
              <w:jc w:val="center"/>
              <w:rPr>
                <w:rFonts w:ascii="宋体" w:hAnsi="宋体"/>
                <w:color w:val="auto"/>
                <w:sz w:val="24"/>
                <w:highlight w:val="none"/>
              </w:rPr>
            </w:pPr>
          </w:p>
        </w:tc>
        <w:tc>
          <w:tcPr>
            <w:tcW w:w="763" w:type="dxa"/>
            <w:tcBorders>
              <w:top w:val="single" w:color="auto" w:sz="4" w:space="0"/>
              <w:left w:val="single" w:color="auto" w:sz="4" w:space="0"/>
              <w:bottom w:val="single" w:color="auto" w:sz="4" w:space="0"/>
              <w:right w:val="single" w:color="auto" w:sz="4" w:space="0"/>
            </w:tcBorders>
            <w:vAlign w:val="center"/>
          </w:tcPr>
          <w:p w14:paraId="39646667">
            <w:pPr>
              <w:snapToGrid w:val="0"/>
              <w:spacing w:before="50" w:after="50"/>
              <w:jc w:val="center"/>
              <w:rPr>
                <w:rFonts w:ascii="宋体" w:hAnsi="宋体"/>
                <w:color w:val="auto"/>
                <w:sz w:val="24"/>
                <w:highlight w:val="none"/>
              </w:rPr>
            </w:pPr>
          </w:p>
        </w:tc>
        <w:tc>
          <w:tcPr>
            <w:tcW w:w="1316" w:type="dxa"/>
            <w:tcBorders>
              <w:top w:val="single" w:color="auto" w:sz="4" w:space="0"/>
              <w:left w:val="single" w:color="auto" w:sz="4" w:space="0"/>
              <w:bottom w:val="single" w:color="auto" w:sz="4" w:space="0"/>
              <w:right w:val="single" w:color="auto" w:sz="4" w:space="0"/>
            </w:tcBorders>
          </w:tcPr>
          <w:p w14:paraId="4B19E56F">
            <w:pPr>
              <w:snapToGrid w:val="0"/>
              <w:spacing w:before="50" w:after="50"/>
              <w:jc w:val="center"/>
              <w:rPr>
                <w:rFonts w:ascii="宋体" w:hAnsi="宋体"/>
                <w:color w:val="auto"/>
                <w:sz w:val="24"/>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048B827A">
            <w:pPr>
              <w:snapToGrid w:val="0"/>
              <w:spacing w:before="50" w:after="50"/>
              <w:jc w:val="center"/>
              <w:rPr>
                <w:rFonts w:ascii="宋体" w:hAnsi="宋体"/>
                <w:color w:val="auto"/>
                <w:sz w:val="24"/>
                <w:highlight w:val="none"/>
              </w:rPr>
            </w:pPr>
          </w:p>
        </w:tc>
        <w:tc>
          <w:tcPr>
            <w:tcW w:w="703" w:type="dxa"/>
            <w:tcBorders>
              <w:top w:val="single" w:color="auto" w:sz="4" w:space="0"/>
              <w:left w:val="single" w:color="auto" w:sz="4" w:space="0"/>
              <w:bottom w:val="single" w:color="auto" w:sz="4" w:space="0"/>
              <w:right w:val="single" w:color="auto" w:sz="4" w:space="0"/>
            </w:tcBorders>
            <w:vAlign w:val="center"/>
          </w:tcPr>
          <w:p w14:paraId="526814DF">
            <w:pPr>
              <w:snapToGrid w:val="0"/>
              <w:spacing w:before="50" w:after="50"/>
              <w:jc w:val="center"/>
              <w:rPr>
                <w:rFonts w:ascii="宋体" w:hAnsi="宋体"/>
                <w:color w:val="auto"/>
                <w:sz w:val="24"/>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14:paraId="314DCEE9">
            <w:pPr>
              <w:snapToGrid w:val="0"/>
              <w:spacing w:before="50" w:after="50"/>
              <w:jc w:val="center"/>
              <w:rPr>
                <w:rFonts w:ascii="宋体" w:hAnsi="宋体"/>
                <w:color w:val="auto"/>
                <w:sz w:val="24"/>
                <w:highlight w:val="none"/>
              </w:rPr>
            </w:pPr>
          </w:p>
        </w:tc>
      </w:tr>
      <w:tr w14:paraId="795956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14:paraId="6AE62DD2">
            <w:pPr>
              <w:snapToGrid w:val="0"/>
              <w:spacing w:before="50" w:after="50"/>
              <w:jc w:val="center"/>
              <w:rPr>
                <w:rFonts w:ascii="宋体" w:hAnsi="宋体"/>
                <w:color w:val="auto"/>
                <w:sz w:val="24"/>
                <w:highlight w:val="none"/>
              </w:rPr>
            </w:pPr>
          </w:p>
        </w:tc>
        <w:tc>
          <w:tcPr>
            <w:tcW w:w="1736" w:type="dxa"/>
            <w:tcBorders>
              <w:top w:val="single" w:color="auto" w:sz="4" w:space="0"/>
              <w:left w:val="single" w:color="auto" w:sz="4" w:space="0"/>
              <w:bottom w:val="single" w:color="auto" w:sz="4" w:space="0"/>
              <w:right w:val="single" w:color="auto" w:sz="4" w:space="0"/>
            </w:tcBorders>
            <w:vAlign w:val="center"/>
          </w:tcPr>
          <w:p w14:paraId="7B1D0992">
            <w:pPr>
              <w:snapToGrid w:val="0"/>
              <w:spacing w:before="50" w:after="50"/>
              <w:jc w:val="center"/>
              <w:rPr>
                <w:rFonts w:ascii="宋体" w:hAnsi="宋体"/>
                <w:color w:val="auto"/>
                <w:sz w:val="24"/>
                <w:highlight w:val="none"/>
              </w:rPr>
            </w:pPr>
          </w:p>
        </w:tc>
        <w:tc>
          <w:tcPr>
            <w:tcW w:w="940" w:type="dxa"/>
            <w:tcBorders>
              <w:top w:val="single" w:color="auto" w:sz="4" w:space="0"/>
              <w:left w:val="single" w:color="auto" w:sz="4" w:space="0"/>
              <w:bottom w:val="single" w:color="auto" w:sz="4" w:space="0"/>
              <w:right w:val="single" w:color="auto" w:sz="4" w:space="0"/>
            </w:tcBorders>
            <w:vAlign w:val="center"/>
          </w:tcPr>
          <w:p w14:paraId="05705A2E">
            <w:pPr>
              <w:snapToGrid w:val="0"/>
              <w:spacing w:before="50" w:after="50"/>
              <w:jc w:val="center"/>
              <w:rPr>
                <w:rFonts w:ascii="宋体" w:hAnsi="宋体"/>
                <w:color w:val="auto"/>
                <w:sz w:val="24"/>
                <w:highlight w:val="none"/>
              </w:rPr>
            </w:pPr>
          </w:p>
        </w:tc>
        <w:tc>
          <w:tcPr>
            <w:tcW w:w="763" w:type="dxa"/>
            <w:tcBorders>
              <w:top w:val="single" w:color="auto" w:sz="4" w:space="0"/>
              <w:left w:val="single" w:color="auto" w:sz="4" w:space="0"/>
              <w:bottom w:val="single" w:color="auto" w:sz="4" w:space="0"/>
              <w:right w:val="single" w:color="auto" w:sz="4" w:space="0"/>
            </w:tcBorders>
            <w:vAlign w:val="center"/>
          </w:tcPr>
          <w:p w14:paraId="6DDB5E96">
            <w:pPr>
              <w:snapToGrid w:val="0"/>
              <w:spacing w:before="50" w:after="50"/>
              <w:jc w:val="center"/>
              <w:rPr>
                <w:rFonts w:ascii="宋体" w:hAnsi="宋体"/>
                <w:color w:val="auto"/>
                <w:sz w:val="24"/>
                <w:highlight w:val="none"/>
              </w:rPr>
            </w:pPr>
          </w:p>
        </w:tc>
        <w:tc>
          <w:tcPr>
            <w:tcW w:w="1316" w:type="dxa"/>
            <w:tcBorders>
              <w:top w:val="single" w:color="auto" w:sz="4" w:space="0"/>
              <w:left w:val="single" w:color="auto" w:sz="4" w:space="0"/>
              <w:bottom w:val="single" w:color="auto" w:sz="4" w:space="0"/>
              <w:right w:val="single" w:color="auto" w:sz="4" w:space="0"/>
            </w:tcBorders>
          </w:tcPr>
          <w:p w14:paraId="09B68BC1">
            <w:pPr>
              <w:snapToGrid w:val="0"/>
              <w:spacing w:before="50" w:after="50"/>
              <w:jc w:val="center"/>
              <w:rPr>
                <w:rFonts w:ascii="宋体" w:hAnsi="宋体"/>
                <w:color w:val="auto"/>
                <w:sz w:val="24"/>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797D9795">
            <w:pPr>
              <w:snapToGrid w:val="0"/>
              <w:spacing w:before="50" w:after="50"/>
              <w:jc w:val="center"/>
              <w:rPr>
                <w:rFonts w:ascii="宋体" w:hAnsi="宋体"/>
                <w:color w:val="auto"/>
                <w:sz w:val="24"/>
                <w:highlight w:val="none"/>
              </w:rPr>
            </w:pPr>
          </w:p>
        </w:tc>
        <w:tc>
          <w:tcPr>
            <w:tcW w:w="703" w:type="dxa"/>
            <w:tcBorders>
              <w:top w:val="single" w:color="auto" w:sz="4" w:space="0"/>
              <w:left w:val="single" w:color="auto" w:sz="4" w:space="0"/>
              <w:bottom w:val="single" w:color="auto" w:sz="4" w:space="0"/>
              <w:right w:val="single" w:color="auto" w:sz="4" w:space="0"/>
            </w:tcBorders>
            <w:vAlign w:val="center"/>
          </w:tcPr>
          <w:p w14:paraId="2FC1B215">
            <w:pPr>
              <w:snapToGrid w:val="0"/>
              <w:spacing w:before="50" w:after="50"/>
              <w:jc w:val="center"/>
              <w:rPr>
                <w:rFonts w:ascii="宋体" w:hAnsi="宋体"/>
                <w:color w:val="auto"/>
                <w:sz w:val="24"/>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14:paraId="0C768AB2">
            <w:pPr>
              <w:snapToGrid w:val="0"/>
              <w:spacing w:before="50" w:after="50"/>
              <w:jc w:val="center"/>
              <w:rPr>
                <w:rFonts w:ascii="宋体" w:hAnsi="宋体"/>
                <w:color w:val="auto"/>
                <w:sz w:val="24"/>
                <w:highlight w:val="none"/>
              </w:rPr>
            </w:pPr>
          </w:p>
        </w:tc>
      </w:tr>
    </w:tbl>
    <w:p w14:paraId="72A1804C">
      <w:pPr>
        <w:spacing w:line="360" w:lineRule="auto"/>
        <w:contextualSpacing/>
        <w:rPr>
          <w:rFonts w:ascii="宋体" w:hAnsi="宋体"/>
          <w:color w:val="auto"/>
          <w:sz w:val="24"/>
          <w:highlight w:val="none"/>
        </w:rPr>
      </w:pPr>
      <w:r>
        <w:rPr>
          <w:rFonts w:hint="eastAsia" w:ascii="宋体" w:hAnsi="宋体"/>
          <w:color w:val="auto"/>
          <w:sz w:val="24"/>
          <w:highlight w:val="none"/>
        </w:rPr>
        <w:t>备注：</w:t>
      </w:r>
    </w:p>
    <w:p w14:paraId="045F239A">
      <w:pPr>
        <w:spacing w:line="360" w:lineRule="auto"/>
        <w:ind w:firstLine="480" w:firstLineChars="200"/>
        <w:contextualSpacing/>
        <w:rPr>
          <w:rFonts w:ascii="宋体" w:hAnsi="宋体"/>
          <w:b/>
          <w:color w:val="auto"/>
          <w:sz w:val="24"/>
          <w:highlight w:val="none"/>
        </w:rPr>
      </w:pPr>
      <w:r>
        <w:rPr>
          <w:rFonts w:hint="eastAsia" w:ascii="宋体" w:hAnsi="宋体"/>
          <w:color w:val="auto"/>
          <w:sz w:val="24"/>
          <w:highlight w:val="none"/>
        </w:rPr>
        <w:t>以上设备性能配置清单中“标的的名称、数量及单位、品牌、规格型号、制造商、原产地、参数性能、指标及配置”必须如实填写完整，品牌、规格型号没有则填无，填写有缺漏</w:t>
      </w:r>
      <w:r>
        <w:rPr>
          <w:rFonts w:hint="eastAsia" w:ascii="宋体" w:hAnsi="宋体"/>
          <w:bCs/>
          <w:color w:val="auto"/>
          <w:sz w:val="24"/>
          <w:highlight w:val="none"/>
        </w:rPr>
        <w:t>的，</w:t>
      </w:r>
      <w:r>
        <w:rPr>
          <w:rFonts w:hint="eastAsia" w:ascii="宋体" w:hAnsi="宋体"/>
          <w:b/>
          <w:color w:val="auto"/>
          <w:sz w:val="24"/>
          <w:highlight w:val="none"/>
        </w:rPr>
        <w:t>作无效投标处理。</w:t>
      </w:r>
      <w:r>
        <w:rPr>
          <w:rFonts w:hint="eastAsia" w:hAnsi="宋体" w:cs="Courier New"/>
          <w:color w:val="auto"/>
          <w:sz w:val="24"/>
          <w:highlight w:val="none"/>
        </w:rPr>
        <w:t>标的的名称</w:t>
      </w:r>
      <w:r>
        <w:rPr>
          <w:rFonts w:hint="eastAsia" w:ascii="宋体" w:hAnsi="宋体"/>
          <w:color w:val="auto"/>
          <w:sz w:val="24"/>
          <w:highlight w:val="none"/>
        </w:rPr>
        <w:t>、数量及单位、品牌必须与“开标一览表”一致，</w:t>
      </w:r>
      <w:r>
        <w:rPr>
          <w:rFonts w:hint="eastAsia" w:ascii="宋体" w:hAnsi="宋体"/>
          <w:b/>
          <w:color w:val="auto"/>
          <w:sz w:val="24"/>
          <w:highlight w:val="none"/>
        </w:rPr>
        <w:t>否则按无效投标处理。</w:t>
      </w:r>
    </w:p>
    <w:p w14:paraId="5D393D6F">
      <w:pPr>
        <w:spacing w:line="360" w:lineRule="auto"/>
        <w:ind w:firstLine="480" w:firstLineChars="200"/>
        <w:contextualSpacing/>
        <w:rPr>
          <w:rFonts w:ascii="宋体" w:hAnsi="宋体"/>
          <w:color w:val="auto"/>
          <w:sz w:val="24"/>
          <w:highlight w:val="none"/>
        </w:rPr>
      </w:pPr>
    </w:p>
    <w:p w14:paraId="7B41BE7F">
      <w:pPr>
        <w:spacing w:line="360" w:lineRule="auto"/>
        <w:contextualSpacing/>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6921A90D">
      <w:pPr>
        <w:spacing w:line="360" w:lineRule="auto"/>
        <w:contextualSpacing/>
        <w:rPr>
          <w:rFonts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22754835">
      <w:pPr>
        <w:spacing w:line="360" w:lineRule="auto"/>
        <w:contextualSpacing/>
        <w:rPr>
          <w:rFonts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7E1FEE1F">
      <w:pPr>
        <w:snapToGrid w:val="0"/>
        <w:spacing w:before="50" w:after="120" w:afterLines="50"/>
        <w:jc w:val="left"/>
        <w:rPr>
          <w:rFonts w:ascii="宋体" w:hAnsi="宋体"/>
          <w:color w:val="auto"/>
          <w:sz w:val="24"/>
          <w:szCs w:val="20"/>
          <w:highlight w:val="none"/>
        </w:rPr>
      </w:pPr>
    </w:p>
    <w:p w14:paraId="0D9A7FF5">
      <w:pPr>
        <w:snapToGrid w:val="0"/>
        <w:spacing w:before="50" w:after="120" w:afterLines="50"/>
        <w:jc w:val="left"/>
        <w:rPr>
          <w:rFonts w:ascii="宋体" w:hAnsi="宋体"/>
          <w:color w:val="auto"/>
          <w:sz w:val="24"/>
          <w:szCs w:val="20"/>
          <w:highlight w:val="none"/>
        </w:rPr>
      </w:pPr>
    </w:p>
    <w:p w14:paraId="78D5BC86">
      <w:pPr>
        <w:snapToGrid w:val="0"/>
        <w:spacing w:before="120" w:beforeLines="50" w:after="50"/>
        <w:ind w:left="142"/>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9. 技术要求偏离表格式</w:t>
      </w:r>
    </w:p>
    <w:p w14:paraId="117D4137">
      <w:pPr>
        <w:snapToGrid w:val="0"/>
        <w:spacing w:before="120" w:beforeLines="50" w:after="50"/>
        <w:ind w:left="142"/>
        <w:jc w:val="left"/>
        <w:rPr>
          <w:rFonts w:ascii="宋体" w:hAnsi="宋体"/>
          <w:b/>
          <w:color w:val="auto"/>
          <w:sz w:val="24"/>
          <w:highlight w:val="none"/>
        </w:rPr>
      </w:pPr>
    </w:p>
    <w:p w14:paraId="264B45F5">
      <w:pPr>
        <w:snapToGrid w:val="0"/>
        <w:spacing w:before="120" w:beforeLines="50" w:after="50"/>
        <w:ind w:left="142"/>
        <w:jc w:val="center"/>
        <w:rPr>
          <w:rFonts w:ascii="宋体" w:hAnsi="宋体"/>
          <w:b/>
          <w:color w:val="auto"/>
          <w:sz w:val="32"/>
          <w:szCs w:val="32"/>
          <w:highlight w:val="none"/>
        </w:rPr>
      </w:pPr>
      <w:r>
        <w:rPr>
          <w:rFonts w:hint="eastAsia" w:ascii="宋体" w:hAnsi="宋体"/>
          <w:b/>
          <w:color w:val="auto"/>
          <w:sz w:val="32"/>
          <w:szCs w:val="32"/>
          <w:highlight w:val="none"/>
        </w:rPr>
        <w:t>技术要求偏离表</w:t>
      </w:r>
    </w:p>
    <w:p w14:paraId="26A3CB22">
      <w:pPr>
        <w:pStyle w:val="24"/>
        <w:rPr>
          <w:rFonts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tbl>
      <w:tblPr>
        <w:tblStyle w:val="49"/>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6F80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030F27F5">
            <w:pPr>
              <w:pStyle w:val="24"/>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项号</w:t>
            </w:r>
          </w:p>
        </w:tc>
        <w:tc>
          <w:tcPr>
            <w:tcW w:w="2143" w:type="dxa"/>
            <w:vAlign w:val="center"/>
          </w:tcPr>
          <w:p w14:paraId="0F522357">
            <w:pPr>
              <w:pStyle w:val="24"/>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标的的名称</w:t>
            </w:r>
          </w:p>
        </w:tc>
        <w:tc>
          <w:tcPr>
            <w:tcW w:w="1834" w:type="dxa"/>
            <w:vAlign w:val="center"/>
          </w:tcPr>
          <w:p w14:paraId="1F620200">
            <w:pPr>
              <w:pStyle w:val="24"/>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技术要求</w:t>
            </w:r>
          </w:p>
        </w:tc>
        <w:tc>
          <w:tcPr>
            <w:tcW w:w="2181" w:type="dxa"/>
            <w:vAlign w:val="center"/>
          </w:tcPr>
          <w:p w14:paraId="79704C3D">
            <w:pPr>
              <w:pStyle w:val="24"/>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投标响应</w:t>
            </w:r>
          </w:p>
        </w:tc>
        <w:tc>
          <w:tcPr>
            <w:tcW w:w="1934" w:type="dxa"/>
            <w:vAlign w:val="center"/>
          </w:tcPr>
          <w:p w14:paraId="15BCF94F">
            <w:pPr>
              <w:pStyle w:val="24"/>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偏离说明</w:t>
            </w:r>
          </w:p>
        </w:tc>
      </w:tr>
      <w:tr w14:paraId="0B9FD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663FBB5">
            <w:pPr>
              <w:pStyle w:val="24"/>
              <w:spacing w:line="600" w:lineRule="exact"/>
              <w:jc w:val="center"/>
              <w:rPr>
                <w:rFonts w:hAnsi="宋体" w:cs="Courier New"/>
                <w:color w:val="auto"/>
                <w:kern w:val="2"/>
                <w:sz w:val="24"/>
                <w:szCs w:val="24"/>
                <w:highlight w:val="none"/>
              </w:rPr>
            </w:pPr>
          </w:p>
        </w:tc>
        <w:tc>
          <w:tcPr>
            <w:tcW w:w="2143" w:type="dxa"/>
            <w:vAlign w:val="center"/>
          </w:tcPr>
          <w:p w14:paraId="223EEDB0">
            <w:pPr>
              <w:pStyle w:val="24"/>
              <w:spacing w:line="600" w:lineRule="exact"/>
              <w:jc w:val="center"/>
              <w:rPr>
                <w:rFonts w:hAnsi="宋体" w:cs="Courier New"/>
                <w:color w:val="auto"/>
                <w:kern w:val="2"/>
                <w:sz w:val="24"/>
                <w:szCs w:val="24"/>
                <w:highlight w:val="none"/>
              </w:rPr>
            </w:pPr>
          </w:p>
        </w:tc>
        <w:tc>
          <w:tcPr>
            <w:tcW w:w="1834" w:type="dxa"/>
            <w:vAlign w:val="center"/>
          </w:tcPr>
          <w:p w14:paraId="32D33101">
            <w:pPr>
              <w:pStyle w:val="24"/>
              <w:spacing w:line="600" w:lineRule="exact"/>
              <w:jc w:val="center"/>
              <w:rPr>
                <w:rFonts w:hAnsi="宋体" w:cs="Courier New"/>
                <w:color w:val="auto"/>
                <w:kern w:val="2"/>
                <w:sz w:val="24"/>
                <w:szCs w:val="24"/>
                <w:highlight w:val="none"/>
              </w:rPr>
            </w:pPr>
          </w:p>
        </w:tc>
        <w:tc>
          <w:tcPr>
            <w:tcW w:w="2181" w:type="dxa"/>
            <w:vAlign w:val="center"/>
          </w:tcPr>
          <w:p w14:paraId="2892403F">
            <w:pPr>
              <w:pStyle w:val="24"/>
              <w:spacing w:line="600" w:lineRule="exact"/>
              <w:jc w:val="center"/>
              <w:rPr>
                <w:rFonts w:hAnsi="宋体" w:cs="Courier New"/>
                <w:color w:val="auto"/>
                <w:kern w:val="2"/>
                <w:sz w:val="24"/>
                <w:szCs w:val="24"/>
                <w:highlight w:val="none"/>
              </w:rPr>
            </w:pPr>
          </w:p>
        </w:tc>
        <w:tc>
          <w:tcPr>
            <w:tcW w:w="1934" w:type="dxa"/>
            <w:vAlign w:val="center"/>
          </w:tcPr>
          <w:p w14:paraId="4F997200">
            <w:pPr>
              <w:pStyle w:val="24"/>
              <w:spacing w:line="600" w:lineRule="exact"/>
              <w:jc w:val="center"/>
              <w:rPr>
                <w:rFonts w:hAnsi="宋体" w:cs="Courier New"/>
                <w:color w:val="auto"/>
                <w:kern w:val="2"/>
                <w:sz w:val="24"/>
                <w:szCs w:val="24"/>
                <w:highlight w:val="none"/>
              </w:rPr>
            </w:pPr>
          </w:p>
        </w:tc>
      </w:tr>
      <w:tr w14:paraId="0F78E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650E047">
            <w:pPr>
              <w:pStyle w:val="24"/>
              <w:spacing w:line="600" w:lineRule="exact"/>
              <w:rPr>
                <w:rFonts w:hAnsi="宋体" w:cs="Courier New"/>
                <w:color w:val="auto"/>
                <w:kern w:val="2"/>
                <w:sz w:val="24"/>
                <w:szCs w:val="24"/>
                <w:highlight w:val="none"/>
              </w:rPr>
            </w:pPr>
          </w:p>
        </w:tc>
        <w:tc>
          <w:tcPr>
            <w:tcW w:w="2143" w:type="dxa"/>
          </w:tcPr>
          <w:p w14:paraId="318E4446">
            <w:pPr>
              <w:pStyle w:val="24"/>
              <w:spacing w:line="600" w:lineRule="exact"/>
              <w:rPr>
                <w:rFonts w:hAnsi="宋体" w:cs="Courier New"/>
                <w:color w:val="auto"/>
                <w:kern w:val="2"/>
                <w:sz w:val="24"/>
                <w:szCs w:val="24"/>
                <w:highlight w:val="none"/>
              </w:rPr>
            </w:pPr>
          </w:p>
        </w:tc>
        <w:tc>
          <w:tcPr>
            <w:tcW w:w="1834" w:type="dxa"/>
          </w:tcPr>
          <w:p w14:paraId="5700B41A">
            <w:pPr>
              <w:pStyle w:val="24"/>
              <w:spacing w:line="600" w:lineRule="exact"/>
              <w:rPr>
                <w:rFonts w:hAnsi="宋体" w:cs="Courier New"/>
                <w:color w:val="auto"/>
                <w:kern w:val="2"/>
                <w:sz w:val="24"/>
                <w:szCs w:val="24"/>
                <w:highlight w:val="none"/>
              </w:rPr>
            </w:pPr>
          </w:p>
        </w:tc>
        <w:tc>
          <w:tcPr>
            <w:tcW w:w="2181" w:type="dxa"/>
          </w:tcPr>
          <w:p w14:paraId="5473406C">
            <w:pPr>
              <w:pStyle w:val="24"/>
              <w:spacing w:line="600" w:lineRule="exact"/>
              <w:rPr>
                <w:rFonts w:hAnsi="宋体" w:cs="Courier New"/>
                <w:color w:val="auto"/>
                <w:kern w:val="2"/>
                <w:sz w:val="24"/>
                <w:szCs w:val="24"/>
                <w:highlight w:val="none"/>
              </w:rPr>
            </w:pPr>
          </w:p>
        </w:tc>
        <w:tc>
          <w:tcPr>
            <w:tcW w:w="1934" w:type="dxa"/>
          </w:tcPr>
          <w:p w14:paraId="0E85E159">
            <w:pPr>
              <w:pStyle w:val="24"/>
              <w:spacing w:line="600" w:lineRule="exact"/>
              <w:rPr>
                <w:rFonts w:hAnsi="宋体" w:cs="Courier New"/>
                <w:color w:val="auto"/>
                <w:kern w:val="2"/>
                <w:sz w:val="24"/>
                <w:szCs w:val="24"/>
                <w:highlight w:val="none"/>
              </w:rPr>
            </w:pPr>
          </w:p>
        </w:tc>
      </w:tr>
      <w:tr w14:paraId="20DEC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677B63B">
            <w:pPr>
              <w:pStyle w:val="24"/>
              <w:spacing w:line="600" w:lineRule="exact"/>
              <w:rPr>
                <w:rFonts w:hAnsi="宋体" w:cs="Courier New"/>
                <w:color w:val="auto"/>
                <w:kern w:val="2"/>
                <w:sz w:val="24"/>
                <w:szCs w:val="24"/>
                <w:highlight w:val="none"/>
              </w:rPr>
            </w:pPr>
          </w:p>
        </w:tc>
        <w:tc>
          <w:tcPr>
            <w:tcW w:w="2143" w:type="dxa"/>
          </w:tcPr>
          <w:p w14:paraId="6C424176">
            <w:pPr>
              <w:pStyle w:val="24"/>
              <w:spacing w:line="600" w:lineRule="exact"/>
              <w:rPr>
                <w:rFonts w:hAnsi="宋体" w:cs="Courier New"/>
                <w:color w:val="auto"/>
                <w:kern w:val="2"/>
                <w:sz w:val="24"/>
                <w:szCs w:val="24"/>
                <w:highlight w:val="none"/>
              </w:rPr>
            </w:pPr>
          </w:p>
        </w:tc>
        <w:tc>
          <w:tcPr>
            <w:tcW w:w="1834" w:type="dxa"/>
          </w:tcPr>
          <w:p w14:paraId="0B28FB19">
            <w:pPr>
              <w:pStyle w:val="24"/>
              <w:spacing w:line="600" w:lineRule="exact"/>
              <w:rPr>
                <w:rFonts w:hAnsi="宋体" w:cs="Courier New"/>
                <w:color w:val="auto"/>
                <w:kern w:val="2"/>
                <w:sz w:val="24"/>
                <w:szCs w:val="24"/>
                <w:highlight w:val="none"/>
              </w:rPr>
            </w:pPr>
          </w:p>
        </w:tc>
        <w:tc>
          <w:tcPr>
            <w:tcW w:w="2181" w:type="dxa"/>
          </w:tcPr>
          <w:p w14:paraId="71EB0A39">
            <w:pPr>
              <w:pStyle w:val="24"/>
              <w:spacing w:line="600" w:lineRule="exact"/>
              <w:rPr>
                <w:rFonts w:hAnsi="宋体" w:cs="Courier New"/>
                <w:color w:val="auto"/>
                <w:kern w:val="2"/>
                <w:sz w:val="24"/>
                <w:szCs w:val="24"/>
                <w:highlight w:val="none"/>
              </w:rPr>
            </w:pPr>
          </w:p>
        </w:tc>
        <w:tc>
          <w:tcPr>
            <w:tcW w:w="1934" w:type="dxa"/>
          </w:tcPr>
          <w:p w14:paraId="79AFD141">
            <w:pPr>
              <w:pStyle w:val="24"/>
              <w:spacing w:line="600" w:lineRule="exact"/>
              <w:rPr>
                <w:rFonts w:hAnsi="宋体" w:cs="Courier New"/>
                <w:color w:val="auto"/>
                <w:kern w:val="2"/>
                <w:sz w:val="24"/>
                <w:szCs w:val="24"/>
                <w:highlight w:val="none"/>
              </w:rPr>
            </w:pPr>
          </w:p>
        </w:tc>
      </w:tr>
    </w:tbl>
    <w:p w14:paraId="3942B036">
      <w:pPr>
        <w:pStyle w:val="16"/>
        <w:rPr>
          <w:rFonts w:ascii="宋体" w:hAnsi="宋体"/>
          <w:color w:val="auto"/>
          <w:highlight w:val="none"/>
        </w:rPr>
      </w:pPr>
      <w:r>
        <w:rPr>
          <w:rFonts w:hint="eastAsia" w:ascii="宋体" w:hAnsi="宋体"/>
          <w:color w:val="auto"/>
          <w:highlight w:val="none"/>
        </w:rPr>
        <w:t>注：</w:t>
      </w:r>
    </w:p>
    <w:p w14:paraId="2FD3A5AA">
      <w:pPr>
        <w:pStyle w:val="18"/>
        <w:spacing w:line="360" w:lineRule="auto"/>
        <w:ind w:firstLine="0" w:firstLineChars="0"/>
        <w:rPr>
          <w:rFonts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采购需求”中的“技术要求”逐条作明确的投标响应，并作出偏离说明。</w:t>
      </w:r>
    </w:p>
    <w:p w14:paraId="450D4EDE">
      <w:pPr>
        <w:pStyle w:val="16"/>
        <w:spacing w:line="360" w:lineRule="auto"/>
        <w:rPr>
          <w:rFonts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投标人根据投标货物的性能指标，对照招标文件技术要求，在“偏离说明”中注明“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2BE447E1">
      <w:pPr>
        <w:pStyle w:val="18"/>
        <w:spacing w:line="360" w:lineRule="auto"/>
        <w:ind w:firstLine="0" w:firstLineChars="0"/>
        <w:rPr>
          <w:rFonts w:ascii="宋体" w:hAnsi="宋体"/>
          <w:color w:val="auto"/>
          <w:sz w:val="24"/>
          <w:highlight w:val="none"/>
        </w:rPr>
      </w:pPr>
      <w:r>
        <w:rPr>
          <w:rFonts w:hint="eastAsia" w:ascii="宋体" w:hAnsi="宋体" w:eastAsia="宋体"/>
          <w:color w:val="auto"/>
          <w:sz w:val="24"/>
          <w:szCs w:val="24"/>
          <w:highlight w:val="none"/>
        </w:rPr>
        <w:t>3</w:t>
      </w:r>
      <w:r>
        <w:rPr>
          <w:rFonts w:ascii="宋体" w:hAnsi="宋体" w:eastAsia="宋体"/>
          <w:color w:val="auto"/>
          <w:sz w:val="24"/>
          <w:szCs w:val="24"/>
          <w:highlight w:val="none"/>
        </w:rPr>
        <w:t>.</w:t>
      </w:r>
      <w:r>
        <w:rPr>
          <w:rFonts w:hint="eastAsia" w:ascii="宋体" w:hAnsi="宋体" w:eastAsia="宋体"/>
          <w:color w:val="auto"/>
          <w:sz w:val="24"/>
          <w:szCs w:val="24"/>
          <w:highlight w:val="none"/>
        </w:rPr>
        <w:t xml:space="preserve"> 如技术要求偏离表中的投标响应与佐证材料不一致的，以佐证材料为准。</w:t>
      </w:r>
    </w:p>
    <w:p w14:paraId="2A20DD17">
      <w:pPr>
        <w:snapToGrid w:val="0"/>
        <w:spacing w:before="50" w:after="50" w:line="360" w:lineRule="auto"/>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261DE458">
      <w:pPr>
        <w:snapToGrid w:val="0"/>
        <w:spacing w:before="50" w:after="50" w:line="360" w:lineRule="auto"/>
        <w:rPr>
          <w:rFonts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2983899D">
      <w:pPr>
        <w:snapToGrid w:val="0"/>
        <w:spacing w:before="50" w:after="50" w:line="360" w:lineRule="auto"/>
        <w:rPr>
          <w:rFonts w:ascii="宋体" w:hAnsi="宋体"/>
          <w:color w:val="auto"/>
          <w:spacing w:val="20"/>
          <w:sz w:val="24"/>
          <w:highlight w:val="none"/>
          <w:u w:val="singl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29DE5BBB">
      <w:pPr>
        <w:snapToGrid w:val="0"/>
        <w:spacing w:before="50" w:after="50" w:line="360" w:lineRule="auto"/>
        <w:rPr>
          <w:rFonts w:ascii="宋体" w:hAnsi="宋体"/>
          <w:color w:val="auto"/>
          <w:sz w:val="24"/>
          <w:szCs w:val="20"/>
          <w:highlight w:val="none"/>
        </w:rPr>
      </w:pPr>
    </w:p>
    <w:p w14:paraId="777E9632">
      <w:pPr>
        <w:snapToGrid w:val="0"/>
        <w:spacing w:before="120" w:beforeLines="50" w:after="50"/>
        <w:ind w:left="142"/>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10. 项目实施人员一览表格式</w:t>
      </w:r>
    </w:p>
    <w:p w14:paraId="440970BF">
      <w:pPr>
        <w:snapToGrid w:val="0"/>
        <w:spacing w:before="120" w:beforeLines="50" w:after="50"/>
        <w:ind w:left="142"/>
        <w:jc w:val="left"/>
        <w:rPr>
          <w:rFonts w:ascii="宋体" w:hAnsi="宋体"/>
          <w:b/>
          <w:color w:val="auto"/>
          <w:sz w:val="24"/>
          <w:highlight w:val="none"/>
        </w:rPr>
      </w:pPr>
    </w:p>
    <w:p w14:paraId="15DF7EE5">
      <w:pPr>
        <w:snapToGrid w:val="0"/>
        <w:spacing w:before="120" w:beforeLines="50" w:after="50"/>
        <w:ind w:left="142"/>
        <w:jc w:val="center"/>
        <w:rPr>
          <w:rFonts w:ascii="宋体" w:hAnsi="宋体"/>
          <w:b/>
          <w:color w:val="auto"/>
          <w:sz w:val="32"/>
          <w:szCs w:val="32"/>
          <w:highlight w:val="none"/>
        </w:rPr>
      </w:pPr>
      <w:r>
        <w:rPr>
          <w:rFonts w:hint="eastAsia" w:ascii="宋体" w:hAnsi="宋体"/>
          <w:b/>
          <w:color w:val="auto"/>
          <w:sz w:val="32"/>
          <w:szCs w:val="32"/>
          <w:highlight w:val="none"/>
        </w:rPr>
        <w:t>项目实施人员一览表</w:t>
      </w:r>
    </w:p>
    <w:p w14:paraId="519A67F0">
      <w:pPr>
        <w:pStyle w:val="24"/>
        <w:rPr>
          <w:color w:val="auto"/>
          <w:sz w:val="24"/>
          <w:szCs w:val="24"/>
          <w:highlight w:val="none"/>
        </w:rPr>
      </w:pPr>
      <w:r>
        <w:rPr>
          <w:rFonts w:hint="eastAsia"/>
          <w:color w:val="auto"/>
          <w:sz w:val="24"/>
          <w:szCs w:val="24"/>
          <w:highlight w:val="none"/>
        </w:rPr>
        <w:t>所投分标：</w:t>
      </w:r>
      <w:r>
        <w:rPr>
          <w:rFonts w:hint="eastAsia"/>
          <w:color w:val="auto"/>
          <w:sz w:val="24"/>
          <w:szCs w:val="24"/>
          <w:highlight w:val="none"/>
          <w:u w:val="single"/>
        </w:rPr>
        <w:t xml:space="preserve">     </w:t>
      </w:r>
      <w:r>
        <w:rPr>
          <w:rFonts w:hint="eastAsia"/>
          <w:color w:val="auto"/>
          <w:sz w:val="24"/>
          <w:szCs w:val="24"/>
          <w:highlight w:val="none"/>
        </w:rPr>
        <w:t>分标</w:t>
      </w:r>
    </w:p>
    <w:tbl>
      <w:tblPr>
        <w:tblStyle w:val="49"/>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0F3A6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75EF783">
            <w:pPr>
              <w:snapToGrid w:val="0"/>
              <w:spacing w:before="50" w:after="120" w:afterLines="50"/>
              <w:jc w:val="center"/>
              <w:rPr>
                <w:rFonts w:ascii="宋体" w:hAnsi="宋体"/>
                <w:color w:val="auto"/>
                <w:sz w:val="24"/>
                <w:szCs w:val="20"/>
                <w:highlight w:val="none"/>
              </w:rPr>
            </w:pPr>
            <w:r>
              <w:rPr>
                <w:rFonts w:hint="eastAsia" w:ascii="宋体" w:hAnsi="宋体"/>
                <w:color w:val="auto"/>
                <w:sz w:val="24"/>
                <w:szCs w:val="20"/>
                <w:highlight w:val="none"/>
              </w:rPr>
              <w:t>姓名</w:t>
            </w:r>
          </w:p>
        </w:tc>
        <w:tc>
          <w:tcPr>
            <w:tcW w:w="709" w:type="dxa"/>
            <w:vAlign w:val="center"/>
          </w:tcPr>
          <w:p w14:paraId="3D0981B8">
            <w:pPr>
              <w:snapToGrid w:val="0"/>
              <w:spacing w:before="50" w:after="120" w:afterLines="50"/>
              <w:jc w:val="center"/>
              <w:rPr>
                <w:rFonts w:ascii="宋体" w:hAnsi="宋体"/>
                <w:color w:val="auto"/>
                <w:sz w:val="24"/>
                <w:szCs w:val="20"/>
                <w:highlight w:val="none"/>
              </w:rPr>
            </w:pPr>
            <w:r>
              <w:rPr>
                <w:rFonts w:hint="eastAsia" w:ascii="宋体" w:hAnsi="宋体"/>
                <w:color w:val="auto"/>
                <w:sz w:val="24"/>
                <w:szCs w:val="20"/>
                <w:highlight w:val="none"/>
              </w:rPr>
              <w:t>职务</w:t>
            </w:r>
          </w:p>
        </w:tc>
        <w:tc>
          <w:tcPr>
            <w:tcW w:w="1701" w:type="dxa"/>
            <w:vAlign w:val="center"/>
          </w:tcPr>
          <w:p w14:paraId="012899EC">
            <w:pPr>
              <w:snapToGrid w:val="0"/>
              <w:spacing w:before="50" w:after="120" w:afterLines="50"/>
              <w:jc w:val="center"/>
              <w:rPr>
                <w:rFonts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20" w:type="dxa"/>
            <w:vAlign w:val="center"/>
          </w:tcPr>
          <w:p w14:paraId="0665D7B1">
            <w:pPr>
              <w:snapToGrid w:val="0"/>
              <w:spacing w:before="50" w:after="120" w:afterLines="50"/>
              <w:jc w:val="center"/>
              <w:rPr>
                <w:rFonts w:ascii="宋体" w:hAnsi="宋体"/>
                <w:color w:val="auto"/>
                <w:sz w:val="24"/>
                <w:szCs w:val="20"/>
                <w:highlight w:val="none"/>
              </w:rPr>
            </w:pPr>
            <w:r>
              <w:rPr>
                <w:rFonts w:hint="eastAsia" w:ascii="宋体" w:hAnsi="宋体"/>
                <w:color w:val="auto"/>
                <w:sz w:val="24"/>
                <w:szCs w:val="20"/>
                <w:highlight w:val="none"/>
              </w:rPr>
              <w:t>证书编号</w:t>
            </w:r>
          </w:p>
        </w:tc>
        <w:tc>
          <w:tcPr>
            <w:tcW w:w="1698" w:type="dxa"/>
            <w:vAlign w:val="center"/>
          </w:tcPr>
          <w:p w14:paraId="52D69CC9">
            <w:pPr>
              <w:snapToGrid w:val="0"/>
              <w:spacing w:before="50" w:after="120" w:afterLines="50"/>
              <w:jc w:val="center"/>
              <w:rPr>
                <w:rFonts w:ascii="宋体" w:hAnsi="宋体"/>
                <w:color w:val="auto"/>
                <w:sz w:val="24"/>
                <w:szCs w:val="20"/>
                <w:highlight w:val="none"/>
              </w:rPr>
            </w:pPr>
            <w:r>
              <w:rPr>
                <w:rFonts w:hint="eastAsia" w:ascii="宋体" w:hAnsi="宋体"/>
                <w:color w:val="auto"/>
                <w:sz w:val="24"/>
                <w:szCs w:val="20"/>
                <w:highlight w:val="none"/>
              </w:rPr>
              <w:t>参加本单位</w:t>
            </w:r>
          </w:p>
          <w:p w14:paraId="62516293">
            <w:pPr>
              <w:snapToGrid w:val="0"/>
              <w:spacing w:before="50" w:after="120" w:afterLines="50"/>
              <w:jc w:val="center"/>
              <w:rPr>
                <w:rFonts w:ascii="宋体" w:hAnsi="宋体"/>
                <w:color w:val="auto"/>
                <w:sz w:val="24"/>
                <w:szCs w:val="20"/>
                <w:highlight w:val="none"/>
              </w:rPr>
            </w:pPr>
            <w:r>
              <w:rPr>
                <w:rFonts w:hint="eastAsia" w:ascii="宋体" w:hAnsi="宋体"/>
                <w:color w:val="auto"/>
                <w:sz w:val="24"/>
                <w:szCs w:val="20"/>
                <w:highlight w:val="none"/>
              </w:rPr>
              <w:t>工作时间</w:t>
            </w:r>
          </w:p>
        </w:tc>
        <w:tc>
          <w:tcPr>
            <w:tcW w:w="1843" w:type="dxa"/>
            <w:vAlign w:val="center"/>
          </w:tcPr>
          <w:p w14:paraId="19710B5F">
            <w:pPr>
              <w:snapToGrid w:val="0"/>
              <w:spacing w:before="50" w:after="120" w:afterLines="50"/>
              <w:jc w:val="center"/>
              <w:rPr>
                <w:rFonts w:ascii="宋体" w:hAnsi="宋体"/>
                <w:color w:val="auto"/>
                <w:sz w:val="24"/>
                <w:szCs w:val="20"/>
                <w:highlight w:val="none"/>
              </w:rPr>
            </w:pPr>
            <w:r>
              <w:rPr>
                <w:rFonts w:hint="eastAsia" w:ascii="宋体" w:hAnsi="宋体"/>
                <w:color w:val="auto"/>
                <w:sz w:val="24"/>
                <w:szCs w:val="20"/>
                <w:highlight w:val="none"/>
              </w:rPr>
              <w:t>劳动合同编号</w:t>
            </w:r>
          </w:p>
        </w:tc>
      </w:tr>
      <w:tr w14:paraId="3F6E1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690F68D">
            <w:pPr>
              <w:snapToGrid w:val="0"/>
              <w:spacing w:before="50" w:after="120" w:afterLines="50"/>
              <w:jc w:val="center"/>
              <w:rPr>
                <w:rFonts w:ascii="宋体" w:hAnsi="宋体"/>
                <w:color w:val="auto"/>
                <w:sz w:val="24"/>
                <w:szCs w:val="20"/>
                <w:highlight w:val="none"/>
              </w:rPr>
            </w:pPr>
          </w:p>
        </w:tc>
        <w:tc>
          <w:tcPr>
            <w:tcW w:w="709" w:type="dxa"/>
            <w:vAlign w:val="center"/>
          </w:tcPr>
          <w:p w14:paraId="3D64B4D9">
            <w:pPr>
              <w:snapToGrid w:val="0"/>
              <w:spacing w:before="50" w:after="120" w:afterLines="50"/>
              <w:jc w:val="center"/>
              <w:rPr>
                <w:rFonts w:ascii="宋体" w:hAnsi="宋体"/>
                <w:color w:val="auto"/>
                <w:sz w:val="24"/>
                <w:szCs w:val="20"/>
                <w:highlight w:val="none"/>
              </w:rPr>
            </w:pPr>
          </w:p>
        </w:tc>
        <w:tc>
          <w:tcPr>
            <w:tcW w:w="1701" w:type="dxa"/>
            <w:vAlign w:val="center"/>
          </w:tcPr>
          <w:p w14:paraId="3CF022CA">
            <w:pPr>
              <w:snapToGrid w:val="0"/>
              <w:spacing w:before="50" w:after="120" w:afterLines="50"/>
              <w:jc w:val="center"/>
              <w:rPr>
                <w:rFonts w:ascii="宋体" w:hAnsi="宋体"/>
                <w:color w:val="auto"/>
                <w:sz w:val="24"/>
                <w:szCs w:val="20"/>
                <w:highlight w:val="none"/>
              </w:rPr>
            </w:pPr>
          </w:p>
        </w:tc>
        <w:tc>
          <w:tcPr>
            <w:tcW w:w="1420" w:type="dxa"/>
            <w:vAlign w:val="center"/>
          </w:tcPr>
          <w:p w14:paraId="387C9905">
            <w:pPr>
              <w:snapToGrid w:val="0"/>
              <w:spacing w:before="50" w:after="120" w:afterLines="50"/>
              <w:jc w:val="center"/>
              <w:rPr>
                <w:rFonts w:ascii="宋体" w:hAnsi="宋体"/>
                <w:color w:val="auto"/>
                <w:sz w:val="24"/>
                <w:szCs w:val="20"/>
                <w:highlight w:val="none"/>
              </w:rPr>
            </w:pPr>
          </w:p>
        </w:tc>
        <w:tc>
          <w:tcPr>
            <w:tcW w:w="1698" w:type="dxa"/>
            <w:vAlign w:val="center"/>
          </w:tcPr>
          <w:p w14:paraId="5B7FB7B8">
            <w:pPr>
              <w:snapToGrid w:val="0"/>
              <w:spacing w:before="50" w:after="120" w:afterLines="50"/>
              <w:jc w:val="center"/>
              <w:rPr>
                <w:rFonts w:ascii="宋体" w:hAnsi="宋体"/>
                <w:color w:val="auto"/>
                <w:sz w:val="24"/>
                <w:szCs w:val="20"/>
                <w:highlight w:val="none"/>
              </w:rPr>
            </w:pPr>
          </w:p>
        </w:tc>
        <w:tc>
          <w:tcPr>
            <w:tcW w:w="1843" w:type="dxa"/>
            <w:vAlign w:val="center"/>
          </w:tcPr>
          <w:p w14:paraId="7ACD3CD6">
            <w:pPr>
              <w:snapToGrid w:val="0"/>
              <w:spacing w:before="50" w:after="120" w:afterLines="50"/>
              <w:jc w:val="center"/>
              <w:rPr>
                <w:rFonts w:ascii="宋体" w:hAnsi="宋体"/>
                <w:color w:val="auto"/>
                <w:sz w:val="24"/>
                <w:szCs w:val="20"/>
                <w:highlight w:val="none"/>
              </w:rPr>
            </w:pPr>
          </w:p>
        </w:tc>
      </w:tr>
      <w:tr w14:paraId="73DF1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4B7FBC4">
            <w:pPr>
              <w:snapToGrid w:val="0"/>
              <w:spacing w:before="50" w:after="120" w:afterLines="50"/>
              <w:jc w:val="center"/>
              <w:rPr>
                <w:rFonts w:ascii="宋体" w:hAnsi="宋体"/>
                <w:color w:val="auto"/>
                <w:sz w:val="24"/>
                <w:szCs w:val="20"/>
                <w:highlight w:val="none"/>
              </w:rPr>
            </w:pPr>
          </w:p>
        </w:tc>
        <w:tc>
          <w:tcPr>
            <w:tcW w:w="709" w:type="dxa"/>
            <w:vAlign w:val="center"/>
          </w:tcPr>
          <w:p w14:paraId="06BE0F74">
            <w:pPr>
              <w:snapToGrid w:val="0"/>
              <w:spacing w:before="50" w:after="120" w:afterLines="50"/>
              <w:jc w:val="center"/>
              <w:rPr>
                <w:rFonts w:ascii="宋体" w:hAnsi="宋体"/>
                <w:color w:val="auto"/>
                <w:sz w:val="24"/>
                <w:szCs w:val="20"/>
                <w:highlight w:val="none"/>
              </w:rPr>
            </w:pPr>
          </w:p>
        </w:tc>
        <w:tc>
          <w:tcPr>
            <w:tcW w:w="1701" w:type="dxa"/>
            <w:vAlign w:val="center"/>
          </w:tcPr>
          <w:p w14:paraId="5149B341">
            <w:pPr>
              <w:snapToGrid w:val="0"/>
              <w:spacing w:before="50" w:after="120" w:afterLines="50"/>
              <w:jc w:val="center"/>
              <w:rPr>
                <w:rFonts w:ascii="宋体" w:hAnsi="宋体"/>
                <w:color w:val="auto"/>
                <w:sz w:val="24"/>
                <w:szCs w:val="20"/>
                <w:highlight w:val="none"/>
              </w:rPr>
            </w:pPr>
          </w:p>
        </w:tc>
        <w:tc>
          <w:tcPr>
            <w:tcW w:w="1420" w:type="dxa"/>
            <w:vAlign w:val="center"/>
          </w:tcPr>
          <w:p w14:paraId="273E4454">
            <w:pPr>
              <w:snapToGrid w:val="0"/>
              <w:spacing w:before="50" w:after="120" w:afterLines="50"/>
              <w:jc w:val="center"/>
              <w:rPr>
                <w:rFonts w:ascii="宋体" w:hAnsi="宋体"/>
                <w:color w:val="auto"/>
                <w:sz w:val="24"/>
                <w:szCs w:val="20"/>
                <w:highlight w:val="none"/>
              </w:rPr>
            </w:pPr>
          </w:p>
        </w:tc>
        <w:tc>
          <w:tcPr>
            <w:tcW w:w="1698" w:type="dxa"/>
            <w:vAlign w:val="center"/>
          </w:tcPr>
          <w:p w14:paraId="1C751078">
            <w:pPr>
              <w:snapToGrid w:val="0"/>
              <w:spacing w:before="50" w:after="120" w:afterLines="50"/>
              <w:jc w:val="center"/>
              <w:rPr>
                <w:rFonts w:ascii="宋体" w:hAnsi="宋体"/>
                <w:color w:val="auto"/>
                <w:sz w:val="24"/>
                <w:szCs w:val="20"/>
                <w:highlight w:val="none"/>
              </w:rPr>
            </w:pPr>
          </w:p>
        </w:tc>
        <w:tc>
          <w:tcPr>
            <w:tcW w:w="1843" w:type="dxa"/>
            <w:vAlign w:val="center"/>
          </w:tcPr>
          <w:p w14:paraId="310C5F93">
            <w:pPr>
              <w:snapToGrid w:val="0"/>
              <w:spacing w:before="50" w:after="120" w:afterLines="50"/>
              <w:jc w:val="center"/>
              <w:rPr>
                <w:rFonts w:ascii="宋体" w:hAnsi="宋体"/>
                <w:color w:val="auto"/>
                <w:sz w:val="24"/>
                <w:szCs w:val="20"/>
                <w:highlight w:val="none"/>
              </w:rPr>
            </w:pPr>
          </w:p>
        </w:tc>
      </w:tr>
      <w:tr w14:paraId="5758C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1CD0C0A">
            <w:pPr>
              <w:snapToGrid w:val="0"/>
              <w:spacing w:before="50" w:after="120" w:afterLines="50"/>
              <w:jc w:val="center"/>
              <w:rPr>
                <w:rFonts w:ascii="宋体" w:hAnsi="宋体"/>
                <w:color w:val="auto"/>
                <w:sz w:val="24"/>
                <w:szCs w:val="20"/>
                <w:highlight w:val="none"/>
              </w:rPr>
            </w:pPr>
          </w:p>
        </w:tc>
        <w:tc>
          <w:tcPr>
            <w:tcW w:w="709" w:type="dxa"/>
            <w:vAlign w:val="center"/>
          </w:tcPr>
          <w:p w14:paraId="22613659">
            <w:pPr>
              <w:snapToGrid w:val="0"/>
              <w:spacing w:before="50" w:after="120" w:afterLines="50"/>
              <w:jc w:val="center"/>
              <w:rPr>
                <w:rFonts w:ascii="宋体" w:hAnsi="宋体"/>
                <w:color w:val="auto"/>
                <w:sz w:val="24"/>
                <w:szCs w:val="20"/>
                <w:highlight w:val="none"/>
              </w:rPr>
            </w:pPr>
          </w:p>
        </w:tc>
        <w:tc>
          <w:tcPr>
            <w:tcW w:w="1701" w:type="dxa"/>
            <w:vAlign w:val="center"/>
          </w:tcPr>
          <w:p w14:paraId="0C0E90CB">
            <w:pPr>
              <w:snapToGrid w:val="0"/>
              <w:spacing w:before="50" w:after="120" w:afterLines="50"/>
              <w:jc w:val="center"/>
              <w:rPr>
                <w:rFonts w:ascii="宋体" w:hAnsi="宋体"/>
                <w:color w:val="auto"/>
                <w:sz w:val="24"/>
                <w:szCs w:val="20"/>
                <w:highlight w:val="none"/>
              </w:rPr>
            </w:pPr>
          </w:p>
        </w:tc>
        <w:tc>
          <w:tcPr>
            <w:tcW w:w="1420" w:type="dxa"/>
            <w:vAlign w:val="center"/>
          </w:tcPr>
          <w:p w14:paraId="733DC919">
            <w:pPr>
              <w:snapToGrid w:val="0"/>
              <w:spacing w:before="50" w:after="120" w:afterLines="50"/>
              <w:jc w:val="center"/>
              <w:rPr>
                <w:rFonts w:ascii="宋体" w:hAnsi="宋体"/>
                <w:color w:val="auto"/>
                <w:sz w:val="24"/>
                <w:szCs w:val="20"/>
                <w:highlight w:val="none"/>
              </w:rPr>
            </w:pPr>
          </w:p>
        </w:tc>
        <w:tc>
          <w:tcPr>
            <w:tcW w:w="1698" w:type="dxa"/>
            <w:vAlign w:val="center"/>
          </w:tcPr>
          <w:p w14:paraId="256DE594">
            <w:pPr>
              <w:snapToGrid w:val="0"/>
              <w:spacing w:before="50" w:after="120" w:afterLines="50"/>
              <w:jc w:val="center"/>
              <w:rPr>
                <w:rFonts w:ascii="宋体" w:hAnsi="宋体"/>
                <w:color w:val="auto"/>
                <w:sz w:val="24"/>
                <w:szCs w:val="20"/>
                <w:highlight w:val="none"/>
              </w:rPr>
            </w:pPr>
          </w:p>
        </w:tc>
        <w:tc>
          <w:tcPr>
            <w:tcW w:w="1843" w:type="dxa"/>
            <w:vAlign w:val="center"/>
          </w:tcPr>
          <w:p w14:paraId="726E6F58">
            <w:pPr>
              <w:snapToGrid w:val="0"/>
              <w:spacing w:before="50" w:after="120" w:afterLines="50"/>
              <w:jc w:val="center"/>
              <w:rPr>
                <w:rFonts w:ascii="宋体" w:hAnsi="宋体"/>
                <w:color w:val="auto"/>
                <w:sz w:val="24"/>
                <w:szCs w:val="20"/>
                <w:highlight w:val="none"/>
              </w:rPr>
            </w:pPr>
          </w:p>
        </w:tc>
      </w:tr>
    </w:tbl>
    <w:p w14:paraId="364B3FBF">
      <w:pPr>
        <w:snapToGrid w:val="0"/>
        <w:spacing w:before="50" w:after="120" w:afterLines="50"/>
        <w:jc w:val="left"/>
        <w:rPr>
          <w:rFonts w:ascii="宋体" w:hAnsi="宋体"/>
          <w:color w:val="auto"/>
          <w:sz w:val="24"/>
          <w:szCs w:val="20"/>
          <w:highlight w:val="none"/>
        </w:rPr>
      </w:pPr>
    </w:p>
    <w:p w14:paraId="39ABB866">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注：</w:t>
      </w:r>
    </w:p>
    <w:p w14:paraId="543E69C9">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在填写时，如本表格不适合投标单位的实际情况，可根据本表格式自行制表填写。</w:t>
      </w:r>
    </w:p>
    <w:p w14:paraId="05C253E3">
      <w:pPr>
        <w:spacing w:line="360" w:lineRule="auto"/>
        <w:contextualSpacing/>
        <w:jc w:val="left"/>
        <w:rPr>
          <w:rFonts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投标人应当附本表所列证书的复印件并加盖投标人电子签章。</w:t>
      </w:r>
    </w:p>
    <w:p w14:paraId="471A5144">
      <w:pPr>
        <w:spacing w:line="360" w:lineRule="auto"/>
        <w:contextualSpacing/>
        <w:jc w:val="left"/>
        <w:rPr>
          <w:rFonts w:ascii="宋体" w:hAnsi="宋体"/>
          <w:color w:val="auto"/>
          <w:sz w:val="24"/>
          <w:szCs w:val="20"/>
          <w:highlight w:val="none"/>
        </w:rPr>
      </w:pPr>
    </w:p>
    <w:p w14:paraId="3AA792CB">
      <w:pPr>
        <w:spacing w:line="360" w:lineRule="auto"/>
        <w:contextualSpacing/>
        <w:jc w:val="left"/>
        <w:rPr>
          <w:rFonts w:ascii="宋体" w:hAnsi="宋体"/>
          <w:color w:val="auto"/>
          <w:sz w:val="24"/>
          <w:szCs w:val="20"/>
          <w:highlight w:val="none"/>
        </w:rPr>
      </w:pPr>
    </w:p>
    <w:p w14:paraId="640169BB">
      <w:pPr>
        <w:spacing w:line="360" w:lineRule="auto"/>
        <w:contextualSpacing/>
        <w:rPr>
          <w:rFonts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74A924AC">
      <w:pPr>
        <w:spacing w:line="360" w:lineRule="auto"/>
        <w:contextualSpacing/>
        <w:jc w:val="left"/>
        <w:rPr>
          <w:rFonts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17A54475">
      <w:pPr>
        <w:spacing w:line="360" w:lineRule="auto"/>
        <w:contextualSpacing/>
        <w:jc w:val="left"/>
        <w:rPr>
          <w:rFonts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6591160C">
      <w:pPr>
        <w:snapToGrid w:val="0"/>
        <w:spacing w:before="50" w:after="120" w:afterLines="50"/>
        <w:jc w:val="left"/>
        <w:rPr>
          <w:rFonts w:ascii="宋体" w:hAnsi="宋体"/>
          <w:color w:val="auto"/>
          <w:sz w:val="24"/>
          <w:szCs w:val="20"/>
          <w:highlight w:val="none"/>
        </w:rPr>
      </w:pPr>
    </w:p>
    <w:p w14:paraId="1024522B">
      <w:pPr>
        <w:snapToGrid w:val="0"/>
        <w:spacing w:before="120" w:beforeLines="50" w:after="50"/>
        <w:ind w:left="142"/>
        <w:jc w:val="left"/>
        <w:rPr>
          <w:b/>
          <w:color w:val="auto"/>
          <w:sz w:val="28"/>
          <w:szCs w:val="28"/>
          <w:highlight w:val="none"/>
        </w:rPr>
      </w:pPr>
      <w:r>
        <w:rPr>
          <w:rFonts w:ascii="宋体" w:hAnsi="宋体"/>
          <w:b/>
          <w:color w:val="auto"/>
          <w:sz w:val="24"/>
          <w:highlight w:val="none"/>
        </w:rPr>
        <w:br w:type="page"/>
      </w:r>
      <w:r>
        <w:rPr>
          <w:rFonts w:hint="eastAsia"/>
          <w:b/>
          <w:color w:val="auto"/>
          <w:sz w:val="28"/>
          <w:szCs w:val="28"/>
          <w:highlight w:val="none"/>
        </w:rPr>
        <w:t>四、其他文书、文件格式</w:t>
      </w:r>
    </w:p>
    <w:p w14:paraId="4DCF493B">
      <w:pPr>
        <w:snapToGrid w:val="0"/>
        <w:spacing w:before="120" w:beforeLines="50" w:after="50"/>
        <w:jc w:val="left"/>
        <w:rPr>
          <w:color w:val="auto"/>
          <w:highlight w:val="none"/>
        </w:rPr>
      </w:pPr>
      <w:r>
        <w:rPr>
          <w:rFonts w:hint="eastAsia" w:ascii="宋体" w:hAnsi="宋体"/>
          <w:b/>
          <w:color w:val="auto"/>
          <w:sz w:val="24"/>
          <w:highlight w:val="none"/>
        </w:rPr>
        <w:t>1.中小企业声明函格式</w:t>
      </w:r>
    </w:p>
    <w:p w14:paraId="0B29DF3F">
      <w:pPr>
        <w:rPr>
          <w:color w:val="auto"/>
          <w:highlight w:val="none"/>
        </w:rPr>
      </w:pPr>
    </w:p>
    <w:p w14:paraId="08C92519">
      <w:pPr>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中小企业声明函（货物）</w:t>
      </w:r>
    </w:p>
    <w:p w14:paraId="2DE105D1">
      <w:pPr>
        <w:spacing w:before="2" w:line="500" w:lineRule="exact"/>
        <w:rPr>
          <w:rFonts w:ascii="宋体" w:hAnsi="宋体" w:cs="宋体"/>
          <w:b/>
          <w:bCs/>
          <w:color w:val="auto"/>
          <w:sz w:val="27"/>
          <w:szCs w:val="27"/>
          <w:highlight w:val="none"/>
        </w:rPr>
      </w:pPr>
    </w:p>
    <w:p w14:paraId="2242ACF4">
      <w:pPr>
        <w:pStyle w:val="17"/>
        <w:spacing w:line="360" w:lineRule="auto"/>
        <w:ind w:left="-426" w:leftChars="-203" w:right="142" w:firstLine="480" w:firstLineChars="200"/>
        <w:contextualSpacing/>
        <w:rPr>
          <w:rFonts w:ascii="宋体" w:hAnsi="宋体"/>
          <w:color w:val="auto"/>
          <w:kern w:val="24"/>
          <w:highlight w:val="none"/>
        </w:rPr>
      </w:pPr>
      <w:r>
        <w:rPr>
          <w:rFonts w:ascii="宋体" w:hAnsi="宋体"/>
          <w:color w:val="auto"/>
          <w:kern w:val="24"/>
          <w:highlight w:val="none"/>
        </w:rPr>
        <w:t>本公司（联合体）郑重声明，根据《政府采购促进中小企业发展管理办法》（财库﹝2020﹞46号）的规定，本公司（联合体）参加</w:t>
      </w:r>
      <w:r>
        <w:rPr>
          <w:rFonts w:ascii="宋体" w:hAnsi="宋体"/>
          <w:color w:val="auto"/>
          <w:kern w:val="24"/>
          <w:highlight w:val="none"/>
          <w:u w:val="single"/>
        </w:rPr>
        <w:t>（单位名称）</w:t>
      </w:r>
      <w:r>
        <w:rPr>
          <w:rFonts w:ascii="宋体" w:hAnsi="宋体"/>
          <w:color w:val="auto"/>
          <w:kern w:val="24"/>
          <w:highlight w:val="none"/>
        </w:rPr>
        <w:t>的</w:t>
      </w:r>
      <w:r>
        <w:rPr>
          <w:rFonts w:ascii="宋体" w:hAnsi="宋体"/>
          <w:color w:val="auto"/>
          <w:kern w:val="24"/>
          <w:highlight w:val="none"/>
          <w:u w:val="single"/>
        </w:rPr>
        <w:t>（项目名称）</w:t>
      </w:r>
      <w:r>
        <w:rPr>
          <w:rFonts w:ascii="宋体" w:hAnsi="宋体"/>
          <w:color w:val="auto"/>
          <w:kern w:val="24"/>
          <w:highlight w:val="none"/>
        </w:rPr>
        <w:t>采购活动，提供的货物全部由符合政策要求的中小企业制造。相关企业（含联合体中的中小企业、签订分包意向协议的中小企业）的具体情况如下：</w:t>
      </w:r>
    </w:p>
    <w:p w14:paraId="7853AFA9">
      <w:pPr>
        <w:tabs>
          <w:tab w:val="left" w:pos="1384"/>
          <w:tab w:val="left" w:pos="4562"/>
          <w:tab w:val="left" w:pos="6803"/>
        </w:tabs>
        <w:spacing w:line="360" w:lineRule="auto"/>
        <w:ind w:left="-426" w:right="-58" w:firstLine="655"/>
        <w:contextualSpacing/>
        <w:rPr>
          <w:rFonts w:ascii="宋体" w:hAnsi="宋体"/>
          <w:color w:val="auto"/>
          <w:kern w:val="24"/>
          <w:sz w:val="24"/>
          <w:highlight w:val="none"/>
        </w:rPr>
      </w:pPr>
      <w:r>
        <w:rPr>
          <w:rFonts w:ascii="宋体" w:hAnsi="宋体"/>
          <w:color w:val="auto"/>
          <w:kern w:val="24"/>
          <w:sz w:val="24"/>
          <w:highlight w:val="none"/>
        </w:rPr>
        <w:t>1.</w:t>
      </w:r>
      <w:r>
        <w:rPr>
          <w:rFonts w:ascii="宋体" w:hAnsi="宋体"/>
          <w:color w:val="auto"/>
          <w:kern w:val="24"/>
          <w:sz w:val="24"/>
          <w:highlight w:val="none"/>
          <w:u w:val="single"/>
        </w:rPr>
        <w:t>（标的名称）</w:t>
      </w:r>
      <w:r>
        <w:rPr>
          <w:rFonts w:ascii="宋体" w:hAnsi="宋体"/>
          <w:color w:val="auto"/>
          <w:kern w:val="24"/>
          <w:sz w:val="24"/>
          <w:highlight w:val="none"/>
        </w:rPr>
        <w:t>，属于</w:t>
      </w:r>
      <w:r>
        <w:rPr>
          <w:rFonts w:ascii="宋体" w:hAnsi="宋体"/>
          <w:color w:val="auto"/>
          <w:kern w:val="24"/>
          <w:sz w:val="24"/>
          <w:highlight w:val="none"/>
          <w:u w:val="single"/>
        </w:rPr>
        <w:t>（采购文件中明确的所属行业）</w:t>
      </w:r>
      <w:r>
        <w:rPr>
          <w:rFonts w:ascii="宋体" w:hAnsi="宋体"/>
          <w:color w:val="auto"/>
          <w:kern w:val="24"/>
          <w:sz w:val="24"/>
          <w:highlight w:val="none"/>
        </w:rPr>
        <w:t>行业；制造商为</w:t>
      </w:r>
      <w:r>
        <w:rPr>
          <w:rFonts w:ascii="宋体" w:hAnsi="宋体"/>
          <w:color w:val="auto"/>
          <w:kern w:val="24"/>
          <w:sz w:val="24"/>
          <w:highlight w:val="none"/>
          <w:u w:val="single"/>
        </w:rPr>
        <w:t>（企业名称）</w:t>
      </w:r>
      <w:r>
        <w:rPr>
          <w:rFonts w:ascii="宋体" w:hAnsi="宋体"/>
          <w:color w:val="auto"/>
          <w:kern w:val="24"/>
          <w:sz w:val="24"/>
          <w:highlight w:val="none"/>
        </w:rPr>
        <w:t>，从业人员</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人，营业收入为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万元，资产总额为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万元，属于</w:t>
      </w:r>
      <w:r>
        <w:rPr>
          <w:rFonts w:ascii="宋体" w:hAnsi="宋体"/>
          <w:color w:val="auto"/>
          <w:kern w:val="24"/>
          <w:sz w:val="24"/>
          <w:highlight w:val="none"/>
          <w:u w:val="single"/>
        </w:rPr>
        <w:t>（中型企业、小型企业、微型企业）</w:t>
      </w:r>
      <w:r>
        <w:rPr>
          <w:rFonts w:ascii="宋体" w:hAnsi="宋体"/>
          <w:color w:val="auto"/>
          <w:kern w:val="24"/>
          <w:sz w:val="24"/>
          <w:highlight w:val="none"/>
        </w:rPr>
        <w:t>；</w:t>
      </w:r>
    </w:p>
    <w:p w14:paraId="5A75E701">
      <w:pPr>
        <w:tabs>
          <w:tab w:val="left" w:pos="1065"/>
          <w:tab w:val="left" w:pos="6477"/>
        </w:tabs>
        <w:spacing w:line="360" w:lineRule="auto"/>
        <w:ind w:left="-426" w:right="-58" w:firstLine="655"/>
        <w:contextualSpacing/>
        <w:rPr>
          <w:rFonts w:ascii="宋体" w:hAnsi="宋体"/>
          <w:color w:val="auto"/>
          <w:kern w:val="24"/>
          <w:sz w:val="24"/>
          <w:highlight w:val="none"/>
        </w:rPr>
      </w:pPr>
      <w:r>
        <w:rPr>
          <w:rFonts w:ascii="宋体" w:hAnsi="宋体"/>
          <w:color w:val="auto"/>
          <w:kern w:val="24"/>
          <w:sz w:val="24"/>
          <w:highlight w:val="none"/>
        </w:rPr>
        <w:t>2.</w:t>
      </w:r>
      <w:r>
        <w:rPr>
          <w:rFonts w:ascii="宋体" w:hAnsi="宋体"/>
          <w:color w:val="auto"/>
          <w:kern w:val="24"/>
          <w:sz w:val="24"/>
          <w:highlight w:val="none"/>
          <w:u w:val="single"/>
        </w:rPr>
        <w:t>（标的名称）</w:t>
      </w:r>
      <w:r>
        <w:rPr>
          <w:rFonts w:ascii="宋体" w:hAnsi="宋体"/>
          <w:color w:val="auto"/>
          <w:kern w:val="24"/>
          <w:sz w:val="24"/>
          <w:highlight w:val="none"/>
        </w:rPr>
        <w:t>，属于</w:t>
      </w:r>
      <w:r>
        <w:rPr>
          <w:rFonts w:ascii="宋体" w:hAnsi="宋体"/>
          <w:color w:val="auto"/>
          <w:kern w:val="24"/>
          <w:sz w:val="24"/>
          <w:highlight w:val="none"/>
          <w:u w:val="single"/>
        </w:rPr>
        <w:t>（采购文件中明确的所属行业）</w:t>
      </w:r>
      <w:r>
        <w:rPr>
          <w:rFonts w:ascii="宋体" w:hAnsi="宋体"/>
          <w:color w:val="auto"/>
          <w:kern w:val="24"/>
          <w:sz w:val="24"/>
          <w:highlight w:val="none"/>
        </w:rPr>
        <w:t>行业；制造商为</w:t>
      </w:r>
      <w:r>
        <w:rPr>
          <w:rFonts w:ascii="宋体" w:hAnsi="宋体"/>
          <w:color w:val="auto"/>
          <w:kern w:val="24"/>
          <w:sz w:val="24"/>
          <w:highlight w:val="none"/>
          <w:u w:val="single"/>
        </w:rPr>
        <w:t>（企业名称）</w:t>
      </w:r>
      <w:r>
        <w:rPr>
          <w:rFonts w:ascii="宋体" w:hAnsi="宋体"/>
          <w:color w:val="auto"/>
          <w:kern w:val="24"/>
          <w:sz w:val="24"/>
          <w:highlight w:val="none"/>
        </w:rPr>
        <w:t>，从业人员</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人，营业收入为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万元，资产总额为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万元，属于</w:t>
      </w:r>
      <w:r>
        <w:rPr>
          <w:rFonts w:ascii="宋体" w:hAnsi="宋体"/>
          <w:color w:val="auto"/>
          <w:kern w:val="24"/>
          <w:sz w:val="24"/>
          <w:highlight w:val="none"/>
          <w:u w:val="single"/>
        </w:rPr>
        <w:t>（中型企业、小型企业、微型企业）</w:t>
      </w:r>
      <w:r>
        <w:rPr>
          <w:rFonts w:ascii="宋体" w:hAnsi="宋体"/>
          <w:color w:val="auto"/>
          <w:kern w:val="24"/>
          <w:sz w:val="24"/>
          <w:highlight w:val="none"/>
        </w:rPr>
        <w:t>；</w:t>
      </w:r>
    </w:p>
    <w:p w14:paraId="7D1560E9">
      <w:pPr>
        <w:pStyle w:val="17"/>
        <w:spacing w:line="360" w:lineRule="auto"/>
        <w:ind w:left="142" w:right="142"/>
        <w:contextualSpacing/>
        <w:rPr>
          <w:rFonts w:ascii="宋体" w:hAnsi="宋体"/>
          <w:color w:val="auto"/>
          <w:kern w:val="24"/>
          <w:highlight w:val="none"/>
        </w:rPr>
      </w:pPr>
      <w:r>
        <w:rPr>
          <w:rFonts w:ascii="宋体" w:hAnsi="宋体"/>
          <w:color w:val="auto"/>
          <w:kern w:val="24"/>
          <w:highlight w:val="none"/>
        </w:rPr>
        <w:t xml:space="preserve">…… </w:t>
      </w:r>
    </w:p>
    <w:p w14:paraId="23E967EB">
      <w:pPr>
        <w:pStyle w:val="17"/>
        <w:spacing w:line="360" w:lineRule="auto"/>
        <w:ind w:left="-405" w:leftChars="-193" w:right="142" w:firstLine="453" w:firstLineChars="189"/>
        <w:contextualSpacing/>
        <w:rPr>
          <w:rFonts w:ascii="宋体" w:hAnsi="宋体"/>
          <w:color w:val="auto"/>
          <w:kern w:val="24"/>
          <w:highlight w:val="none"/>
        </w:rPr>
      </w:pPr>
      <w:r>
        <w:rPr>
          <w:rFonts w:ascii="宋体" w:hAnsi="宋体"/>
          <w:color w:val="auto"/>
          <w:kern w:val="24"/>
          <w:highlight w:val="none"/>
        </w:rPr>
        <w:t>以上企业，不属于大企业的分支机构，不存在控股股东为大企业的情形，也不存在与大企业的负责人为同一人的情形。</w:t>
      </w:r>
    </w:p>
    <w:p w14:paraId="143DD6BC">
      <w:pPr>
        <w:pStyle w:val="17"/>
        <w:spacing w:line="360" w:lineRule="auto"/>
        <w:ind w:left="-426" w:right="142" w:firstLine="567"/>
        <w:contextualSpacing/>
        <w:rPr>
          <w:rFonts w:ascii="宋体" w:hAnsi="宋体"/>
          <w:color w:val="auto"/>
          <w:kern w:val="24"/>
          <w:highlight w:val="none"/>
        </w:rPr>
      </w:pPr>
      <w:r>
        <w:rPr>
          <w:rFonts w:ascii="宋体" w:hAnsi="宋体"/>
          <w:color w:val="auto"/>
          <w:kern w:val="24"/>
          <w:highlight w:val="none"/>
        </w:rPr>
        <w:t>本企业对上述声明内容的真实性负责。如有虚假，将依法承担相应责任。</w:t>
      </w:r>
    </w:p>
    <w:p w14:paraId="555308D0">
      <w:pPr>
        <w:pStyle w:val="17"/>
        <w:spacing w:line="360" w:lineRule="auto"/>
        <w:ind w:left="3960" w:right="1808"/>
        <w:contextualSpacing/>
        <w:rPr>
          <w:rFonts w:ascii="宋体" w:hAnsi="宋体"/>
          <w:color w:val="auto"/>
          <w:kern w:val="24"/>
          <w:highlight w:val="none"/>
        </w:rPr>
      </w:pPr>
    </w:p>
    <w:p w14:paraId="22E316DB">
      <w:pPr>
        <w:pStyle w:val="17"/>
        <w:spacing w:line="360" w:lineRule="auto"/>
        <w:ind w:left="3960" w:right="1808"/>
        <w:contextualSpacing/>
        <w:rPr>
          <w:rFonts w:ascii="宋体" w:hAnsi="宋体"/>
          <w:color w:val="auto"/>
          <w:kern w:val="24"/>
          <w:highlight w:val="none"/>
        </w:rPr>
      </w:pPr>
      <w:r>
        <w:rPr>
          <w:rFonts w:ascii="宋体" w:hAnsi="宋体"/>
          <w:color w:val="auto"/>
          <w:kern w:val="24"/>
          <w:highlight w:val="none"/>
        </w:rPr>
        <w:t>企业名称（</w:t>
      </w:r>
      <w:r>
        <w:rPr>
          <w:rFonts w:hint="eastAsia" w:ascii="宋体" w:hAnsi="宋体"/>
          <w:color w:val="auto"/>
          <w:kern w:val="24"/>
          <w:highlight w:val="none"/>
        </w:rPr>
        <w:t>电子签章</w:t>
      </w:r>
      <w:r>
        <w:rPr>
          <w:rFonts w:ascii="宋体" w:hAnsi="宋体"/>
          <w:color w:val="auto"/>
          <w:kern w:val="24"/>
          <w:highlight w:val="none"/>
        </w:rPr>
        <w:t xml:space="preserve">）： </w:t>
      </w:r>
    </w:p>
    <w:p w14:paraId="4BD864ED">
      <w:pPr>
        <w:pStyle w:val="17"/>
        <w:spacing w:line="360" w:lineRule="auto"/>
        <w:ind w:left="3960" w:right="1808"/>
        <w:contextualSpacing/>
        <w:rPr>
          <w:rFonts w:ascii="宋体" w:hAnsi="宋体"/>
          <w:color w:val="auto"/>
          <w:kern w:val="24"/>
          <w:highlight w:val="none"/>
        </w:rPr>
      </w:pPr>
      <w:r>
        <w:rPr>
          <w:rFonts w:ascii="宋体" w:hAnsi="宋体"/>
          <w:color w:val="auto"/>
          <w:kern w:val="24"/>
          <w:highlight w:val="none"/>
        </w:rPr>
        <w:t>日</w:t>
      </w:r>
      <w:r>
        <w:rPr>
          <w:rFonts w:hint="eastAsia" w:ascii="宋体" w:hAnsi="宋体"/>
          <w:color w:val="auto"/>
          <w:kern w:val="24"/>
          <w:highlight w:val="none"/>
        </w:rPr>
        <w:t xml:space="preserve"> </w:t>
      </w:r>
      <w:r>
        <w:rPr>
          <w:rFonts w:ascii="宋体" w:hAnsi="宋体"/>
          <w:color w:val="auto"/>
          <w:kern w:val="24"/>
          <w:highlight w:val="none"/>
        </w:rPr>
        <w:t>期：</w:t>
      </w:r>
    </w:p>
    <w:p w14:paraId="6A9D02C2">
      <w:pPr>
        <w:pStyle w:val="17"/>
        <w:spacing w:line="360" w:lineRule="auto"/>
        <w:ind w:left="3960" w:right="1808"/>
        <w:contextualSpacing/>
        <w:rPr>
          <w:rFonts w:ascii="宋体" w:hAnsi="宋体"/>
          <w:color w:val="auto"/>
          <w:kern w:val="24"/>
          <w:highlight w:val="none"/>
        </w:rPr>
      </w:pPr>
    </w:p>
    <w:p w14:paraId="4F44F911">
      <w:pPr>
        <w:pStyle w:val="17"/>
        <w:spacing w:line="360" w:lineRule="auto"/>
        <w:ind w:left="3960" w:right="1808"/>
        <w:contextualSpacing/>
        <w:rPr>
          <w:rFonts w:ascii="宋体" w:hAnsi="宋体"/>
          <w:color w:val="auto"/>
          <w:kern w:val="24"/>
          <w:highlight w:val="none"/>
        </w:rPr>
      </w:pPr>
    </w:p>
    <w:p w14:paraId="3B4DAE7D">
      <w:pPr>
        <w:pStyle w:val="17"/>
        <w:spacing w:line="360" w:lineRule="auto"/>
        <w:ind w:left="-426" w:right="142" w:firstLine="567"/>
        <w:contextualSpacing/>
        <w:rPr>
          <w:rFonts w:ascii="宋体" w:hAnsi="宋体"/>
          <w:color w:val="auto"/>
          <w:kern w:val="24"/>
          <w:highlight w:val="none"/>
        </w:rPr>
      </w:pPr>
      <w:r>
        <w:rPr>
          <w:rFonts w:hint="eastAsia" w:ascii="宋体" w:hAnsi="宋体"/>
          <w:color w:val="auto"/>
          <w:kern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37A3E89E">
      <w:pPr>
        <w:snapToGrid w:val="0"/>
        <w:spacing w:before="120" w:beforeLines="50" w:after="50"/>
        <w:ind w:left="142"/>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2.残疾人福利性单位声明函格式</w:t>
      </w:r>
    </w:p>
    <w:p w14:paraId="4E174750">
      <w:pPr>
        <w:spacing w:line="588" w:lineRule="exact"/>
        <w:jc w:val="center"/>
        <w:rPr>
          <w:rFonts w:ascii="仿宋_GB2312" w:eastAsia="仿宋_GB2312"/>
          <w:b/>
          <w:color w:val="auto"/>
          <w:spacing w:val="6"/>
          <w:sz w:val="32"/>
          <w:szCs w:val="32"/>
          <w:highlight w:val="none"/>
        </w:rPr>
      </w:pPr>
    </w:p>
    <w:p w14:paraId="63A49F47">
      <w:pPr>
        <w:spacing w:line="588" w:lineRule="exact"/>
        <w:jc w:val="center"/>
        <w:rPr>
          <w:rFonts w:ascii="方正小标宋简体" w:hAnsi="方正小标宋简体" w:eastAsia="方正小标宋简体" w:cs="方正小标宋简体"/>
          <w:bCs/>
          <w:color w:val="auto"/>
          <w:spacing w:val="6"/>
          <w:sz w:val="44"/>
          <w:szCs w:val="44"/>
          <w:highlight w:val="none"/>
        </w:rPr>
      </w:pPr>
      <w:r>
        <w:rPr>
          <w:rFonts w:hint="eastAsia" w:ascii="方正小标宋简体" w:hAnsi="方正小标宋简体" w:eastAsia="方正小标宋简体" w:cs="方正小标宋简体"/>
          <w:bCs/>
          <w:color w:val="auto"/>
          <w:spacing w:val="6"/>
          <w:sz w:val="44"/>
          <w:szCs w:val="44"/>
          <w:highlight w:val="none"/>
        </w:rPr>
        <w:t>残疾人福利性单位声明函</w:t>
      </w:r>
    </w:p>
    <w:p w14:paraId="2DE044E5">
      <w:pPr>
        <w:spacing w:line="360" w:lineRule="auto"/>
        <w:contextualSpacing/>
        <w:rPr>
          <w:rFonts w:ascii="仿宋_GB2312" w:eastAsia="仿宋_GB2312"/>
          <w:bCs/>
          <w:color w:val="auto"/>
          <w:spacing w:val="6"/>
          <w:sz w:val="30"/>
          <w:szCs w:val="30"/>
          <w:highlight w:val="none"/>
        </w:rPr>
      </w:pPr>
    </w:p>
    <w:p w14:paraId="2A9BFB4E">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01383010">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34F399F6">
      <w:pPr>
        <w:spacing w:line="360" w:lineRule="auto"/>
        <w:ind w:firstLine="504" w:firstLineChars="200"/>
        <w:contextualSpacing/>
        <w:rPr>
          <w:rFonts w:ascii="宋体" w:hAnsi="宋体"/>
          <w:color w:val="auto"/>
          <w:spacing w:val="6"/>
          <w:sz w:val="24"/>
          <w:highlight w:val="none"/>
        </w:rPr>
      </w:pPr>
    </w:p>
    <w:p w14:paraId="72851049">
      <w:pPr>
        <w:spacing w:line="360" w:lineRule="auto"/>
        <w:ind w:firstLine="504" w:firstLineChars="200"/>
        <w:contextualSpacing/>
        <w:rPr>
          <w:rFonts w:ascii="宋体" w:hAnsi="宋体"/>
          <w:color w:val="auto"/>
          <w:spacing w:val="6"/>
          <w:sz w:val="24"/>
          <w:highlight w:val="none"/>
        </w:rPr>
      </w:pPr>
    </w:p>
    <w:p w14:paraId="6FAD6829">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单位名称（电子签章）：</w:t>
      </w:r>
    </w:p>
    <w:p w14:paraId="44A66443">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日  期：</w:t>
      </w:r>
    </w:p>
    <w:p w14:paraId="290D8D95">
      <w:pPr>
        <w:spacing w:line="360" w:lineRule="auto"/>
        <w:contextualSpacing/>
        <w:rPr>
          <w:rFonts w:ascii="宋体" w:hAnsi="宋体"/>
          <w:color w:val="auto"/>
          <w:sz w:val="24"/>
          <w:highlight w:val="none"/>
        </w:rPr>
      </w:pPr>
    </w:p>
    <w:p w14:paraId="18B43E61">
      <w:pPr>
        <w:spacing w:line="360" w:lineRule="auto"/>
        <w:contextualSpacing/>
        <w:rPr>
          <w:rFonts w:ascii="宋体" w:hAnsi="宋体"/>
          <w:color w:val="auto"/>
          <w:sz w:val="24"/>
          <w:highlight w:val="none"/>
        </w:rPr>
      </w:pPr>
    </w:p>
    <w:p w14:paraId="2D424D36">
      <w:pPr>
        <w:spacing w:line="360" w:lineRule="auto"/>
        <w:contextualSpacing/>
        <w:rPr>
          <w:rFonts w:ascii="宋体" w:hAnsi="宋体"/>
          <w:color w:val="auto"/>
          <w:sz w:val="24"/>
          <w:highlight w:val="none"/>
        </w:rPr>
      </w:pPr>
    </w:p>
    <w:p w14:paraId="3248E9C0">
      <w:pPr>
        <w:spacing w:line="360" w:lineRule="auto"/>
        <w:contextualSpacing/>
        <w:rPr>
          <w:rFonts w:ascii="宋体" w:hAnsi="宋体"/>
          <w:color w:val="auto"/>
          <w:sz w:val="24"/>
          <w:highlight w:val="none"/>
        </w:rPr>
      </w:pPr>
      <w:r>
        <w:rPr>
          <w:rFonts w:hint="eastAsia" w:ascii="宋体" w:hAnsi="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4465852D">
      <w:pPr>
        <w:pStyle w:val="17"/>
        <w:rPr>
          <w:rFonts w:ascii="宋体" w:hAnsi="宋体"/>
          <w:b/>
          <w:color w:val="auto"/>
          <w:highlight w:val="none"/>
        </w:rPr>
      </w:pPr>
      <w:r>
        <w:rPr>
          <w:rFonts w:ascii="宋体" w:hAnsi="宋体"/>
          <w:color w:val="auto"/>
          <w:highlight w:val="none"/>
        </w:rPr>
        <w:br w:type="page"/>
      </w:r>
      <w:r>
        <w:rPr>
          <w:rFonts w:hint="eastAsia" w:ascii="宋体" w:hAnsi="宋体"/>
          <w:b/>
          <w:color w:val="auto"/>
          <w:highlight w:val="none"/>
        </w:rPr>
        <w:t>3.</w:t>
      </w:r>
      <w:r>
        <w:rPr>
          <w:rFonts w:hint="eastAsia"/>
          <w:color w:val="auto"/>
          <w:highlight w:val="none"/>
        </w:rPr>
        <w:t xml:space="preserve"> </w:t>
      </w:r>
      <w:r>
        <w:rPr>
          <w:rFonts w:hint="eastAsia" w:ascii="宋体" w:hAnsi="宋体"/>
          <w:b/>
          <w:color w:val="auto"/>
          <w:highlight w:val="none"/>
        </w:rPr>
        <w:t>关于符合本国产品标准的声明函格式</w:t>
      </w:r>
    </w:p>
    <w:p w14:paraId="411AF872">
      <w:pPr>
        <w:pStyle w:val="17"/>
        <w:rPr>
          <w:color w:val="auto"/>
          <w:highlight w:val="none"/>
        </w:rPr>
      </w:pPr>
    </w:p>
    <w:p w14:paraId="62994B55">
      <w:pPr>
        <w:widowControl/>
        <w:shd w:val="clear" w:color="auto" w:fill="FFFFFF"/>
        <w:jc w:val="center"/>
        <w:rPr>
          <w:rFonts w:ascii="宋体" w:hAnsi="宋体" w:cs="宋体"/>
          <w:color w:val="auto"/>
          <w:kern w:val="0"/>
          <w:sz w:val="36"/>
          <w:szCs w:val="36"/>
          <w:highlight w:val="none"/>
        </w:rPr>
      </w:pPr>
      <w:r>
        <w:rPr>
          <w:rFonts w:hint="eastAsia" w:ascii="宋体" w:hAnsi="宋体" w:cs="宋体"/>
          <w:b/>
          <w:bCs/>
          <w:color w:val="auto"/>
          <w:kern w:val="0"/>
          <w:sz w:val="36"/>
          <w:szCs w:val="36"/>
          <w:highlight w:val="none"/>
        </w:rPr>
        <w:t>关于符合本国产品标准的声明函</w:t>
      </w:r>
    </w:p>
    <w:p w14:paraId="5012A8DE">
      <w:pPr>
        <w:widowControl/>
        <w:shd w:val="clear" w:color="auto" w:fill="FFFFFF"/>
        <w:spacing w:before="30" w:after="30"/>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 </w:t>
      </w:r>
    </w:p>
    <w:p w14:paraId="0166DEF7">
      <w:pPr>
        <w:widowControl/>
        <w:shd w:val="clear" w:color="auto" w:fill="FFFFFF"/>
        <w:spacing w:before="30" w:after="30"/>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1F3F949B">
      <w:pPr>
        <w:widowControl/>
        <w:shd w:val="clear" w:color="auto" w:fill="FFFFFF"/>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i/>
          <w:iCs/>
          <w:color w:val="auto"/>
          <w:kern w:val="0"/>
          <w:sz w:val="24"/>
          <w:highlight w:val="none"/>
        </w:rPr>
        <w:t>（产品名称1）</w:t>
      </w:r>
      <w:r>
        <w:rPr>
          <w:rFonts w:hint="eastAsia" w:ascii="宋体" w:hAnsi="宋体" w:cs="宋体"/>
          <w:i/>
          <w:iCs/>
          <w:color w:val="auto"/>
          <w:kern w:val="0"/>
          <w:sz w:val="18"/>
          <w:szCs w:val="18"/>
          <w:highlight w:val="none"/>
          <w:vertAlign w:val="superscript"/>
        </w:rPr>
        <w:t>1</w:t>
      </w:r>
      <w:r>
        <w:rPr>
          <w:rFonts w:hint="eastAsia" w:ascii="宋体" w:hAnsi="宋体" w:cs="宋体"/>
          <w:color w:val="auto"/>
          <w:kern w:val="0"/>
          <w:sz w:val="24"/>
          <w:highlight w:val="none"/>
        </w:rPr>
        <w:t>，生产厂为</w:t>
      </w:r>
      <w:r>
        <w:rPr>
          <w:rFonts w:hint="eastAsia" w:ascii="宋体" w:hAnsi="宋体" w:cs="宋体"/>
          <w:i/>
          <w:iCs/>
          <w:color w:val="auto"/>
          <w:kern w:val="0"/>
          <w:sz w:val="24"/>
          <w:highlight w:val="none"/>
        </w:rPr>
        <w:t>（厂名）</w:t>
      </w:r>
      <w:r>
        <w:rPr>
          <w:rFonts w:hint="eastAsia" w:ascii="宋体" w:hAnsi="宋体" w:cs="宋体"/>
          <w:i/>
          <w:iCs/>
          <w:color w:val="auto"/>
          <w:kern w:val="0"/>
          <w:sz w:val="18"/>
          <w:szCs w:val="18"/>
          <w:highlight w:val="none"/>
          <w:vertAlign w:val="superscript"/>
        </w:rPr>
        <w:t>2</w:t>
      </w:r>
      <w:r>
        <w:rPr>
          <w:rFonts w:hint="eastAsia" w:ascii="宋体" w:hAnsi="宋体" w:cs="宋体"/>
          <w:color w:val="auto"/>
          <w:kern w:val="0"/>
          <w:sz w:val="24"/>
          <w:highlight w:val="none"/>
        </w:rPr>
        <w:t>，厂址为</w:t>
      </w:r>
      <w:r>
        <w:rPr>
          <w:rFonts w:hint="eastAsia" w:ascii="宋体" w:hAnsi="宋体" w:cs="宋体"/>
          <w:i/>
          <w:iCs/>
          <w:color w:val="auto"/>
          <w:kern w:val="0"/>
          <w:sz w:val="24"/>
          <w:highlight w:val="none"/>
        </w:rPr>
        <w:t>（生产厂址）</w:t>
      </w:r>
      <w:r>
        <w:rPr>
          <w:rFonts w:hint="eastAsia" w:ascii="宋体" w:hAnsi="宋体" w:cs="宋体"/>
          <w:color w:val="auto"/>
          <w:kern w:val="0"/>
          <w:sz w:val="24"/>
          <w:highlight w:val="none"/>
        </w:rPr>
        <w:t>。</w:t>
      </w:r>
      <w:r>
        <w:rPr>
          <w:rFonts w:hint="eastAsia" w:ascii="宋体" w:hAnsi="宋体" w:cs="宋体"/>
          <w:i/>
          <w:iCs/>
          <w:color w:val="auto"/>
          <w:kern w:val="0"/>
          <w:sz w:val="24"/>
          <w:highlight w:val="none"/>
        </w:rPr>
        <w:t>（产品名称1）</w:t>
      </w:r>
      <w:r>
        <w:rPr>
          <w:rFonts w:hint="eastAsia" w:ascii="宋体" w:hAnsi="宋体" w:cs="宋体"/>
          <w:color w:val="auto"/>
          <w:kern w:val="0"/>
          <w:sz w:val="24"/>
          <w:highlight w:val="none"/>
        </w:rPr>
        <w:t>的中国境内生产的组件成本占比≥</w:t>
      </w:r>
      <w:r>
        <w:rPr>
          <w:rFonts w:hint="eastAsia" w:ascii="宋体" w:hAnsi="宋体" w:cs="宋体"/>
          <w:i/>
          <w:iCs/>
          <w:color w:val="auto"/>
          <w:kern w:val="0"/>
          <w:sz w:val="24"/>
          <w:highlight w:val="none"/>
        </w:rPr>
        <w:t>（规定比例）</w:t>
      </w:r>
      <w:r>
        <w:rPr>
          <w:rFonts w:hint="eastAsia" w:ascii="宋体" w:hAnsi="宋体" w:cs="宋体"/>
          <w:i/>
          <w:iCs/>
          <w:color w:val="auto"/>
          <w:kern w:val="0"/>
          <w:sz w:val="18"/>
          <w:szCs w:val="18"/>
          <w:highlight w:val="none"/>
          <w:vertAlign w:val="superscript"/>
        </w:rPr>
        <w:t>3</w:t>
      </w:r>
      <w:r>
        <w:rPr>
          <w:rFonts w:hint="eastAsia" w:ascii="宋体" w:hAnsi="宋体" w:cs="宋体"/>
          <w:color w:val="auto"/>
          <w:kern w:val="0"/>
          <w:sz w:val="24"/>
          <w:highlight w:val="none"/>
        </w:rPr>
        <w:t>。</w:t>
      </w:r>
      <w:r>
        <w:rPr>
          <w:rFonts w:hint="eastAsia" w:ascii="宋体" w:hAnsi="宋体" w:cs="宋体"/>
          <w:i/>
          <w:iCs/>
          <w:color w:val="auto"/>
          <w:kern w:val="0"/>
          <w:sz w:val="24"/>
          <w:highlight w:val="none"/>
        </w:rPr>
        <w:t>（产品名称1）</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rPr>
        <w:t>（关键组件）</w:t>
      </w:r>
      <w:r>
        <w:rPr>
          <w:rFonts w:hint="eastAsia" w:ascii="宋体" w:hAnsi="宋体" w:cs="宋体"/>
          <w:i/>
          <w:iCs/>
          <w:color w:val="auto"/>
          <w:kern w:val="0"/>
          <w:sz w:val="18"/>
          <w:szCs w:val="18"/>
          <w:highlight w:val="none"/>
          <w:vertAlign w:val="superscript"/>
        </w:rPr>
        <w:t>4</w:t>
      </w:r>
      <w:r>
        <w:rPr>
          <w:rFonts w:hint="eastAsia" w:ascii="宋体" w:hAnsi="宋体" w:cs="宋体"/>
          <w:color w:val="auto"/>
          <w:kern w:val="0"/>
          <w:sz w:val="24"/>
          <w:highlight w:val="none"/>
        </w:rPr>
        <w:t>在中国境内生产。</w:t>
      </w:r>
      <w:r>
        <w:rPr>
          <w:rFonts w:hint="eastAsia" w:ascii="宋体" w:hAnsi="宋体" w:cs="宋体"/>
          <w:i/>
          <w:iCs/>
          <w:color w:val="auto"/>
          <w:kern w:val="0"/>
          <w:sz w:val="24"/>
          <w:highlight w:val="none"/>
        </w:rPr>
        <w:t>（产品名称1）</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rPr>
        <w:t>（关键工序）</w:t>
      </w:r>
      <w:r>
        <w:rPr>
          <w:rFonts w:hint="eastAsia" w:ascii="宋体" w:hAnsi="宋体" w:cs="宋体"/>
          <w:i/>
          <w:iCs/>
          <w:color w:val="auto"/>
          <w:kern w:val="0"/>
          <w:sz w:val="18"/>
          <w:szCs w:val="18"/>
          <w:highlight w:val="none"/>
          <w:vertAlign w:val="superscript"/>
        </w:rPr>
        <w:t>5</w:t>
      </w:r>
      <w:r>
        <w:rPr>
          <w:rFonts w:hint="eastAsia" w:ascii="宋体" w:hAnsi="宋体" w:cs="宋体"/>
          <w:color w:val="auto"/>
          <w:kern w:val="0"/>
          <w:sz w:val="24"/>
          <w:highlight w:val="none"/>
        </w:rPr>
        <w:t>在中国境内完成。</w:t>
      </w:r>
    </w:p>
    <w:p w14:paraId="70C6E052">
      <w:pPr>
        <w:widowControl/>
        <w:shd w:val="clear" w:color="auto" w:fill="FFFFFF"/>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i/>
          <w:iCs/>
          <w:color w:val="auto"/>
          <w:kern w:val="0"/>
          <w:sz w:val="24"/>
          <w:highlight w:val="none"/>
        </w:rPr>
        <w:t>（产品名称2）</w:t>
      </w:r>
      <w:r>
        <w:rPr>
          <w:rFonts w:hint="eastAsia" w:ascii="宋体" w:hAnsi="宋体" w:cs="宋体"/>
          <w:color w:val="auto"/>
          <w:kern w:val="0"/>
          <w:sz w:val="24"/>
          <w:highlight w:val="none"/>
        </w:rPr>
        <w:t>，生产厂为</w:t>
      </w:r>
      <w:r>
        <w:rPr>
          <w:rFonts w:hint="eastAsia" w:ascii="宋体" w:hAnsi="宋体" w:cs="宋体"/>
          <w:i/>
          <w:iCs/>
          <w:color w:val="auto"/>
          <w:kern w:val="0"/>
          <w:sz w:val="24"/>
          <w:highlight w:val="none"/>
        </w:rPr>
        <w:t>（厂名）</w:t>
      </w:r>
      <w:r>
        <w:rPr>
          <w:rFonts w:hint="eastAsia" w:ascii="宋体" w:hAnsi="宋体" w:cs="宋体"/>
          <w:color w:val="auto"/>
          <w:kern w:val="0"/>
          <w:sz w:val="24"/>
          <w:highlight w:val="none"/>
        </w:rPr>
        <w:t>，厂址为</w:t>
      </w:r>
      <w:r>
        <w:rPr>
          <w:rFonts w:hint="eastAsia" w:ascii="宋体" w:hAnsi="宋体" w:cs="宋体"/>
          <w:i/>
          <w:iCs/>
          <w:color w:val="auto"/>
          <w:kern w:val="0"/>
          <w:sz w:val="24"/>
          <w:highlight w:val="none"/>
        </w:rPr>
        <w:t>（生产厂址）</w:t>
      </w:r>
      <w:r>
        <w:rPr>
          <w:rFonts w:hint="eastAsia" w:ascii="宋体" w:hAnsi="宋体" w:cs="宋体"/>
          <w:color w:val="auto"/>
          <w:kern w:val="0"/>
          <w:sz w:val="24"/>
          <w:highlight w:val="none"/>
        </w:rPr>
        <w:t>。</w:t>
      </w:r>
      <w:r>
        <w:rPr>
          <w:rFonts w:hint="eastAsia" w:ascii="宋体" w:hAnsi="宋体" w:cs="宋体"/>
          <w:i/>
          <w:iCs/>
          <w:color w:val="auto"/>
          <w:kern w:val="0"/>
          <w:sz w:val="24"/>
          <w:highlight w:val="none"/>
        </w:rPr>
        <w:t>（产品名称2）</w:t>
      </w:r>
      <w:r>
        <w:rPr>
          <w:rFonts w:hint="eastAsia" w:ascii="宋体" w:hAnsi="宋体" w:cs="宋体"/>
          <w:color w:val="auto"/>
          <w:kern w:val="0"/>
          <w:sz w:val="24"/>
          <w:highlight w:val="none"/>
        </w:rPr>
        <w:t>的中国境内生产的组件成本占比≥</w:t>
      </w:r>
      <w:r>
        <w:rPr>
          <w:rFonts w:hint="eastAsia" w:ascii="宋体" w:hAnsi="宋体" w:cs="宋体"/>
          <w:i/>
          <w:iCs/>
          <w:color w:val="auto"/>
          <w:kern w:val="0"/>
          <w:sz w:val="24"/>
          <w:highlight w:val="none"/>
        </w:rPr>
        <w:t>（规定比例）</w:t>
      </w:r>
      <w:r>
        <w:rPr>
          <w:rFonts w:hint="eastAsia" w:ascii="宋体" w:hAnsi="宋体" w:cs="宋体"/>
          <w:color w:val="auto"/>
          <w:kern w:val="0"/>
          <w:sz w:val="24"/>
          <w:highlight w:val="none"/>
        </w:rPr>
        <w:t>。</w:t>
      </w:r>
      <w:r>
        <w:rPr>
          <w:rFonts w:hint="eastAsia" w:ascii="宋体" w:hAnsi="宋体" w:cs="宋体"/>
          <w:i/>
          <w:iCs/>
          <w:color w:val="auto"/>
          <w:kern w:val="0"/>
          <w:sz w:val="24"/>
          <w:highlight w:val="none"/>
        </w:rPr>
        <w:t>（产品名称2）</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rPr>
        <w:t>（关键组件）</w:t>
      </w:r>
      <w:r>
        <w:rPr>
          <w:rFonts w:hint="eastAsia" w:ascii="宋体" w:hAnsi="宋体" w:cs="宋体"/>
          <w:color w:val="auto"/>
          <w:kern w:val="0"/>
          <w:sz w:val="24"/>
          <w:highlight w:val="none"/>
        </w:rPr>
        <w:t>在中国境内生产。</w:t>
      </w:r>
      <w:r>
        <w:rPr>
          <w:rFonts w:hint="eastAsia" w:ascii="宋体" w:hAnsi="宋体" w:cs="宋体"/>
          <w:i/>
          <w:iCs/>
          <w:color w:val="auto"/>
          <w:kern w:val="0"/>
          <w:sz w:val="24"/>
          <w:highlight w:val="none"/>
        </w:rPr>
        <w:t>（产品名称2）</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rPr>
        <w:t>（关键工序）</w:t>
      </w:r>
      <w:r>
        <w:rPr>
          <w:rFonts w:hint="eastAsia" w:ascii="宋体" w:hAnsi="宋体" w:cs="宋体"/>
          <w:color w:val="auto"/>
          <w:kern w:val="0"/>
          <w:sz w:val="24"/>
          <w:highlight w:val="none"/>
        </w:rPr>
        <w:t>在中国境内完成。</w:t>
      </w:r>
    </w:p>
    <w:p w14:paraId="1D0AEE99">
      <w:pPr>
        <w:widowControl/>
        <w:shd w:val="clear" w:color="auto" w:fill="FFFFFF"/>
        <w:spacing w:before="30" w:after="30"/>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w:t>
      </w:r>
    </w:p>
    <w:p w14:paraId="31229D2A">
      <w:pPr>
        <w:widowControl/>
        <w:shd w:val="clear" w:color="auto" w:fill="FFFFFF"/>
        <w:spacing w:before="30" w:after="30"/>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本公司（单位）对上述声明内容的真实性负责。如有虚假，愿承担相应法律责任。</w:t>
      </w:r>
    </w:p>
    <w:p w14:paraId="4A4BDCFE">
      <w:pPr>
        <w:widowControl/>
        <w:shd w:val="clear" w:color="auto" w:fill="FFFFFF"/>
        <w:spacing w:before="30" w:after="30"/>
        <w:jc w:val="left"/>
        <w:rPr>
          <w:rFonts w:ascii="宋体" w:hAnsi="宋体" w:cs="宋体"/>
          <w:color w:val="auto"/>
          <w:kern w:val="0"/>
          <w:sz w:val="24"/>
          <w:highlight w:val="none"/>
        </w:rPr>
      </w:pPr>
      <w:r>
        <w:rPr>
          <w:rFonts w:hint="eastAsia" w:ascii="宋体" w:hAnsi="宋体" w:cs="宋体"/>
          <w:color w:val="auto"/>
          <w:kern w:val="0"/>
          <w:sz w:val="24"/>
          <w:highlight w:val="none"/>
        </w:rPr>
        <w:t> </w:t>
      </w:r>
    </w:p>
    <w:p w14:paraId="6BD31C73">
      <w:pPr>
        <w:widowControl/>
        <w:shd w:val="clear" w:color="auto" w:fill="FFFFFF"/>
        <w:spacing w:before="30" w:after="30"/>
        <w:jc w:val="right"/>
        <w:rPr>
          <w:rFonts w:ascii="宋体" w:hAnsi="宋体" w:cs="宋体"/>
          <w:color w:val="auto"/>
          <w:kern w:val="0"/>
          <w:sz w:val="24"/>
          <w:highlight w:val="none"/>
        </w:rPr>
      </w:pPr>
      <w:r>
        <w:rPr>
          <w:rFonts w:hint="eastAsia" w:ascii="宋体" w:hAnsi="宋体" w:cs="宋体"/>
          <w:color w:val="auto"/>
          <w:kern w:val="0"/>
          <w:sz w:val="24"/>
          <w:highlight w:val="none"/>
        </w:rPr>
        <w:t>公司（单位）名称（盖章）：　        </w:t>
      </w:r>
    </w:p>
    <w:p w14:paraId="2397CA87">
      <w:pPr>
        <w:widowControl/>
        <w:shd w:val="clear" w:color="auto" w:fill="FFFFFF"/>
        <w:jc w:val="right"/>
        <w:rPr>
          <w:rFonts w:ascii="宋体" w:hAnsi="宋体" w:cs="宋体"/>
          <w:color w:val="auto"/>
          <w:kern w:val="0"/>
          <w:sz w:val="24"/>
          <w:highlight w:val="none"/>
        </w:rPr>
      </w:pPr>
      <w:r>
        <w:rPr>
          <w:rFonts w:hint="eastAsia" w:ascii="宋体" w:hAnsi="宋体" w:cs="宋体"/>
          <w:color w:val="auto"/>
          <w:kern w:val="0"/>
          <w:sz w:val="24"/>
          <w:highlight w:val="none"/>
        </w:rPr>
        <w:t>日期：　     年　  月　  日         </w:t>
      </w:r>
    </w:p>
    <w:p w14:paraId="4F5A2033">
      <w:pPr>
        <w:widowControl/>
        <w:shd w:val="clear" w:color="auto" w:fill="FFFFFF"/>
        <w:spacing w:before="30" w:after="30"/>
        <w:jc w:val="left"/>
        <w:rPr>
          <w:rFonts w:ascii="宋体" w:hAnsi="宋体" w:cs="宋体"/>
          <w:color w:val="auto"/>
          <w:kern w:val="0"/>
          <w:sz w:val="24"/>
          <w:highlight w:val="none"/>
        </w:rPr>
      </w:pPr>
      <w:r>
        <w:rPr>
          <w:rFonts w:hint="eastAsia" w:ascii="宋体" w:hAnsi="宋体" w:cs="宋体"/>
          <w:color w:val="auto"/>
          <w:kern w:val="0"/>
          <w:sz w:val="24"/>
          <w:highlight w:val="none"/>
        </w:rPr>
        <w:t>__________________</w:t>
      </w:r>
    </w:p>
    <w:p w14:paraId="35491730">
      <w:pPr>
        <w:widowControl/>
        <w:shd w:val="clear" w:color="auto" w:fill="FFFFFF"/>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1.产品如有型号，请在“产品名称”栏一并填写。</w:t>
      </w:r>
    </w:p>
    <w:p w14:paraId="325F50D4">
      <w:pPr>
        <w:widowControl/>
        <w:shd w:val="clear" w:color="auto" w:fill="FFFFFF"/>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2.生产厂名与厂址应与生产厂营业执照载明的相关信息保持一致。</w:t>
      </w:r>
    </w:p>
    <w:p w14:paraId="7EB0A761">
      <w:pPr>
        <w:widowControl/>
        <w:shd w:val="clear" w:color="auto" w:fill="FFFFFF"/>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3.该产品的中国境内生产的组件成本占比相关要求实施前，“规定比例”栏可不填，下同。</w:t>
      </w:r>
    </w:p>
    <w:p w14:paraId="6D896091">
      <w:pPr>
        <w:widowControl/>
        <w:shd w:val="clear" w:color="auto" w:fill="FFFFFF"/>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4.该产品的关键组件要求实施前，“关键组件”栏可不填，下同。</w:t>
      </w:r>
    </w:p>
    <w:p w14:paraId="346FCDD8">
      <w:pPr>
        <w:rPr>
          <w:rFonts w:ascii="宋体" w:hAnsi="宋体"/>
          <w:color w:val="auto"/>
          <w:sz w:val="24"/>
          <w:highlight w:val="none"/>
        </w:rPr>
      </w:pPr>
      <w:r>
        <w:rPr>
          <w:rFonts w:hint="eastAsia" w:ascii="宋体" w:hAnsi="宋体" w:cs="宋体"/>
          <w:color w:val="auto"/>
          <w:kern w:val="0"/>
          <w:szCs w:val="21"/>
          <w:highlight w:val="none"/>
        </w:rPr>
        <w:t>5.该产品的关键工序要求实施前，“关键工序”栏可不填，下同。</w:t>
      </w:r>
      <w:r>
        <w:rPr>
          <w:rFonts w:ascii="宋体" w:hAnsi="宋体"/>
          <w:color w:val="auto"/>
          <w:sz w:val="24"/>
          <w:highlight w:val="none"/>
        </w:rPr>
        <w:br w:type="page"/>
      </w:r>
    </w:p>
    <w:p w14:paraId="6B754647">
      <w:pPr>
        <w:spacing w:line="360" w:lineRule="auto"/>
        <w:jc w:val="left"/>
        <w:rPr>
          <w:rFonts w:ascii="宋体" w:hAnsi="宋体"/>
          <w:color w:val="auto"/>
          <w:sz w:val="24"/>
          <w:highlight w:val="none"/>
        </w:rPr>
      </w:pPr>
      <w:r>
        <w:rPr>
          <w:rFonts w:hint="eastAsia" w:ascii="宋体" w:hAnsi="宋体"/>
          <w:b/>
          <w:color w:val="auto"/>
          <w:sz w:val="24"/>
          <w:highlight w:val="none"/>
        </w:rPr>
        <w:t>4.质疑函（格式）</w:t>
      </w:r>
    </w:p>
    <w:p w14:paraId="44D4DE8F">
      <w:pPr>
        <w:spacing w:line="360" w:lineRule="auto"/>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质疑函（格式）</w:t>
      </w:r>
    </w:p>
    <w:p w14:paraId="17B24FC7">
      <w:pPr>
        <w:pStyle w:val="24"/>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一、质疑供应商基本信息：</w:t>
      </w:r>
    </w:p>
    <w:p w14:paraId="372F6465">
      <w:pPr>
        <w:pStyle w:val="24"/>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8C2AF96">
      <w:pPr>
        <w:pStyle w:val="24"/>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35371ED">
      <w:pPr>
        <w:pStyle w:val="24"/>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463886A4">
      <w:pPr>
        <w:pStyle w:val="24"/>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5CCB58F4">
      <w:pPr>
        <w:pStyle w:val="24"/>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6CD47E09">
      <w:pPr>
        <w:pStyle w:val="24"/>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0CA3C3C">
      <w:pPr>
        <w:pStyle w:val="24"/>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二、质疑项目基本情况：</w:t>
      </w:r>
    </w:p>
    <w:p w14:paraId="533E23B9">
      <w:pPr>
        <w:pStyle w:val="24"/>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40B9FAB5">
      <w:pPr>
        <w:pStyle w:val="24"/>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260398F3">
      <w:pPr>
        <w:pStyle w:val="24"/>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0B20571E">
      <w:pPr>
        <w:pStyle w:val="24"/>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质疑事项：</w:t>
      </w:r>
    </w:p>
    <w:p w14:paraId="66F6647C">
      <w:pPr>
        <w:pStyle w:val="24"/>
        <w:spacing w:line="360" w:lineRule="auto"/>
        <w:ind w:left="25" w:leftChars="12" w:firstLine="352" w:firstLineChars="147"/>
        <w:rPr>
          <w:rFonts w:hAnsi="宋体"/>
          <w:color w:val="auto"/>
          <w:sz w:val="24"/>
          <w:szCs w:val="24"/>
          <w:highlight w:val="none"/>
        </w:rPr>
      </w:pPr>
      <w:r>
        <w:rPr>
          <w:rFonts w:hint="eastAsia" w:hAnsi="宋体"/>
          <w:color w:val="auto"/>
          <w:sz w:val="24"/>
          <w:szCs w:val="24"/>
          <w:highlight w:val="none"/>
        </w:rPr>
        <w:t>□招标文件   招标文件获取日期：</w:t>
      </w:r>
      <w:r>
        <w:rPr>
          <w:rFonts w:hint="eastAsia" w:hAnsi="宋体"/>
          <w:bCs/>
          <w:color w:val="auto"/>
          <w:sz w:val="24"/>
          <w:szCs w:val="24"/>
          <w:highlight w:val="none"/>
          <w:u w:val="single"/>
        </w:rPr>
        <w:t xml:space="preserve">                                   </w:t>
      </w:r>
    </w:p>
    <w:p w14:paraId="5B394341">
      <w:pPr>
        <w:pStyle w:val="24"/>
        <w:spacing w:line="360" w:lineRule="auto"/>
        <w:ind w:left="25" w:leftChars="12" w:firstLine="352" w:firstLineChars="147"/>
        <w:rPr>
          <w:rFonts w:hAnsi="宋体"/>
          <w:color w:val="auto"/>
          <w:sz w:val="24"/>
          <w:szCs w:val="24"/>
          <w:highlight w:val="none"/>
        </w:rPr>
      </w:pPr>
      <w:r>
        <w:rPr>
          <w:rFonts w:hint="eastAsia" w:hAnsi="宋体"/>
          <w:color w:val="auto"/>
          <w:sz w:val="24"/>
          <w:szCs w:val="24"/>
          <w:highlight w:val="none"/>
        </w:rPr>
        <w:t xml:space="preserve">□招标过程   </w:t>
      </w:r>
    </w:p>
    <w:p w14:paraId="72FC24CD">
      <w:pPr>
        <w:pStyle w:val="24"/>
        <w:spacing w:line="360" w:lineRule="auto"/>
        <w:ind w:left="25" w:leftChars="12" w:firstLine="352" w:firstLineChars="147"/>
        <w:rPr>
          <w:rFonts w:hAnsi="宋体"/>
          <w:bCs/>
          <w:color w:val="auto"/>
          <w:sz w:val="24"/>
          <w:szCs w:val="24"/>
          <w:highlight w:val="none"/>
          <w:u w:val="single"/>
        </w:rPr>
      </w:pPr>
      <w:r>
        <w:rPr>
          <w:rFonts w:hint="eastAsia" w:hAnsi="宋体"/>
          <w:color w:val="auto"/>
          <w:sz w:val="24"/>
          <w:szCs w:val="24"/>
          <w:highlight w:val="none"/>
        </w:rPr>
        <w:t xml:space="preserve">□招标结果   </w:t>
      </w:r>
    </w:p>
    <w:p w14:paraId="7DD8455F">
      <w:pPr>
        <w:pStyle w:val="24"/>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三、质疑事项具体内容</w:t>
      </w:r>
    </w:p>
    <w:p w14:paraId="59AA9223">
      <w:pPr>
        <w:pStyle w:val="24"/>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115B5A78">
      <w:pPr>
        <w:pStyle w:val="24"/>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68F2D8C4">
      <w:pPr>
        <w:pStyle w:val="24"/>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0992DEED">
      <w:pPr>
        <w:pStyle w:val="24"/>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质疑事项2</w:t>
      </w:r>
    </w:p>
    <w:p w14:paraId="5CEC8FD6">
      <w:pPr>
        <w:pStyle w:val="24"/>
        <w:spacing w:line="360" w:lineRule="auto"/>
        <w:ind w:left="25" w:leftChars="12" w:firstLine="472" w:firstLineChars="197"/>
        <w:rPr>
          <w:rFonts w:hAnsi="宋体"/>
          <w:color w:val="auto"/>
          <w:sz w:val="24"/>
          <w:szCs w:val="24"/>
          <w:highlight w:val="none"/>
        </w:rPr>
      </w:pPr>
      <w:r>
        <w:rPr>
          <w:rFonts w:hAnsi="宋体"/>
          <w:color w:val="auto"/>
          <w:sz w:val="24"/>
          <w:szCs w:val="24"/>
          <w:highlight w:val="none"/>
        </w:rPr>
        <w:t>……</w:t>
      </w:r>
    </w:p>
    <w:p w14:paraId="23F17001">
      <w:pPr>
        <w:pStyle w:val="24"/>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四、与质疑事项相关的质疑请求：</w:t>
      </w:r>
    </w:p>
    <w:p w14:paraId="4D95057A">
      <w:pPr>
        <w:pStyle w:val="24"/>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2BEA47DD">
      <w:pPr>
        <w:pStyle w:val="24"/>
        <w:spacing w:line="360" w:lineRule="auto"/>
        <w:ind w:left="25" w:leftChars="12" w:firstLine="352" w:firstLineChars="147"/>
        <w:rPr>
          <w:rFonts w:hAnsi="宋体"/>
          <w:color w:val="auto"/>
          <w:sz w:val="24"/>
          <w:szCs w:val="24"/>
          <w:highlight w:val="none"/>
        </w:rPr>
      </w:pPr>
    </w:p>
    <w:p w14:paraId="378D3AC5">
      <w:pPr>
        <w:pStyle w:val="24"/>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0FFBB7B3">
      <w:pPr>
        <w:pStyle w:val="24"/>
        <w:spacing w:line="360" w:lineRule="auto"/>
        <w:ind w:left="25" w:leftChars="12" w:firstLine="352" w:firstLineChars="147"/>
        <w:rPr>
          <w:rFonts w:hAnsi="宋体"/>
          <w:color w:val="auto"/>
          <w:sz w:val="24"/>
          <w:szCs w:val="24"/>
          <w:highlight w:val="none"/>
        </w:rPr>
      </w:pPr>
    </w:p>
    <w:p w14:paraId="5CB81380">
      <w:pPr>
        <w:pStyle w:val="24"/>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61D0C798">
      <w:pPr>
        <w:pStyle w:val="24"/>
        <w:snapToGrid w:val="0"/>
        <w:spacing w:line="360" w:lineRule="auto"/>
        <w:rPr>
          <w:rFonts w:hAnsi="宋体"/>
          <w:b/>
          <w:color w:val="auto"/>
          <w:sz w:val="24"/>
          <w:szCs w:val="24"/>
          <w:highlight w:val="none"/>
        </w:rPr>
      </w:pPr>
    </w:p>
    <w:p w14:paraId="445DB47E">
      <w:pPr>
        <w:pStyle w:val="24"/>
        <w:snapToGrid w:val="0"/>
        <w:spacing w:line="360" w:lineRule="auto"/>
        <w:rPr>
          <w:rFonts w:hAnsi="宋体"/>
          <w:b/>
          <w:color w:val="auto"/>
          <w:sz w:val="24"/>
          <w:szCs w:val="24"/>
          <w:highlight w:val="none"/>
        </w:rPr>
      </w:pPr>
      <w:r>
        <w:rPr>
          <w:rFonts w:hint="eastAsia" w:hAnsi="宋体"/>
          <w:b/>
          <w:color w:val="auto"/>
          <w:sz w:val="24"/>
          <w:szCs w:val="24"/>
          <w:highlight w:val="none"/>
        </w:rPr>
        <w:t>说明：</w:t>
      </w:r>
    </w:p>
    <w:p w14:paraId="0DA1BD94">
      <w:pPr>
        <w:pStyle w:val="24"/>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09BAFECE">
      <w:pPr>
        <w:pStyle w:val="24"/>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35CE735">
      <w:pPr>
        <w:pStyle w:val="24"/>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3173C7A1">
      <w:pPr>
        <w:pStyle w:val="24"/>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4.质疑函的质疑请求应与质疑事项相关。</w:t>
      </w:r>
    </w:p>
    <w:p w14:paraId="19EA04D6">
      <w:pPr>
        <w:pStyle w:val="24"/>
        <w:spacing w:line="360" w:lineRule="auto"/>
        <w:ind w:left="25" w:leftChars="12" w:firstLine="354" w:firstLineChars="147"/>
        <w:rPr>
          <w:rFonts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09835FB4">
      <w:pPr>
        <w:pStyle w:val="24"/>
        <w:snapToGrid w:val="0"/>
        <w:rPr>
          <w:b/>
          <w:color w:val="auto"/>
          <w:sz w:val="24"/>
          <w:szCs w:val="24"/>
          <w:highlight w:val="none"/>
        </w:rPr>
      </w:pPr>
    </w:p>
    <w:p w14:paraId="3CA2522D">
      <w:pPr>
        <w:spacing w:line="360" w:lineRule="auto"/>
        <w:jc w:val="left"/>
        <w:rPr>
          <w:rFonts w:ascii="宋体" w:hAnsi="宋体"/>
          <w:b/>
          <w:bCs/>
          <w:color w:val="auto"/>
          <w:sz w:val="32"/>
          <w:szCs w:val="32"/>
          <w:highlight w:val="none"/>
        </w:rPr>
      </w:pPr>
      <w:r>
        <w:rPr>
          <w:rFonts w:eastAsia="隶书"/>
          <w:color w:val="auto"/>
          <w:sz w:val="44"/>
          <w:highlight w:val="none"/>
        </w:rPr>
        <w:br w:type="page"/>
      </w:r>
      <w:r>
        <w:rPr>
          <w:rFonts w:hint="eastAsia" w:ascii="宋体" w:hAnsi="宋体" w:eastAsia="隶书"/>
          <w:b/>
          <w:color w:val="auto"/>
          <w:sz w:val="24"/>
          <w:highlight w:val="none"/>
        </w:rPr>
        <w:t>5</w:t>
      </w:r>
      <w:r>
        <w:rPr>
          <w:rFonts w:hint="eastAsia" w:ascii="宋体" w:hAnsi="宋体"/>
          <w:b/>
          <w:color w:val="auto"/>
          <w:sz w:val="24"/>
          <w:highlight w:val="none"/>
        </w:rPr>
        <w:t>.投诉书（格式）</w:t>
      </w:r>
    </w:p>
    <w:p w14:paraId="305CDFA8">
      <w:pPr>
        <w:spacing w:line="360" w:lineRule="auto"/>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0A466483">
      <w:pPr>
        <w:pStyle w:val="24"/>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4D559222">
      <w:pPr>
        <w:pStyle w:val="24"/>
        <w:snapToGrid w:val="0"/>
        <w:spacing w:line="360" w:lineRule="auto"/>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投标人：</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FD421A2">
      <w:pPr>
        <w:pStyle w:val="24"/>
        <w:snapToGrid w:val="0"/>
        <w:spacing w:line="360" w:lineRule="auto"/>
        <w:ind w:firstLine="480" w:firstLineChars="200"/>
        <w:jc w:val="left"/>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E4A6101">
      <w:pPr>
        <w:pStyle w:val="24"/>
        <w:snapToGrid w:val="0"/>
        <w:spacing w:line="360" w:lineRule="auto"/>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402492C3">
      <w:pPr>
        <w:pStyle w:val="24"/>
        <w:snapToGrid w:val="0"/>
        <w:spacing w:line="360" w:lineRule="auto"/>
        <w:ind w:firstLine="480" w:firstLineChars="200"/>
        <w:jc w:val="left"/>
        <w:rPr>
          <w:rFonts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53C103AF">
      <w:pPr>
        <w:pStyle w:val="24"/>
        <w:snapToGrid w:val="0"/>
        <w:spacing w:line="360" w:lineRule="auto"/>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0C09FE13">
      <w:pPr>
        <w:pStyle w:val="24"/>
        <w:snapToGrid w:val="0"/>
        <w:spacing w:line="360" w:lineRule="auto"/>
        <w:ind w:firstLine="480" w:firstLineChars="200"/>
        <w:jc w:val="left"/>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59F6FE7">
      <w:pPr>
        <w:pStyle w:val="24"/>
        <w:snapToGrid w:val="0"/>
        <w:spacing w:line="360" w:lineRule="auto"/>
        <w:ind w:firstLine="480" w:firstLineChars="200"/>
        <w:jc w:val="left"/>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DA91C55">
      <w:pPr>
        <w:pStyle w:val="24"/>
        <w:snapToGrid w:val="0"/>
        <w:spacing w:line="360" w:lineRule="auto"/>
        <w:ind w:firstLine="480" w:firstLineChars="200"/>
        <w:jc w:val="left"/>
        <w:rPr>
          <w:rFonts w:hAnsi="宋体"/>
          <w:bCs/>
          <w:color w:val="auto"/>
          <w:sz w:val="24"/>
          <w:szCs w:val="24"/>
          <w:highlight w:val="none"/>
        </w:rPr>
      </w:pPr>
      <w:r>
        <w:rPr>
          <w:rFonts w:hint="eastAsia" w:hAnsi="宋体"/>
          <w:bCs/>
          <w:color w:val="auto"/>
          <w:sz w:val="24"/>
          <w:szCs w:val="24"/>
          <w:highlight w:val="none"/>
        </w:rPr>
        <w:t>被投诉人1：</w:t>
      </w:r>
    </w:p>
    <w:p w14:paraId="57BFAD4F">
      <w:pPr>
        <w:pStyle w:val="24"/>
        <w:snapToGrid w:val="0"/>
        <w:spacing w:line="360" w:lineRule="auto"/>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1EFE8B06">
      <w:pPr>
        <w:pStyle w:val="24"/>
        <w:snapToGrid w:val="0"/>
        <w:spacing w:line="360" w:lineRule="auto"/>
        <w:ind w:firstLine="480" w:firstLineChars="200"/>
        <w:jc w:val="left"/>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FDFE0B6">
      <w:pPr>
        <w:pStyle w:val="24"/>
        <w:snapToGrid w:val="0"/>
        <w:spacing w:line="360" w:lineRule="auto"/>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1AB207F7">
      <w:pPr>
        <w:pStyle w:val="24"/>
        <w:snapToGrid w:val="0"/>
        <w:spacing w:line="360" w:lineRule="auto"/>
        <w:ind w:firstLine="480" w:firstLineChars="200"/>
        <w:jc w:val="left"/>
        <w:rPr>
          <w:rFonts w:hAnsi="宋体"/>
          <w:bCs/>
          <w:color w:val="auto"/>
          <w:sz w:val="24"/>
          <w:szCs w:val="24"/>
          <w:highlight w:val="none"/>
        </w:rPr>
      </w:pPr>
      <w:r>
        <w:rPr>
          <w:rFonts w:hint="eastAsia" w:hAnsi="宋体"/>
          <w:bCs/>
          <w:color w:val="auto"/>
          <w:sz w:val="24"/>
          <w:szCs w:val="24"/>
          <w:highlight w:val="none"/>
        </w:rPr>
        <w:t>被投诉人2：</w:t>
      </w:r>
    </w:p>
    <w:p w14:paraId="48F46978">
      <w:pPr>
        <w:pStyle w:val="24"/>
        <w:snapToGrid w:val="0"/>
        <w:spacing w:line="360" w:lineRule="auto"/>
        <w:ind w:firstLine="480" w:firstLineChars="200"/>
        <w:jc w:val="left"/>
        <w:rPr>
          <w:rFonts w:hAnsi="宋体"/>
          <w:bCs/>
          <w:color w:val="auto"/>
          <w:sz w:val="24"/>
          <w:szCs w:val="24"/>
          <w:highlight w:val="none"/>
        </w:rPr>
      </w:pPr>
      <w:r>
        <w:rPr>
          <w:rFonts w:hAnsi="宋体"/>
          <w:bCs/>
          <w:color w:val="auto"/>
          <w:sz w:val="24"/>
          <w:szCs w:val="24"/>
          <w:highlight w:val="none"/>
        </w:rPr>
        <w:t>……</w:t>
      </w:r>
    </w:p>
    <w:p w14:paraId="0B9107DF">
      <w:pPr>
        <w:pStyle w:val="24"/>
        <w:snapToGrid w:val="0"/>
        <w:spacing w:line="360" w:lineRule="auto"/>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07186351">
      <w:pPr>
        <w:pStyle w:val="24"/>
        <w:snapToGrid w:val="0"/>
        <w:spacing w:line="360" w:lineRule="auto"/>
        <w:ind w:firstLine="480" w:firstLineChars="200"/>
        <w:jc w:val="left"/>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000531EF">
      <w:pPr>
        <w:pStyle w:val="24"/>
        <w:snapToGrid w:val="0"/>
        <w:spacing w:line="360" w:lineRule="auto"/>
        <w:ind w:firstLine="480" w:firstLineChars="200"/>
        <w:jc w:val="left"/>
        <w:rPr>
          <w:rFonts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CE6297A">
      <w:pPr>
        <w:pStyle w:val="24"/>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二、投诉项目基本情况：</w:t>
      </w:r>
    </w:p>
    <w:p w14:paraId="380BDEF8">
      <w:pPr>
        <w:pStyle w:val="24"/>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招标项目的名称：</w:t>
      </w:r>
      <w:r>
        <w:rPr>
          <w:rFonts w:hint="eastAsia" w:hAnsi="宋体"/>
          <w:bCs/>
          <w:color w:val="auto"/>
          <w:sz w:val="24"/>
          <w:szCs w:val="24"/>
          <w:highlight w:val="none"/>
          <w:u w:val="single"/>
        </w:rPr>
        <w:t xml:space="preserve">                                                                   </w:t>
      </w:r>
    </w:p>
    <w:p w14:paraId="154541F9">
      <w:pPr>
        <w:pStyle w:val="24"/>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招标项目的编号：</w:t>
      </w:r>
      <w:r>
        <w:rPr>
          <w:rFonts w:hint="eastAsia" w:hAnsi="宋体"/>
          <w:bCs/>
          <w:color w:val="auto"/>
          <w:sz w:val="24"/>
          <w:szCs w:val="24"/>
          <w:highlight w:val="none"/>
          <w:u w:val="single"/>
        </w:rPr>
        <w:t xml:space="preserve">                                          </w:t>
      </w:r>
    </w:p>
    <w:p w14:paraId="4EA7BBB5">
      <w:pPr>
        <w:pStyle w:val="24"/>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5A7174AE">
      <w:pPr>
        <w:pStyle w:val="24"/>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6F567235">
      <w:pPr>
        <w:pStyle w:val="24"/>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招标</w:t>
      </w:r>
      <w:r>
        <w:rPr>
          <w:rFonts w:hint="eastAsia" w:hAnsi="宋体"/>
          <w:bCs/>
          <w:color w:val="auto"/>
          <w:sz w:val="24"/>
          <w:szCs w:val="24"/>
          <w:highlight w:val="none"/>
        </w:rPr>
        <w:t>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3B2759B4">
      <w:pPr>
        <w:pStyle w:val="24"/>
        <w:spacing w:line="360" w:lineRule="auto"/>
        <w:ind w:left="25" w:leftChars="12" w:firstLine="472" w:firstLineChars="197"/>
        <w:rPr>
          <w:rFonts w:hAnsi="宋体"/>
          <w:b/>
          <w:color w:val="auto"/>
          <w:sz w:val="24"/>
          <w:szCs w:val="24"/>
          <w:highlight w:val="none"/>
        </w:rPr>
      </w:pPr>
      <w:r>
        <w:rPr>
          <w:rFonts w:hint="eastAsia" w:hAnsi="宋体"/>
          <w:color w:val="auto"/>
          <w:sz w:val="24"/>
          <w:szCs w:val="24"/>
          <w:highlight w:val="none"/>
        </w:rPr>
        <w:t>招标</w:t>
      </w:r>
      <w:r>
        <w:rPr>
          <w:rFonts w:hint="eastAsia" w:hAnsi="宋体"/>
          <w:bCs/>
          <w:color w:val="auto"/>
          <w:sz w:val="24"/>
          <w:szCs w:val="24"/>
          <w:highlight w:val="none"/>
        </w:rPr>
        <w:t>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6689BBD7">
      <w:pPr>
        <w:pStyle w:val="24"/>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三、质疑基本情况</w:t>
      </w:r>
    </w:p>
    <w:p w14:paraId="335CBC53">
      <w:pPr>
        <w:pStyle w:val="24"/>
        <w:spacing w:line="360" w:lineRule="auto"/>
        <w:ind w:left="25" w:leftChars="12" w:firstLine="480" w:firstLineChars="200"/>
        <w:rPr>
          <w:rFonts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48A18D72">
      <w:pPr>
        <w:pStyle w:val="24"/>
        <w:spacing w:line="360" w:lineRule="auto"/>
        <w:ind w:firstLine="241"/>
        <w:rPr>
          <w:rFonts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51FC3501">
      <w:pPr>
        <w:pStyle w:val="24"/>
        <w:spacing w:line="360" w:lineRule="auto"/>
        <w:ind w:firstLine="241"/>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6D9AFE86">
      <w:pPr>
        <w:pStyle w:val="24"/>
        <w:spacing w:line="360" w:lineRule="auto"/>
        <w:ind w:firstLine="480" w:firstLineChars="200"/>
        <w:rPr>
          <w:rFonts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0EDB8AB1">
      <w:pPr>
        <w:pStyle w:val="24"/>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四、投诉事项具体内容</w:t>
      </w:r>
    </w:p>
    <w:p w14:paraId="5D7BE567">
      <w:pPr>
        <w:pStyle w:val="24"/>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64C4052B">
      <w:pPr>
        <w:pStyle w:val="24"/>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308F9338">
      <w:pPr>
        <w:pStyle w:val="24"/>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u w:val="single"/>
        </w:rPr>
        <w:t xml:space="preserve">                                                                                        </w:t>
      </w:r>
    </w:p>
    <w:p w14:paraId="3435515A">
      <w:pPr>
        <w:pStyle w:val="24"/>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5320F242">
      <w:pPr>
        <w:pStyle w:val="24"/>
        <w:spacing w:line="360" w:lineRule="auto"/>
        <w:ind w:left="25" w:leftChars="12" w:firstLine="352" w:firstLineChars="147"/>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4F78D83A">
      <w:pPr>
        <w:pStyle w:val="24"/>
        <w:spacing w:line="360" w:lineRule="auto"/>
        <w:ind w:left="25" w:leftChars="12" w:firstLine="472" w:firstLineChars="197"/>
        <w:rPr>
          <w:rFonts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547BFF36">
      <w:pPr>
        <w:pStyle w:val="24"/>
        <w:spacing w:line="360" w:lineRule="auto"/>
        <w:ind w:left="25" w:leftChars="12" w:firstLine="472" w:firstLineChars="197"/>
        <w:rPr>
          <w:rFonts w:hAnsi="宋体"/>
          <w:bCs/>
          <w:color w:val="auto"/>
          <w:sz w:val="24"/>
          <w:szCs w:val="24"/>
          <w:highlight w:val="none"/>
        </w:rPr>
      </w:pPr>
      <w:r>
        <w:rPr>
          <w:rFonts w:hAnsi="宋体"/>
          <w:bCs/>
          <w:color w:val="auto"/>
          <w:sz w:val="24"/>
          <w:szCs w:val="24"/>
          <w:highlight w:val="none"/>
        </w:rPr>
        <w:t>……</w:t>
      </w:r>
    </w:p>
    <w:p w14:paraId="3D338DCF">
      <w:pPr>
        <w:pStyle w:val="24"/>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五、与投诉事项相关的投诉请求：</w:t>
      </w:r>
    </w:p>
    <w:p w14:paraId="03FA6BD6">
      <w:pPr>
        <w:pStyle w:val="24"/>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0591152F">
      <w:pPr>
        <w:pStyle w:val="24"/>
        <w:spacing w:line="360" w:lineRule="auto"/>
        <w:ind w:left="25" w:leftChars="12" w:firstLine="352" w:firstLineChars="147"/>
        <w:rPr>
          <w:rFonts w:hAnsi="宋体"/>
          <w:color w:val="auto"/>
          <w:sz w:val="24"/>
          <w:szCs w:val="24"/>
          <w:highlight w:val="none"/>
        </w:rPr>
      </w:pPr>
    </w:p>
    <w:p w14:paraId="63E85837">
      <w:pPr>
        <w:pStyle w:val="24"/>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610E76FC">
      <w:pPr>
        <w:pStyle w:val="24"/>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6305CF0B">
      <w:pPr>
        <w:pStyle w:val="24"/>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 xml:space="preserve">                                                                              </w:t>
      </w:r>
    </w:p>
    <w:p w14:paraId="25945264">
      <w:pPr>
        <w:pStyle w:val="24"/>
        <w:snapToGrid w:val="0"/>
        <w:spacing w:line="360" w:lineRule="auto"/>
        <w:rPr>
          <w:rFonts w:hAnsi="宋体"/>
          <w:b/>
          <w:color w:val="auto"/>
          <w:sz w:val="24"/>
          <w:szCs w:val="24"/>
          <w:highlight w:val="none"/>
        </w:rPr>
      </w:pPr>
      <w:r>
        <w:rPr>
          <w:rFonts w:hint="eastAsia" w:hAnsi="宋体"/>
          <w:b/>
          <w:color w:val="auto"/>
          <w:sz w:val="24"/>
          <w:szCs w:val="24"/>
          <w:highlight w:val="none"/>
        </w:rPr>
        <w:t>说明：</w:t>
      </w:r>
    </w:p>
    <w:p w14:paraId="76418818">
      <w:pPr>
        <w:pStyle w:val="24"/>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5D140F05">
      <w:pPr>
        <w:pStyle w:val="24"/>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C2026D0">
      <w:pPr>
        <w:pStyle w:val="24"/>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539B90A3">
      <w:pPr>
        <w:pStyle w:val="24"/>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6FEEECE3">
      <w:pPr>
        <w:pStyle w:val="24"/>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5.投诉书的投诉请求应与投诉事项相关。</w:t>
      </w:r>
    </w:p>
    <w:p w14:paraId="5A06702C">
      <w:pPr>
        <w:pStyle w:val="24"/>
        <w:spacing w:line="360" w:lineRule="auto"/>
        <w:ind w:left="25" w:leftChars="12" w:firstLine="354" w:firstLineChars="147"/>
        <w:rPr>
          <w:rFonts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sectPr>
      <w:footerReference r:id="rId6" w:type="first"/>
      <w:headerReference r:id="rId3" w:type="default"/>
      <w:footerReference r:id="rId4" w:type="default"/>
      <w:footerReference r:id="rId5" w:type="even"/>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entury">
    <w:altName w:val="Times New Roman"/>
    <w:panose1 w:val="02040604050505020304"/>
    <w:charset w:val="00"/>
    <w:family w:val="roman"/>
    <w:pitch w:val="default"/>
    <w:sig w:usb0="00000000" w:usb1="00000000" w:usb2="00000000" w:usb3="00000000" w:csb0="0000009F" w:csb1="00000000"/>
  </w:font>
  <w:font w:name="Arial Unicode MS">
    <w:panose1 w:val="020B0604020202020204"/>
    <w:charset w:val="86"/>
    <w:family w:val="swiss"/>
    <w:pitch w:val="default"/>
    <w:sig w:usb0="FFFFFFFF" w:usb1="E9FFFFFF" w:usb2="0000003F" w:usb3="00000000" w:csb0="603F01FF" w:csb1="FFFF0000"/>
  </w:font>
  <w:font w:name="华文楷体">
    <w:altName w:val="宋体"/>
    <w:panose1 w:val="02010600040101010101"/>
    <w:charset w:val="86"/>
    <w:family w:val="auto"/>
    <w:pitch w:val="default"/>
    <w:sig w:usb0="00000000" w:usb1="00000000" w:usb2="00000010" w:usb3="00000000" w:csb0="0004009F" w:csb1="00000000"/>
  </w:font>
  <w:font w:name="方正小标宋简体">
    <w:panose1 w:val="03000509000000000000"/>
    <w:charset w:val="86"/>
    <w:family w:val="script"/>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8CCAF">
    <w:pPr>
      <w:pStyle w:val="30"/>
      <w:jc w:val="center"/>
    </w:pPr>
    <w:r>
      <w:fldChar w:fldCharType="begin"/>
    </w:r>
    <w:r>
      <w:instrText xml:space="preserve"> PAGE   \* MERGEFORMAT </w:instrText>
    </w:r>
    <w:r>
      <w:fldChar w:fldCharType="separate"/>
    </w:r>
    <w:r>
      <w:rPr>
        <w:lang w:val="zh-CN"/>
      </w:rPr>
      <w:t>83</w:t>
    </w:r>
    <w:r>
      <w:fldChar w:fldCharType="end"/>
    </w:r>
  </w:p>
  <w:p w14:paraId="338B8C98">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308BE">
    <w:pPr>
      <w:pStyle w:val="30"/>
      <w:framePr w:wrap="around" w:vAnchor="text" w:hAnchor="margin" w:xAlign="center" w:y="1"/>
      <w:rPr>
        <w:rStyle w:val="54"/>
      </w:rPr>
    </w:pPr>
    <w:r>
      <w:fldChar w:fldCharType="begin"/>
    </w:r>
    <w:r>
      <w:rPr>
        <w:rStyle w:val="54"/>
      </w:rPr>
      <w:instrText xml:space="preserve">PAGE  </w:instrText>
    </w:r>
    <w:r>
      <w:fldChar w:fldCharType="end"/>
    </w:r>
  </w:p>
  <w:p w14:paraId="49117596">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4E023">
    <w:pPr>
      <w:pStyle w:val="30"/>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992D9">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2F4BF9"/>
    <w:multiLevelType w:val="singleLevel"/>
    <w:tmpl w:val="AC2F4BF9"/>
    <w:lvl w:ilvl="0" w:tentative="0">
      <w:start w:val="1"/>
      <w:numFmt w:val="decimal"/>
      <w:suff w:val="nothing"/>
      <w:lvlText w:val="%1"/>
      <w:lvlJc w:val="center"/>
      <w:pPr>
        <w:tabs>
          <w:tab w:val="left" w:pos="0"/>
        </w:tabs>
        <w:ind w:left="0" w:firstLine="0"/>
      </w:pPr>
      <w:rPr>
        <w:rFonts w:hint="default"/>
      </w:rPr>
    </w:lvl>
  </w:abstractNum>
  <w:abstractNum w:abstractNumId="1">
    <w:nsid w:val="FFFFFF7E"/>
    <w:multiLevelType w:val="singleLevel"/>
    <w:tmpl w:val="FFFFFF7E"/>
    <w:lvl w:ilvl="0" w:tentative="0">
      <w:start w:val="1"/>
      <w:numFmt w:val="decimal"/>
      <w:pStyle w:val="20"/>
      <w:lvlText w:val="%1."/>
      <w:lvlJc w:val="left"/>
      <w:pPr>
        <w:tabs>
          <w:tab w:val="left" w:pos="1200"/>
        </w:tabs>
        <w:ind w:left="1200" w:hanging="360"/>
      </w:pPr>
    </w:lvl>
  </w:abstractNum>
  <w:abstractNum w:abstractNumId="2">
    <w:nsid w:val="30791AF5"/>
    <w:multiLevelType w:val="singleLevel"/>
    <w:tmpl w:val="30791AF5"/>
    <w:lvl w:ilvl="0" w:tentative="0">
      <w:start w:val="1"/>
      <w:numFmt w:val="chineseCounting"/>
      <w:suff w:val="nothing"/>
      <w:lvlText w:val="%1、"/>
      <w:lvlJc w:val="left"/>
      <w:rPr>
        <w:rFonts w:hint="eastAsia"/>
      </w:rPr>
    </w:lvl>
  </w:abstractNum>
  <w:abstractNum w:abstractNumId="3">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5"/>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4">
    <w:nsid w:val="4C601917"/>
    <w:multiLevelType w:val="singleLevel"/>
    <w:tmpl w:val="4C601917"/>
    <w:lvl w:ilvl="0" w:tentative="0">
      <w:start w:val="1"/>
      <w:numFmt w:val="decimal"/>
      <w:suff w:val="nothing"/>
      <w:lvlText w:val="（%1）"/>
      <w:lvlJc w:val="left"/>
      <w:pPr>
        <w:ind w:left="-2"/>
      </w:pPr>
    </w:lvl>
  </w:abstractNum>
  <w:abstractNum w:abstractNumId="5">
    <w:nsid w:val="5C6CC1A7"/>
    <w:multiLevelType w:val="singleLevel"/>
    <w:tmpl w:val="5C6CC1A7"/>
    <w:lvl w:ilvl="0" w:tentative="0">
      <w:start w:val="1"/>
      <w:numFmt w:val="decimal"/>
      <w:suff w:val="nothing"/>
      <w:lvlText w:val="%1"/>
      <w:lvlJc w:val="center"/>
      <w:pPr>
        <w:tabs>
          <w:tab w:val="left" w:pos="0"/>
        </w:tabs>
        <w:ind w:left="0" w:firstLine="0"/>
      </w:pPr>
      <w:rPr>
        <w:rFonts w:hint="default"/>
      </w:rPr>
    </w:lvl>
  </w:abstractNum>
  <w:abstractNum w:abstractNumId="6">
    <w:nsid w:val="5FABD14B"/>
    <w:multiLevelType w:val="singleLevel"/>
    <w:tmpl w:val="5FABD14B"/>
    <w:lvl w:ilvl="0" w:tentative="0">
      <w:start w:val="1"/>
      <w:numFmt w:val="decimal"/>
      <w:suff w:val="nothing"/>
      <w:lvlText w:val="（%1）"/>
      <w:lvlJc w:val="left"/>
    </w:lvl>
  </w:abstractNum>
  <w:abstractNum w:abstractNumId="7">
    <w:nsid w:val="7AA53700"/>
    <w:multiLevelType w:val="singleLevel"/>
    <w:tmpl w:val="7AA53700"/>
    <w:lvl w:ilvl="0" w:tentative="0">
      <w:start w:val="1"/>
      <w:numFmt w:val="decimal"/>
      <w:lvlText w:val="%1."/>
      <w:lvlJc w:val="left"/>
      <w:pPr>
        <w:tabs>
          <w:tab w:val="left" w:pos="312"/>
        </w:tabs>
      </w:pPr>
    </w:lvl>
  </w:abstractNum>
  <w:num w:numId="1">
    <w:abstractNumId w:val="3"/>
  </w:num>
  <w:num w:numId="2">
    <w:abstractNumId w:val="1"/>
  </w:num>
  <w:num w:numId="3">
    <w:abstractNumId w:val="5"/>
  </w:num>
  <w:num w:numId="4">
    <w:abstractNumId w:val="7"/>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Yjc5ZjVjNGRkMzEzMjYyMTlhZDdhNmQwNjdiZmUifQ=="/>
  </w:docVars>
  <w:rsids>
    <w:rsidRoot w:val="00F9008B"/>
    <w:rsid w:val="0000010C"/>
    <w:rsid w:val="00000266"/>
    <w:rsid w:val="000002AD"/>
    <w:rsid w:val="000004FE"/>
    <w:rsid w:val="00000FE0"/>
    <w:rsid w:val="00001068"/>
    <w:rsid w:val="0000114A"/>
    <w:rsid w:val="000011FA"/>
    <w:rsid w:val="00001731"/>
    <w:rsid w:val="00001C2D"/>
    <w:rsid w:val="00001C55"/>
    <w:rsid w:val="00001CA8"/>
    <w:rsid w:val="00001FAE"/>
    <w:rsid w:val="00002291"/>
    <w:rsid w:val="0000257D"/>
    <w:rsid w:val="00002DBF"/>
    <w:rsid w:val="00002EC0"/>
    <w:rsid w:val="00003224"/>
    <w:rsid w:val="000033F5"/>
    <w:rsid w:val="0000358C"/>
    <w:rsid w:val="00003BEF"/>
    <w:rsid w:val="00003D90"/>
    <w:rsid w:val="00004130"/>
    <w:rsid w:val="0000431F"/>
    <w:rsid w:val="00004634"/>
    <w:rsid w:val="0000494E"/>
    <w:rsid w:val="00004D8B"/>
    <w:rsid w:val="000059E2"/>
    <w:rsid w:val="000061EA"/>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2137"/>
    <w:rsid w:val="000121FF"/>
    <w:rsid w:val="00012456"/>
    <w:rsid w:val="000125B8"/>
    <w:rsid w:val="00012692"/>
    <w:rsid w:val="00012CBA"/>
    <w:rsid w:val="00013446"/>
    <w:rsid w:val="00013509"/>
    <w:rsid w:val="000135BC"/>
    <w:rsid w:val="000135DC"/>
    <w:rsid w:val="000136D6"/>
    <w:rsid w:val="00014085"/>
    <w:rsid w:val="00014D89"/>
    <w:rsid w:val="00014DD9"/>
    <w:rsid w:val="00014EE0"/>
    <w:rsid w:val="000151E4"/>
    <w:rsid w:val="00015577"/>
    <w:rsid w:val="000156E4"/>
    <w:rsid w:val="000159A7"/>
    <w:rsid w:val="00015FB8"/>
    <w:rsid w:val="0001609F"/>
    <w:rsid w:val="0001635B"/>
    <w:rsid w:val="00016549"/>
    <w:rsid w:val="00016814"/>
    <w:rsid w:val="00016BF7"/>
    <w:rsid w:val="000170A9"/>
    <w:rsid w:val="0001720C"/>
    <w:rsid w:val="0001767E"/>
    <w:rsid w:val="0001776D"/>
    <w:rsid w:val="00017F31"/>
    <w:rsid w:val="00020607"/>
    <w:rsid w:val="0002103A"/>
    <w:rsid w:val="000217E4"/>
    <w:rsid w:val="00021852"/>
    <w:rsid w:val="00021A12"/>
    <w:rsid w:val="00022524"/>
    <w:rsid w:val="00022622"/>
    <w:rsid w:val="00022B0F"/>
    <w:rsid w:val="0002316F"/>
    <w:rsid w:val="00023363"/>
    <w:rsid w:val="000235F3"/>
    <w:rsid w:val="00023644"/>
    <w:rsid w:val="00023712"/>
    <w:rsid w:val="00024E3C"/>
    <w:rsid w:val="00024EB0"/>
    <w:rsid w:val="0002646A"/>
    <w:rsid w:val="0002651D"/>
    <w:rsid w:val="00026CFD"/>
    <w:rsid w:val="00027C8B"/>
    <w:rsid w:val="00027CD9"/>
    <w:rsid w:val="00030242"/>
    <w:rsid w:val="00030B06"/>
    <w:rsid w:val="0003183A"/>
    <w:rsid w:val="00031A60"/>
    <w:rsid w:val="00031CDC"/>
    <w:rsid w:val="000323D8"/>
    <w:rsid w:val="00032461"/>
    <w:rsid w:val="0003263B"/>
    <w:rsid w:val="0003282C"/>
    <w:rsid w:val="00032F6D"/>
    <w:rsid w:val="0003304A"/>
    <w:rsid w:val="0003317E"/>
    <w:rsid w:val="00033413"/>
    <w:rsid w:val="000337F3"/>
    <w:rsid w:val="00034B24"/>
    <w:rsid w:val="00034C27"/>
    <w:rsid w:val="00034E2A"/>
    <w:rsid w:val="0003577F"/>
    <w:rsid w:val="00036466"/>
    <w:rsid w:val="0003675E"/>
    <w:rsid w:val="00037F87"/>
    <w:rsid w:val="00037FA2"/>
    <w:rsid w:val="000400D0"/>
    <w:rsid w:val="00040343"/>
    <w:rsid w:val="00041DFA"/>
    <w:rsid w:val="000425AC"/>
    <w:rsid w:val="00042F4A"/>
    <w:rsid w:val="00043AC8"/>
    <w:rsid w:val="00043BE5"/>
    <w:rsid w:val="00044003"/>
    <w:rsid w:val="00044527"/>
    <w:rsid w:val="00044897"/>
    <w:rsid w:val="00044ACF"/>
    <w:rsid w:val="00044FD5"/>
    <w:rsid w:val="000454F4"/>
    <w:rsid w:val="00045D1E"/>
    <w:rsid w:val="00045E69"/>
    <w:rsid w:val="00045EF4"/>
    <w:rsid w:val="00046547"/>
    <w:rsid w:val="000466D7"/>
    <w:rsid w:val="00046753"/>
    <w:rsid w:val="00047254"/>
    <w:rsid w:val="00047E41"/>
    <w:rsid w:val="0005022B"/>
    <w:rsid w:val="00050525"/>
    <w:rsid w:val="00050771"/>
    <w:rsid w:val="000509BA"/>
    <w:rsid w:val="000513F3"/>
    <w:rsid w:val="00052287"/>
    <w:rsid w:val="000522E0"/>
    <w:rsid w:val="000532F4"/>
    <w:rsid w:val="000535A9"/>
    <w:rsid w:val="000536AE"/>
    <w:rsid w:val="00054CD5"/>
    <w:rsid w:val="00054D03"/>
    <w:rsid w:val="00054E61"/>
    <w:rsid w:val="000550AC"/>
    <w:rsid w:val="0005584D"/>
    <w:rsid w:val="00055CC3"/>
    <w:rsid w:val="00055CD8"/>
    <w:rsid w:val="00055CEE"/>
    <w:rsid w:val="00055FB7"/>
    <w:rsid w:val="000566FA"/>
    <w:rsid w:val="00056A2B"/>
    <w:rsid w:val="00056D18"/>
    <w:rsid w:val="00056DA8"/>
    <w:rsid w:val="00056E37"/>
    <w:rsid w:val="00056EE2"/>
    <w:rsid w:val="00056FE2"/>
    <w:rsid w:val="000570FB"/>
    <w:rsid w:val="000575B8"/>
    <w:rsid w:val="00060131"/>
    <w:rsid w:val="0006026B"/>
    <w:rsid w:val="00060293"/>
    <w:rsid w:val="00061341"/>
    <w:rsid w:val="00061BD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896"/>
    <w:rsid w:val="00066FE3"/>
    <w:rsid w:val="00067002"/>
    <w:rsid w:val="00067993"/>
    <w:rsid w:val="00067B1C"/>
    <w:rsid w:val="00067CED"/>
    <w:rsid w:val="00067F66"/>
    <w:rsid w:val="0007041A"/>
    <w:rsid w:val="00070634"/>
    <w:rsid w:val="00070883"/>
    <w:rsid w:val="000708D1"/>
    <w:rsid w:val="00070C3F"/>
    <w:rsid w:val="0007102C"/>
    <w:rsid w:val="00071D68"/>
    <w:rsid w:val="00071FCE"/>
    <w:rsid w:val="00072661"/>
    <w:rsid w:val="00072CCC"/>
    <w:rsid w:val="0007315D"/>
    <w:rsid w:val="00073549"/>
    <w:rsid w:val="0007483E"/>
    <w:rsid w:val="000751DB"/>
    <w:rsid w:val="0007542D"/>
    <w:rsid w:val="0007578F"/>
    <w:rsid w:val="00075E43"/>
    <w:rsid w:val="00077706"/>
    <w:rsid w:val="00077878"/>
    <w:rsid w:val="000804EF"/>
    <w:rsid w:val="00080558"/>
    <w:rsid w:val="00080998"/>
    <w:rsid w:val="00081230"/>
    <w:rsid w:val="000814E2"/>
    <w:rsid w:val="000818C9"/>
    <w:rsid w:val="00081A21"/>
    <w:rsid w:val="00081CBB"/>
    <w:rsid w:val="00081D42"/>
    <w:rsid w:val="000822EF"/>
    <w:rsid w:val="0008241E"/>
    <w:rsid w:val="000826F5"/>
    <w:rsid w:val="000829B1"/>
    <w:rsid w:val="00082AAB"/>
    <w:rsid w:val="0008307D"/>
    <w:rsid w:val="000831E9"/>
    <w:rsid w:val="000833BB"/>
    <w:rsid w:val="00083A4C"/>
    <w:rsid w:val="00084483"/>
    <w:rsid w:val="0008452D"/>
    <w:rsid w:val="0008467B"/>
    <w:rsid w:val="000850FA"/>
    <w:rsid w:val="00085719"/>
    <w:rsid w:val="000857A6"/>
    <w:rsid w:val="0008599A"/>
    <w:rsid w:val="00085C12"/>
    <w:rsid w:val="00085DA0"/>
    <w:rsid w:val="00085F82"/>
    <w:rsid w:val="00086506"/>
    <w:rsid w:val="00086B6E"/>
    <w:rsid w:val="00086C2F"/>
    <w:rsid w:val="00086C64"/>
    <w:rsid w:val="000874BB"/>
    <w:rsid w:val="0008781A"/>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9ED"/>
    <w:rsid w:val="00096F37"/>
    <w:rsid w:val="00097FE5"/>
    <w:rsid w:val="000A0354"/>
    <w:rsid w:val="000A091F"/>
    <w:rsid w:val="000A0958"/>
    <w:rsid w:val="000A0FCC"/>
    <w:rsid w:val="000A1033"/>
    <w:rsid w:val="000A2712"/>
    <w:rsid w:val="000A2877"/>
    <w:rsid w:val="000A28E5"/>
    <w:rsid w:val="000A3145"/>
    <w:rsid w:val="000A355D"/>
    <w:rsid w:val="000A35DA"/>
    <w:rsid w:val="000A371E"/>
    <w:rsid w:val="000A3DE5"/>
    <w:rsid w:val="000A4011"/>
    <w:rsid w:val="000A45D5"/>
    <w:rsid w:val="000A490E"/>
    <w:rsid w:val="000A529E"/>
    <w:rsid w:val="000A5B49"/>
    <w:rsid w:val="000A5FE5"/>
    <w:rsid w:val="000A6684"/>
    <w:rsid w:val="000A7194"/>
    <w:rsid w:val="000A7218"/>
    <w:rsid w:val="000A740A"/>
    <w:rsid w:val="000A7446"/>
    <w:rsid w:val="000A7D9A"/>
    <w:rsid w:val="000A7E7F"/>
    <w:rsid w:val="000A7ECD"/>
    <w:rsid w:val="000B01AB"/>
    <w:rsid w:val="000B04DD"/>
    <w:rsid w:val="000B0F01"/>
    <w:rsid w:val="000B1346"/>
    <w:rsid w:val="000B1914"/>
    <w:rsid w:val="000B19DC"/>
    <w:rsid w:val="000B1CA2"/>
    <w:rsid w:val="000B202E"/>
    <w:rsid w:val="000B2293"/>
    <w:rsid w:val="000B24A4"/>
    <w:rsid w:val="000B255C"/>
    <w:rsid w:val="000B395E"/>
    <w:rsid w:val="000B39C3"/>
    <w:rsid w:val="000B3A00"/>
    <w:rsid w:val="000B4840"/>
    <w:rsid w:val="000B4D79"/>
    <w:rsid w:val="000B5272"/>
    <w:rsid w:val="000B5627"/>
    <w:rsid w:val="000B5671"/>
    <w:rsid w:val="000B6BF0"/>
    <w:rsid w:val="000B6CE8"/>
    <w:rsid w:val="000B7DAF"/>
    <w:rsid w:val="000C0026"/>
    <w:rsid w:val="000C0091"/>
    <w:rsid w:val="000C071C"/>
    <w:rsid w:val="000C0BB4"/>
    <w:rsid w:val="000C0BEE"/>
    <w:rsid w:val="000C1CB9"/>
    <w:rsid w:val="000C2159"/>
    <w:rsid w:val="000C21BB"/>
    <w:rsid w:val="000C289B"/>
    <w:rsid w:val="000C352F"/>
    <w:rsid w:val="000C3805"/>
    <w:rsid w:val="000C3F01"/>
    <w:rsid w:val="000C410D"/>
    <w:rsid w:val="000C420D"/>
    <w:rsid w:val="000C4773"/>
    <w:rsid w:val="000C4944"/>
    <w:rsid w:val="000C4E24"/>
    <w:rsid w:val="000C5C4A"/>
    <w:rsid w:val="000C5F01"/>
    <w:rsid w:val="000C5F95"/>
    <w:rsid w:val="000C63C4"/>
    <w:rsid w:val="000C66C1"/>
    <w:rsid w:val="000C6F0B"/>
    <w:rsid w:val="000C6F32"/>
    <w:rsid w:val="000C6FEF"/>
    <w:rsid w:val="000C778C"/>
    <w:rsid w:val="000C7833"/>
    <w:rsid w:val="000C7E1B"/>
    <w:rsid w:val="000C7E73"/>
    <w:rsid w:val="000D001B"/>
    <w:rsid w:val="000D0A45"/>
    <w:rsid w:val="000D136E"/>
    <w:rsid w:val="000D14AC"/>
    <w:rsid w:val="000D15BA"/>
    <w:rsid w:val="000D15BE"/>
    <w:rsid w:val="000D2BCC"/>
    <w:rsid w:val="000D2C9B"/>
    <w:rsid w:val="000D32CC"/>
    <w:rsid w:val="000D35FD"/>
    <w:rsid w:val="000D3D2D"/>
    <w:rsid w:val="000D3D99"/>
    <w:rsid w:val="000D4653"/>
    <w:rsid w:val="000D4696"/>
    <w:rsid w:val="000D4817"/>
    <w:rsid w:val="000D4D0C"/>
    <w:rsid w:val="000D4FB9"/>
    <w:rsid w:val="000D54B4"/>
    <w:rsid w:val="000D584B"/>
    <w:rsid w:val="000D5EE9"/>
    <w:rsid w:val="000D5F55"/>
    <w:rsid w:val="000D6372"/>
    <w:rsid w:val="000D6979"/>
    <w:rsid w:val="000D6CE7"/>
    <w:rsid w:val="000D6E38"/>
    <w:rsid w:val="000D6E63"/>
    <w:rsid w:val="000D711C"/>
    <w:rsid w:val="000D7B6E"/>
    <w:rsid w:val="000E0644"/>
    <w:rsid w:val="000E076D"/>
    <w:rsid w:val="000E087C"/>
    <w:rsid w:val="000E1516"/>
    <w:rsid w:val="000E187C"/>
    <w:rsid w:val="000E1B28"/>
    <w:rsid w:val="000E1E8D"/>
    <w:rsid w:val="000E1EBC"/>
    <w:rsid w:val="000E2173"/>
    <w:rsid w:val="000E220B"/>
    <w:rsid w:val="000E2266"/>
    <w:rsid w:val="000E2A50"/>
    <w:rsid w:val="000E30F2"/>
    <w:rsid w:val="000E316B"/>
    <w:rsid w:val="000E3D08"/>
    <w:rsid w:val="000E4728"/>
    <w:rsid w:val="000E4D1F"/>
    <w:rsid w:val="000E5658"/>
    <w:rsid w:val="000E5698"/>
    <w:rsid w:val="000E5723"/>
    <w:rsid w:val="000E581B"/>
    <w:rsid w:val="000E60DF"/>
    <w:rsid w:val="000E64B2"/>
    <w:rsid w:val="000E65D2"/>
    <w:rsid w:val="000E6919"/>
    <w:rsid w:val="000E6B1B"/>
    <w:rsid w:val="000E6F0C"/>
    <w:rsid w:val="000E732D"/>
    <w:rsid w:val="000F07ED"/>
    <w:rsid w:val="000F0C34"/>
    <w:rsid w:val="000F0CF2"/>
    <w:rsid w:val="000F1401"/>
    <w:rsid w:val="000F1A32"/>
    <w:rsid w:val="000F1CC2"/>
    <w:rsid w:val="000F1D15"/>
    <w:rsid w:val="000F270A"/>
    <w:rsid w:val="000F34C8"/>
    <w:rsid w:val="000F38BC"/>
    <w:rsid w:val="000F3E2A"/>
    <w:rsid w:val="000F4D26"/>
    <w:rsid w:val="000F5639"/>
    <w:rsid w:val="000F58A4"/>
    <w:rsid w:val="000F5F99"/>
    <w:rsid w:val="000F6833"/>
    <w:rsid w:val="000F6A24"/>
    <w:rsid w:val="000F7616"/>
    <w:rsid w:val="000F7DE9"/>
    <w:rsid w:val="000F7E1F"/>
    <w:rsid w:val="000F7F7A"/>
    <w:rsid w:val="001002F4"/>
    <w:rsid w:val="001011FC"/>
    <w:rsid w:val="001014BD"/>
    <w:rsid w:val="0010165F"/>
    <w:rsid w:val="00101E7C"/>
    <w:rsid w:val="001023DC"/>
    <w:rsid w:val="00102572"/>
    <w:rsid w:val="00102946"/>
    <w:rsid w:val="00102FBF"/>
    <w:rsid w:val="0010333D"/>
    <w:rsid w:val="0010372A"/>
    <w:rsid w:val="00103F41"/>
    <w:rsid w:val="00104662"/>
    <w:rsid w:val="00104F34"/>
    <w:rsid w:val="001053C5"/>
    <w:rsid w:val="001055AD"/>
    <w:rsid w:val="00105B3E"/>
    <w:rsid w:val="00105C14"/>
    <w:rsid w:val="0010627F"/>
    <w:rsid w:val="001065A3"/>
    <w:rsid w:val="00106610"/>
    <w:rsid w:val="00106831"/>
    <w:rsid w:val="0010683E"/>
    <w:rsid w:val="0010691D"/>
    <w:rsid w:val="00106B33"/>
    <w:rsid w:val="00106E69"/>
    <w:rsid w:val="00110AC5"/>
    <w:rsid w:val="00110F0B"/>
    <w:rsid w:val="0011108B"/>
    <w:rsid w:val="00111136"/>
    <w:rsid w:val="00111164"/>
    <w:rsid w:val="00111761"/>
    <w:rsid w:val="00112164"/>
    <w:rsid w:val="0011241F"/>
    <w:rsid w:val="001128BF"/>
    <w:rsid w:val="00112D09"/>
    <w:rsid w:val="00112E8F"/>
    <w:rsid w:val="00112F03"/>
    <w:rsid w:val="00112F38"/>
    <w:rsid w:val="001136D6"/>
    <w:rsid w:val="00113821"/>
    <w:rsid w:val="00114058"/>
    <w:rsid w:val="0011449E"/>
    <w:rsid w:val="001153EF"/>
    <w:rsid w:val="00115D55"/>
    <w:rsid w:val="00115E45"/>
    <w:rsid w:val="00115F85"/>
    <w:rsid w:val="0011688E"/>
    <w:rsid w:val="00116ACD"/>
    <w:rsid w:val="00116D94"/>
    <w:rsid w:val="0011718F"/>
    <w:rsid w:val="00117B7D"/>
    <w:rsid w:val="00117EFC"/>
    <w:rsid w:val="001205A8"/>
    <w:rsid w:val="00121766"/>
    <w:rsid w:val="00122A64"/>
    <w:rsid w:val="00123694"/>
    <w:rsid w:val="0012388A"/>
    <w:rsid w:val="0012388C"/>
    <w:rsid w:val="00123AFA"/>
    <w:rsid w:val="00123C8C"/>
    <w:rsid w:val="00123E8B"/>
    <w:rsid w:val="00124B43"/>
    <w:rsid w:val="00124DF8"/>
    <w:rsid w:val="001253EA"/>
    <w:rsid w:val="00125B99"/>
    <w:rsid w:val="00126160"/>
    <w:rsid w:val="00126DB5"/>
    <w:rsid w:val="00127178"/>
    <w:rsid w:val="00127F09"/>
    <w:rsid w:val="0013002A"/>
    <w:rsid w:val="0013085D"/>
    <w:rsid w:val="0013089C"/>
    <w:rsid w:val="00130A2D"/>
    <w:rsid w:val="00130F54"/>
    <w:rsid w:val="001310EE"/>
    <w:rsid w:val="00131888"/>
    <w:rsid w:val="00131F17"/>
    <w:rsid w:val="0013212F"/>
    <w:rsid w:val="001323F9"/>
    <w:rsid w:val="0013251F"/>
    <w:rsid w:val="00133088"/>
    <w:rsid w:val="0013321E"/>
    <w:rsid w:val="00133346"/>
    <w:rsid w:val="001335B1"/>
    <w:rsid w:val="00133B4E"/>
    <w:rsid w:val="0013410F"/>
    <w:rsid w:val="001346A7"/>
    <w:rsid w:val="001346AF"/>
    <w:rsid w:val="00134990"/>
    <w:rsid w:val="00134FB4"/>
    <w:rsid w:val="001354D1"/>
    <w:rsid w:val="00135840"/>
    <w:rsid w:val="00135A0A"/>
    <w:rsid w:val="00135BB9"/>
    <w:rsid w:val="0013621D"/>
    <w:rsid w:val="00136354"/>
    <w:rsid w:val="00136674"/>
    <w:rsid w:val="00136B0E"/>
    <w:rsid w:val="00136C3B"/>
    <w:rsid w:val="001376AB"/>
    <w:rsid w:val="0013777C"/>
    <w:rsid w:val="00137D5F"/>
    <w:rsid w:val="00140082"/>
    <w:rsid w:val="00140175"/>
    <w:rsid w:val="00140757"/>
    <w:rsid w:val="00140D07"/>
    <w:rsid w:val="00141A3A"/>
    <w:rsid w:val="001423FA"/>
    <w:rsid w:val="001427B5"/>
    <w:rsid w:val="001428CF"/>
    <w:rsid w:val="00142D0C"/>
    <w:rsid w:val="00142E3C"/>
    <w:rsid w:val="00143387"/>
    <w:rsid w:val="00144013"/>
    <w:rsid w:val="001455C3"/>
    <w:rsid w:val="00145A17"/>
    <w:rsid w:val="00145BBE"/>
    <w:rsid w:val="001460B5"/>
    <w:rsid w:val="0014641F"/>
    <w:rsid w:val="001464A8"/>
    <w:rsid w:val="001467BB"/>
    <w:rsid w:val="00146A5B"/>
    <w:rsid w:val="00146CA8"/>
    <w:rsid w:val="0014723E"/>
    <w:rsid w:val="00147884"/>
    <w:rsid w:val="00150664"/>
    <w:rsid w:val="00150827"/>
    <w:rsid w:val="00150B0D"/>
    <w:rsid w:val="00150E10"/>
    <w:rsid w:val="00150FBA"/>
    <w:rsid w:val="00151A32"/>
    <w:rsid w:val="00151BDE"/>
    <w:rsid w:val="00151E31"/>
    <w:rsid w:val="00151F9B"/>
    <w:rsid w:val="00152289"/>
    <w:rsid w:val="00152425"/>
    <w:rsid w:val="00152BAD"/>
    <w:rsid w:val="00152CE3"/>
    <w:rsid w:val="00153652"/>
    <w:rsid w:val="00153697"/>
    <w:rsid w:val="00153956"/>
    <w:rsid w:val="00153B95"/>
    <w:rsid w:val="00154146"/>
    <w:rsid w:val="00154190"/>
    <w:rsid w:val="001545EA"/>
    <w:rsid w:val="001549BA"/>
    <w:rsid w:val="00154BBF"/>
    <w:rsid w:val="00155099"/>
    <w:rsid w:val="00155C85"/>
    <w:rsid w:val="00156A6C"/>
    <w:rsid w:val="00156B10"/>
    <w:rsid w:val="00157673"/>
    <w:rsid w:val="001576FE"/>
    <w:rsid w:val="00157823"/>
    <w:rsid w:val="0015790D"/>
    <w:rsid w:val="00157C5E"/>
    <w:rsid w:val="00157DD3"/>
    <w:rsid w:val="0016015A"/>
    <w:rsid w:val="0016020E"/>
    <w:rsid w:val="00160503"/>
    <w:rsid w:val="00160D7C"/>
    <w:rsid w:val="00160E30"/>
    <w:rsid w:val="0016106D"/>
    <w:rsid w:val="001612E1"/>
    <w:rsid w:val="001614DB"/>
    <w:rsid w:val="0016194E"/>
    <w:rsid w:val="0016236C"/>
    <w:rsid w:val="00162625"/>
    <w:rsid w:val="001630A8"/>
    <w:rsid w:val="00163826"/>
    <w:rsid w:val="00163943"/>
    <w:rsid w:val="00163BA1"/>
    <w:rsid w:val="00163DDF"/>
    <w:rsid w:val="00163F22"/>
    <w:rsid w:val="0016417B"/>
    <w:rsid w:val="0016470E"/>
    <w:rsid w:val="001649D3"/>
    <w:rsid w:val="00164E0A"/>
    <w:rsid w:val="001652D7"/>
    <w:rsid w:val="00165816"/>
    <w:rsid w:val="00165A5F"/>
    <w:rsid w:val="001661D0"/>
    <w:rsid w:val="00166223"/>
    <w:rsid w:val="00167804"/>
    <w:rsid w:val="0016793E"/>
    <w:rsid w:val="00167D4D"/>
    <w:rsid w:val="0017054C"/>
    <w:rsid w:val="00170635"/>
    <w:rsid w:val="0017070D"/>
    <w:rsid w:val="00170837"/>
    <w:rsid w:val="00171035"/>
    <w:rsid w:val="001713B7"/>
    <w:rsid w:val="00171ADB"/>
    <w:rsid w:val="00171E2C"/>
    <w:rsid w:val="00172029"/>
    <w:rsid w:val="001733A4"/>
    <w:rsid w:val="001735D4"/>
    <w:rsid w:val="00173AB9"/>
    <w:rsid w:val="00173EED"/>
    <w:rsid w:val="00174368"/>
    <w:rsid w:val="001744EA"/>
    <w:rsid w:val="00174D82"/>
    <w:rsid w:val="00174E44"/>
    <w:rsid w:val="00175053"/>
    <w:rsid w:val="001753B7"/>
    <w:rsid w:val="001757E7"/>
    <w:rsid w:val="00175873"/>
    <w:rsid w:val="00175C59"/>
    <w:rsid w:val="00175F94"/>
    <w:rsid w:val="001760BC"/>
    <w:rsid w:val="00176674"/>
    <w:rsid w:val="00176818"/>
    <w:rsid w:val="00176B82"/>
    <w:rsid w:val="00176E3B"/>
    <w:rsid w:val="00176ECB"/>
    <w:rsid w:val="0017752D"/>
    <w:rsid w:val="0017759F"/>
    <w:rsid w:val="00177832"/>
    <w:rsid w:val="0018057A"/>
    <w:rsid w:val="001807AE"/>
    <w:rsid w:val="00181178"/>
    <w:rsid w:val="0018119E"/>
    <w:rsid w:val="0018152C"/>
    <w:rsid w:val="00181A74"/>
    <w:rsid w:val="00181DBA"/>
    <w:rsid w:val="00181EEF"/>
    <w:rsid w:val="00181F37"/>
    <w:rsid w:val="00181F3E"/>
    <w:rsid w:val="00182FE0"/>
    <w:rsid w:val="00183911"/>
    <w:rsid w:val="001840C0"/>
    <w:rsid w:val="00184407"/>
    <w:rsid w:val="001845FB"/>
    <w:rsid w:val="00184FB1"/>
    <w:rsid w:val="001857FB"/>
    <w:rsid w:val="00185DA6"/>
    <w:rsid w:val="00185F64"/>
    <w:rsid w:val="00186096"/>
    <w:rsid w:val="001862FE"/>
    <w:rsid w:val="001866F1"/>
    <w:rsid w:val="00186E20"/>
    <w:rsid w:val="0018772E"/>
    <w:rsid w:val="00187A94"/>
    <w:rsid w:val="0019029E"/>
    <w:rsid w:val="00190804"/>
    <w:rsid w:val="0019088F"/>
    <w:rsid w:val="00190C51"/>
    <w:rsid w:val="0019122E"/>
    <w:rsid w:val="0019170B"/>
    <w:rsid w:val="00191DDF"/>
    <w:rsid w:val="00193ACC"/>
    <w:rsid w:val="00193BFE"/>
    <w:rsid w:val="00195322"/>
    <w:rsid w:val="0019560E"/>
    <w:rsid w:val="001958E3"/>
    <w:rsid w:val="0019601B"/>
    <w:rsid w:val="00196048"/>
    <w:rsid w:val="00196764"/>
    <w:rsid w:val="00196A82"/>
    <w:rsid w:val="0019769B"/>
    <w:rsid w:val="001979F9"/>
    <w:rsid w:val="00197FFE"/>
    <w:rsid w:val="001A0D25"/>
    <w:rsid w:val="001A0E14"/>
    <w:rsid w:val="001A1570"/>
    <w:rsid w:val="001A1917"/>
    <w:rsid w:val="001A1C64"/>
    <w:rsid w:val="001A1DFB"/>
    <w:rsid w:val="001A1E7F"/>
    <w:rsid w:val="001A2918"/>
    <w:rsid w:val="001A2D02"/>
    <w:rsid w:val="001A3076"/>
    <w:rsid w:val="001A3163"/>
    <w:rsid w:val="001A31A5"/>
    <w:rsid w:val="001A389C"/>
    <w:rsid w:val="001A3B75"/>
    <w:rsid w:val="001A4027"/>
    <w:rsid w:val="001A46FB"/>
    <w:rsid w:val="001A4B5B"/>
    <w:rsid w:val="001A4EA6"/>
    <w:rsid w:val="001A4EC9"/>
    <w:rsid w:val="001A5944"/>
    <w:rsid w:val="001A5FB1"/>
    <w:rsid w:val="001A698A"/>
    <w:rsid w:val="001A6CCC"/>
    <w:rsid w:val="001A6E3B"/>
    <w:rsid w:val="001A70C8"/>
    <w:rsid w:val="001A71C9"/>
    <w:rsid w:val="001A7429"/>
    <w:rsid w:val="001A760C"/>
    <w:rsid w:val="001A770F"/>
    <w:rsid w:val="001A7977"/>
    <w:rsid w:val="001A799B"/>
    <w:rsid w:val="001A7AC7"/>
    <w:rsid w:val="001A7C38"/>
    <w:rsid w:val="001B00C5"/>
    <w:rsid w:val="001B02F8"/>
    <w:rsid w:val="001B2104"/>
    <w:rsid w:val="001B2279"/>
    <w:rsid w:val="001B2729"/>
    <w:rsid w:val="001B2866"/>
    <w:rsid w:val="001B2881"/>
    <w:rsid w:val="001B2B73"/>
    <w:rsid w:val="001B3675"/>
    <w:rsid w:val="001B37C8"/>
    <w:rsid w:val="001B48BA"/>
    <w:rsid w:val="001B4B2C"/>
    <w:rsid w:val="001B4F10"/>
    <w:rsid w:val="001B5154"/>
    <w:rsid w:val="001B54BF"/>
    <w:rsid w:val="001B6E30"/>
    <w:rsid w:val="001B7C83"/>
    <w:rsid w:val="001B7D67"/>
    <w:rsid w:val="001B7F9E"/>
    <w:rsid w:val="001C0206"/>
    <w:rsid w:val="001C0246"/>
    <w:rsid w:val="001C04D4"/>
    <w:rsid w:val="001C0B34"/>
    <w:rsid w:val="001C12A3"/>
    <w:rsid w:val="001C17BB"/>
    <w:rsid w:val="001C187E"/>
    <w:rsid w:val="001C1A37"/>
    <w:rsid w:val="001C1B4B"/>
    <w:rsid w:val="001C1C49"/>
    <w:rsid w:val="001C286F"/>
    <w:rsid w:val="001C2B86"/>
    <w:rsid w:val="001C2F54"/>
    <w:rsid w:val="001C3308"/>
    <w:rsid w:val="001C3BBB"/>
    <w:rsid w:val="001C40D1"/>
    <w:rsid w:val="001C468A"/>
    <w:rsid w:val="001C4A38"/>
    <w:rsid w:val="001C4A9E"/>
    <w:rsid w:val="001C5001"/>
    <w:rsid w:val="001C5103"/>
    <w:rsid w:val="001C52A8"/>
    <w:rsid w:val="001C5ADF"/>
    <w:rsid w:val="001C5E8E"/>
    <w:rsid w:val="001C6120"/>
    <w:rsid w:val="001C6516"/>
    <w:rsid w:val="001C68B9"/>
    <w:rsid w:val="001C6B5C"/>
    <w:rsid w:val="001C7155"/>
    <w:rsid w:val="001C7E48"/>
    <w:rsid w:val="001D039B"/>
    <w:rsid w:val="001D0849"/>
    <w:rsid w:val="001D1258"/>
    <w:rsid w:val="001D1AB8"/>
    <w:rsid w:val="001D286F"/>
    <w:rsid w:val="001D2C94"/>
    <w:rsid w:val="001D33D9"/>
    <w:rsid w:val="001D36F6"/>
    <w:rsid w:val="001D4303"/>
    <w:rsid w:val="001D4386"/>
    <w:rsid w:val="001D45E5"/>
    <w:rsid w:val="001D461A"/>
    <w:rsid w:val="001D4A9D"/>
    <w:rsid w:val="001D4AAD"/>
    <w:rsid w:val="001D5AFA"/>
    <w:rsid w:val="001D652D"/>
    <w:rsid w:val="001D784A"/>
    <w:rsid w:val="001E04A4"/>
    <w:rsid w:val="001E07C5"/>
    <w:rsid w:val="001E176D"/>
    <w:rsid w:val="001E1BCE"/>
    <w:rsid w:val="001E1E05"/>
    <w:rsid w:val="001E2086"/>
    <w:rsid w:val="001E339F"/>
    <w:rsid w:val="001E3629"/>
    <w:rsid w:val="001E3E7D"/>
    <w:rsid w:val="001E40F0"/>
    <w:rsid w:val="001E4172"/>
    <w:rsid w:val="001E4F08"/>
    <w:rsid w:val="001E5490"/>
    <w:rsid w:val="001E5730"/>
    <w:rsid w:val="001E5E2E"/>
    <w:rsid w:val="001E6352"/>
    <w:rsid w:val="001E6812"/>
    <w:rsid w:val="001E6ADE"/>
    <w:rsid w:val="001E70AD"/>
    <w:rsid w:val="001E7237"/>
    <w:rsid w:val="001E7AD1"/>
    <w:rsid w:val="001E7AF6"/>
    <w:rsid w:val="001F01B8"/>
    <w:rsid w:val="001F0FC3"/>
    <w:rsid w:val="001F1188"/>
    <w:rsid w:val="001F1401"/>
    <w:rsid w:val="001F1B8D"/>
    <w:rsid w:val="001F274F"/>
    <w:rsid w:val="001F289C"/>
    <w:rsid w:val="001F2BF9"/>
    <w:rsid w:val="001F3AF2"/>
    <w:rsid w:val="001F6008"/>
    <w:rsid w:val="001F604B"/>
    <w:rsid w:val="001F641B"/>
    <w:rsid w:val="001F6D4D"/>
    <w:rsid w:val="00200D69"/>
    <w:rsid w:val="00200F9D"/>
    <w:rsid w:val="0020130D"/>
    <w:rsid w:val="00201916"/>
    <w:rsid w:val="00201D06"/>
    <w:rsid w:val="00201E9F"/>
    <w:rsid w:val="0020217D"/>
    <w:rsid w:val="00202F25"/>
    <w:rsid w:val="002035B3"/>
    <w:rsid w:val="00203929"/>
    <w:rsid w:val="00203CD6"/>
    <w:rsid w:val="00203D01"/>
    <w:rsid w:val="00204460"/>
    <w:rsid w:val="002051EA"/>
    <w:rsid w:val="00205CBC"/>
    <w:rsid w:val="00206259"/>
    <w:rsid w:val="002074B7"/>
    <w:rsid w:val="0020758D"/>
    <w:rsid w:val="00207C7B"/>
    <w:rsid w:val="00211470"/>
    <w:rsid w:val="00211922"/>
    <w:rsid w:val="0021213A"/>
    <w:rsid w:val="002121B4"/>
    <w:rsid w:val="0021265F"/>
    <w:rsid w:val="00213232"/>
    <w:rsid w:val="00213817"/>
    <w:rsid w:val="00214428"/>
    <w:rsid w:val="002145EB"/>
    <w:rsid w:val="00214F82"/>
    <w:rsid w:val="00215033"/>
    <w:rsid w:val="00215834"/>
    <w:rsid w:val="00215A2A"/>
    <w:rsid w:val="00215CC2"/>
    <w:rsid w:val="00215ED8"/>
    <w:rsid w:val="00215FAF"/>
    <w:rsid w:val="00217700"/>
    <w:rsid w:val="002177E2"/>
    <w:rsid w:val="0021783B"/>
    <w:rsid w:val="002205F3"/>
    <w:rsid w:val="0022085B"/>
    <w:rsid w:val="00220E53"/>
    <w:rsid w:val="0022176C"/>
    <w:rsid w:val="002225D1"/>
    <w:rsid w:val="002230FA"/>
    <w:rsid w:val="00223DF2"/>
    <w:rsid w:val="002243E6"/>
    <w:rsid w:val="002249A2"/>
    <w:rsid w:val="00224C0C"/>
    <w:rsid w:val="002256C2"/>
    <w:rsid w:val="002256D0"/>
    <w:rsid w:val="00225C8E"/>
    <w:rsid w:val="00226428"/>
    <w:rsid w:val="002265A9"/>
    <w:rsid w:val="002266CB"/>
    <w:rsid w:val="00227052"/>
    <w:rsid w:val="002272D5"/>
    <w:rsid w:val="0022738E"/>
    <w:rsid w:val="00227906"/>
    <w:rsid w:val="00227934"/>
    <w:rsid w:val="00227E21"/>
    <w:rsid w:val="00230670"/>
    <w:rsid w:val="00231D05"/>
    <w:rsid w:val="0023241A"/>
    <w:rsid w:val="002336E2"/>
    <w:rsid w:val="00233AC2"/>
    <w:rsid w:val="00233BAF"/>
    <w:rsid w:val="00233E3A"/>
    <w:rsid w:val="00233F80"/>
    <w:rsid w:val="00235420"/>
    <w:rsid w:val="00235700"/>
    <w:rsid w:val="002374CA"/>
    <w:rsid w:val="0024065B"/>
    <w:rsid w:val="002409A6"/>
    <w:rsid w:val="00240C63"/>
    <w:rsid w:val="00240D91"/>
    <w:rsid w:val="00240EA5"/>
    <w:rsid w:val="00241132"/>
    <w:rsid w:val="00241205"/>
    <w:rsid w:val="002418C5"/>
    <w:rsid w:val="002421FD"/>
    <w:rsid w:val="0024261D"/>
    <w:rsid w:val="00242712"/>
    <w:rsid w:val="00242DFB"/>
    <w:rsid w:val="00243146"/>
    <w:rsid w:val="00243807"/>
    <w:rsid w:val="002440AC"/>
    <w:rsid w:val="00244365"/>
    <w:rsid w:val="0024459A"/>
    <w:rsid w:val="002446A3"/>
    <w:rsid w:val="00244771"/>
    <w:rsid w:val="00244903"/>
    <w:rsid w:val="00244AFB"/>
    <w:rsid w:val="002453DF"/>
    <w:rsid w:val="00245A81"/>
    <w:rsid w:val="00246010"/>
    <w:rsid w:val="002462A5"/>
    <w:rsid w:val="00246913"/>
    <w:rsid w:val="00246B86"/>
    <w:rsid w:val="00247335"/>
    <w:rsid w:val="002473EF"/>
    <w:rsid w:val="002477B9"/>
    <w:rsid w:val="00247B69"/>
    <w:rsid w:val="00247CBE"/>
    <w:rsid w:val="00250A1F"/>
    <w:rsid w:val="00250ADA"/>
    <w:rsid w:val="00250F1D"/>
    <w:rsid w:val="00251FF1"/>
    <w:rsid w:val="002520BA"/>
    <w:rsid w:val="00252234"/>
    <w:rsid w:val="002528E3"/>
    <w:rsid w:val="00252944"/>
    <w:rsid w:val="00252D55"/>
    <w:rsid w:val="00252D82"/>
    <w:rsid w:val="00253006"/>
    <w:rsid w:val="002533F5"/>
    <w:rsid w:val="002536B3"/>
    <w:rsid w:val="00253C60"/>
    <w:rsid w:val="00253F21"/>
    <w:rsid w:val="0025429D"/>
    <w:rsid w:val="002549E9"/>
    <w:rsid w:val="00254FF6"/>
    <w:rsid w:val="00255099"/>
    <w:rsid w:val="002555C6"/>
    <w:rsid w:val="00255E14"/>
    <w:rsid w:val="00255FF9"/>
    <w:rsid w:val="00257059"/>
    <w:rsid w:val="0025712F"/>
    <w:rsid w:val="00257395"/>
    <w:rsid w:val="00257857"/>
    <w:rsid w:val="002578DA"/>
    <w:rsid w:val="00257CBC"/>
    <w:rsid w:val="002602C2"/>
    <w:rsid w:val="002602DA"/>
    <w:rsid w:val="0026040B"/>
    <w:rsid w:val="002604F2"/>
    <w:rsid w:val="00260802"/>
    <w:rsid w:val="002609E3"/>
    <w:rsid w:val="00261223"/>
    <w:rsid w:val="002617AB"/>
    <w:rsid w:val="00261D08"/>
    <w:rsid w:val="00261DCC"/>
    <w:rsid w:val="002624D0"/>
    <w:rsid w:val="00262F9F"/>
    <w:rsid w:val="0026338A"/>
    <w:rsid w:val="00263EC7"/>
    <w:rsid w:val="0026491B"/>
    <w:rsid w:val="00264A36"/>
    <w:rsid w:val="00264B06"/>
    <w:rsid w:val="00264C1B"/>
    <w:rsid w:val="00264E10"/>
    <w:rsid w:val="00265D10"/>
    <w:rsid w:val="00265E2E"/>
    <w:rsid w:val="002661AB"/>
    <w:rsid w:val="00266229"/>
    <w:rsid w:val="0026742B"/>
    <w:rsid w:val="002674FE"/>
    <w:rsid w:val="00267E59"/>
    <w:rsid w:val="002702F6"/>
    <w:rsid w:val="00270748"/>
    <w:rsid w:val="00270CAB"/>
    <w:rsid w:val="0027117F"/>
    <w:rsid w:val="002712DC"/>
    <w:rsid w:val="00271875"/>
    <w:rsid w:val="002718FF"/>
    <w:rsid w:val="00271955"/>
    <w:rsid w:val="00272278"/>
    <w:rsid w:val="00272432"/>
    <w:rsid w:val="00272633"/>
    <w:rsid w:val="00272D2C"/>
    <w:rsid w:val="00272E48"/>
    <w:rsid w:val="00272FBF"/>
    <w:rsid w:val="0027352A"/>
    <w:rsid w:val="002739B5"/>
    <w:rsid w:val="00273A10"/>
    <w:rsid w:val="00273A58"/>
    <w:rsid w:val="0027451B"/>
    <w:rsid w:val="00274CAB"/>
    <w:rsid w:val="00274E8A"/>
    <w:rsid w:val="00275A53"/>
    <w:rsid w:val="00275FCE"/>
    <w:rsid w:val="002766B8"/>
    <w:rsid w:val="0027680F"/>
    <w:rsid w:val="002777C0"/>
    <w:rsid w:val="00281006"/>
    <w:rsid w:val="00281161"/>
    <w:rsid w:val="002815B1"/>
    <w:rsid w:val="00281893"/>
    <w:rsid w:val="00281C1F"/>
    <w:rsid w:val="00281EEA"/>
    <w:rsid w:val="00281F88"/>
    <w:rsid w:val="0028288D"/>
    <w:rsid w:val="002829B7"/>
    <w:rsid w:val="00282B82"/>
    <w:rsid w:val="00282C74"/>
    <w:rsid w:val="00282E5B"/>
    <w:rsid w:val="00283995"/>
    <w:rsid w:val="00283B11"/>
    <w:rsid w:val="002841A9"/>
    <w:rsid w:val="00284313"/>
    <w:rsid w:val="00284554"/>
    <w:rsid w:val="0028456A"/>
    <w:rsid w:val="002848AD"/>
    <w:rsid w:val="00284DE4"/>
    <w:rsid w:val="00285154"/>
    <w:rsid w:val="00285BF2"/>
    <w:rsid w:val="00285C78"/>
    <w:rsid w:val="00285DF8"/>
    <w:rsid w:val="00285E54"/>
    <w:rsid w:val="0028625F"/>
    <w:rsid w:val="002863CE"/>
    <w:rsid w:val="00287E20"/>
    <w:rsid w:val="0029110F"/>
    <w:rsid w:val="00291492"/>
    <w:rsid w:val="00291527"/>
    <w:rsid w:val="0029199A"/>
    <w:rsid w:val="00291BBE"/>
    <w:rsid w:val="00291FEB"/>
    <w:rsid w:val="00293146"/>
    <w:rsid w:val="0029361E"/>
    <w:rsid w:val="002939F4"/>
    <w:rsid w:val="00293D68"/>
    <w:rsid w:val="0029408A"/>
    <w:rsid w:val="00294352"/>
    <w:rsid w:val="002944A0"/>
    <w:rsid w:val="002946E4"/>
    <w:rsid w:val="0029495C"/>
    <w:rsid w:val="002957D9"/>
    <w:rsid w:val="00295B52"/>
    <w:rsid w:val="00295F4B"/>
    <w:rsid w:val="00296024"/>
    <w:rsid w:val="00296293"/>
    <w:rsid w:val="00296AF7"/>
    <w:rsid w:val="002972F9"/>
    <w:rsid w:val="00297612"/>
    <w:rsid w:val="002977CA"/>
    <w:rsid w:val="00297ED7"/>
    <w:rsid w:val="002A0007"/>
    <w:rsid w:val="002A03AA"/>
    <w:rsid w:val="002A056D"/>
    <w:rsid w:val="002A07FE"/>
    <w:rsid w:val="002A094D"/>
    <w:rsid w:val="002A0CAF"/>
    <w:rsid w:val="002A0DDB"/>
    <w:rsid w:val="002A1565"/>
    <w:rsid w:val="002A16A9"/>
    <w:rsid w:val="002A2941"/>
    <w:rsid w:val="002A2DC4"/>
    <w:rsid w:val="002A33DB"/>
    <w:rsid w:val="002A3E69"/>
    <w:rsid w:val="002A44F9"/>
    <w:rsid w:val="002A49EF"/>
    <w:rsid w:val="002A4B8B"/>
    <w:rsid w:val="002A5107"/>
    <w:rsid w:val="002A535E"/>
    <w:rsid w:val="002A5DBD"/>
    <w:rsid w:val="002A6406"/>
    <w:rsid w:val="002A6432"/>
    <w:rsid w:val="002A6CF0"/>
    <w:rsid w:val="002A6FFC"/>
    <w:rsid w:val="002A7010"/>
    <w:rsid w:val="002A70BA"/>
    <w:rsid w:val="002A7A57"/>
    <w:rsid w:val="002A7BB2"/>
    <w:rsid w:val="002A7DCB"/>
    <w:rsid w:val="002B0685"/>
    <w:rsid w:val="002B0B53"/>
    <w:rsid w:val="002B1617"/>
    <w:rsid w:val="002B1A90"/>
    <w:rsid w:val="002B1D11"/>
    <w:rsid w:val="002B273B"/>
    <w:rsid w:val="002B29AA"/>
    <w:rsid w:val="002B2A7E"/>
    <w:rsid w:val="002B2F1B"/>
    <w:rsid w:val="002B3332"/>
    <w:rsid w:val="002B34C7"/>
    <w:rsid w:val="002B5269"/>
    <w:rsid w:val="002B5AFB"/>
    <w:rsid w:val="002B6320"/>
    <w:rsid w:val="002B6499"/>
    <w:rsid w:val="002B66AC"/>
    <w:rsid w:val="002B6852"/>
    <w:rsid w:val="002B77E1"/>
    <w:rsid w:val="002C0656"/>
    <w:rsid w:val="002C0714"/>
    <w:rsid w:val="002C0A96"/>
    <w:rsid w:val="002C1422"/>
    <w:rsid w:val="002C1697"/>
    <w:rsid w:val="002C1BF4"/>
    <w:rsid w:val="002C1E0D"/>
    <w:rsid w:val="002C2266"/>
    <w:rsid w:val="002C2356"/>
    <w:rsid w:val="002C28EB"/>
    <w:rsid w:val="002C316C"/>
    <w:rsid w:val="002C3265"/>
    <w:rsid w:val="002C3AED"/>
    <w:rsid w:val="002C3E56"/>
    <w:rsid w:val="002C414C"/>
    <w:rsid w:val="002C49F8"/>
    <w:rsid w:val="002C4C2F"/>
    <w:rsid w:val="002C5776"/>
    <w:rsid w:val="002C5EED"/>
    <w:rsid w:val="002C66DE"/>
    <w:rsid w:val="002C7193"/>
    <w:rsid w:val="002C7699"/>
    <w:rsid w:val="002C7A49"/>
    <w:rsid w:val="002D0128"/>
    <w:rsid w:val="002D0638"/>
    <w:rsid w:val="002D0B52"/>
    <w:rsid w:val="002D0E85"/>
    <w:rsid w:val="002D0FA7"/>
    <w:rsid w:val="002D12FB"/>
    <w:rsid w:val="002D19D1"/>
    <w:rsid w:val="002D1F35"/>
    <w:rsid w:val="002D1FA3"/>
    <w:rsid w:val="002D1FB8"/>
    <w:rsid w:val="002D20CD"/>
    <w:rsid w:val="002D23C6"/>
    <w:rsid w:val="002D24F0"/>
    <w:rsid w:val="002D25EB"/>
    <w:rsid w:val="002D29F3"/>
    <w:rsid w:val="002D3126"/>
    <w:rsid w:val="002D3529"/>
    <w:rsid w:val="002D3D0A"/>
    <w:rsid w:val="002D3EF0"/>
    <w:rsid w:val="002D478E"/>
    <w:rsid w:val="002D47AE"/>
    <w:rsid w:val="002D4A94"/>
    <w:rsid w:val="002D6216"/>
    <w:rsid w:val="002D65FF"/>
    <w:rsid w:val="002D6D10"/>
    <w:rsid w:val="002D71E2"/>
    <w:rsid w:val="002D7B6A"/>
    <w:rsid w:val="002E0026"/>
    <w:rsid w:val="002E08E8"/>
    <w:rsid w:val="002E0918"/>
    <w:rsid w:val="002E0BAA"/>
    <w:rsid w:val="002E0D96"/>
    <w:rsid w:val="002E0EA5"/>
    <w:rsid w:val="002E0F1C"/>
    <w:rsid w:val="002E17C5"/>
    <w:rsid w:val="002E1E19"/>
    <w:rsid w:val="002E1FAC"/>
    <w:rsid w:val="002E1FF7"/>
    <w:rsid w:val="002E283F"/>
    <w:rsid w:val="002E2854"/>
    <w:rsid w:val="002E2E69"/>
    <w:rsid w:val="002E2E74"/>
    <w:rsid w:val="002E32D2"/>
    <w:rsid w:val="002E361B"/>
    <w:rsid w:val="002E37AB"/>
    <w:rsid w:val="002E3A80"/>
    <w:rsid w:val="002E3FB9"/>
    <w:rsid w:val="002E41C7"/>
    <w:rsid w:val="002E51DF"/>
    <w:rsid w:val="002E57B9"/>
    <w:rsid w:val="002E6127"/>
    <w:rsid w:val="002E6885"/>
    <w:rsid w:val="002E72E4"/>
    <w:rsid w:val="002E739D"/>
    <w:rsid w:val="002F0F36"/>
    <w:rsid w:val="002F1276"/>
    <w:rsid w:val="002F175B"/>
    <w:rsid w:val="002F1986"/>
    <w:rsid w:val="002F1E5F"/>
    <w:rsid w:val="002F2A49"/>
    <w:rsid w:val="002F3550"/>
    <w:rsid w:val="002F3A4F"/>
    <w:rsid w:val="002F3B63"/>
    <w:rsid w:val="002F3C56"/>
    <w:rsid w:val="002F46B0"/>
    <w:rsid w:val="002F4B17"/>
    <w:rsid w:val="002F5150"/>
    <w:rsid w:val="002F5463"/>
    <w:rsid w:val="002F58C2"/>
    <w:rsid w:val="002F5932"/>
    <w:rsid w:val="002F5C85"/>
    <w:rsid w:val="002F603B"/>
    <w:rsid w:val="002F6201"/>
    <w:rsid w:val="002F6493"/>
    <w:rsid w:val="002F724B"/>
    <w:rsid w:val="002F72BA"/>
    <w:rsid w:val="00300267"/>
    <w:rsid w:val="003004D2"/>
    <w:rsid w:val="00300D6B"/>
    <w:rsid w:val="00301380"/>
    <w:rsid w:val="00301E89"/>
    <w:rsid w:val="00302052"/>
    <w:rsid w:val="00302142"/>
    <w:rsid w:val="00302169"/>
    <w:rsid w:val="00302612"/>
    <w:rsid w:val="00303254"/>
    <w:rsid w:val="003032D8"/>
    <w:rsid w:val="003044D9"/>
    <w:rsid w:val="00304D8A"/>
    <w:rsid w:val="00305216"/>
    <w:rsid w:val="003053EA"/>
    <w:rsid w:val="0030555B"/>
    <w:rsid w:val="003061F5"/>
    <w:rsid w:val="00306A49"/>
    <w:rsid w:val="00306D27"/>
    <w:rsid w:val="0030722F"/>
    <w:rsid w:val="0030739C"/>
    <w:rsid w:val="00307A2C"/>
    <w:rsid w:val="00310D51"/>
    <w:rsid w:val="00311B36"/>
    <w:rsid w:val="00311C92"/>
    <w:rsid w:val="0031256E"/>
    <w:rsid w:val="00313321"/>
    <w:rsid w:val="003133AE"/>
    <w:rsid w:val="0031371B"/>
    <w:rsid w:val="00314156"/>
    <w:rsid w:val="00314CF8"/>
    <w:rsid w:val="0031535B"/>
    <w:rsid w:val="003154DD"/>
    <w:rsid w:val="00315FEA"/>
    <w:rsid w:val="00316F76"/>
    <w:rsid w:val="003170F4"/>
    <w:rsid w:val="0032035D"/>
    <w:rsid w:val="003205E9"/>
    <w:rsid w:val="00320B28"/>
    <w:rsid w:val="0032123E"/>
    <w:rsid w:val="003216D5"/>
    <w:rsid w:val="003216FF"/>
    <w:rsid w:val="00321866"/>
    <w:rsid w:val="00321A83"/>
    <w:rsid w:val="00321C1A"/>
    <w:rsid w:val="00321F6B"/>
    <w:rsid w:val="00322389"/>
    <w:rsid w:val="003223CA"/>
    <w:rsid w:val="00322BE5"/>
    <w:rsid w:val="00322E87"/>
    <w:rsid w:val="0032312D"/>
    <w:rsid w:val="00323AA5"/>
    <w:rsid w:val="003242E4"/>
    <w:rsid w:val="0032468D"/>
    <w:rsid w:val="00324926"/>
    <w:rsid w:val="00324B25"/>
    <w:rsid w:val="0032522F"/>
    <w:rsid w:val="003253C4"/>
    <w:rsid w:val="0032550F"/>
    <w:rsid w:val="00325992"/>
    <w:rsid w:val="00325B74"/>
    <w:rsid w:val="0032638F"/>
    <w:rsid w:val="00326B59"/>
    <w:rsid w:val="00326BD4"/>
    <w:rsid w:val="00326E49"/>
    <w:rsid w:val="003272C6"/>
    <w:rsid w:val="00327752"/>
    <w:rsid w:val="00327C7C"/>
    <w:rsid w:val="00330009"/>
    <w:rsid w:val="003301E6"/>
    <w:rsid w:val="003310AB"/>
    <w:rsid w:val="003314D2"/>
    <w:rsid w:val="003315A9"/>
    <w:rsid w:val="00331712"/>
    <w:rsid w:val="0033183B"/>
    <w:rsid w:val="00331A3F"/>
    <w:rsid w:val="00332191"/>
    <w:rsid w:val="00332720"/>
    <w:rsid w:val="00332EED"/>
    <w:rsid w:val="00332F1F"/>
    <w:rsid w:val="003333AB"/>
    <w:rsid w:val="003334A7"/>
    <w:rsid w:val="003337E8"/>
    <w:rsid w:val="00333A14"/>
    <w:rsid w:val="00333B2A"/>
    <w:rsid w:val="00333FD5"/>
    <w:rsid w:val="003350E9"/>
    <w:rsid w:val="003351BA"/>
    <w:rsid w:val="0033520F"/>
    <w:rsid w:val="0033596B"/>
    <w:rsid w:val="00335A93"/>
    <w:rsid w:val="0033650E"/>
    <w:rsid w:val="00336907"/>
    <w:rsid w:val="003369DF"/>
    <w:rsid w:val="00336AD1"/>
    <w:rsid w:val="00336C71"/>
    <w:rsid w:val="00336D96"/>
    <w:rsid w:val="00336DFC"/>
    <w:rsid w:val="00337230"/>
    <w:rsid w:val="003377D0"/>
    <w:rsid w:val="00337D75"/>
    <w:rsid w:val="00340020"/>
    <w:rsid w:val="00340AFD"/>
    <w:rsid w:val="00341162"/>
    <w:rsid w:val="00341866"/>
    <w:rsid w:val="00341DAF"/>
    <w:rsid w:val="00342181"/>
    <w:rsid w:val="00342B37"/>
    <w:rsid w:val="00343560"/>
    <w:rsid w:val="00343A20"/>
    <w:rsid w:val="0034402B"/>
    <w:rsid w:val="0034449E"/>
    <w:rsid w:val="00344D46"/>
    <w:rsid w:val="003451F0"/>
    <w:rsid w:val="003465A5"/>
    <w:rsid w:val="00346817"/>
    <w:rsid w:val="00347440"/>
    <w:rsid w:val="003475EA"/>
    <w:rsid w:val="00347A27"/>
    <w:rsid w:val="00347CD4"/>
    <w:rsid w:val="00347E2E"/>
    <w:rsid w:val="00350A55"/>
    <w:rsid w:val="00350DF8"/>
    <w:rsid w:val="00351A8A"/>
    <w:rsid w:val="0035266A"/>
    <w:rsid w:val="0035279C"/>
    <w:rsid w:val="003535D2"/>
    <w:rsid w:val="0035384D"/>
    <w:rsid w:val="00353C0B"/>
    <w:rsid w:val="00354AE4"/>
    <w:rsid w:val="00354B0A"/>
    <w:rsid w:val="00355264"/>
    <w:rsid w:val="0035551B"/>
    <w:rsid w:val="00355532"/>
    <w:rsid w:val="003555ED"/>
    <w:rsid w:val="00355911"/>
    <w:rsid w:val="00355BFC"/>
    <w:rsid w:val="0035636B"/>
    <w:rsid w:val="00356433"/>
    <w:rsid w:val="00357424"/>
    <w:rsid w:val="00357BE9"/>
    <w:rsid w:val="003601A2"/>
    <w:rsid w:val="003605DB"/>
    <w:rsid w:val="00361327"/>
    <w:rsid w:val="00361789"/>
    <w:rsid w:val="0036196D"/>
    <w:rsid w:val="00361A59"/>
    <w:rsid w:val="00361D8E"/>
    <w:rsid w:val="0036206B"/>
    <w:rsid w:val="00362136"/>
    <w:rsid w:val="00362517"/>
    <w:rsid w:val="0036268A"/>
    <w:rsid w:val="003627BD"/>
    <w:rsid w:val="00362997"/>
    <w:rsid w:val="00362C59"/>
    <w:rsid w:val="00363040"/>
    <w:rsid w:val="003630B7"/>
    <w:rsid w:val="003633E8"/>
    <w:rsid w:val="00363786"/>
    <w:rsid w:val="003638A4"/>
    <w:rsid w:val="003639BF"/>
    <w:rsid w:val="00363E41"/>
    <w:rsid w:val="00363FD2"/>
    <w:rsid w:val="00364091"/>
    <w:rsid w:val="0036447A"/>
    <w:rsid w:val="0036572E"/>
    <w:rsid w:val="00366168"/>
    <w:rsid w:val="003663D9"/>
    <w:rsid w:val="003666BF"/>
    <w:rsid w:val="00366707"/>
    <w:rsid w:val="00366FA9"/>
    <w:rsid w:val="00367B19"/>
    <w:rsid w:val="00367E49"/>
    <w:rsid w:val="003700E6"/>
    <w:rsid w:val="0037017C"/>
    <w:rsid w:val="00370490"/>
    <w:rsid w:val="00370633"/>
    <w:rsid w:val="0037117C"/>
    <w:rsid w:val="00371C86"/>
    <w:rsid w:val="0037236C"/>
    <w:rsid w:val="003729DE"/>
    <w:rsid w:val="003735D3"/>
    <w:rsid w:val="0037386D"/>
    <w:rsid w:val="00373956"/>
    <w:rsid w:val="003739A4"/>
    <w:rsid w:val="00374153"/>
    <w:rsid w:val="00374671"/>
    <w:rsid w:val="003750E0"/>
    <w:rsid w:val="00375AF1"/>
    <w:rsid w:val="00375C2F"/>
    <w:rsid w:val="00375FC5"/>
    <w:rsid w:val="00376943"/>
    <w:rsid w:val="003769BA"/>
    <w:rsid w:val="00377871"/>
    <w:rsid w:val="003778B2"/>
    <w:rsid w:val="00377D0E"/>
    <w:rsid w:val="00377E58"/>
    <w:rsid w:val="003804EE"/>
    <w:rsid w:val="003805E3"/>
    <w:rsid w:val="00380618"/>
    <w:rsid w:val="0038062E"/>
    <w:rsid w:val="003806D7"/>
    <w:rsid w:val="003807F7"/>
    <w:rsid w:val="00381610"/>
    <w:rsid w:val="00381762"/>
    <w:rsid w:val="00382106"/>
    <w:rsid w:val="00382657"/>
    <w:rsid w:val="00382708"/>
    <w:rsid w:val="00382ADF"/>
    <w:rsid w:val="00382B82"/>
    <w:rsid w:val="003834CE"/>
    <w:rsid w:val="003844BF"/>
    <w:rsid w:val="00384F87"/>
    <w:rsid w:val="0038518F"/>
    <w:rsid w:val="003854D5"/>
    <w:rsid w:val="0038552A"/>
    <w:rsid w:val="003856F1"/>
    <w:rsid w:val="003859EA"/>
    <w:rsid w:val="0038709E"/>
    <w:rsid w:val="00387D30"/>
    <w:rsid w:val="00391753"/>
    <w:rsid w:val="00391C7F"/>
    <w:rsid w:val="00392454"/>
    <w:rsid w:val="00392C85"/>
    <w:rsid w:val="00392FD8"/>
    <w:rsid w:val="00393E11"/>
    <w:rsid w:val="00394475"/>
    <w:rsid w:val="0039517A"/>
    <w:rsid w:val="003958B9"/>
    <w:rsid w:val="00395B51"/>
    <w:rsid w:val="00396796"/>
    <w:rsid w:val="00396EC6"/>
    <w:rsid w:val="003970BA"/>
    <w:rsid w:val="0039746C"/>
    <w:rsid w:val="003978CA"/>
    <w:rsid w:val="00397DC6"/>
    <w:rsid w:val="003A0E82"/>
    <w:rsid w:val="003A0FAC"/>
    <w:rsid w:val="003A1584"/>
    <w:rsid w:val="003A184D"/>
    <w:rsid w:val="003A1F68"/>
    <w:rsid w:val="003A1FB7"/>
    <w:rsid w:val="003A371E"/>
    <w:rsid w:val="003A3957"/>
    <w:rsid w:val="003A462A"/>
    <w:rsid w:val="003A4EA5"/>
    <w:rsid w:val="003A557D"/>
    <w:rsid w:val="003A595F"/>
    <w:rsid w:val="003A5EEC"/>
    <w:rsid w:val="003A6583"/>
    <w:rsid w:val="003A6B7A"/>
    <w:rsid w:val="003A6E38"/>
    <w:rsid w:val="003A79AE"/>
    <w:rsid w:val="003A7CA3"/>
    <w:rsid w:val="003B00B6"/>
    <w:rsid w:val="003B01C4"/>
    <w:rsid w:val="003B09D5"/>
    <w:rsid w:val="003B0BB0"/>
    <w:rsid w:val="003B11EE"/>
    <w:rsid w:val="003B15F8"/>
    <w:rsid w:val="003B1B60"/>
    <w:rsid w:val="003B230B"/>
    <w:rsid w:val="003B23BC"/>
    <w:rsid w:val="003B28BA"/>
    <w:rsid w:val="003B28F6"/>
    <w:rsid w:val="003B2DB5"/>
    <w:rsid w:val="003B2F05"/>
    <w:rsid w:val="003B3966"/>
    <w:rsid w:val="003B39B7"/>
    <w:rsid w:val="003B4754"/>
    <w:rsid w:val="003B4C78"/>
    <w:rsid w:val="003B4EB0"/>
    <w:rsid w:val="003B5094"/>
    <w:rsid w:val="003B5A05"/>
    <w:rsid w:val="003B5F6A"/>
    <w:rsid w:val="003B6B7F"/>
    <w:rsid w:val="003B7820"/>
    <w:rsid w:val="003C01A4"/>
    <w:rsid w:val="003C0219"/>
    <w:rsid w:val="003C0C12"/>
    <w:rsid w:val="003C16EE"/>
    <w:rsid w:val="003C1C87"/>
    <w:rsid w:val="003C2C85"/>
    <w:rsid w:val="003C2F61"/>
    <w:rsid w:val="003C345E"/>
    <w:rsid w:val="003C4409"/>
    <w:rsid w:val="003C4854"/>
    <w:rsid w:val="003C4997"/>
    <w:rsid w:val="003C4DA5"/>
    <w:rsid w:val="003C502A"/>
    <w:rsid w:val="003C5666"/>
    <w:rsid w:val="003C60CC"/>
    <w:rsid w:val="003C64F4"/>
    <w:rsid w:val="003C6D4E"/>
    <w:rsid w:val="003C724B"/>
    <w:rsid w:val="003C73DB"/>
    <w:rsid w:val="003D0185"/>
    <w:rsid w:val="003D02CB"/>
    <w:rsid w:val="003D0382"/>
    <w:rsid w:val="003D069C"/>
    <w:rsid w:val="003D0C2A"/>
    <w:rsid w:val="003D18F6"/>
    <w:rsid w:val="003D191E"/>
    <w:rsid w:val="003D1A19"/>
    <w:rsid w:val="003D2027"/>
    <w:rsid w:val="003D22A5"/>
    <w:rsid w:val="003D23A4"/>
    <w:rsid w:val="003D3414"/>
    <w:rsid w:val="003D3426"/>
    <w:rsid w:val="003D3654"/>
    <w:rsid w:val="003D3721"/>
    <w:rsid w:val="003D413A"/>
    <w:rsid w:val="003D4A9F"/>
    <w:rsid w:val="003D6722"/>
    <w:rsid w:val="003D7428"/>
    <w:rsid w:val="003D77F2"/>
    <w:rsid w:val="003D78CC"/>
    <w:rsid w:val="003D7D01"/>
    <w:rsid w:val="003D7D25"/>
    <w:rsid w:val="003D7ED8"/>
    <w:rsid w:val="003E0003"/>
    <w:rsid w:val="003E0099"/>
    <w:rsid w:val="003E08C7"/>
    <w:rsid w:val="003E1427"/>
    <w:rsid w:val="003E1A72"/>
    <w:rsid w:val="003E1C35"/>
    <w:rsid w:val="003E2582"/>
    <w:rsid w:val="003E2880"/>
    <w:rsid w:val="003E28FB"/>
    <w:rsid w:val="003E2A00"/>
    <w:rsid w:val="003E382C"/>
    <w:rsid w:val="003E3D00"/>
    <w:rsid w:val="003E4531"/>
    <w:rsid w:val="003E4771"/>
    <w:rsid w:val="003E54A8"/>
    <w:rsid w:val="003E5833"/>
    <w:rsid w:val="003E5DA8"/>
    <w:rsid w:val="003E7109"/>
    <w:rsid w:val="003E77DC"/>
    <w:rsid w:val="003E7BC1"/>
    <w:rsid w:val="003F005A"/>
    <w:rsid w:val="003F0453"/>
    <w:rsid w:val="003F0C9F"/>
    <w:rsid w:val="003F144A"/>
    <w:rsid w:val="003F18FB"/>
    <w:rsid w:val="003F1B02"/>
    <w:rsid w:val="003F1EFE"/>
    <w:rsid w:val="003F2240"/>
    <w:rsid w:val="003F2460"/>
    <w:rsid w:val="003F2E7B"/>
    <w:rsid w:val="003F3CD5"/>
    <w:rsid w:val="003F4473"/>
    <w:rsid w:val="003F4CF5"/>
    <w:rsid w:val="003F4E31"/>
    <w:rsid w:val="003F51EE"/>
    <w:rsid w:val="003F574E"/>
    <w:rsid w:val="003F60D6"/>
    <w:rsid w:val="003F68E9"/>
    <w:rsid w:val="003F728C"/>
    <w:rsid w:val="003F7E15"/>
    <w:rsid w:val="003F7FDA"/>
    <w:rsid w:val="00400E65"/>
    <w:rsid w:val="00401296"/>
    <w:rsid w:val="004013AD"/>
    <w:rsid w:val="00401E20"/>
    <w:rsid w:val="004021C0"/>
    <w:rsid w:val="004024F9"/>
    <w:rsid w:val="004028CE"/>
    <w:rsid w:val="0040299B"/>
    <w:rsid w:val="0040313D"/>
    <w:rsid w:val="004043FA"/>
    <w:rsid w:val="00404970"/>
    <w:rsid w:val="00405181"/>
    <w:rsid w:val="0040567F"/>
    <w:rsid w:val="00405873"/>
    <w:rsid w:val="00405F09"/>
    <w:rsid w:val="00405F3A"/>
    <w:rsid w:val="004066F4"/>
    <w:rsid w:val="00406A32"/>
    <w:rsid w:val="0040760B"/>
    <w:rsid w:val="00410117"/>
    <w:rsid w:val="00410600"/>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BB4"/>
    <w:rsid w:val="00414D68"/>
    <w:rsid w:val="00414FD9"/>
    <w:rsid w:val="004151BC"/>
    <w:rsid w:val="00415773"/>
    <w:rsid w:val="00415CAE"/>
    <w:rsid w:val="00415EE7"/>
    <w:rsid w:val="004160FA"/>
    <w:rsid w:val="0041669E"/>
    <w:rsid w:val="00416ACA"/>
    <w:rsid w:val="00416C56"/>
    <w:rsid w:val="00417294"/>
    <w:rsid w:val="004176B8"/>
    <w:rsid w:val="00417B99"/>
    <w:rsid w:val="00417CE0"/>
    <w:rsid w:val="004209D5"/>
    <w:rsid w:val="00420FAF"/>
    <w:rsid w:val="00421184"/>
    <w:rsid w:val="004212C1"/>
    <w:rsid w:val="004214B7"/>
    <w:rsid w:val="00421510"/>
    <w:rsid w:val="00421FB5"/>
    <w:rsid w:val="004226ED"/>
    <w:rsid w:val="00422AF4"/>
    <w:rsid w:val="004235F4"/>
    <w:rsid w:val="004236C9"/>
    <w:rsid w:val="00423CF3"/>
    <w:rsid w:val="00423E18"/>
    <w:rsid w:val="004245E4"/>
    <w:rsid w:val="00424B7C"/>
    <w:rsid w:val="0042500C"/>
    <w:rsid w:val="00425514"/>
    <w:rsid w:val="004256BD"/>
    <w:rsid w:val="00425863"/>
    <w:rsid w:val="00425D02"/>
    <w:rsid w:val="00425EDC"/>
    <w:rsid w:val="0042610C"/>
    <w:rsid w:val="00426B30"/>
    <w:rsid w:val="00426C3E"/>
    <w:rsid w:val="004275CD"/>
    <w:rsid w:val="00427E74"/>
    <w:rsid w:val="00427FEB"/>
    <w:rsid w:val="00427FF2"/>
    <w:rsid w:val="004305C0"/>
    <w:rsid w:val="00430B20"/>
    <w:rsid w:val="00430B6C"/>
    <w:rsid w:val="0043194E"/>
    <w:rsid w:val="0043227C"/>
    <w:rsid w:val="004335C0"/>
    <w:rsid w:val="004345E1"/>
    <w:rsid w:val="00435121"/>
    <w:rsid w:val="00435715"/>
    <w:rsid w:val="0043571B"/>
    <w:rsid w:val="00435EE0"/>
    <w:rsid w:val="00435F29"/>
    <w:rsid w:val="0043610C"/>
    <w:rsid w:val="004366FF"/>
    <w:rsid w:val="00437D83"/>
    <w:rsid w:val="004401DD"/>
    <w:rsid w:val="00440344"/>
    <w:rsid w:val="00440C0F"/>
    <w:rsid w:val="00441264"/>
    <w:rsid w:val="00441B0F"/>
    <w:rsid w:val="004425C6"/>
    <w:rsid w:val="00443D5D"/>
    <w:rsid w:val="00445CBA"/>
    <w:rsid w:val="004463CB"/>
    <w:rsid w:val="004466F7"/>
    <w:rsid w:val="00446858"/>
    <w:rsid w:val="00446C99"/>
    <w:rsid w:val="00447304"/>
    <w:rsid w:val="004476F6"/>
    <w:rsid w:val="00447CDD"/>
    <w:rsid w:val="00450127"/>
    <w:rsid w:val="0045075F"/>
    <w:rsid w:val="004514A5"/>
    <w:rsid w:val="004516AD"/>
    <w:rsid w:val="00451E84"/>
    <w:rsid w:val="00451EA3"/>
    <w:rsid w:val="00451F01"/>
    <w:rsid w:val="00454145"/>
    <w:rsid w:val="00454660"/>
    <w:rsid w:val="004546A7"/>
    <w:rsid w:val="00454831"/>
    <w:rsid w:val="004548DF"/>
    <w:rsid w:val="00456CC0"/>
    <w:rsid w:val="00457933"/>
    <w:rsid w:val="00457C78"/>
    <w:rsid w:val="00460735"/>
    <w:rsid w:val="00460AD5"/>
    <w:rsid w:val="00460EB8"/>
    <w:rsid w:val="00461090"/>
    <w:rsid w:val="00461991"/>
    <w:rsid w:val="00461ACB"/>
    <w:rsid w:val="00461C43"/>
    <w:rsid w:val="00462125"/>
    <w:rsid w:val="00463216"/>
    <w:rsid w:val="0046334D"/>
    <w:rsid w:val="00463911"/>
    <w:rsid w:val="00463C95"/>
    <w:rsid w:val="00463E1C"/>
    <w:rsid w:val="00464052"/>
    <w:rsid w:val="00464236"/>
    <w:rsid w:val="00464381"/>
    <w:rsid w:val="00464B8A"/>
    <w:rsid w:val="00465153"/>
    <w:rsid w:val="00465602"/>
    <w:rsid w:val="004656A4"/>
    <w:rsid w:val="0046599C"/>
    <w:rsid w:val="00465F01"/>
    <w:rsid w:val="00466A4A"/>
    <w:rsid w:val="00466AFD"/>
    <w:rsid w:val="00470696"/>
    <w:rsid w:val="004713A5"/>
    <w:rsid w:val="004718E1"/>
    <w:rsid w:val="00471FEC"/>
    <w:rsid w:val="00472177"/>
    <w:rsid w:val="00472234"/>
    <w:rsid w:val="004724C9"/>
    <w:rsid w:val="00472585"/>
    <w:rsid w:val="0047278F"/>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B2B"/>
    <w:rsid w:val="00481F2B"/>
    <w:rsid w:val="004820C5"/>
    <w:rsid w:val="00482198"/>
    <w:rsid w:val="004823D8"/>
    <w:rsid w:val="00482F20"/>
    <w:rsid w:val="00483196"/>
    <w:rsid w:val="0048340F"/>
    <w:rsid w:val="0048423C"/>
    <w:rsid w:val="00484449"/>
    <w:rsid w:val="004852CE"/>
    <w:rsid w:val="0048540C"/>
    <w:rsid w:val="00485B5F"/>
    <w:rsid w:val="00485F92"/>
    <w:rsid w:val="004860BD"/>
    <w:rsid w:val="004866E1"/>
    <w:rsid w:val="00486C72"/>
    <w:rsid w:val="00487D3A"/>
    <w:rsid w:val="00490954"/>
    <w:rsid w:val="0049102F"/>
    <w:rsid w:val="00491602"/>
    <w:rsid w:val="0049277A"/>
    <w:rsid w:val="00492B38"/>
    <w:rsid w:val="00492FE4"/>
    <w:rsid w:val="00493035"/>
    <w:rsid w:val="00493321"/>
    <w:rsid w:val="004936DE"/>
    <w:rsid w:val="004949B0"/>
    <w:rsid w:val="0049544E"/>
    <w:rsid w:val="00495670"/>
    <w:rsid w:val="0049567B"/>
    <w:rsid w:val="0049604B"/>
    <w:rsid w:val="00496666"/>
    <w:rsid w:val="00496AC9"/>
    <w:rsid w:val="004A040E"/>
    <w:rsid w:val="004A042D"/>
    <w:rsid w:val="004A1178"/>
    <w:rsid w:val="004A11E0"/>
    <w:rsid w:val="004A1953"/>
    <w:rsid w:val="004A1FC5"/>
    <w:rsid w:val="004A2158"/>
    <w:rsid w:val="004A29A5"/>
    <w:rsid w:val="004A3225"/>
    <w:rsid w:val="004A374A"/>
    <w:rsid w:val="004A395B"/>
    <w:rsid w:val="004A3C59"/>
    <w:rsid w:val="004A3FE2"/>
    <w:rsid w:val="004A4195"/>
    <w:rsid w:val="004A480D"/>
    <w:rsid w:val="004A4D76"/>
    <w:rsid w:val="004A5851"/>
    <w:rsid w:val="004A5A91"/>
    <w:rsid w:val="004A5B0F"/>
    <w:rsid w:val="004A5CF1"/>
    <w:rsid w:val="004A66E0"/>
    <w:rsid w:val="004A7AAE"/>
    <w:rsid w:val="004A7D49"/>
    <w:rsid w:val="004A7E52"/>
    <w:rsid w:val="004A7F21"/>
    <w:rsid w:val="004B07C6"/>
    <w:rsid w:val="004B08DB"/>
    <w:rsid w:val="004B1422"/>
    <w:rsid w:val="004B1DF2"/>
    <w:rsid w:val="004B24EB"/>
    <w:rsid w:val="004B29AC"/>
    <w:rsid w:val="004B3C8B"/>
    <w:rsid w:val="004B44A9"/>
    <w:rsid w:val="004B4509"/>
    <w:rsid w:val="004B452A"/>
    <w:rsid w:val="004B4871"/>
    <w:rsid w:val="004B4ADF"/>
    <w:rsid w:val="004B4C00"/>
    <w:rsid w:val="004B4E06"/>
    <w:rsid w:val="004B5493"/>
    <w:rsid w:val="004B5914"/>
    <w:rsid w:val="004B60F3"/>
    <w:rsid w:val="004B6C77"/>
    <w:rsid w:val="004B6D0A"/>
    <w:rsid w:val="004B6DA4"/>
    <w:rsid w:val="004B794C"/>
    <w:rsid w:val="004B7995"/>
    <w:rsid w:val="004C02B3"/>
    <w:rsid w:val="004C098E"/>
    <w:rsid w:val="004C0BBE"/>
    <w:rsid w:val="004C0E2F"/>
    <w:rsid w:val="004C1705"/>
    <w:rsid w:val="004C222E"/>
    <w:rsid w:val="004C2561"/>
    <w:rsid w:val="004C25B4"/>
    <w:rsid w:val="004C2806"/>
    <w:rsid w:val="004C29BD"/>
    <w:rsid w:val="004C3A7A"/>
    <w:rsid w:val="004C3ADD"/>
    <w:rsid w:val="004C3C00"/>
    <w:rsid w:val="004C428E"/>
    <w:rsid w:val="004C441A"/>
    <w:rsid w:val="004C4775"/>
    <w:rsid w:val="004C483D"/>
    <w:rsid w:val="004C48A9"/>
    <w:rsid w:val="004C4D05"/>
    <w:rsid w:val="004C590B"/>
    <w:rsid w:val="004C5BF4"/>
    <w:rsid w:val="004C5E9D"/>
    <w:rsid w:val="004C6017"/>
    <w:rsid w:val="004C62DE"/>
    <w:rsid w:val="004C63C7"/>
    <w:rsid w:val="004C6D39"/>
    <w:rsid w:val="004C6D98"/>
    <w:rsid w:val="004C7217"/>
    <w:rsid w:val="004C7743"/>
    <w:rsid w:val="004C77A7"/>
    <w:rsid w:val="004C7B38"/>
    <w:rsid w:val="004D039E"/>
    <w:rsid w:val="004D04A3"/>
    <w:rsid w:val="004D0C9F"/>
    <w:rsid w:val="004D15FD"/>
    <w:rsid w:val="004D1A0A"/>
    <w:rsid w:val="004D2369"/>
    <w:rsid w:val="004D2485"/>
    <w:rsid w:val="004D2CFC"/>
    <w:rsid w:val="004D3A57"/>
    <w:rsid w:val="004D47FF"/>
    <w:rsid w:val="004D4D35"/>
    <w:rsid w:val="004D518F"/>
    <w:rsid w:val="004D5394"/>
    <w:rsid w:val="004D54D7"/>
    <w:rsid w:val="004D5BB7"/>
    <w:rsid w:val="004D6053"/>
    <w:rsid w:val="004D6FA4"/>
    <w:rsid w:val="004D7C23"/>
    <w:rsid w:val="004E01C6"/>
    <w:rsid w:val="004E0212"/>
    <w:rsid w:val="004E0ADC"/>
    <w:rsid w:val="004E0FB1"/>
    <w:rsid w:val="004E1043"/>
    <w:rsid w:val="004E19DB"/>
    <w:rsid w:val="004E1DCA"/>
    <w:rsid w:val="004E21B4"/>
    <w:rsid w:val="004E252B"/>
    <w:rsid w:val="004E2861"/>
    <w:rsid w:val="004E2A85"/>
    <w:rsid w:val="004E3F72"/>
    <w:rsid w:val="004E47D5"/>
    <w:rsid w:val="004E4A5C"/>
    <w:rsid w:val="004E4A78"/>
    <w:rsid w:val="004E551E"/>
    <w:rsid w:val="004E584D"/>
    <w:rsid w:val="004E58F6"/>
    <w:rsid w:val="004E5E37"/>
    <w:rsid w:val="004E5E4C"/>
    <w:rsid w:val="004E5F79"/>
    <w:rsid w:val="004E623E"/>
    <w:rsid w:val="004E6589"/>
    <w:rsid w:val="004E6A1D"/>
    <w:rsid w:val="004E6CF9"/>
    <w:rsid w:val="004E7152"/>
    <w:rsid w:val="004E734E"/>
    <w:rsid w:val="004E7EC0"/>
    <w:rsid w:val="004E7F48"/>
    <w:rsid w:val="004F014E"/>
    <w:rsid w:val="004F023B"/>
    <w:rsid w:val="004F0BC6"/>
    <w:rsid w:val="004F1123"/>
    <w:rsid w:val="004F1715"/>
    <w:rsid w:val="004F17DA"/>
    <w:rsid w:val="004F355B"/>
    <w:rsid w:val="004F3BD2"/>
    <w:rsid w:val="004F3CBF"/>
    <w:rsid w:val="004F4372"/>
    <w:rsid w:val="004F43E0"/>
    <w:rsid w:val="004F45EB"/>
    <w:rsid w:val="004F5079"/>
    <w:rsid w:val="004F521B"/>
    <w:rsid w:val="004F52BB"/>
    <w:rsid w:val="004F5582"/>
    <w:rsid w:val="004F59B8"/>
    <w:rsid w:val="004F62A7"/>
    <w:rsid w:val="004F62F9"/>
    <w:rsid w:val="004F66B3"/>
    <w:rsid w:val="004F6FA7"/>
    <w:rsid w:val="004F71FB"/>
    <w:rsid w:val="004F7352"/>
    <w:rsid w:val="004F7889"/>
    <w:rsid w:val="0050015C"/>
    <w:rsid w:val="00500418"/>
    <w:rsid w:val="00500CCF"/>
    <w:rsid w:val="00500E62"/>
    <w:rsid w:val="005010DE"/>
    <w:rsid w:val="005011FD"/>
    <w:rsid w:val="0050164B"/>
    <w:rsid w:val="00501A86"/>
    <w:rsid w:val="00501AA5"/>
    <w:rsid w:val="00502958"/>
    <w:rsid w:val="00502BD2"/>
    <w:rsid w:val="00502DA4"/>
    <w:rsid w:val="0050356B"/>
    <w:rsid w:val="00503F83"/>
    <w:rsid w:val="0050421C"/>
    <w:rsid w:val="00504A9B"/>
    <w:rsid w:val="00504E9A"/>
    <w:rsid w:val="00504F83"/>
    <w:rsid w:val="005059B9"/>
    <w:rsid w:val="00505F64"/>
    <w:rsid w:val="00506CC4"/>
    <w:rsid w:val="00506DCD"/>
    <w:rsid w:val="00507325"/>
    <w:rsid w:val="00507583"/>
    <w:rsid w:val="00507C36"/>
    <w:rsid w:val="00507C56"/>
    <w:rsid w:val="00507F13"/>
    <w:rsid w:val="005109D4"/>
    <w:rsid w:val="00510CF4"/>
    <w:rsid w:val="0051160A"/>
    <w:rsid w:val="005118BA"/>
    <w:rsid w:val="00512D87"/>
    <w:rsid w:val="005130DA"/>
    <w:rsid w:val="00513430"/>
    <w:rsid w:val="0051354B"/>
    <w:rsid w:val="00513DDA"/>
    <w:rsid w:val="00513E19"/>
    <w:rsid w:val="005148B4"/>
    <w:rsid w:val="00514B29"/>
    <w:rsid w:val="00514E8C"/>
    <w:rsid w:val="005152B1"/>
    <w:rsid w:val="005152F0"/>
    <w:rsid w:val="0051532D"/>
    <w:rsid w:val="00515856"/>
    <w:rsid w:val="00515F50"/>
    <w:rsid w:val="005163E6"/>
    <w:rsid w:val="005172EC"/>
    <w:rsid w:val="0051740D"/>
    <w:rsid w:val="005178CE"/>
    <w:rsid w:val="005205FF"/>
    <w:rsid w:val="00521356"/>
    <w:rsid w:val="00521CAB"/>
    <w:rsid w:val="00521DFB"/>
    <w:rsid w:val="005224EF"/>
    <w:rsid w:val="00522654"/>
    <w:rsid w:val="00522835"/>
    <w:rsid w:val="0052293D"/>
    <w:rsid w:val="00522AF4"/>
    <w:rsid w:val="00523499"/>
    <w:rsid w:val="0052373F"/>
    <w:rsid w:val="00523BC7"/>
    <w:rsid w:val="00523C08"/>
    <w:rsid w:val="00523C10"/>
    <w:rsid w:val="00523E23"/>
    <w:rsid w:val="005245D5"/>
    <w:rsid w:val="005247FE"/>
    <w:rsid w:val="00524889"/>
    <w:rsid w:val="0052575D"/>
    <w:rsid w:val="005259FC"/>
    <w:rsid w:val="00525A53"/>
    <w:rsid w:val="005260C7"/>
    <w:rsid w:val="005260F1"/>
    <w:rsid w:val="00526569"/>
    <w:rsid w:val="00526726"/>
    <w:rsid w:val="00526F91"/>
    <w:rsid w:val="00527256"/>
    <w:rsid w:val="00527934"/>
    <w:rsid w:val="00527AC0"/>
    <w:rsid w:val="00527B57"/>
    <w:rsid w:val="00527C8D"/>
    <w:rsid w:val="00527C9C"/>
    <w:rsid w:val="00530034"/>
    <w:rsid w:val="00530AC4"/>
    <w:rsid w:val="00531F7B"/>
    <w:rsid w:val="00532064"/>
    <w:rsid w:val="0053268A"/>
    <w:rsid w:val="0053309E"/>
    <w:rsid w:val="00533169"/>
    <w:rsid w:val="00533194"/>
    <w:rsid w:val="005332C8"/>
    <w:rsid w:val="00534021"/>
    <w:rsid w:val="005343C8"/>
    <w:rsid w:val="0053464E"/>
    <w:rsid w:val="00534CBD"/>
    <w:rsid w:val="005352C8"/>
    <w:rsid w:val="005354C1"/>
    <w:rsid w:val="00535F99"/>
    <w:rsid w:val="00536356"/>
    <w:rsid w:val="0053691D"/>
    <w:rsid w:val="00536BBB"/>
    <w:rsid w:val="00536CBB"/>
    <w:rsid w:val="00536DDD"/>
    <w:rsid w:val="00537033"/>
    <w:rsid w:val="00540A37"/>
    <w:rsid w:val="00540AE7"/>
    <w:rsid w:val="00540B49"/>
    <w:rsid w:val="00541415"/>
    <w:rsid w:val="005418DB"/>
    <w:rsid w:val="00541B51"/>
    <w:rsid w:val="005434EA"/>
    <w:rsid w:val="005436B8"/>
    <w:rsid w:val="005455FB"/>
    <w:rsid w:val="00545D55"/>
    <w:rsid w:val="005461AB"/>
    <w:rsid w:val="00546C6A"/>
    <w:rsid w:val="00546FBA"/>
    <w:rsid w:val="00547923"/>
    <w:rsid w:val="00547F04"/>
    <w:rsid w:val="00550924"/>
    <w:rsid w:val="00550D63"/>
    <w:rsid w:val="00550EF1"/>
    <w:rsid w:val="00550FC4"/>
    <w:rsid w:val="00551075"/>
    <w:rsid w:val="005513C8"/>
    <w:rsid w:val="00552204"/>
    <w:rsid w:val="0055236E"/>
    <w:rsid w:val="0055352C"/>
    <w:rsid w:val="005538A6"/>
    <w:rsid w:val="00554F94"/>
    <w:rsid w:val="00555161"/>
    <w:rsid w:val="00555A59"/>
    <w:rsid w:val="00555BB7"/>
    <w:rsid w:val="00555DE6"/>
    <w:rsid w:val="00555EB3"/>
    <w:rsid w:val="005567F6"/>
    <w:rsid w:val="0055695F"/>
    <w:rsid w:val="00556E29"/>
    <w:rsid w:val="00557474"/>
    <w:rsid w:val="00557DAA"/>
    <w:rsid w:val="00557DAD"/>
    <w:rsid w:val="00561138"/>
    <w:rsid w:val="00561572"/>
    <w:rsid w:val="00561699"/>
    <w:rsid w:val="0056194F"/>
    <w:rsid w:val="005619E1"/>
    <w:rsid w:val="00561EEE"/>
    <w:rsid w:val="00562629"/>
    <w:rsid w:val="005628FE"/>
    <w:rsid w:val="0056364B"/>
    <w:rsid w:val="00563D49"/>
    <w:rsid w:val="00564191"/>
    <w:rsid w:val="00564557"/>
    <w:rsid w:val="0056458C"/>
    <w:rsid w:val="00564628"/>
    <w:rsid w:val="005648B9"/>
    <w:rsid w:val="00564A3C"/>
    <w:rsid w:val="00564C5F"/>
    <w:rsid w:val="00564F82"/>
    <w:rsid w:val="005653AF"/>
    <w:rsid w:val="00565501"/>
    <w:rsid w:val="00565755"/>
    <w:rsid w:val="00565DFA"/>
    <w:rsid w:val="0056601E"/>
    <w:rsid w:val="00566406"/>
    <w:rsid w:val="005664A6"/>
    <w:rsid w:val="00566538"/>
    <w:rsid w:val="0056663C"/>
    <w:rsid w:val="0056725A"/>
    <w:rsid w:val="0056741F"/>
    <w:rsid w:val="00567647"/>
    <w:rsid w:val="0056781B"/>
    <w:rsid w:val="00567BE2"/>
    <w:rsid w:val="00570102"/>
    <w:rsid w:val="00570505"/>
    <w:rsid w:val="00570FDD"/>
    <w:rsid w:val="005712E6"/>
    <w:rsid w:val="0057153C"/>
    <w:rsid w:val="00572942"/>
    <w:rsid w:val="005730DB"/>
    <w:rsid w:val="00573251"/>
    <w:rsid w:val="005733A8"/>
    <w:rsid w:val="00573B5B"/>
    <w:rsid w:val="00573F55"/>
    <w:rsid w:val="00574070"/>
    <w:rsid w:val="00575148"/>
    <w:rsid w:val="0057540E"/>
    <w:rsid w:val="005757B6"/>
    <w:rsid w:val="005761E2"/>
    <w:rsid w:val="0058000F"/>
    <w:rsid w:val="00580557"/>
    <w:rsid w:val="0058074F"/>
    <w:rsid w:val="00580A76"/>
    <w:rsid w:val="00581042"/>
    <w:rsid w:val="00581703"/>
    <w:rsid w:val="00581B15"/>
    <w:rsid w:val="005821DD"/>
    <w:rsid w:val="00583908"/>
    <w:rsid w:val="00584757"/>
    <w:rsid w:val="00584E21"/>
    <w:rsid w:val="00585E41"/>
    <w:rsid w:val="0058608B"/>
    <w:rsid w:val="005863C1"/>
    <w:rsid w:val="0058654D"/>
    <w:rsid w:val="00586786"/>
    <w:rsid w:val="00587729"/>
    <w:rsid w:val="00587886"/>
    <w:rsid w:val="00587A66"/>
    <w:rsid w:val="00590147"/>
    <w:rsid w:val="0059028F"/>
    <w:rsid w:val="00590BD1"/>
    <w:rsid w:val="00590D26"/>
    <w:rsid w:val="00591276"/>
    <w:rsid w:val="00591490"/>
    <w:rsid w:val="0059151A"/>
    <w:rsid w:val="005916C9"/>
    <w:rsid w:val="00591C7E"/>
    <w:rsid w:val="00591D27"/>
    <w:rsid w:val="00591DCF"/>
    <w:rsid w:val="00592853"/>
    <w:rsid w:val="005929B4"/>
    <w:rsid w:val="00592A3C"/>
    <w:rsid w:val="0059367F"/>
    <w:rsid w:val="00593720"/>
    <w:rsid w:val="00593909"/>
    <w:rsid w:val="00593A71"/>
    <w:rsid w:val="005941E1"/>
    <w:rsid w:val="005943E2"/>
    <w:rsid w:val="00594B8A"/>
    <w:rsid w:val="00595009"/>
    <w:rsid w:val="005954B7"/>
    <w:rsid w:val="00595A05"/>
    <w:rsid w:val="00595F17"/>
    <w:rsid w:val="00595F3D"/>
    <w:rsid w:val="00595F89"/>
    <w:rsid w:val="00596873"/>
    <w:rsid w:val="00596BB3"/>
    <w:rsid w:val="00596BD4"/>
    <w:rsid w:val="00596FA8"/>
    <w:rsid w:val="005971A7"/>
    <w:rsid w:val="00597310"/>
    <w:rsid w:val="005977AB"/>
    <w:rsid w:val="00597953"/>
    <w:rsid w:val="005A01C5"/>
    <w:rsid w:val="005A0532"/>
    <w:rsid w:val="005A07E7"/>
    <w:rsid w:val="005A0A57"/>
    <w:rsid w:val="005A0B9F"/>
    <w:rsid w:val="005A0DBB"/>
    <w:rsid w:val="005A0EBD"/>
    <w:rsid w:val="005A1270"/>
    <w:rsid w:val="005A1295"/>
    <w:rsid w:val="005A1FBF"/>
    <w:rsid w:val="005A29B1"/>
    <w:rsid w:val="005A2EBF"/>
    <w:rsid w:val="005A380B"/>
    <w:rsid w:val="005A4890"/>
    <w:rsid w:val="005A49D4"/>
    <w:rsid w:val="005A4D7C"/>
    <w:rsid w:val="005A51C9"/>
    <w:rsid w:val="005A5A96"/>
    <w:rsid w:val="005A5D7F"/>
    <w:rsid w:val="005A5DC0"/>
    <w:rsid w:val="005A6B6D"/>
    <w:rsid w:val="005A6ED5"/>
    <w:rsid w:val="005A6F0E"/>
    <w:rsid w:val="005A6F57"/>
    <w:rsid w:val="005A7235"/>
    <w:rsid w:val="005A795B"/>
    <w:rsid w:val="005A7BAF"/>
    <w:rsid w:val="005B05FA"/>
    <w:rsid w:val="005B0652"/>
    <w:rsid w:val="005B1213"/>
    <w:rsid w:val="005B1B55"/>
    <w:rsid w:val="005B1C52"/>
    <w:rsid w:val="005B1DBD"/>
    <w:rsid w:val="005B26B0"/>
    <w:rsid w:val="005B3EBD"/>
    <w:rsid w:val="005B3F0C"/>
    <w:rsid w:val="005B48E8"/>
    <w:rsid w:val="005B564F"/>
    <w:rsid w:val="005B56D9"/>
    <w:rsid w:val="005B5BA3"/>
    <w:rsid w:val="005B5E62"/>
    <w:rsid w:val="005B7230"/>
    <w:rsid w:val="005B7E97"/>
    <w:rsid w:val="005B7F46"/>
    <w:rsid w:val="005C07D2"/>
    <w:rsid w:val="005C09A7"/>
    <w:rsid w:val="005C102D"/>
    <w:rsid w:val="005C132C"/>
    <w:rsid w:val="005C17FB"/>
    <w:rsid w:val="005C1833"/>
    <w:rsid w:val="005C1838"/>
    <w:rsid w:val="005C18C2"/>
    <w:rsid w:val="005C2063"/>
    <w:rsid w:val="005C244F"/>
    <w:rsid w:val="005C2767"/>
    <w:rsid w:val="005C2922"/>
    <w:rsid w:val="005C2C01"/>
    <w:rsid w:val="005C2F60"/>
    <w:rsid w:val="005C30A7"/>
    <w:rsid w:val="005C323D"/>
    <w:rsid w:val="005C3772"/>
    <w:rsid w:val="005C39C3"/>
    <w:rsid w:val="005C4229"/>
    <w:rsid w:val="005C4580"/>
    <w:rsid w:val="005C5065"/>
    <w:rsid w:val="005C52F3"/>
    <w:rsid w:val="005C564C"/>
    <w:rsid w:val="005C56EA"/>
    <w:rsid w:val="005C6234"/>
    <w:rsid w:val="005C64DC"/>
    <w:rsid w:val="005C6605"/>
    <w:rsid w:val="005C71A0"/>
    <w:rsid w:val="005C75B8"/>
    <w:rsid w:val="005C7802"/>
    <w:rsid w:val="005C7B50"/>
    <w:rsid w:val="005D029E"/>
    <w:rsid w:val="005D0427"/>
    <w:rsid w:val="005D0776"/>
    <w:rsid w:val="005D07AE"/>
    <w:rsid w:val="005D0A0B"/>
    <w:rsid w:val="005D0C83"/>
    <w:rsid w:val="005D113B"/>
    <w:rsid w:val="005D1732"/>
    <w:rsid w:val="005D2D9A"/>
    <w:rsid w:val="005D3A6E"/>
    <w:rsid w:val="005D3B21"/>
    <w:rsid w:val="005D4019"/>
    <w:rsid w:val="005D41DC"/>
    <w:rsid w:val="005D460F"/>
    <w:rsid w:val="005D4DC5"/>
    <w:rsid w:val="005D5442"/>
    <w:rsid w:val="005D5C22"/>
    <w:rsid w:val="005D5E6C"/>
    <w:rsid w:val="005D63A9"/>
    <w:rsid w:val="005D65D5"/>
    <w:rsid w:val="005D6C56"/>
    <w:rsid w:val="005D6F49"/>
    <w:rsid w:val="005D7B83"/>
    <w:rsid w:val="005D7E8A"/>
    <w:rsid w:val="005E06FA"/>
    <w:rsid w:val="005E10D7"/>
    <w:rsid w:val="005E11A5"/>
    <w:rsid w:val="005E13D4"/>
    <w:rsid w:val="005E1435"/>
    <w:rsid w:val="005E17E9"/>
    <w:rsid w:val="005E21F3"/>
    <w:rsid w:val="005E235C"/>
    <w:rsid w:val="005E3078"/>
    <w:rsid w:val="005E34C0"/>
    <w:rsid w:val="005E392E"/>
    <w:rsid w:val="005E4565"/>
    <w:rsid w:val="005E45F3"/>
    <w:rsid w:val="005E48EA"/>
    <w:rsid w:val="005E49CA"/>
    <w:rsid w:val="005E5384"/>
    <w:rsid w:val="005E5427"/>
    <w:rsid w:val="005E5428"/>
    <w:rsid w:val="005E5A7C"/>
    <w:rsid w:val="005E5C33"/>
    <w:rsid w:val="005E6976"/>
    <w:rsid w:val="005E6C7A"/>
    <w:rsid w:val="005E703B"/>
    <w:rsid w:val="005E721A"/>
    <w:rsid w:val="005E74EC"/>
    <w:rsid w:val="005E7917"/>
    <w:rsid w:val="005E7AB6"/>
    <w:rsid w:val="005E7B1E"/>
    <w:rsid w:val="005E7CBC"/>
    <w:rsid w:val="005F0854"/>
    <w:rsid w:val="005F0A62"/>
    <w:rsid w:val="005F0FA8"/>
    <w:rsid w:val="005F1C5D"/>
    <w:rsid w:val="005F2317"/>
    <w:rsid w:val="005F2550"/>
    <w:rsid w:val="005F2B2D"/>
    <w:rsid w:val="005F2FD5"/>
    <w:rsid w:val="005F340A"/>
    <w:rsid w:val="005F3AE8"/>
    <w:rsid w:val="005F3B09"/>
    <w:rsid w:val="005F3B47"/>
    <w:rsid w:val="005F47C1"/>
    <w:rsid w:val="005F4926"/>
    <w:rsid w:val="005F4B6F"/>
    <w:rsid w:val="005F5009"/>
    <w:rsid w:val="005F5054"/>
    <w:rsid w:val="005F530F"/>
    <w:rsid w:val="005F65D9"/>
    <w:rsid w:val="005F6768"/>
    <w:rsid w:val="005F69CF"/>
    <w:rsid w:val="005F6E39"/>
    <w:rsid w:val="005F6E58"/>
    <w:rsid w:val="005F7031"/>
    <w:rsid w:val="005F704C"/>
    <w:rsid w:val="005F7A22"/>
    <w:rsid w:val="005F7B9D"/>
    <w:rsid w:val="005F7CF0"/>
    <w:rsid w:val="00600501"/>
    <w:rsid w:val="00600B0C"/>
    <w:rsid w:val="00600D1A"/>
    <w:rsid w:val="00601038"/>
    <w:rsid w:val="00602DFA"/>
    <w:rsid w:val="006031D1"/>
    <w:rsid w:val="0060337E"/>
    <w:rsid w:val="006033BF"/>
    <w:rsid w:val="00603702"/>
    <w:rsid w:val="00603B4B"/>
    <w:rsid w:val="00603F20"/>
    <w:rsid w:val="00604F37"/>
    <w:rsid w:val="0060508A"/>
    <w:rsid w:val="006055AF"/>
    <w:rsid w:val="00605942"/>
    <w:rsid w:val="006059C6"/>
    <w:rsid w:val="00605C9F"/>
    <w:rsid w:val="006068E8"/>
    <w:rsid w:val="00606ADB"/>
    <w:rsid w:val="00606C07"/>
    <w:rsid w:val="006072DE"/>
    <w:rsid w:val="006075F4"/>
    <w:rsid w:val="006078A8"/>
    <w:rsid w:val="00607BAD"/>
    <w:rsid w:val="00607EC7"/>
    <w:rsid w:val="0061048A"/>
    <w:rsid w:val="00610959"/>
    <w:rsid w:val="00610AE7"/>
    <w:rsid w:val="00611178"/>
    <w:rsid w:val="0061148D"/>
    <w:rsid w:val="00611D01"/>
    <w:rsid w:val="00611F1E"/>
    <w:rsid w:val="006122EC"/>
    <w:rsid w:val="006124B3"/>
    <w:rsid w:val="00612611"/>
    <w:rsid w:val="0061279A"/>
    <w:rsid w:val="00612C60"/>
    <w:rsid w:val="00613009"/>
    <w:rsid w:val="006132EA"/>
    <w:rsid w:val="00613CA5"/>
    <w:rsid w:val="0061401C"/>
    <w:rsid w:val="0061420B"/>
    <w:rsid w:val="00614BD4"/>
    <w:rsid w:val="00614D33"/>
    <w:rsid w:val="00614F43"/>
    <w:rsid w:val="0061537D"/>
    <w:rsid w:val="0061537F"/>
    <w:rsid w:val="006156D7"/>
    <w:rsid w:val="00615CF1"/>
    <w:rsid w:val="00615DEA"/>
    <w:rsid w:val="00616A60"/>
    <w:rsid w:val="00616D0C"/>
    <w:rsid w:val="00616EE6"/>
    <w:rsid w:val="006171FB"/>
    <w:rsid w:val="00617283"/>
    <w:rsid w:val="00617A2A"/>
    <w:rsid w:val="00617A94"/>
    <w:rsid w:val="006207F4"/>
    <w:rsid w:val="00620C67"/>
    <w:rsid w:val="00621479"/>
    <w:rsid w:val="00621646"/>
    <w:rsid w:val="00621803"/>
    <w:rsid w:val="00621A34"/>
    <w:rsid w:val="006220F1"/>
    <w:rsid w:val="00623E46"/>
    <w:rsid w:val="0062431C"/>
    <w:rsid w:val="00624604"/>
    <w:rsid w:val="00624D2C"/>
    <w:rsid w:val="00624F7F"/>
    <w:rsid w:val="00625145"/>
    <w:rsid w:val="00626768"/>
    <w:rsid w:val="00627402"/>
    <w:rsid w:val="00627474"/>
    <w:rsid w:val="00627CEA"/>
    <w:rsid w:val="00627E37"/>
    <w:rsid w:val="00630480"/>
    <w:rsid w:val="0063058E"/>
    <w:rsid w:val="006305F8"/>
    <w:rsid w:val="0063197B"/>
    <w:rsid w:val="00631DA7"/>
    <w:rsid w:val="006327BB"/>
    <w:rsid w:val="00632B9C"/>
    <w:rsid w:val="00632F18"/>
    <w:rsid w:val="006332D7"/>
    <w:rsid w:val="0063333D"/>
    <w:rsid w:val="00634225"/>
    <w:rsid w:val="00635003"/>
    <w:rsid w:val="006351CE"/>
    <w:rsid w:val="006352FD"/>
    <w:rsid w:val="00635B15"/>
    <w:rsid w:val="00636037"/>
    <w:rsid w:val="006362E1"/>
    <w:rsid w:val="006367DA"/>
    <w:rsid w:val="006370E1"/>
    <w:rsid w:val="00637382"/>
    <w:rsid w:val="006375B2"/>
    <w:rsid w:val="006375BB"/>
    <w:rsid w:val="0064054E"/>
    <w:rsid w:val="006409EE"/>
    <w:rsid w:val="00640BF7"/>
    <w:rsid w:val="00640FFF"/>
    <w:rsid w:val="00641436"/>
    <w:rsid w:val="00641761"/>
    <w:rsid w:val="006425FC"/>
    <w:rsid w:val="00642631"/>
    <w:rsid w:val="0064289D"/>
    <w:rsid w:val="00642DF5"/>
    <w:rsid w:val="0064304A"/>
    <w:rsid w:val="0064380B"/>
    <w:rsid w:val="00643A4F"/>
    <w:rsid w:val="00643FF5"/>
    <w:rsid w:val="006441FD"/>
    <w:rsid w:val="00644E5A"/>
    <w:rsid w:val="00644F2C"/>
    <w:rsid w:val="00644F8F"/>
    <w:rsid w:val="006450DD"/>
    <w:rsid w:val="00645141"/>
    <w:rsid w:val="00645349"/>
    <w:rsid w:val="00645AEE"/>
    <w:rsid w:val="00646428"/>
    <w:rsid w:val="00646AFD"/>
    <w:rsid w:val="0064707F"/>
    <w:rsid w:val="006471E8"/>
    <w:rsid w:val="00647E7D"/>
    <w:rsid w:val="00647E90"/>
    <w:rsid w:val="00647FA3"/>
    <w:rsid w:val="006500F7"/>
    <w:rsid w:val="00650769"/>
    <w:rsid w:val="006516B7"/>
    <w:rsid w:val="006518E4"/>
    <w:rsid w:val="00651FB8"/>
    <w:rsid w:val="006520D5"/>
    <w:rsid w:val="0065239B"/>
    <w:rsid w:val="00652BA0"/>
    <w:rsid w:val="00653045"/>
    <w:rsid w:val="00653A25"/>
    <w:rsid w:val="00653D93"/>
    <w:rsid w:val="00653FDA"/>
    <w:rsid w:val="006541A0"/>
    <w:rsid w:val="00654C66"/>
    <w:rsid w:val="00654E99"/>
    <w:rsid w:val="00655104"/>
    <w:rsid w:val="0065548F"/>
    <w:rsid w:val="00655633"/>
    <w:rsid w:val="006558D0"/>
    <w:rsid w:val="006559BB"/>
    <w:rsid w:val="00655D93"/>
    <w:rsid w:val="00655E86"/>
    <w:rsid w:val="00656614"/>
    <w:rsid w:val="00656C4D"/>
    <w:rsid w:val="006577CD"/>
    <w:rsid w:val="00657B16"/>
    <w:rsid w:val="00657CCC"/>
    <w:rsid w:val="00660162"/>
    <w:rsid w:val="0066036D"/>
    <w:rsid w:val="006604FA"/>
    <w:rsid w:val="00660879"/>
    <w:rsid w:val="00660B3F"/>
    <w:rsid w:val="006610B1"/>
    <w:rsid w:val="00661639"/>
    <w:rsid w:val="00661655"/>
    <w:rsid w:val="0066174D"/>
    <w:rsid w:val="00661E36"/>
    <w:rsid w:val="0066318A"/>
    <w:rsid w:val="006631D3"/>
    <w:rsid w:val="00663D0F"/>
    <w:rsid w:val="00664525"/>
    <w:rsid w:val="0066465B"/>
    <w:rsid w:val="00664C81"/>
    <w:rsid w:val="0066500E"/>
    <w:rsid w:val="0066521A"/>
    <w:rsid w:val="0066540C"/>
    <w:rsid w:val="00665EAE"/>
    <w:rsid w:val="006661EA"/>
    <w:rsid w:val="00666749"/>
    <w:rsid w:val="00666909"/>
    <w:rsid w:val="00666EBC"/>
    <w:rsid w:val="00667189"/>
    <w:rsid w:val="0066749E"/>
    <w:rsid w:val="00667CCB"/>
    <w:rsid w:val="00667EFD"/>
    <w:rsid w:val="00670475"/>
    <w:rsid w:val="00670B8C"/>
    <w:rsid w:val="00670C4A"/>
    <w:rsid w:val="00671457"/>
    <w:rsid w:val="00671F3E"/>
    <w:rsid w:val="00672482"/>
    <w:rsid w:val="00672A18"/>
    <w:rsid w:val="0067322C"/>
    <w:rsid w:val="006735D0"/>
    <w:rsid w:val="006739E9"/>
    <w:rsid w:val="00674D52"/>
    <w:rsid w:val="00674E43"/>
    <w:rsid w:val="00674F93"/>
    <w:rsid w:val="0067546F"/>
    <w:rsid w:val="00676287"/>
    <w:rsid w:val="00676739"/>
    <w:rsid w:val="006768DD"/>
    <w:rsid w:val="00676CE4"/>
    <w:rsid w:val="00676EC2"/>
    <w:rsid w:val="00676F61"/>
    <w:rsid w:val="00676FA5"/>
    <w:rsid w:val="006771A4"/>
    <w:rsid w:val="006771AD"/>
    <w:rsid w:val="006774A8"/>
    <w:rsid w:val="00677572"/>
    <w:rsid w:val="00680064"/>
    <w:rsid w:val="00681229"/>
    <w:rsid w:val="00681514"/>
    <w:rsid w:val="0068185E"/>
    <w:rsid w:val="00681BE5"/>
    <w:rsid w:val="00681E30"/>
    <w:rsid w:val="0068379B"/>
    <w:rsid w:val="00683D98"/>
    <w:rsid w:val="00683D99"/>
    <w:rsid w:val="00684079"/>
    <w:rsid w:val="0068484C"/>
    <w:rsid w:val="006848EE"/>
    <w:rsid w:val="006856AA"/>
    <w:rsid w:val="0068629B"/>
    <w:rsid w:val="00686425"/>
    <w:rsid w:val="00686C12"/>
    <w:rsid w:val="00686D75"/>
    <w:rsid w:val="0068736A"/>
    <w:rsid w:val="00687D17"/>
    <w:rsid w:val="00690024"/>
    <w:rsid w:val="006903A4"/>
    <w:rsid w:val="00690CAA"/>
    <w:rsid w:val="00690EFB"/>
    <w:rsid w:val="0069137B"/>
    <w:rsid w:val="006913EC"/>
    <w:rsid w:val="006914B7"/>
    <w:rsid w:val="00691742"/>
    <w:rsid w:val="00691DEE"/>
    <w:rsid w:val="00692242"/>
    <w:rsid w:val="0069236E"/>
    <w:rsid w:val="00692704"/>
    <w:rsid w:val="00692E67"/>
    <w:rsid w:val="00693ACF"/>
    <w:rsid w:val="00693EE5"/>
    <w:rsid w:val="006944C5"/>
    <w:rsid w:val="00694B8D"/>
    <w:rsid w:val="0069561C"/>
    <w:rsid w:val="00695634"/>
    <w:rsid w:val="00695E9C"/>
    <w:rsid w:val="0069600D"/>
    <w:rsid w:val="006963AE"/>
    <w:rsid w:val="00697053"/>
    <w:rsid w:val="006A02DC"/>
    <w:rsid w:val="006A066A"/>
    <w:rsid w:val="006A06CA"/>
    <w:rsid w:val="006A083E"/>
    <w:rsid w:val="006A0FFD"/>
    <w:rsid w:val="006A1170"/>
    <w:rsid w:val="006A14A3"/>
    <w:rsid w:val="006A159D"/>
    <w:rsid w:val="006A18BF"/>
    <w:rsid w:val="006A1F58"/>
    <w:rsid w:val="006A242E"/>
    <w:rsid w:val="006A26AB"/>
    <w:rsid w:val="006A298D"/>
    <w:rsid w:val="006A2BB4"/>
    <w:rsid w:val="006A2F80"/>
    <w:rsid w:val="006A3FD6"/>
    <w:rsid w:val="006A4076"/>
    <w:rsid w:val="006A436F"/>
    <w:rsid w:val="006A4E5B"/>
    <w:rsid w:val="006A59D8"/>
    <w:rsid w:val="006A6B7B"/>
    <w:rsid w:val="006A78F8"/>
    <w:rsid w:val="006A7C26"/>
    <w:rsid w:val="006A7E27"/>
    <w:rsid w:val="006B010E"/>
    <w:rsid w:val="006B03CA"/>
    <w:rsid w:val="006B091F"/>
    <w:rsid w:val="006B0B1E"/>
    <w:rsid w:val="006B0CAF"/>
    <w:rsid w:val="006B0ED0"/>
    <w:rsid w:val="006B0EED"/>
    <w:rsid w:val="006B147E"/>
    <w:rsid w:val="006B14F8"/>
    <w:rsid w:val="006B1854"/>
    <w:rsid w:val="006B1DF6"/>
    <w:rsid w:val="006B233F"/>
    <w:rsid w:val="006B275E"/>
    <w:rsid w:val="006B28EA"/>
    <w:rsid w:val="006B2AAD"/>
    <w:rsid w:val="006B2DA3"/>
    <w:rsid w:val="006B2FBB"/>
    <w:rsid w:val="006B3022"/>
    <w:rsid w:val="006B378A"/>
    <w:rsid w:val="006B3BD5"/>
    <w:rsid w:val="006B4185"/>
    <w:rsid w:val="006B4224"/>
    <w:rsid w:val="006B4493"/>
    <w:rsid w:val="006B453E"/>
    <w:rsid w:val="006B4B62"/>
    <w:rsid w:val="006B53DC"/>
    <w:rsid w:val="006B5423"/>
    <w:rsid w:val="006B558A"/>
    <w:rsid w:val="006B5855"/>
    <w:rsid w:val="006B5AB2"/>
    <w:rsid w:val="006B5BC7"/>
    <w:rsid w:val="006B5C67"/>
    <w:rsid w:val="006B6B5D"/>
    <w:rsid w:val="006B6BF6"/>
    <w:rsid w:val="006B6C0D"/>
    <w:rsid w:val="006B7A88"/>
    <w:rsid w:val="006C166D"/>
    <w:rsid w:val="006C1818"/>
    <w:rsid w:val="006C1F8B"/>
    <w:rsid w:val="006C2721"/>
    <w:rsid w:val="006C2BE5"/>
    <w:rsid w:val="006C316A"/>
    <w:rsid w:val="006C3868"/>
    <w:rsid w:val="006C38FF"/>
    <w:rsid w:val="006C3B4B"/>
    <w:rsid w:val="006C3E6E"/>
    <w:rsid w:val="006C3EEA"/>
    <w:rsid w:val="006C3F92"/>
    <w:rsid w:val="006C42FA"/>
    <w:rsid w:val="006C43A6"/>
    <w:rsid w:val="006C4A4A"/>
    <w:rsid w:val="006C4C9C"/>
    <w:rsid w:val="006C4E89"/>
    <w:rsid w:val="006C5022"/>
    <w:rsid w:val="006C53EB"/>
    <w:rsid w:val="006C5434"/>
    <w:rsid w:val="006C5D29"/>
    <w:rsid w:val="006C650D"/>
    <w:rsid w:val="006C69A5"/>
    <w:rsid w:val="006C76A1"/>
    <w:rsid w:val="006C7740"/>
    <w:rsid w:val="006C7FC6"/>
    <w:rsid w:val="006D0389"/>
    <w:rsid w:val="006D0848"/>
    <w:rsid w:val="006D0BA5"/>
    <w:rsid w:val="006D0C15"/>
    <w:rsid w:val="006D0D8B"/>
    <w:rsid w:val="006D0FBF"/>
    <w:rsid w:val="006D10DC"/>
    <w:rsid w:val="006D1586"/>
    <w:rsid w:val="006D19C1"/>
    <w:rsid w:val="006D2827"/>
    <w:rsid w:val="006D2848"/>
    <w:rsid w:val="006D2B19"/>
    <w:rsid w:val="006D2EC9"/>
    <w:rsid w:val="006D3592"/>
    <w:rsid w:val="006D3A05"/>
    <w:rsid w:val="006D3B62"/>
    <w:rsid w:val="006D3FDF"/>
    <w:rsid w:val="006D4527"/>
    <w:rsid w:val="006D4B05"/>
    <w:rsid w:val="006D4F86"/>
    <w:rsid w:val="006D5F98"/>
    <w:rsid w:val="006D6665"/>
    <w:rsid w:val="006D7098"/>
    <w:rsid w:val="006D740E"/>
    <w:rsid w:val="006D7F72"/>
    <w:rsid w:val="006E00B7"/>
    <w:rsid w:val="006E0E5B"/>
    <w:rsid w:val="006E1659"/>
    <w:rsid w:val="006E3023"/>
    <w:rsid w:val="006E3369"/>
    <w:rsid w:val="006E3D12"/>
    <w:rsid w:val="006E449C"/>
    <w:rsid w:val="006E4726"/>
    <w:rsid w:val="006E4E72"/>
    <w:rsid w:val="006E50D0"/>
    <w:rsid w:val="006E5F41"/>
    <w:rsid w:val="006E64BD"/>
    <w:rsid w:val="006E663E"/>
    <w:rsid w:val="006E6EDF"/>
    <w:rsid w:val="006E7BA5"/>
    <w:rsid w:val="006F01E8"/>
    <w:rsid w:val="006F02D7"/>
    <w:rsid w:val="006F0EBB"/>
    <w:rsid w:val="006F1E96"/>
    <w:rsid w:val="006F2706"/>
    <w:rsid w:val="006F2D24"/>
    <w:rsid w:val="006F352A"/>
    <w:rsid w:val="006F37F7"/>
    <w:rsid w:val="006F3909"/>
    <w:rsid w:val="006F4036"/>
    <w:rsid w:val="006F428E"/>
    <w:rsid w:val="006F48E1"/>
    <w:rsid w:val="006F4FA0"/>
    <w:rsid w:val="006F5096"/>
    <w:rsid w:val="006F5160"/>
    <w:rsid w:val="006F5374"/>
    <w:rsid w:val="006F60DF"/>
    <w:rsid w:val="006F64DE"/>
    <w:rsid w:val="006F6766"/>
    <w:rsid w:val="006F68C1"/>
    <w:rsid w:val="006F6CE2"/>
    <w:rsid w:val="006F6E10"/>
    <w:rsid w:val="006F6E97"/>
    <w:rsid w:val="00700F57"/>
    <w:rsid w:val="007014F8"/>
    <w:rsid w:val="0070150D"/>
    <w:rsid w:val="007016D2"/>
    <w:rsid w:val="007018D8"/>
    <w:rsid w:val="00701979"/>
    <w:rsid w:val="00701C6E"/>
    <w:rsid w:val="007029E8"/>
    <w:rsid w:val="00703013"/>
    <w:rsid w:val="00703107"/>
    <w:rsid w:val="00703138"/>
    <w:rsid w:val="00703277"/>
    <w:rsid w:val="0070356D"/>
    <w:rsid w:val="00703981"/>
    <w:rsid w:val="00703CDF"/>
    <w:rsid w:val="00703D7E"/>
    <w:rsid w:val="0070495F"/>
    <w:rsid w:val="00704A08"/>
    <w:rsid w:val="00704B6E"/>
    <w:rsid w:val="00704F10"/>
    <w:rsid w:val="00704F73"/>
    <w:rsid w:val="0070508D"/>
    <w:rsid w:val="0070542E"/>
    <w:rsid w:val="00705849"/>
    <w:rsid w:val="0070604A"/>
    <w:rsid w:val="007060D4"/>
    <w:rsid w:val="0070624C"/>
    <w:rsid w:val="00706451"/>
    <w:rsid w:val="00707E0F"/>
    <w:rsid w:val="0071068A"/>
    <w:rsid w:val="00710E19"/>
    <w:rsid w:val="00710E52"/>
    <w:rsid w:val="0071154B"/>
    <w:rsid w:val="0071174F"/>
    <w:rsid w:val="0071196A"/>
    <w:rsid w:val="007130CA"/>
    <w:rsid w:val="007131CF"/>
    <w:rsid w:val="007133C0"/>
    <w:rsid w:val="00713613"/>
    <w:rsid w:val="007137C6"/>
    <w:rsid w:val="007138FC"/>
    <w:rsid w:val="0071393D"/>
    <w:rsid w:val="00713E79"/>
    <w:rsid w:val="00714073"/>
    <w:rsid w:val="00714245"/>
    <w:rsid w:val="00715441"/>
    <w:rsid w:val="00715739"/>
    <w:rsid w:val="0071576C"/>
    <w:rsid w:val="00715C94"/>
    <w:rsid w:val="007165F0"/>
    <w:rsid w:val="00716A09"/>
    <w:rsid w:val="007170DB"/>
    <w:rsid w:val="007170E4"/>
    <w:rsid w:val="00717880"/>
    <w:rsid w:val="00717CA8"/>
    <w:rsid w:val="007205E7"/>
    <w:rsid w:val="007209C4"/>
    <w:rsid w:val="00721E9E"/>
    <w:rsid w:val="007227FE"/>
    <w:rsid w:val="0072323F"/>
    <w:rsid w:val="007233C3"/>
    <w:rsid w:val="007238D7"/>
    <w:rsid w:val="00723C95"/>
    <w:rsid w:val="00724456"/>
    <w:rsid w:val="007244E7"/>
    <w:rsid w:val="0072505F"/>
    <w:rsid w:val="00725B00"/>
    <w:rsid w:val="0072680C"/>
    <w:rsid w:val="00726B3D"/>
    <w:rsid w:val="00726C64"/>
    <w:rsid w:val="007302C6"/>
    <w:rsid w:val="00730FB0"/>
    <w:rsid w:val="007310B7"/>
    <w:rsid w:val="00731237"/>
    <w:rsid w:val="00731A22"/>
    <w:rsid w:val="0073207E"/>
    <w:rsid w:val="00732523"/>
    <w:rsid w:val="00732664"/>
    <w:rsid w:val="00732BA7"/>
    <w:rsid w:val="007333EA"/>
    <w:rsid w:val="00733601"/>
    <w:rsid w:val="00733A57"/>
    <w:rsid w:val="00733F36"/>
    <w:rsid w:val="007340CE"/>
    <w:rsid w:val="00734781"/>
    <w:rsid w:val="007349FC"/>
    <w:rsid w:val="00734B6F"/>
    <w:rsid w:val="007351A5"/>
    <w:rsid w:val="00735293"/>
    <w:rsid w:val="00735376"/>
    <w:rsid w:val="007363EA"/>
    <w:rsid w:val="00736A02"/>
    <w:rsid w:val="00736E06"/>
    <w:rsid w:val="00736E37"/>
    <w:rsid w:val="00737286"/>
    <w:rsid w:val="007373DB"/>
    <w:rsid w:val="00737847"/>
    <w:rsid w:val="00737F27"/>
    <w:rsid w:val="00737FD3"/>
    <w:rsid w:val="00740240"/>
    <w:rsid w:val="007407DB"/>
    <w:rsid w:val="00740BFC"/>
    <w:rsid w:val="00740F76"/>
    <w:rsid w:val="00741037"/>
    <w:rsid w:val="007422B3"/>
    <w:rsid w:val="007424BF"/>
    <w:rsid w:val="00742958"/>
    <w:rsid w:val="007435F1"/>
    <w:rsid w:val="00743DDD"/>
    <w:rsid w:val="00744625"/>
    <w:rsid w:val="007446BB"/>
    <w:rsid w:val="00744AF1"/>
    <w:rsid w:val="00745882"/>
    <w:rsid w:val="00745A04"/>
    <w:rsid w:val="00745A0F"/>
    <w:rsid w:val="00745DFD"/>
    <w:rsid w:val="00746197"/>
    <w:rsid w:val="0074689C"/>
    <w:rsid w:val="00746B3F"/>
    <w:rsid w:val="00747117"/>
    <w:rsid w:val="007479C2"/>
    <w:rsid w:val="00747B0D"/>
    <w:rsid w:val="007503EA"/>
    <w:rsid w:val="00751452"/>
    <w:rsid w:val="007521A5"/>
    <w:rsid w:val="00752488"/>
    <w:rsid w:val="00753959"/>
    <w:rsid w:val="00753DD6"/>
    <w:rsid w:val="00754A4A"/>
    <w:rsid w:val="007566FB"/>
    <w:rsid w:val="007567A8"/>
    <w:rsid w:val="00756D6A"/>
    <w:rsid w:val="0076043F"/>
    <w:rsid w:val="00760D17"/>
    <w:rsid w:val="00760F66"/>
    <w:rsid w:val="007611F8"/>
    <w:rsid w:val="00761200"/>
    <w:rsid w:val="00761931"/>
    <w:rsid w:val="00761BD1"/>
    <w:rsid w:val="007627BA"/>
    <w:rsid w:val="0076291E"/>
    <w:rsid w:val="00762C76"/>
    <w:rsid w:val="00762D81"/>
    <w:rsid w:val="0076317B"/>
    <w:rsid w:val="007643D5"/>
    <w:rsid w:val="00765366"/>
    <w:rsid w:val="00765914"/>
    <w:rsid w:val="0076614D"/>
    <w:rsid w:val="0076624C"/>
    <w:rsid w:val="0076627D"/>
    <w:rsid w:val="00766304"/>
    <w:rsid w:val="007665D3"/>
    <w:rsid w:val="00767A28"/>
    <w:rsid w:val="00767DD2"/>
    <w:rsid w:val="00770264"/>
    <w:rsid w:val="0077082B"/>
    <w:rsid w:val="00770E60"/>
    <w:rsid w:val="00771594"/>
    <w:rsid w:val="00771C8F"/>
    <w:rsid w:val="0077266E"/>
    <w:rsid w:val="0077292E"/>
    <w:rsid w:val="00772A5F"/>
    <w:rsid w:val="00772F41"/>
    <w:rsid w:val="007737D4"/>
    <w:rsid w:val="007737D8"/>
    <w:rsid w:val="0077391C"/>
    <w:rsid w:val="00773D24"/>
    <w:rsid w:val="00774576"/>
    <w:rsid w:val="007745DA"/>
    <w:rsid w:val="0077508A"/>
    <w:rsid w:val="00775475"/>
    <w:rsid w:val="00775567"/>
    <w:rsid w:val="00775E0D"/>
    <w:rsid w:val="00776343"/>
    <w:rsid w:val="00776416"/>
    <w:rsid w:val="00776C7B"/>
    <w:rsid w:val="00776CEF"/>
    <w:rsid w:val="00777E7E"/>
    <w:rsid w:val="00777EFA"/>
    <w:rsid w:val="007804DD"/>
    <w:rsid w:val="00780EC1"/>
    <w:rsid w:val="00780F3B"/>
    <w:rsid w:val="0078115B"/>
    <w:rsid w:val="007816EE"/>
    <w:rsid w:val="00782071"/>
    <w:rsid w:val="00782783"/>
    <w:rsid w:val="00782946"/>
    <w:rsid w:val="00782ECD"/>
    <w:rsid w:val="0078363B"/>
    <w:rsid w:val="00783CCF"/>
    <w:rsid w:val="00783F5B"/>
    <w:rsid w:val="00784609"/>
    <w:rsid w:val="00784720"/>
    <w:rsid w:val="0078481D"/>
    <w:rsid w:val="00784D91"/>
    <w:rsid w:val="007859FC"/>
    <w:rsid w:val="00785F1E"/>
    <w:rsid w:val="00785F4C"/>
    <w:rsid w:val="0078609C"/>
    <w:rsid w:val="00786355"/>
    <w:rsid w:val="00787370"/>
    <w:rsid w:val="007874AE"/>
    <w:rsid w:val="0078750B"/>
    <w:rsid w:val="00787F5E"/>
    <w:rsid w:val="0079024D"/>
    <w:rsid w:val="00791069"/>
    <w:rsid w:val="007911B8"/>
    <w:rsid w:val="00791DAE"/>
    <w:rsid w:val="007930E8"/>
    <w:rsid w:val="00793A57"/>
    <w:rsid w:val="00793A9C"/>
    <w:rsid w:val="00793F28"/>
    <w:rsid w:val="007944D2"/>
    <w:rsid w:val="00794AC7"/>
    <w:rsid w:val="00794B19"/>
    <w:rsid w:val="00794FFA"/>
    <w:rsid w:val="00795B8D"/>
    <w:rsid w:val="00795E34"/>
    <w:rsid w:val="00795F0E"/>
    <w:rsid w:val="00797D8F"/>
    <w:rsid w:val="007A0C00"/>
    <w:rsid w:val="007A0E15"/>
    <w:rsid w:val="007A176E"/>
    <w:rsid w:val="007A19BF"/>
    <w:rsid w:val="007A2A69"/>
    <w:rsid w:val="007A2CF1"/>
    <w:rsid w:val="007A3579"/>
    <w:rsid w:val="007A384E"/>
    <w:rsid w:val="007A3EDF"/>
    <w:rsid w:val="007A41B5"/>
    <w:rsid w:val="007A4486"/>
    <w:rsid w:val="007A4682"/>
    <w:rsid w:val="007A5879"/>
    <w:rsid w:val="007A58A8"/>
    <w:rsid w:val="007A5BDC"/>
    <w:rsid w:val="007A629D"/>
    <w:rsid w:val="007A6610"/>
    <w:rsid w:val="007A6D51"/>
    <w:rsid w:val="007A6DD3"/>
    <w:rsid w:val="007A6FF3"/>
    <w:rsid w:val="007A7169"/>
    <w:rsid w:val="007A71DC"/>
    <w:rsid w:val="007A7A04"/>
    <w:rsid w:val="007B04FF"/>
    <w:rsid w:val="007B0976"/>
    <w:rsid w:val="007B0CAC"/>
    <w:rsid w:val="007B1232"/>
    <w:rsid w:val="007B15F3"/>
    <w:rsid w:val="007B1701"/>
    <w:rsid w:val="007B1C32"/>
    <w:rsid w:val="007B1DBB"/>
    <w:rsid w:val="007B1E0F"/>
    <w:rsid w:val="007B2319"/>
    <w:rsid w:val="007B2FBF"/>
    <w:rsid w:val="007B3E13"/>
    <w:rsid w:val="007B4044"/>
    <w:rsid w:val="007B4046"/>
    <w:rsid w:val="007B4300"/>
    <w:rsid w:val="007B565C"/>
    <w:rsid w:val="007B595F"/>
    <w:rsid w:val="007B5D75"/>
    <w:rsid w:val="007B6D5E"/>
    <w:rsid w:val="007B7115"/>
    <w:rsid w:val="007B736B"/>
    <w:rsid w:val="007C012E"/>
    <w:rsid w:val="007C055A"/>
    <w:rsid w:val="007C0853"/>
    <w:rsid w:val="007C0C90"/>
    <w:rsid w:val="007C0E07"/>
    <w:rsid w:val="007C0E86"/>
    <w:rsid w:val="007C249E"/>
    <w:rsid w:val="007C26CF"/>
    <w:rsid w:val="007C271B"/>
    <w:rsid w:val="007C2C14"/>
    <w:rsid w:val="007C3A55"/>
    <w:rsid w:val="007C3D67"/>
    <w:rsid w:val="007C404B"/>
    <w:rsid w:val="007C4166"/>
    <w:rsid w:val="007C44E1"/>
    <w:rsid w:val="007C48DD"/>
    <w:rsid w:val="007C4A05"/>
    <w:rsid w:val="007C5205"/>
    <w:rsid w:val="007C5711"/>
    <w:rsid w:val="007C57B9"/>
    <w:rsid w:val="007C6325"/>
    <w:rsid w:val="007C73A3"/>
    <w:rsid w:val="007C7975"/>
    <w:rsid w:val="007C7EF5"/>
    <w:rsid w:val="007D0227"/>
    <w:rsid w:val="007D06AC"/>
    <w:rsid w:val="007D0741"/>
    <w:rsid w:val="007D0A53"/>
    <w:rsid w:val="007D0FFC"/>
    <w:rsid w:val="007D1013"/>
    <w:rsid w:val="007D140E"/>
    <w:rsid w:val="007D19EC"/>
    <w:rsid w:val="007D1B28"/>
    <w:rsid w:val="007D2608"/>
    <w:rsid w:val="007D30C3"/>
    <w:rsid w:val="007D35AC"/>
    <w:rsid w:val="007D36B1"/>
    <w:rsid w:val="007D36D7"/>
    <w:rsid w:val="007D3BA1"/>
    <w:rsid w:val="007D3EC8"/>
    <w:rsid w:val="007D40AC"/>
    <w:rsid w:val="007D4317"/>
    <w:rsid w:val="007D4C12"/>
    <w:rsid w:val="007D57E0"/>
    <w:rsid w:val="007D5962"/>
    <w:rsid w:val="007D5A2B"/>
    <w:rsid w:val="007D6213"/>
    <w:rsid w:val="007D63B2"/>
    <w:rsid w:val="007D651D"/>
    <w:rsid w:val="007D71B7"/>
    <w:rsid w:val="007D7C66"/>
    <w:rsid w:val="007D7CF3"/>
    <w:rsid w:val="007E0274"/>
    <w:rsid w:val="007E02A7"/>
    <w:rsid w:val="007E0358"/>
    <w:rsid w:val="007E0415"/>
    <w:rsid w:val="007E0991"/>
    <w:rsid w:val="007E0B2C"/>
    <w:rsid w:val="007E0BD1"/>
    <w:rsid w:val="007E107F"/>
    <w:rsid w:val="007E2FD7"/>
    <w:rsid w:val="007E310B"/>
    <w:rsid w:val="007E3275"/>
    <w:rsid w:val="007E38DA"/>
    <w:rsid w:val="007E3D65"/>
    <w:rsid w:val="007E3EE2"/>
    <w:rsid w:val="007E47E7"/>
    <w:rsid w:val="007E4A98"/>
    <w:rsid w:val="007E4EB6"/>
    <w:rsid w:val="007E5DD7"/>
    <w:rsid w:val="007E6B8C"/>
    <w:rsid w:val="007E6FB9"/>
    <w:rsid w:val="007E7139"/>
    <w:rsid w:val="007E7366"/>
    <w:rsid w:val="007E7EA1"/>
    <w:rsid w:val="007E7EA4"/>
    <w:rsid w:val="007F03CE"/>
    <w:rsid w:val="007F04D3"/>
    <w:rsid w:val="007F137D"/>
    <w:rsid w:val="007F17B5"/>
    <w:rsid w:val="007F2D8D"/>
    <w:rsid w:val="007F2EBF"/>
    <w:rsid w:val="007F3044"/>
    <w:rsid w:val="007F3249"/>
    <w:rsid w:val="007F3704"/>
    <w:rsid w:val="007F4657"/>
    <w:rsid w:val="007F4A02"/>
    <w:rsid w:val="007F5609"/>
    <w:rsid w:val="007F5625"/>
    <w:rsid w:val="007F568A"/>
    <w:rsid w:val="007F59F7"/>
    <w:rsid w:val="007F5E21"/>
    <w:rsid w:val="007F6413"/>
    <w:rsid w:val="007F676E"/>
    <w:rsid w:val="007F6B11"/>
    <w:rsid w:val="007F6E2B"/>
    <w:rsid w:val="007F7033"/>
    <w:rsid w:val="007F7D12"/>
    <w:rsid w:val="007F7F02"/>
    <w:rsid w:val="00800258"/>
    <w:rsid w:val="00800C97"/>
    <w:rsid w:val="0080220F"/>
    <w:rsid w:val="008026A7"/>
    <w:rsid w:val="00802735"/>
    <w:rsid w:val="008028C2"/>
    <w:rsid w:val="00802DDB"/>
    <w:rsid w:val="00802FC1"/>
    <w:rsid w:val="00803445"/>
    <w:rsid w:val="008037D8"/>
    <w:rsid w:val="00803B7E"/>
    <w:rsid w:val="00803DA6"/>
    <w:rsid w:val="008040D9"/>
    <w:rsid w:val="0080436E"/>
    <w:rsid w:val="00804937"/>
    <w:rsid w:val="00804C02"/>
    <w:rsid w:val="00804E1E"/>
    <w:rsid w:val="00804E43"/>
    <w:rsid w:val="008050F5"/>
    <w:rsid w:val="0080519C"/>
    <w:rsid w:val="0080553F"/>
    <w:rsid w:val="00805E48"/>
    <w:rsid w:val="00807ADD"/>
    <w:rsid w:val="00810BC2"/>
    <w:rsid w:val="00811683"/>
    <w:rsid w:val="00811AFF"/>
    <w:rsid w:val="00812373"/>
    <w:rsid w:val="00812D30"/>
    <w:rsid w:val="00813F3A"/>
    <w:rsid w:val="008140E8"/>
    <w:rsid w:val="008148D4"/>
    <w:rsid w:val="0081491F"/>
    <w:rsid w:val="00814941"/>
    <w:rsid w:val="00814A65"/>
    <w:rsid w:val="00814BD9"/>
    <w:rsid w:val="008158AC"/>
    <w:rsid w:val="00816805"/>
    <w:rsid w:val="00816BE8"/>
    <w:rsid w:val="00816CD5"/>
    <w:rsid w:val="00816DBD"/>
    <w:rsid w:val="00816FE2"/>
    <w:rsid w:val="00817062"/>
    <w:rsid w:val="00817991"/>
    <w:rsid w:val="00817F58"/>
    <w:rsid w:val="008203C5"/>
    <w:rsid w:val="00820B84"/>
    <w:rsid w:val="0082199B"/>
    <w:rsid w:val="00821C2A"/>
    <w:rsid w:val="00821C61"/>
    <w:rsid w:val="008227B7"/>
    <w:rsid w:val="008234D2"/>
    <w:rsid w:val="008243A8"/>
    <w:rsid w:val="00824925"/>
    <w:rsid w:val="00824C8B"/>
    <w:rsid w:val="008252E8"/>
    <w:rsid w:val="00825BA8"/>
    <w:rsid w:val="00825C14"/>
    <w:rsid w:val="0082641D"/>
    <w:rsid w:val="008267CA"/>
    <w:rsid w:val="00826E45"/>
    <w:rsid w:val="008270EE"/>
    <w:rsid w:val="0082722B"/>
    <w:rsid w:val="0082745B"/>
    <w:rsid w:val="00827C1B"/>
    <w:rsid w:val="0083016B"/>
    <w:rsid w:val="008301F1"/>
    <w:rsid w:val="00830C0E"/>
    <w:rsid w:val="00830DD6"/>
    <w:rsid w:val="008313E0"/>
    <w:rsid w:val="008317EC"/>
    <w:rsid w:val="0083195D"/>
    <w:rsid w:val="00831B7B"/>
    <w:rsid w:val="00831D90"/>
    <w:rsid w:val="008324F3"/>
    <w:rsid w:val="00832691"/>
    <w:rsid w:val="0083296B"/>
    <w:rsid w:val="00832B8A"/>
    <w:rsid w:val="00833547"/>
    <w:rsid w:val="00833852"/>
    <w:rsid w:val="00833967"/>
    <w:rsid w:val="00833AB9"/>
    <w:rsid w:val="00833B62"/>
    <w:rsid w:val="0083436A"/>
    <w:rsid w:val="00834820"/>
    <w:rsid w:val="00834C82"/>
    <w:rsid w:val="00834DB6"/>
    <w:rsid w:val="00834F93"/>
    <w:rsid w:val="00835F72"/>
    <w:rsid w:val="00840C4A"/>
    <w:rsid w:val="008411B9"/>
    <w:rsid w:val="0084122F"/>
    <w:rsid w:val="00841573"/>
    <w:rsid w:val="00841D08"/>
    <w:rsid w:val="00842D43"/>
    <w:rsid w:val="0084323E"/>
    <w:rsid w:val="00843D50"/>
    <w:rsid w:val="008441D9"/>
    <w:rsid w:val="0084464E"/>
    <w:rsid w:val="00844D85"/>
    <w:rsid w:val="008458BF"/>
    <w:rsid w:val="00846262"/>
    <w:rsid w:val="00846370"/>
    <w:rsid w:val="008463E8"/>
    <w:rsid w:val="00847665"/>
    <w:rsid w:val="008478B7"/>
    <w:rsid w:val="00847925"/>
    <w:rsid w:val="00847BC5"/>
    <w:rsid w:val="00847F11"/>
    <w:rsid w:val="00850010"/>
    <w:rsid w:val="008503F4"/>
    <w:rsid w:val="008504A0"/>
    <w:rsid w:val="00850996"/>
    <w:rsid w:val="00850AC1"/>
    <w:rsid w:val="00850C2A"/>
    <w:rsid w:val="00850DFA"/>
    <w:rsid w:val="00851331"/>
    <w:rsid w:val="008516D1"/>
    <w:rsid w:val="00851CC8"/>
    <w:rsid w:val="00852003"/>
    <w:rsid w:val="0085212C"/>
    <w:rsid w:val="0085223F"/>
    <w:rsid w:val="008529FD"/>
    <w:rsid w:val="00852F9E"/>
    <w:rsid w:val="00854053"/>
    <w:rsid w:val="008543AC"/>
    <w:rsid w:val="008548B8"/>
    <w:rsid w:val="00854965"/>
    <w:rsid w:val="008554D1"/>
    <w:rsid w:val="00855897"/>
    <w:rsid w:val="008558E0"/>
    <w:rsid w:val="008569E0"/>
    <w:rsid w:val="0085745B"/>
    <w:rsid w:val="00857AF7"/>
    <w:rsid w:val="00857BE5"/>
    <w:rsid w:val="00860109"/>
    <w:rsid w:val="008601BD"/>
    <w:rsid w:val="00860359"/>
    <w:rsid w:val="00860E43"/>
    <w:rsid w:val="00861252"/>
    <w:rsid w:val="0086171A"/>
    <w:rsid w:val="0086226C"/>
    <w:rsid w:val="00863C07"/>
    <w:rsid w:val="008640B7"/>
    <w:rsid w:val="00864379"/>
    <w:rsid w:val="008644A4"/>
    <w:rsid w:val="00864A6C"/>
    <w:rsid w:val="00864BB1"/>
    <w:rsid w:val="00864DF7"/>
    <w:rsid w:val="00865278"/>
    <w:rsid w:val="008654F9"/>
    <w:rsid w:val="008658C0"/>
    <w:rsid w:val="00866388"/>
    <w:rsid w:val="00866FE3"/>
    <w:rsid w:val="0086722D"/>
    <w:rsid w:val="00867459"/>
    <w:rsid w:val="00867D56"/>
    <w:rsid w:val="00867D70"/>
    <w:rsid w:val="0087018F"/>
    <w:rsid w:val="00870646"/>
    <w:rsid w:val="008706C3"/>
    <w:rsid w:val="00870BAA"/>
    <w:rsid w:val="00870D91"/>
    <w:rsid w:val="008716D1"/>
    <w:rsid w:val="008716ED"/>
    <w:rsid w:val="008718AD"/>
    <w:rsid w:val="0087193F"/>
    <w:rsid w:val="008724E6"/>
    <w:rsid w:val="008728C8"/>
    <w:rsid w:val="00873205"/>
    <w:rsid w:val="008735E8"/>
    <w:rsid w:val="00873662"/>
    <w:rsid w:val="0087377E"/>
    <w:rsid w:val="00874594"/>
    <w:rsid w:val="00874776"/>
    <w:rsid w:val="0087487C"/>
    <w:rsid w:val="00874A07"/>
    <w:rsid w:val="00874B75"/>
    <w:rsid w:val="00875007"/>
    <w:rsid w:val="008750DB"/>
    <w:rsid w:val="008751B4"/>
    <w:rsid w:val="0087527F"/>
    <w:rsid w:val="008754B5"/>
    <w:rsid w:val="00875AF3"/>
    <w:rsid w:val="008765E9"/>
    <w:rsid w:val="00876605"/>
    <w:rsid w:val="00876B13"/>
    <w:rsid w:val="00877940"/>
    <w:rsid w:val="0087796A"/>
    <w:rsid w:val="00880017"/>
    <w:rsid w:val="00880305"/>
    <w:rsid w:val="0088088A"/>
    <w:rsid w:val="00880A3F"/>
    <w:rsid w:val="00880EE2"/>
    <w:rsid w:val="00881155"/>
    <w:rsid w:val="008813BC"/>
    <w:rsid w:val="00881732"/>
    <w:rsid w:val="008818A2"/>
    <w:rsid w:val="00881FF9"/>
    <w:rsid w:val="0088213D"/>
    <w:rsid w:val="008821C6"/>
    <w:rsid w:val="0088243D"/>
    <w:rsid w:val="0088251A"/>
    <w:rsid w:val="00882530"/>
    <w:rsid w:val="0088288C"/>
    <w:rsid w:val="00882D28"/>
    <w:rsid w:val="00883A67"/>
    <w:rsid w:val="008848E9"/>
    <w:rsid w:val="00884FD8"/>
    <w:rsid w:val="00885244"/>
    <w:rsid w:val="008857C7"/>
    <w:rsid w:val="008858B3"/>
    <w:rsid w:val="00885BF6"/>
    <w:rsid w:val="008866CF"/>
    <w:rsid w:val="00886782"/>
    <w:rsid w:val="008869A1"/>
    <w:rsid w:val="00886B3F"/>
    <w:rsid w:val="008878B9"/>
    <w:rsid w:val="0089015D"/>
    <w:rsid w:val="0089021A"/>
    <w:rsid w:val="0089022E"/>
    <w:rsid w:val="00890475"/>
    <w:rsid w:val="00890A7C"/>
    <w:rsid w:val="00890D11"/>
    <w:rsid w:val="008910EE"/>
    <w:rsid w:val="00891A26"/>
    <w:rsid w:val="00891BCE"/>
    <w:rsid w:val="008923F8"/>
    <w:rsid w:val="008928F1"/>
    <w:rsid w:val="00892BBF"/>
    <w:rsid w:val="00892DB5"/>
    <w:rsid w:val="00893F27"/>
    <w:rsid w:val="008942BD"/>
    <w:rsid w:val="0089478A"/>
    <w:rsid w:val="0089480A"/>
    <w:rsid w:val="00894FE5"/>
    <w:rsid w:val="00895658"/>
    <w:rsid w:val="008956DA"/>
    <w:rsid w:val="00895BA9"/>
    <w:rsid w:val="00895D79"/>
    <w:rsid w:val="0089601B"/>
    <w:rsid w:val="0089655D"/>
    <w:rsid w:val="00896784"/>
    <w:rsid w:val="00896C56"/>
    <w:rsid w:val="00896CB9"/>
    <w:rsid w:val="00897051"/>
    <w:rsid w:val="00897824"/>
    <w:rsid w:val="00897BCB"/>
    <w:rsid w:val="00897C07"/>
    <w:rsid w:val="00897DBA"/>
    <w:rsid w:val="008A02FA"/>
    <w:rsid w:val="008A06A8"/>
    <w:rsid w:val="008A0BCE"/>
    <w:rsid w:val="008A1AAC"/>
    <w:rsid w:val="008A20CA"/>
    <w:rsid w:val="008A239B"/>
    <w:rsid w:val="008A23AB"/>
    <w:rsid w:val="008A28B6"/>
    <w:rsid w:val="008A2956"/>
    <w:rsid w:val="008A2EA1"/>
    <w:rsid w:val="008A2EF6"/>
    <w:rsid w:val="008A3480"/>
    <w:rsid w:val="008A3642"/>
    <w:rsid w:val="008A3C36"/>
    <w:rsid w:val="008A4F3C"/>
    <w:rsid w:val="008A51AD"/>
    <w:rsid w:val="008A53BA"/>
    <w:rsid w:val="008A551D"/>
    <w:rsid w:val="008A56BA"/>
    <w:rsid w:val="008A570A"/>
    <w:rsid w:val="008A58E4"/>
    <w:rsid w:val="008A58E7"/>
    <w:rsid w:val="008A5C1D"/>
    <w:rsid w:val="008A615A"/>
    <w:rsid w:val="008A6357"/>
    <w:rsid w:val="008A64AA"/>
    <w:rsid w:val="008A650C"/>
    <w:rsid w:val="008A66E1"/>
    <w:rsid w:val="008A6A36"/>
    <w:rsid w:val="008A6CB9"/>
    <w:rsid w:val="008A6DC1"/>
    <w:rsid w:val="008A6DD4"/>
    <w:rsid w:val="008A7083"/>
    <w:rsid w:val="008A7100"/>
    <w:rsid w:val="008A7139"/>
    <w:rsid w:val="008A776D"/>
    <w:rsid w:val="008A7C74"/>
    <w:rsid w:val="008B03BD"/>
    <w:rsid w:val="008B04C0"/>
    <w:rsid w:val="008B09E1"/>
    <w:rsid w:val="008B0A83"/>
    <w:rsid w:val="008B0DCF"/>
    <w:rsid w:val="008B0E93"/>
    <w:rsid w:val="008B0F8D"/>
    <w:rsid w:val="008B198D"/>
    <w:rsid w:val="008B23A8"/>
    <w:rsid w:val="008B29A4"/>
    <w:rsid w:val="008B29C0"/>
    <w:rsid w:val="008B2BB4"/>
    <w:rsid w:val="008B2C30"/>
    <w:rsid w:val="008B3C2B"/>
    <w:rsid w:val="008B4679"/>
    <w:rsid w:val="008B4D00"/>
    <w:rsid w:val="008B4D13"/>
    <w:rsid w:val="008B4E78"/>
    <w:rsid w:val="008B4FE2"/>
    <w:rsid w:val="008B61A1"/>
    <w:rsid w:val="008B66EE"/>
    <w:rsid w:val="008B6793"/>
    <w:rsid w:val="008B6E87"/>
    <w:rsid w:val="008B7588"/>
    <w:rsid w:val="008B75C2"/>
    <w:rsid w:val="008B787A"/>
    <w:rsid w:val="008C0A89"/>
    <w:rsid w:val="008C0CBD"/>
    <w:rsid w:val="008C0E71"/>
    <w:rsid w:val="008C1852"/>
    <w:rsid w:val="008C2AF0"/>
    <w:rsid w:val="008C2CFF"/>
    <w:rsid w:val="008C2E1E"/>
    <w:rsid w:val="008C2E22"/>
    <w:rsid w:val="008C2ED2"/>
    <w:rsid w:val="008C3D4D"/>
    <w:rsid w:val="008C4026"/>
    <w:rsid w:val="008C417E"/>
    <w:rsid w:val="008C5B51"/>
    <w:rsid w:val="008C5F0A"/>
    <w:rsid w:val="008C6105"/>
    <w:rsid w:val="008C6124"/>
    <w:rsid w:val="008C6334"/>
    <w:rsid w:val="008C66BD"/>
    <w:rsid w:val="008C6968"/>
    <w:rsid w:val="008C7373"/>
    <w:rsid w:val="008C742A"/>
    <w:rsid w:val="008C74C7"/>
    <w:rsid w:val="008C76A5"/>
    <w:rsid w:val="008C7714"/>
    <w:rsid w:val="008C7F4F"/>
    <w:rsid w:val="008D007F"/>
    <w:rsid w:val="008D00F3"/>
    <w:rsid w:val="008D03C3"/>
    <w:rsid w:val="008D0F27"/>
    <w:rsid w:val="008D11F0"/>
    <w:rsid w:val="008D15A2"/>
    <w:rsid w:val="008D1839"/>
    <w:rsid w:val="008D18CD"/>
    <w:rsid w:val="008D1F86"/>
    <w:rsid w:val="008D20E0"/>
    <w:rsid w:val="008D2B6E"/>
    <w:rsid w:val="008D2C5D"/>
    <w:rsid w:val="008D335C"/>
    <w:rsid w:val="008D35B7"/>
    <w:rsid w:val="008D36BE"/>
    <w:rsid w:val="008D4007"/>
    <w:rsid w:val="008D436A"/>
    <w:rsid w:val="008D46D3"/>
    <w:rsid w:val="008D4C72"/>
    <w:rsid w:val="008D4CF8"/>
    <w:rsid w:val="008D5291"/>
    <w:rsid w:val="008D5368"/>
    <w:rsid w:val="008D561B"/>
    <w:rsid w:val="008D582B"/>
    <w:rsid w:val="008D5CF9"/>
    <w:rsid w:val="008D5D0A"/>
    <w:rsid w:val="008D6794"/>
    <w:rsid w:val="008D7F65"/>
    <w:rsid w:val="008E00C1"/>
    <w:rsid w:val="008E0178"/>
    <w:rsid w:val="008E02F8"/>
    <w:rsid w:val="008E12AF"/>
    <w:rsid w:val="008E1342"/>
    <w:rsid w:val="008E17F3"/>
    <w:rsid w:val="008E1DC9"/>
    <w:rsid w:val="008E1F11"/>
    <w:rsid w:val="008E211C"/>
    <w:rsid w:val="008E24E4"/>
    <w:rsid w:val="008E25C5"/>
    <w:rsid w:val="008E28EC"/>
    <w:rsid w:val="008E2BB3"/>
    <w:rsid w:val="008E2BC5"/>
    <w:rsid w:val="008E2C79"/>
    <w:rsid w:val="008E3176"/>
    <w:rsid w:val="008E3564"/>
    <w:rsid w:val="008E3A0B"/>
    <w:rsid w:val="008E3A90"/>
    <w:rsid w:val="008E3AAB"/>
    <w:rsid w:val="008E4043"/>
    <w:rsid w:val="008E4520"/>
    <w:rsid w:val="008E54E8"/>
    <w:rsid w:val="008E5740"/>
    <w:rsid w:val="008E5868"/>
    <w:rsid w:val="008E5ADB"/>
    <w:rsid w:val="008E5DC8"/>
    <w:rsid w:val="008E6465"/>
    <w:rsid w:val="008E6C57"/>
    <w:rsid w:val="008E7082"/>
    <w:rsid w:val="008E72AF"/>
    <w:rsid w:val="008F069E"/>
    <w:rsid w:val="008F0952"/>
    <w:rsid w:val="008F1154"/>
    <w:rsid w:val="008F1B84"/>
    <w:rsid w:val="008F1B9D"/>
    <w:rsid w:val="008F1DB6"/>
    <w:rsid w:val="008F32B6"/>
    <w:rsid w:val="008F337C"/>
    <w:rsid w:val="008F3563"/>
    <w:rsid w:val="008F39C0"/>
    <w:rsid w:val="008F39E4"/>
    <w:rsid w:val="008F57CD"/>
    <w:rsid w:val="008F5960"/>
    <w:rsid w:val="008F5CD0"/>
    <w:rsid w:val="008F629A"/>
    <w:rsid w:val="008F6A9B"/>
    <w:rsid w:val="008F6F03"/>
    <w:rsid w:val="008F7603"/>
    <w:rsid w:val="008F769D"/>
    <w:rsid w:val="008F76B7"/>
    <w:rsid w:val="008F76DC"/>
    <w:rsid w:val="008F775F"/>
    <w:rsid w:val="008F7D2F"/>
    <w:rsid w:val="009013C5"/>
    <w:rsid w:val="0090147B"/>
    <w:rsid w:val="00901649"/>
    <w:rsid w:val="009019D7"/>
    <w:rsid w:val="00901CBA"/>
    <w:rsid w:val="00901DC6"/>
    <w:rsid w:val="009021DC"/>
    <w:rsid w:val="0090254E"/>
    <w:rsid w:val="00903026"/>
    <w:rsid w:val="0090357B"/>
    <w:rsid w:val="00903832"/>
    <w:rsid w:val="009042D0"/>
    <w:rsid w:val="009044BE"/>
    <w:rsid w:val="009048EB"/>
    <w:rsid w:val="00904913"/>
    <w:rsid w:val="00904B8A"/>
    <w:rsid w:val="00904C15"/>
    <w:rsid w:val="009050B3"/>
    <w:rsid w:val="00905298"/>
    <w:rsid w:val="00905945"/>
    <w:rsid w:val="00905FEB"/>
    <w:rsid w:val="00906164"/>
    <w:rsid w:val="00906252"/>
    <w:rsid w:val="0090672E"/>
    <w:rsid w:val="009068C6"/>
    <w:rsid w:val="00906A4F"/>
    <w:rsid w:val="00906BD6"/>
    <w:rsid w:val="00907074"/>
    <w:rsid w:val="009073C7"/>
    <w:rsid w:val="009078BA"/>
    <w:rsid w:val="009079C7"/>
    <w:rsid w:val="009079F7"/>
    <w:rsid w:val="00907B44"/>
    <w:rsid w:val="00907C33"/>
    <w:rsid w:val="00907DB8"/>
    <w:rsid w:val="009108D2"/>
    <w:rsid w:val="00910C20"/>
    <w:rsid w:val="00910FE1"/>
    <w:rsid w:val="0091106A"/>
    <w:rsid w:val="00911C09"/>
    <w:rsid w:val="00911D1C"/>
    <w:rsid w:val="00912F38"/>
    <w:rsid w:val="0091340D"/>
    <w:rsid w:val="00913C58"/>
    <w:rsid w:val="009140B4"/>
    <w:rsid w:val="00914174"/>
    <w:rsid w:val="0091428A"/>
    <w:rsid w:val="00914733"/>
    <w:rsid w:val="0091495E"/>
    <w:rsid w:val="00914AA5"/>
    <w:rsid w:val="009162DD"/>
    <w:rsid w:val="009163E7"/>
    <w:rsid w:val="0091671A"/>
    <w:rsid w:val="009169F6"/>
    <w:rsid w:val="0091719D"/>
    <w:rsid w:val="00917903"/>
    <w:rsid w:val="00917BEA"/>
    <w:rsid w:val="00917DF0"/>
    <w:rsid w:val="00920189"/>
    <w:rsid w:val="00920203"/>
    <w:rsid w:val="009203A2"/>
    <w:rsid w:val="00920997"/>
    <w:rsid w:val="00920B1E"/>
    <w:rsid w:val="00920DD5"/>
    <w:rsid w:val="00921161"/>
    <w:rsid w:val="0092128B"/>
    <w:rsid w:val="00922492"/>
    <w:rsid w:val="009224EB"/>
    <w:rsid w:val="0092272F"/>
    <w:rsid w:val="00922BE2"/>
    <w:rsid w:val="00922EDE"/>
    <w:rsid w:val="009237D9"/>
    <w:rsid w:val="0092406C"/>
    <w:rsid w:val="00924096"/>
    <w:rsid w:val="009243BC"/>
    <w:rsid w:val="009244D5"/>
    <w:rsid w:val="0092523A"/>
    <w:rsid w:val="009252F1"/>
    <w:rsid w:val="00925588"/>
    <w:rsid w:val="00925A0E"/>
    <w:rsid w:val="00925AF5"/>
    <w:rsid w:val="009261FC"/>
    <w:rsid w:val="00926268"/>
    <w:rsid w:val="00926416"/>
    <w:rsid w:val="009264A2"/>
    <w:rsid w:val="0092715D"/>
    <w:rsid w:val="00927299"/>
    <w:rsid w:val="00927585"/>
    <w:rsid w:val="00930632"/>
    <w:rsid w:val="009310BC"/>
    <w:rsid w:val="00931D3F"/>
    <w:rsid w:val="009324C4"/>
    <w:rsid w:val="00932671"/>
    <w:rsid w:val="00932A7A"/>
    <w:rsid w:val="00932D26"/>
    <w:rsid w:val="00932D49"/>
    <w:rsid w:val="009330BF"/>
    <w:rsid w:val="00933817"/>
    <w:rsid w:val="00933EE7"/>
    <w:rsid w:val="00934510"/>
    <w:rsid w:val="0093476C"/>
    <w:rsid w:val="00935A1E"/>
    <w:rsid w:val="00935AA3"/>
    <w:rsid w:val="00935B7C"/>
    <w:rsid w:val="00935BC9"/>
    <w:rsid w:val="00935E3A"/>
    <w:rsid w:val="00936005"/>
    <w:rsid w:val="0093607C"/>
    <w:rsid w:val="00940008"/>
    <w:rsid w:val="00940FFA"/>
    <w:rsid w:val="00941503"/>
    <w:rsid w:val="0094185F"/>
    <w:rsid w:val="0094187D"/>
    <w:rsid w:val="00941A4A"/>
    <w:rsid w:val="009423ED"/>
    <w:rsid w:val="00942C90"/>
    <w:rsid w:val="00942F29"/>
    <w:rsid w:val="00942FB6"/>
    <w:rsid w:val="009430E1"/>
    <w:rsid w:val="009434EB"/>
    <w:rsid w:val="00943EA6"/>
    <w:rsid w:val="009443F2"/>
    <w:rsid w:val="00944510"/>
    <w:rsid w:val="009448F2"/>
    <w:rsid w:val="009451E0"/>
    <w:rsid w:val="0094524B"/>
    <w:rsid w:val="009456E3"/>
    <w:rsid w:val="00945759"/>
    <w:rsid w:val="00945925"/>
    <w:rsid w:val="00945949"/>
    <w:rsid w:val="009466E9"/>
    <w:rsid w:val="00946CB3"/>
    <w:rsid w:val="00946D20"/>
    <w:rsid w:val="00946E51"/>
    <w:rsid w:val="009470FE"/>
    <w:rsid w:val="009473F4"/>
    <w:rsid w:val="0094767D"/>
    <w:rsid w:val="00947EB9"/>
    <w:rsid w:val="00950231"/>
    <w:rsid w:val="00950794"/>
    <w:rsid w:val="009507AA"/>
    <w:rsid w:val="009509EF"/>
    <w:rsid w:val="009515CA"/>
    <w:rsid w:val="00951691"/>
    <w:rsid w:val="00951FCE"/>
    <w:rsid w:val="009521CC"/>
    <w:rsid w:val="0095226C"/>
    <w:rsid w:val="0095269B"/>
    <w:rsid w:val="00952C05"/>
    <w:rsid w:val="00952D52"/>
    <w:rsid w:val="009540B7"/>
    <w:rsid w:val="009543D0"/>
    <w:rsid w:val="0095448C"/>
    <w:rsid w:val="00954AF9"/>
    <w:rsid w:val="00954DAE"/>
    <w:rsid w:val="00955410"/>
    <w:rsid w:val="009558EE"/>
    <w:rsid w:val="009559D5"/>
    <w:rsid w:val="00955C17"/>
    <w:rsid w:val="00955FFA"/>
    <w:rsid w:val="00956170"/>
    <w:rsid w:val="00956BA1"/>
    <w:rsid w:val="00956D42"/>
    <w:rsid w:val="00956F0F"/>
    <w:rsid w:val="0095727F"/>
    <w:rsid w:val="009572AF"/>
    <w:rsid w:val="00957E41"/>
    <w:rsid w:val="0096016E"/>
    <w:rsid w:val="0096023A"/>
    <w:rsid w:val="009607AB"/>
    <w:rsid w:val="00961154"/>
    <w:rsid w:val="009615DB"/>
    <w:rsid w:val="00962683"/>
    <w:rsid w:val="00962E23"/>
    <w:rsid w:val="009633ED"/>
    <w:rsid w:val="0096487C"/>
    <w:rsid w:val="00964B45"/>
    <w:rsid w:val="00964BC2"/>
    <w:rsid w:val="00964D4A"/>
    <w:rsid w:val="00964EAE"/>
    <w:rsid w:val="00965023"/>
    <w:rsid w:val="009650B7"/>
    <w:rsid w:val="0096515D"/>
    <w:rsid w:val="00965841"/>
    <w:rsid w:val="00966623"/>
    <w:rsid w:val="009678DB"/>
    <w:rsid w:val="00970728"/>
    <w:rsid w:val="009707C9"/>
    <w:rsid w:val="00971303"/>
    <w:rsid w:val="00971615"/>
    <w:rsid w:val="00971E0B"/>
    <w:rsid w:val="00972101"/>
    <w:rsid w:val="00972285"/>
    <w:rsid w:val="009723CC"/>
    <w:rsid w:val="00972FB5"/>
    <w:rsid w:val="00973607"/>
    <w:rsid w:val="009736FE"/>
    <w:rsid w:val="00973B96"/>
    <w:rsid w:val="00973E3C"/>
    <w:rsid w:val="00974763"/>
    <w:rsid w:val="009757CA"/>
    <w:rsid w:val="0097617E"/>
    <w:rsid w:val="00976E76"/>
    <w:rsid w:val="00977A14"/>
    <w:rsid w:val="00977E9B"/>
    <w:rsid w:val="009807BF"/>
    <w:rsid w:val="009809CE"/>
    <w:rsid w:val="0098131F"/>
    <w:rsid w:val="00981479"/>
    <w:rsid w:val="009814DA"/>
    <w:rsid w:val="00981614"/>
    <w:rsid w:val="00981F74"/>
    <w:rsid w:val="0098237C"/>
    <w:rsid w:val="009829B3"/>
    <w:rsid w:val="00982C31"/>
    <w:rsid w:val="00982D45"/>
    <w:rsid w:val="00983165"/>
    <w:rsid w:val="00983343"/>
    <w:rsid w:val="009833C4"/>
    <w:rsid w:val="009834E0"/>
    <w:rsid w:val="009838FF"/>
    <w:rsid w:val="0098410C"/>
    <w:rsid w:val="00984149"/>
    <w:rsid w:val="00984788"/>
    <w:rsid w:val="00984909"/>
    <w:rsid w:val="00984FF3"/>
    <w:rsid w:val="00984FF9"/>
    <w:rsid w:val="009850C5"/>
    <w:rsid w:val="00986326"/>
    <w:rsid w:val="00986849"/>
    <w:rsid w:val="00986BB7"/>
    <w:rsid w:val="00986D4B"/>
    <w:rsid w:val="00986F6D"/>
    <w:rsid w:val="0098727C"/>
    <w:rsid w:val="00987708"/>
    <w:rsid w:val="00987DF0"/>
    <w:rsid w:val="00987E2E"/>
    <w:rsid w:val="0099008B"/>
    <w:rsid w:val="0099177B"/>
    <w:rsid w:val="00991B8C"/>
    <w:rsid w:val="00991FAA"/>
    <w:rsid w:val="0099367E"/>
    <w:rsid w:val="00993FE4"/>
    <w:rsid w:val="0099425E"/>
    <w:rsid w:val="00994942"/>
    <w:rsid w:val="00994CDC"/>
    <w:rsid w:val="00995AC3"/>
    <w:rsid w:val="009969CD"/>
    <w:rsid w:val="0099770A"/>
    <w:rsid w:val="00997769"/>
    <w:rsid w:val="00997A2E"/>
    <w:rsid w:val="009A048E"/>
    <w:rsid w:val="009A119F"/>
    <w:rsid w:val="009A1609"/>
    <w:rsid w:val="009A16A3"/>
    <w:rsid w:val="009A1702"/>
    <w:rsid w:val="009A1A7E"/>
    <w:rsid w:val="009A1F6D"/>
    <w:rsid w:val="009A3480"/>
    <w:rsid w:val="009A3DB8"/>
    <w:rsid w:val="009A43B3"/>
    <w:rsid w:val="009A464D"/>
    <w:rsid w:val="009A496F"/>
    <w:rsid w:val="009A4B78"/>
    <w:rsid w:val="009A4C02"/>
    <w:rsid w:val="009A4D73"/>
    <w:rsid w:val="009A4E41"/>
    <w:rsid w:val="009A5297"/>
    <w:rsid w:val="009A5851"/>
    <w:rsid w:val="009A5D40"/>
    <w:rsid w:val="009A5E10"/>
    <w:rsid w:val="009A6665"/>
    <w:rsid w:val="009A743F"/>
    <w:rsid w:val="009A74F7"/>
    <w:rsid w:val="009B00F2"/>
    <w:rsid w:val="009B0FB2"/>
    <w:rsid w:val="009B1113"/>
    <w:rsid w:val="009B1C34"/>
    <w:rsid w:val="009B1D22"/>
    <w:rsid w:val="009B1E86"/>
    <w:rsid w:val="009B27C4"/>
    <w:rsid w:val="009B2BE6"/>
    <w:rsid w:val="009B2D92"/>
    <w:rsid w:val="009B31DE"/>
    <w:rsid w:val="009B3250"/>
    <w:rsid w:val="009B3D24"/>
    <w:rsid w:val="009B42D2"/>
    <w:rsid w:val="009B4A06"/>
    <w:rsid w:val="009B60EA"/>
    <w:rsid w:val="009B70C8"/>
    <w:rsid w:val="009B737C"/>
    <w:rsid w:val="009B742E"/>
    <w:rsid w:val="009C0AC6"/>
    <w:rsid w:val="009C11B2"/>
    <w:rsid w:val="009C1456"/>
    <w:rsid w:val="009C164F"/>
    <w:rsid w:val="009C1C30"/>
    <w:rsid w:val="009C22DD"/>
    <w:rsid w:val="009C29D5"/>
    <w:rsid w:val="009C30A0"/>
    <w:rsid w:val="009C359E"/>
    <w:rsid w:val="009C37FE"/>
    <w:rsid w:val="009C4082"/>
    <w:rsid w:val="009C4A38"/>
    <w:rsid w:val="009C4A72"/>
    <w:rsid w:val="009C4AD8"/>
    <w:rsid w:val="009C4D3D"/>
    <w:rsid w:val="009C55E2"/>
    <w:rsid w:val="009C5A4E"/>
    <w:rsid w:val="009C5EE5"/>
    <w:rsid w:val="009C61E3"/>
    <w:rsid w:val="009C6B56"/>
    <w:rsid w:val="009C7DB8"/>
    <w:rsid w:val="009C7FF0"/>
    <w:rsid w:val="009D010D"/>
    <w:rsid w:val="009D0244"/>
    <w:rsid w:val="009D0AAD"/>
    <w:rsid w:val="009D0F71"/>
    <w:rsid w:val="009D111C"/>
    <w:rsid w:val="009D17A0"/>
    <w:rsid w:val="009D1F7A"/>
    <w:rsid w:val="009D2873"/>
    <w:rsid w:val="009D2942"/>
    <w:rsid w:val="009D2BE9"/>
    <w:rsid w:val="009D3A1A"/>
    <w:rsid w:val="009D426A"/>
    <w:rsid w:val="009D5BDB"/>
    <w:rsid w:val="009D6B03"/>
    <w:rsid w:val="009D6B3D"/>
    <w:rsid w:val="009D7422"/>
    <w:rsid w:val="009D78E7"/>
    <w:rsid w:val="009D7979"/>
    <w:rsid w:val="009E0742"/>
    <w:rsid w:val="009E0B29"/>
    <w:rsid w:val="009E1291"/>
    <w:rsid w:val="009E12BC"/>
    <w:rsid w:val="009E139D"/>
    <w:rsid w:val="009E224D"/>
    <w:rsid w:val="009E26D5"/>
    <w:rsid w:val="009E2A07"/>
    <w:rsid w:val="009E3398"/>
    <w:rsid w:val="009E3577"/>
    <w:rsid w:val="009E37A5"/>
    <w:rsid w:val="009E395B"/>
    <w:rsid w:val="009E3D2B"/>
    <w:rsid w:val="009E3E84"/>
    <w:rsid w:val="009E4097"/>
    <w:rsid w:val="009E4664"/>
    <w:rsid w:val="009E4D8E"/>
    <w:rsid w:val="009E4E90"/>
    <w:rsid w:val="009E4EB7"/>
    <w:rsid w:val="009E57C1"/>
    <w:rsid w:val="009E624A"/>
    <w:rsid w:val="009E6975"/>
    <w:rsid w:val="009E6B32"/>
    <w:rsid w:val="009E7039"/>
    <w:rsid w:val="009E70F3"/>
    <w:rsid w:val="009E750E"/>
    <w:rsid w:val="009E7E98"/>
    <w:rsid w:val="009F00EE"/>
    <w:rsid w:val="009F0827"/>
    <w:rsid w:val="009F0BED"/>
    <w:rsid w:val="009F1673"/>
    <w:rsid w:val="009F3255"/>
    <w:rsid w:val="009F34AA"/>
    <w:rsid w:val="009F3DCE"/>
    <w:rsid w:val="009F4298"/>
    <w:rsid w:val="009F44FF"/>
    <w:rsid w:val="009F45E2"/>
    <w:rsid w:val="009F46E8"/>
    <w:rsid w:val="009F472D"/>
    <w:rsid w:val="009F4CF0"/>
    <w:rsid w:val="009F4E88"/>
    <w:rsid w:val="009F50D1"/>
    <w:rsid w:val="009F539C"/>
    <w:rsid w:val="009F55CD"/>
    <w:rsid w:val="009F573B"/>
    <w:rsid w:val="009F5918"/>
    <w:rsid w:val="009F596D"/>
    <w:rsid w:val="009F6654"/>
    <w:rsid w:val="009F6A91"/>
    <w:rsid w:val="009F6AA9"/>
    <w:rsid w:val="009F71A6"/>
    <w:rsid w:val="009F71AA"/>
    <w:rsid w:val="009F754A"/>
    <w:rsid w:val="009F791F"/>
    <w:rsid w:val="009F7F86"/>
    <w:rsid w:val="00A0034D"/>
    <w:rsid w:val="00A00BFB"/>
    <w:rsid w:val="00A00DCF"/>
    <w:rsid w:val="00A0126C"/>
    <w:rsid w:val="00A012DA"/>
    <w:rsid w:val="00A0187E"/>
    <w:rsid w:val="00A026F0"/>
    <w:rsid w:val="00A02F2D"/>
    <w:rsid w:val="00A02F61"/>
    <w:rsid w:val="00A03E0E"/>
    <w:rsid w:val="00A040D1"/>
    <w:rsid w:val="00A044B7"/>
    <w:rsid w:val="00A04A0A"/>
    <w:rsid w:val="00A050A8"/>
    <w:rsid w:val="00A056A3"/>
    <w:rsid w:val="00A059AF"/>
    <w:rsid w:val="00A05B51"/>
    <w:rsid w:val="00A06286"/>
    <w:rsid w:val="00A06318"/>
    <w:rsid w:val="00A063BC"/>
    <w:rsid w:val="00A067D7"/>
    <w:rsid w:val="00A068E1"/>
    <w:rsid w:val="00A06A80"/>
    <w:rsid w:val="00A06D8A"/>
    <w:rsid w:val="00A0711F"/>
    <w:rsid w:val="00A07B0B"/>
    <w:rsid w:val="00A102A0"/>
    <w:rsid w:val="00A10860"/>
    <w:rsid w:val="00A114FA"/>
    <w:rsid w:val="00A11AF3"/>
    <w:rsid w:val="00A12ACF"/>
    <w:rsid w:val="00A12C09"/>
    <w:rsid w:val="00A13084"/>
    <w:rsid w:val="00A1327F"/>
    <w:rsid w:val="00A13817"/>
    <w:rsid w:val="00A138D3"/>
    <w:rsid w:val="00A13E0F"/>
    <w:rsid w:val="00A14010"/>
    <w:rsid w:val="00A144B7"/>
    <w:rsid w:val="00A149B4"/>
    <w:rsid w:val="00A152D3"/>
    <w:rsid w:val="00A15E82"/>
    <w:rsid w:val="00A15F4F"/>
    <w:rsid w:val="00A160AB"/>
    <w:rsid w:val="00A16745"/>
    <w:rsid w:val="00A16747"/>
    <w:rsid w:val="00A17E93"/>
    <w:rsid w:val="00A20013"/>
    <w:rsid w:val="00A200E6"/>
    <w:rsid w:val="00A2056F"/>
    <w:rsid w:val="00A20582"/>
    <w:rsid w:val="00A20C65"/>
    <w:rsid w:val="00A21767"/>
    <w:rsid w:val="00A21FD5"/>
    <w:rsid w:val="00A22751"/>
    <w:rsid w:val="00A22940"/>
    <w:rsid w:val="00A22C96"/>
    <w:rsid w:val="00A23102"/>
    <w:rsid w:val="00A233D8"/>
    <w:rsid w:val="00A2343F"/>
    <w:rsid w:val="00A23505"/>
    <w:rsid w:val="00A236AC"/>
    <w:rsid w:val="00A237D0"/>
    <w:rsid w:val="00A23A4D"/>
    <w:rsid w:val="00A23F8E"/>
    <w:rsid w:val="00A2428B"/>
    <w:rsid w:val="00A247E5"/>
    <w:rsid w:val="00A248BD"/>
    <w:rsid w:val="00A24D81"/>
    <w:rsid w:val="00A24EA5"/>
    <w:rsid w:val="00A25173"/>
    <w:rsid w:val="00A252F0"/>
    <w:rsid w:val="00A259F2"/>
    <w:rsid w:val="00A263F6"/>
    <w:rsid w:val="00A26463"/>
    <w:rsid w:val="00A2660E"/>
    <w:rsid w:val="00A26916"/>
    <w:rsid w:val="00A26B47"/>
    <w:rsid w:val="00A26FF1"/>
    <w:rsid w:val="00A27547"/>
    <w:rsid w:val="00A27806"/>
    <w:rsid w:val="00A3068C"/>
    <w:rsid w:val="00A3127F"/>
    <w:rsid w:val="00A31922"/>
    <w:rsid w:val="00A31BCC"/>
    <w:rsid w:val="00A31C70"/>
    <w:rsid w:val="00A31C87"/>
    <w:rsid w:val="00A325BB"/>
    <w:rsid w:val="00A3297A"/>
    <w:rsid w:val="00A32A58"/>
    <w:rsid w:val="00A32EEC"/>
    <w:rsid w:val="00A336C5"/>
    <w:rsid w:val="00A339D9"/>
    <w:rsid w:val="00A33BD6"/>
    <w:rsid w:val="00A34979"/>
    <w:rsid w:val="00A3510A"/>
    <w:rsid w:val="00A3515F"/>
    <w:rsid w:val="00A35751"/>
    <w:rsid w:val="00A3577F"/>
    <w:rsid w:val="00A35BBC"/>
    <w:rsid w:val="00A35DAB"/>
    <w:rsid w:val="00A36724"/>
    <w:rsid w:val="00A367AF"/>
    <w:rsid w:val="00A36C13"/>
    <w:rsid w:val="00A377C2"/>
    <w:rsid w:val="00A37A31"/>
    <w:rsid w:val="00A40B1F"/>
    <w:rsid w:val="00A40B4D"/>
    <w:rsid w:val="00A411E2"/>
    <w:rsid w:val="00A41373"/>
    <w:rsid w:val="00A41638"/>
    <w:rsid w:val="00A41A3F"/>
    <w:rsid w:val="00A41B15"/>
    <w:rsid w:val="00A41DE9"/>
    <w:rsid w:val="00A42180"/>
    <w:rsid w:val="00A4224E"/>
    <w:rsid w:val="00A4229F"/>
    <w:rsid w:val="00A428A9"/>
    <w:rsid w:val="00A42ACA"/>
    <w:rsid w:val="00A4327C"/>
    <w:rsid w:val="00A43AAB"/>
    <w:rsid w:val="00A43AFE"/>
    <w:rsid w:val="00A447E3"/>
    <w:rsid w:val="00A44AAD"/>
    <w:rsid w:val="00A44D3B"/>
    <w:rsid w:val="00A45241"/>
    <w:rsid w:val="00A45280"/>
    <w:rsid w:val="00A452B8"/>
    <w:rsid w:val="00A45BF7"/>
    <w:rsid w:val="00A463B5"/>
    <w:rsid w:val="00A463BA"/>
    <w:rsid w:val="00A46675"/>
    <w:rsid w:val="00A46A5F"/>
    <w:rsid w:val="00A471A3"/>
    <w:rsid w:val="00A47597"/>
    <w:rsid w:val="00A477AC"/>
    <w:rsid w:val="00A4795F"/>
    <w:rsid w:val="00A47E44"/>
    <w:rsid w:val="00A47F91"/>
    <w:rsid w:val="00A507D7"/>
    <w:rsid w:val="00A50A5C"/>
    <w:rsid w:val="00A50BE2"/>
    <w:rsid w:val="00A50CC6"/>
    <w:rsid w:val="00A50DF3"/>
    <w:rsid w:val="00A50E40"/>
    <w:rsid w:val="00A51462"/>
    <w:rsid w:val="00A51946"/>
    <w:rsid w:val="00A51DEC"/>
    <w:rsid w:val="00A51FF7"/>
    <w:rsid w:val="00A52079"/>
    <w:rsid w:val="00A52143"/>
    <w:rsid w:val="00A521E9"/>
    <w:rsid w:val="00A5298E"/>
    <w:rsid w:val="00A52B3E"/>
    <w:rsid w:val="00A5313B"/>
    <w:rsid w:val="00A5320E"/>
    <w:rsid w:val="00A53F7B"/>
    <w:rsid w:val="00A54090"/>
    <w:rsid w:val="00A54282"/>
    <w:rsid w:val="00A546F1"/>
    <w:rsid w:val="00A549D3"/>
    <w:rsid w:val="00A54DF0"/>
    <w:rsid w:val="00A57E98"/>
    <w:rsid w:val="00A60017"/>
    <w:rsid w:val="00A60849"/>
    <w:rsid w:val="00A6105B"/>
    <w:rsid w:val="00A61355"/>
    <w:rsid w:val="00A61668"/>
    <w:rsid w:val="00A621D3"/>
    <w:rsid w:val="00A628F8"/>
    <w:rsid w:val="00A62B7A"/>
    <w:rsid w:val="00A62D09"/>
    <w:rsid w:val="00A631A1"/>
    <w:rsid w:val="00A632EA"/>
    <w:rsid w:val="00A6339D"/>
    <w:rsid w:val="00A634BE"/>
    <w:rsid w:val="00A6386B"/>
    <w:rsid w:val="00A63AD7"/>
    <w:rsid w:val="00A63BFD"/>
    <w:rsid w:val="00A6491F"/>
    <w:rsid w:val="00A64C72"/>
    <w:rsid w:val="00A64D1A"/>
    <w:rsid w:val="00A65320"/>
    <w:rsid w:val="00A65615"/>
    <w:rsid w:val="00A65BA5"/>
    <w:rsid w:val="00A66354"/>
    <w:rsid w:val="00A66DC5"/>
    <w:rsid w:val="00A66E37"/>
    <w:rsid w:val="00A66ECF"/>
    <w:rsid w:val="00A67E38"/>
    <w:rsid w:val="00A703E4"/>
    <w:rsid w:val="00A704C9"/>
    <w:rsid w:val="00A70DC6"/>
    <w:rsid w:val="00A71080"/>
    <w:rsid w:val="00A71986"/>
    <w:rsid w:val="00A71E05"/>
    <w:rsid w:val="00A71E3D"/>
    <w:rsid w:val="00A71E73"/>
    <w:rsid w:val="00A72740"/>
    <w:rsid w:val="00A73A64"/>
    <w:rsid w:val="00A742AD"/>
    <w:rsid w:val="00A746D7"/>
    <w:rsid w:val="00A74AB2"/>
    <w:rsid w:val="00A75A27"/>
    <w:rsid w:val="00A75A46"/>
    <w:rsid w:val="00A75B36"/>
    <w:rsid w:val="00A75D2E"/>
    <w:rsid w:val="00A7663A"/>
    <w:rsid w:val="00A7696B"/>
    <w:rsid w:val="00A769D4"/>
    <w:rsid w:val="00A775AD"/>
    <w:rsid w:val="00A8008F"/>
    <w:rsid w:val="00A804C7"/>
    <w:rsid w:val="00A80625"/>
    <w:rsid w:val="00A80857"/>
    <w:rsid w:val="00A80A39"/>
    <w:rsid w:val="00A80D41"/>
    <w:rsid w:val="00A80DF0"/>
    <w:rsid w:val="00A80E64"/>
    <w:rsid w:val="00A81A16"/>
    <w:rsid w:val="00A823A7"/>
    <w:rsid w:val="00A824D4"/>
    <w:rsid w:val="00A825C8"/>
    <w:rsid w:val="00A82742"/>
    <w:rsid w:val="00A82A29"/>
    <w:rsid w:val="00A83984"/>
    <w:rsid w:val="00A83A1E"/>
    <w:rsid w:val="00A84198"/>
    <w:rsid w:val="00A841AB"/>
    <w:rsid w:val="00A84A93"/>
    <w:rsid w:val="00A84FFD"/>
    <w:rsid w:val="00A86104"/>
    <w:rsid w:val="00A8655A"/>
    <w:rsid w:val="00A87203"/>
    <w:rsid w:val="00A87744"/>
    <w:rsid w:val="00A87AE6"/>
    <w:rsid w:val="00A87B09"/>
    <w:rsid w:val="00A87C22"/>
    <w:rsid w:val="00A90590"/>
    <w:rsid w:val="00A90A97"/>
    <w:rsid w:val="00A90CB4"/>
    <w:rsid w:val="00A910DA"/>
    <w:rsid w:val="00A914B9"/>
    <w:rsid w:val="00A915B7"/>
    <w:rsid w:val="00A920E1"/>
    <w:rsid w:val="00A92AFD"/>
    <w:rsid w:val="00A933AE"/>
    <w:rsid w:val="00A93863"/>
    <w:rsid w:val="00A93928"/>
    <w:rsid w:val="00A9415E"/>
    <w:rsid w:val="00A9423F"/>
    <w:rsid w:val="00A94EBD"/>
    <w:rsid w:val="00A9510D"/>
    <w:rsid w:val="00A95580"/>
    <w:rsid w:val="00A9568A"/>
    <w:rsid w:val="00A956AC"/>
    <w:rsid w:val="00A95D2A"/>
    <w:rsid w:val="00A96214"/>
    <w:rsid w:val="00A967E8"/>
    <w:rsid w:val="00A97F4B"/>
    <w:rsid w:val="00AA04C5"/>
    <w:rsid w:val="00AA10B1"/>
    <w:rsid w:val="00AA1E17"/>
    <w:rsid w:val="00AA2803"/>
    <w:rsid w:val="00AA2AB3"/>
    <w:rsid w:val="00AA2BF2"/>
    <w:rsid w:val="00AA2D68"/>
    <w:rsid w:val="00AA2D6F"/>
    <w:rsid w:val="00AA3987"/>
    <w:rsid w:val="00AA3B68"/>
    <w:rsid w:val="00AA3E79"/>
    <w:rsid w:val="00AA42D3"/>
    <w:rsid w:val="00AA4FB4"/>
    <w:rsid w:val="00AA5C0B"/>
    <w:rsid w:val="00AA5E3B"/>
    <w:rsid w:val="00AA63AD"/>
    <w:rsid w:val="00AA65B4"/>
    <w:rsid w:val="00AA6A75"/>
    <w:rsid w:val="00AA745E"/>
    <w:rsid w:val="00AB04AB"/>
    <w:rsid w:val="00AB0733"/>
    <w:rsid w:val="00AB09D2"/>
    <w:rsid w:val="00AB0B64"/>
    <w:rsid w:val="00AB0C30"/>
    <w:rsid w:val="00AB176B"/>
    <w:rsid w:val="00AB2AF7"/>
    <w:rsid w:val="00AB37E6"/>
    <w:rsid w:val="00AB3DBA"/>
    <w:rsid w:val="00AB431C"/>
    <w:rsid w:val="00AB470E"/>
    <w:rsid w:val="00AB5467"/>
    <w:rsid w:val="00AB5A7E"/>
    <w:rsid w:val="00AB7538"/>
    <w:rsid w:val="00AB77F3"/>
    <w:rsid w:val="00AC0256"/>
    <w:rsid w:val="00AC0AAD"/>
    <w:rsid w:val="00AC1231"/>
    <w:rsid w:val="00AC1992"/>
    <w:rsid w:val="00AC1E14"/>
    <w:rsid w:val="00AC2CFA"/>
    <w:rsid w:val="00AC3263"/>
    <w:rsid w:val="00AC337E"/>
    <w:rsid w:val="00AC3E12"/>
    <w:rsid w:val="00AC406E"/>
    <w:rsid w:val="00AC430C"/>
    <w:rsid w:val="00AC4951"/>
    <w:rsid w:val="00AC4A6B"/>
    <w:rsid w:val="00AC5C19"/>
    <w:rsid w:val="00AC60F0"/>
    <w:rsid w:val="00AC6657"/>
    <w:rsid w:val="00AC6D7A"/>
    <w:rsid w:val="00AC7363"/>
    <w:rsid w:val="00AC7401"/>
    <w:rsid w:val="00AC7901"/>
    <w:rsid w:val="00AC79F3"/>
    <w:rsid w:val="00AC7FDD"/>
    <w:rsid w:val="00AD0949"/>
    <w:rsid w:val="00AD0F1D"/>
    <w:rsid w:val="00AD1179"/>
    <w:rsid w:val="00AD1359"/>
    <w:rsid w:val="00AD19F0"/>
    <w:rsid w:val="00AD1FCE"/>
    <w:rsid w:val="00AD24D1"/>
    <w:rsid w:val="00AD26E1"/>
    <w:rsid w:val="00AD29CC"/>
    <w:rsid w:val="00AD3268"/>
    <w:rsid w:val="00AD3652"/>
    <w:rsid w:val="00AD3DE2"/>
    <w:rsid w:val="00AD4135"/>
    <w:rsid w:val="00AD4261"/>
    <w:rsid w:val="00AD46F5"/>
    <w:rsid w:val="00AD4CB1"/>
    <w:rsid w:val="00AD51A3"/>
    <w:rsid w:val="00AD598B"/>
    <w:rsid w:val="00AD7154"/>
    <w:rsid w:val="00AD797D"/>
    <w:rsid w:val="00AD7E02"/>
    <w:rsid w:val="00AE0034"/>
    <w:rsid w:val="00AE0483"/>
    <w:rsid w:val="00AE08DD"/>
    <w:rsid w:val="00AE13BD"/>
    <w:rsid w:val="00AE156F"/>
    <w:rsid w:val="00AE1ABF"/>
    <w:rsid w:val="00AE1AF9"/>
    <w:rsid w:val="00AE1E60"/>
    <w:rsid w:val="00AE2068"/>
    <w:rsid w:val="00AE2258"/>
    <w:rsid w:val="00AE277E"/>
    <w:rsid w:val="00AE2A36"/>
    <w:rsid w:val="00AE2BC6"/>
    <w:rsid w:val="00AE3251"/>
    <w:rsid w:val="00AE33DA"/>
    <w:rsid w:val="00AE3FE0"/>
    <w:rsid w:val="00AE5058"/>
    <w:rsid w:val="00AE51CD"/>
    <w:rsid w:val="00AE5471"/>
    <w:rsid w:val="00AE54AA"/>
    <w:rsid w:val="00AE60E4"/>
    <w:rsid w:val="00AE6872"/>
    <w:rsid w:val="00AE6C58"/>
    <w:rsid w:val="00AE72C4"/>
    <w:rsid w:val="00AE7F05"/>
    <w:rsid w:val="00AE7F38"/>
    <w:rsid w:val="00AF054D"/>
    <w:rsid w:val="00AF0939"/>
    <w:rsid w:val="00AF0981"/>
    <w:rsid w:val="00AF0F9C"/>
    <w:rsid w:val="00AF10F0"/>
    <w:rsid w:val="00AF24E7"/>
    <w:rsid w:val="00AF272B"/>
    <w:rsid w:val="00AF291B"/>
    <w:rsid w:val="00AF2DAA"/>
    <w:rsid w:val="00AF2EBD"/>
    <w:rsid w:val="00AF33AE"/>
    <w:rsid w:val="00AF34C9"/>
    <w:rsid w:val="00AF3CDC"/>
    <w:rsid w:val="00AF44B1"/>
    <w:rsid w:val="00AF5790"/>
    <w:rsid w:val="00AF5800"/>
    <w:rsid w:val="00AF6986"/>
    <w:rsid w:val="00AF69FE"/>
    <w:rsid w:val="00AF6A77"/>
    <w:rsid w:val="00AF6D1B"/>
    <w:rsid w:val="00AF73ED"/>
    <w:rsid w:val="00AF7B5B"/>
    <w:rsid w:val="00AF7D69"/>
    <w:rsid w:val="00AF7E42"/>
    <w:rsid w:val="00AF7ED2"/>
    <w:rsid w:val="00B004D8"/>
    <w:rsid w:val="00B00830"/>
    <w:rsid w:val="00B00CC5"/>
    <w:rsid w:val="00B016D2"/>
    <w:rsid w:val="00B02091"/>
    <w:rsid w:val="00B02B43"/>
    <w:rsid w:val="00B03D36"/>
    <w:rsid w:val="00B04540"/>
    <w:rsid w:val="00B046F1"/>
    <w:rsid w:val="00B05116"/>
    <w:rsid w:val="00B051A7"/>
    <w:rsid w:val="00B05F1A"/>
    <w:rsid w:val="00B07B33"/>
    <w:rsid w:val="00B07FA2"/>
    <w:rsid w:val="00B100CF"/>
    <w:rsid w:val="00B1074F"/>
    <w:rsid w:val="00B10E82"/>
    <w:rsid w:val="00B111A6"/>
    <w:rsid w:val="00B115E5"/>
    <w:rsid w:val="00B118EE"/>
    <w:rsid w:val="00B11B03"/>
    <w:rsid w:val="00B11B79"/>
    <w:rsid w:val="00B11C5B"/>
    <w:rsid w:val="00B121CD"/>
    <w:rsid w:val="00B12343"/>
    <w:rsid w:val="00B12529"/>
    <w:rsid w:val="00B128C5"/>
    <w:rsid w:val="00B12B11"/>
    <w:rsid w:val="00B12C94"/>
    <w:rsid w:val="00B12D5B"/>
    <w:rsid w:val="00B135AB"/>
    <w:rsid w:val="00B135D7"/>
    <w:rsid w:val="00B13797"/>
    <w:rsid w:val="00B137BF"/>
    <w:rsid w:val="00B13A1B"/>
    <w:rsid w:val="00B13A76"/>
    <w:rsid w:val="00B142D9"/>
    <w:rsid w:val="00B1436F"/>
    <w:rsid w:val="00B14BC4"/>
    <w:rsid w:val="00B14F3D"/>
    <w:rsid w:val="00B158A3"/>
    <w:rsid w:val="00B15B25"/>
    <w:rsid w:val="00B15C36"/>
    <w:rsid w:val="00B15EA0"/>
    <w:rsid w:val="00B16069"/>
    <w:rsid w:val="00B17A4E"/>
    <w:rsid w:val="00B17B30"/>
    <w:rsid w:val="00B17C2F"/>
    <w:rsid w:val="00B2153E"/>
    <w:rsid w:val="00B21F72"/>
    <w:rsid w:val="00B21FA7"/>
    <w:rsid w:val="00B22022"/>
    <w:rsid w:val="00B225E4"/>
    <w:rsid w:val="00B22666"/>
    <w:rsid w:val="00B231C5"/>
    <w:rsid w:val="00B23F7A"/>
    <w:rsid w:val="00B240B1"/>
    <w:rsid w:val="00B24208"/>
    <w:rsid w:val="00B24374"/>
    <w:rsid w:val="00B24728"/>
    <w:rsid w:val="00B248A9"/>
    <w:rsid w:val="00B2490A"/>
    <w:rsid w:val="00B24BE3"/>
    <w:rsid w:val="00B24D28"/>
    <w:rsid w:val="00B24F1C"/>
    <w:rsid w:val="00B25D76"/>
    <w:rsid w:val="00B27032"/>
    <w:rsid w:val="00B27085"/>
    <w:rsid w:val="00B30003"/>
    <w:rsid w:val="00B3015C"/>
    <w:rsid w:val="00B30AD9"/>
    <w:rsid w:val="00B31201"/>
    <w:rsid w:val="00B31B00"/>
    <w:rsid w:val="00B31B4B"/>
    <w:rsid w:val="00B31E36"/>
    <w:rsid w:val="00B32E26"/>
    <w:rsid w:val="00B338B7"/>
    <w:rsid w:val="00B34061"/>
    <w:rsid w:val="00B34376"/>
    <w:rsid w:val="00B3440A"/>
    <w:rsid w:val="00B34441"/>
    <w:rsid w:val="00B35167"/>
    <w:rsid w:val="00B35533"/>
    <w:rsid w:val="00B35534"/>
    <w:rsid w:val="00B35A87"/>
    <w:rsid w:val="00B35AFD"/>
    <w:rsid w:val="00B35F9A"/>
    <w:rsid w:val="00B3609C"/>
    <w:rsid w:val="00B36236"/>
    <w:rsid w:val="00B3662E"/>
    <w:rsid w:val="00B366D2"/>
    <w:rsid w:val="00B366FA"/>
    <w:rsid w:val="00B36E86"/>
    <w:rsid w:val="00B379BA"/>
    <w:rsid w:val="00B412FD"/>
    <w:rsid w:val="00B422BE"/>
    <w:rsid w:val="00B4241D"/>
    <w:rsid w:val="00B426BB"/>
    <w:rsid w:val="00B42EB9"/>
    <w:rsid w:val="00B436F0"/>
    <w:rsid w:val="00B441FE"/>
    <w:rsid w:val="00B44821"/>
    <w:rsid w:val="00B44AD3"/>
    <w:rsid w:val="00B45062"/>
    <w:rsid w:val="00B450EB"/>
    <w:rsid w:val="00B45152"/>
    <w:rsid w:val="00B45E54"/>
    <w:rsid w:val="00B464E4"/>
    <w:rsid w:val="00B4689A"/>
    <w:rsid w:val="00B46D5F"/>
    <w:rsid w:val="00B46E7B"/>
    <w:rsid w:val="00B47DC5"/>
    <w:rsid w:val="00B505B3"/>
    <w:rsid w:val="00B50882"/>
    <w:rsid w:val="00B50A74"/>
    <w:rsid w:val="00B51BE0"/>
    <w:rsid w:val="00B520A0"/>
    <w:rsid w:val="00B5257E"/>
    <w:rsid w:val="00B525CE"/>
    <w:rsid w:val="00B52CFD"/>
    <w:rsid w:val="00B52EED"/>
    <w:rsid w:val="00B53103"/>
    <w:rsid w:val="00B545A8"/>
    <w:rsid w:val="00B55F22"/>
    <w:rsid w:val="00B56527"/>
    <w:rsid w:val="00B57019"/>
    <w:rsid w:val="00B576DA"/>
    <w:rsid w:val="00B57710"/>
    <w:rsid w:val="00B601C9"/>
    <w:rsid w:val="00B60D04"/>
    <w:rsid w:val="00B6114D"/>
    <w:rsid w:val="00B6158F"/>
    <w:rsid w:val="00B61EE8"/>
    <w:rsid w:val="00B633A3"/>
    <w:rsid w:val="00B63533"/>
    <w:rsid w:val="00B63BDB"/>
    <w:rsid w:val="00B64A0E"/>
    <w:rsid w:val="00B64DDF"/>
    <w:rsid w:val="00B6601E"/>
    <w:rsid w:val="00B663AA"/>
    <w:rsid w:val="00B66DD5"/>
    <w:rsid w:val="00B67722"/>
    <w:rsid w:val="00B67B97"/>
    <w:rsid w:val="00B67F01"/>
    <w:rsid w:val="00B70329"/>
    <w:rsid w:val="00B70764"/>
    <w:rsid w:val="00B711AB"/>
    <w:rsid w:val="00B714F0"/>
    <w:rsid w:val="00B71A40"/>
    <w:rsid w:val="00B71C8C"/>
    <w:rsid w:val="00B71CB4"/>
    <w:rsid w:val="00B71FD7"/>
    <w:rsid w:val="00B725E7"/>
    <w:rsid w:val="00B72967"/>
    <w:rsid w:val="00B72C07"/>
    <w:rsid w:val="00B72DF7"/>
    <w:rsid w:val="00B72F42"/>
    <w:rsid w:val="00B733FB"/>
    <w:rsid w:val="00B73E44"/>
    <w:rsid w:val="00B74290"/>
    <w:rsid w:val="00B74510"/>
    <w:rsid w:val="00B74BD4"/>
    <w:rsid w:val="00B74BF7"/>
    <w:rsid w:val="00B76185"/>
    <w:rsid w:val="00B76BCD"/>
    <w:rsid w:val="00B7786D"/>
    <w:rsid w:val="00B779E6"/>
    <w:rsid w:val="00B804E2"/>
    <w:rsid w:val="00B811B2"/>
    <w:rsid w:val="00B81BA3"/>
    <w:rsid w:val="00B82213"/>
    <w:rsid w:val="00B8276E"/>
    <w:rsid w:val="00B83A62"/>
    <w:rsid w:val="00B83B59"/>
    <w:rsid w:val="00B84252"/>
    <w:rsid w:val="00B8468F"/>
    <w:rsid w:val="00B849F1"/>
    <w:rsid w:val="00B84FC6"/>
    <w:rsid w:val="00B857F5"/>
    <w:rsid w:val="00B86D6C"/>
    <w:rsid w:val="00B86EB5"/>
    <w:rsid w:val="00B86F47"/>
    <w:rsid w:val="00B874B4"/>
    <w:rsid w:val="00B876C1"/>
    <w:rsid w:val="00B8787A"/>
    <w:rsid w:val="00B87887"/>
    <w:rsid w:val="00B90123"/>
    <w:rsid w:val="00B90196"/>
    <w:rsid w:val="00B911C1"/>
    <w:rsid w:val="00B91374"/>
    <w:rsid w:val="00B922C3"/>
    <w:rsid w:val="00B9272A"/>
    <w:rsid w:val="00B9272E"/>
    <w:rsid w:val="00B927A7"/>
    <w:rsid w:val="00B92B9E"/>
    <w:rsid w:val="00B93315"/>
    <w:rsid w:val="00B93519"/>
    <w:rsid w:val="00B9372A"/>
    <w:rsid w:val="00B9425C"/>
    <w:rsid w:val="00B94AAF"/>
    <w:rsid w:val="00B953FF"/>
    <w:rsid w:val="00B9622D"/>
    <w:rsid w:val="00B96263"/>
    <w:rsid w:val="00B968A5"/>
    <w:rsid w:val="00B972CD"/>
    <w:rsid w:val="00B97D02"/>
    <w:rsid w:val="00BA0304"/>
    <w:rsid w:val="00BA0557"/>
    <w:rsid w:val="00BA060E"/>
    <w:rsid w:val="00BA19C4"/>
    <w:rsid w:val="00BA2B3F"/>
    <w:rsid w:val="00BA3038"/>
    <w:rsid w:val="00BA360A"/>
    <w:rsid w:val="00BA370A"/>
    <w:rsid w:val="00BA48BC"/>
    <w:rsid w:val="00BA4A29"/>
    <w:rsid w:val="00BA4BE7"/>
    <w:rsid w:val="00BA550D"/>
    <w:rsid w:val="00BA5F20"/>
    <w:rsid w:val="00BA5F44"/>
    <w:rsid w:val="00BA68D9"/>
    <w:rsid w:val="00BA6FD8"/>
    <w:rsid w:val="00BA7172"/>
    <w:rsid w:val="00BA72CF"/>
    <w:rsid w:val="00BA7B01"/>
    <w:rsid w:val="00BB02D7"/>
    <w:rsid w:val="00BB0D9F"/>
    <w:rsid w:val="00BB0DEE"/>
    <w:rsid w:val="00BB0F93"/>
    <w:rsid w:val="00BB1031"/>
    <w:rsid w:val="00BB1B33"/>
    <w:rsid w:val="00BB2480"/>
    <w:rsid w:val="00BB27FD"/>
    <w:rsid w:val="00BB2C4E"/>
    <w:rsid w:val="00BB2E29"/>
    <w:rsid w:val="00BB2F74"/>
    <w:rsid w:val="00BB3206"/>
    <w:rsid w:val="00BB32C2"/>
    <w:rsid w:val="00BB3B0D"/>
    <w:rsid w:val="00BB4144"/>
    <w:rsid w:val="00BB4369"/>
    <w:rsid w:val="00BB524C"/>
    <w:rsid w:val="00BB5DAB"/>
    <w:rsid w:val="00BB6195"/>
    <w:rsid w:val="00BB61A3"/>
    <w:rsid w:val="00BB67EA"/>
    <w:rsid w:val="00BB707E"/>
    <w:rsid w:val="00BB7568"/>
    <w:rsid w:val="00BC007C"/>
    <w:rsid w:val="00BC0157"/>
    <w:rsid w:val="00BC0497"/>
    <w:rsid w:val="00BC0986"/>
    <w:rsid w:val="00BC0AB2"/>
    <w:rsid w:val="00BC11A4"/>
    <w:rsid w:val="00BC1308"/>
    <w:rsid w:val="00BC1BF4"/>
    <w:rsid w:val="00BC2600"/>
    <w:rsid w:val="00BC2F24"/>
    <w:rsid w:val="00BC33BE"/>
    <w:rsid w:val="00BC3A47"/>
    <w:rsid w:val="00BC3EEB"/>
    <w:rsid w:val="00BC4780"/>
    <w:rsid w:val="00BC4901"/>
    <w:rsid w:val="00BC52C8"/>
    <w:rsid w:val="00BC5485"/>
    <w:rsid w:val="00BC549C"/>
    <w:rsid w:val="00BC570E"/>
    <w:rsid w:val="00BC5A6C"/>
    <w:rsid w:val="00BC5AF6"/>
    <w:rsid w:val="00BC5B4B"/>
    <w:rsid w:val="00BC5E69"/>
    <w:rsid w:val="00BC5EDB"/>
    <w:rsid w:val="00BC69A2"/>
    <w:rsid w:val="00BC6ED6"/>
    <w:rsid w:val="00BC6F03"/>
    <w:rsid w:val="00BC6FA1"/>
    <w:rsid w:val="00BC70CE"/>
    <w:rsid w:val="00BC7487"/>
    <w:rsid w:val="00BC7DDD"/>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D7"/>
    <w:rsid w:val="00BD4EFB"/>
    <w:rsid w:val="00BD5076"/>
    <w:rsid w:val="00BD5551"/>
    <w:rsid w:val="00BD5984"/>
    <w:rsid w:val="00BD6D43"/>
    <w:rsid w:val="00BD7090"/>
    <w:rsid w:val="00BD7490"/>
    <w:rsid w:val="00BD767F"/>
    <w:rsid w:val="00BD7DA0"/>
    <w:rsid w:val="00BE096B"/>
    <w:rsid w:val="00BE09C3"/>
    <w:rsid w:val="00BE0C27"/>
    <w:rsid w:val="00BE15BB"/>
    <w:rsid w:val="00BE198F"/>
    <w:rsid w:val="00BE4CCF"/>
    <w:rsid w:val="00BE5964"/>
    <w:rsid w:val="00BE5D68"/>
    <w:rsid w:val="00BE660B"/>
    <w:rsid w:val="00BE6AFE"/>
    <w:rsid w:val="00BE6BBE"/>
    <w:rsid w:val="00BE7021"/>
    <w:rsid w:val="00BE7300"/>
    <w:rsid w:val="00BE76F7"/>
    <w:rsid w:val="00BE784F"/>
    <w:rsid w:val="00BE79C6"/>
    <w:rsid w:val="00BE7F3F"/>
    <w:rsid w:val="00BF0238"/>
    <w:rsid w:val="00BF0717"/>
    <w:rsid w:val="00BF1750"/>
    <w:rsid w:val="00BF178E"/>
    <w:rsid w:val="00BF189F"/>
    <w:rsid w:val="00BF18F2"/>
    <w:rsid w:val="00BF1B44"/>
    <w:rsid w:val="00BF1F01"/>
    <w:rsid w:val="00BF1FC2"/>
    <w:rsid w:val="00BF23CC"/>
    <w:rsid w:val="00BF243F"/>
    <w:rsid w:val="00BF2708"/>
    <w:rsid w:val="00BF28FC"/>
    <w:rsid w:val="00BF4C2B"/>
    <w:rsid w:val="00BF507A"/>
    <w:rsid w:val="00BF53F1"/>
    <w:rsid w:val="00BF5717"/>
    <w:rsid w:val="00BF585E"/>
    <w:rsid w:val="00BF5B9D"/>
    <w:rsid w:val="00BF5C45"/>
    <w:rsid w:val="00BF5FA3"/>
    <w:rsid w:val="00BF62F2"/>
    <w:rsid w:val="00BF63A5"/>
    <w:rsid w:val="00BF72A7"/>
    <w:rsid w:val="00BF7558"/>
    <w:rsid w:val="00BF7DD2"/>
    <w:rsid w:val="00C0111E"/>
    <w:rsid w:val="00C02676"/>
    <w:rsid w:val="00C029AB"/>
    <w:rsid w:val="00C02D74"/>
    <w:rsid w:val="00C03661"/>
    <w:rsid w:val="00C03BD5"/>
    <w:rsid w:val="00C03C8B"/>
    <w:rsid w:val="00C03F3C"/>
    <w:rsid w:val="00C0425C"/>
    <w:rsid w:val="00C049BE"/>
    <w:rsid w:val="00C04A71"/>
    <w:rsid w:val="00C04DF0"/>
    <w:rsid w:val="00C050BB"/>
    <w:rsid w:val="00C05A4C"/>
    <w:rsid w:val="00C05A67"/>
    <w:rsid w:val="00C0641F"/>
    <w:rsid w:val="00C06E6F"/>
    <w:rsid w:val="00C07371"/>
    <w:rsid w:val="00C075DB"/>
    <w:rsid w:val="00C07EBA"/>
    <w:rsid w:val="00C07FBC"/>
    <w:rsid w:val="00C100E7"/>
    <w:rsid w:val="00C11113"/>
    <w:rsid w:val="00C11687"/>
    <w:rsid w:val="00C11E28"/>
    <w:rsid w:val="00C11F66"/>
    <w:rsid w:val="00C1225B"/>
    <w:rsid w:val="00C122F9"/>
    <w:rsid w:val="00C1253A"/>
    <w:rsid w:val="00C128C9"/>
    <w:rsid w:val="00C12CF3"/>
    <w:rsid w:val="00C12F88"/>
    <w:rsid w:val="00C131A8"/>
    <w:rsid w:val="00C1322D"/>
    <w:rsid w:val="00C135A3"/>
    <w:rsid w:val="00C1477A"/>
    <w:rsid w:val="00C14A62"/>
    <w:rsid w:val="00C151F5"/>
    <w:rsid w:val="00C158EB"/>
    <w:rsid w:val="00C159B1"/>
    <w:rsid w:val="00C15D51"/>
    <w:rsid w:val="00C161F5"/>
    <w:rsid w:val="00C16BE6"/>
    <w:rsid w:val="00C16C92"/>
    <w:rsid w:val="00C1706B"/>
    <w:rsid w:val="00C17DB7"/>
    <w:rsid w:val="00C17E48"/>
    <w:rsid w:val="00C17F0B"/>
    <w:rsid w:val="00C201E7"/>
    <w:rsid w:val="00C20506"/>
    <w:rsid w:val="00C20AA2"/>
    <w:rsid w:val="00C20B91"/>
    <w:rsid w:val="00C21155"/>
    <w:rsid w:val="00C2146C"/>
    <w:rsid w:val="00C214D7"/>
    <w:rsid w:val="00C21561"/>
    <w:rsid w:val="00C217EE"/>
    <w:rsid w:val="00C22784"/>
    <w:rsid w:val="00C23843"/>
    <w:rsid w:val="00C23A4C"/>
    <w:rsid w:val="00C2419D"/>
    <w:rsid w:val="00C243A4"/>
    <w:rsid w:val="00C24416"/>
    <w:rsid w:val="00C248DB"/>
    <w:rsid w:val="00C26170"/>
    <w:rsid w:val="00C26B5A"/>
    <w:rsid w:val="00C26D52"/>
    <w:rsid w:val="00C303E4"/>
    <w:rsid w:val="00C30775"/>
    <w:rsid w:val="00C30B8D"/>
    <w:rsid w:val="00C3134E"/>
    <w:rsid w:val="00C315D8"/>
    <w:rsid w:val="00C31C4A"/>
    <w:rsid w:val="00C31D2D"/>
    <w:rsid w:val="00C3209A"/>
    <w:rsid w:val="00C32639"/>
    <w:rsid w:val="00C32808"/>
    <w:rsid w:val="00C32AD2"/>
    <w:rsid w:val="00C33114"/>
    <w:rsid w:val="00C34193"/>
    <w:rsid w:val="00C347FD"/>
    <w:rsid w:val="00C34DAE"/>
    <w:rsid w:val="00C34E1E"/>
    <w:rsid w:val="00C34E5A"/>
    <w:rsid w:val="00C353D2"/>
    <w:rsid w:val="00C35D9C"/>
    <w:rsid w:val="00C36219"/>
    <w:rsid w:val="00C3698E"/>
    <w:rsid w:val="00C36CCA"/>
    <w:rsid w:val="00C36E1C"/>
    <w:rsid w:val="00C36F42"/>
    <w:rsid w:val="00C3718A"/>
    <w:rsid w:val="00C3728D"/>
    <w:rsid w:val="00C379C5"/>
    <w:rsid w:val="00C37EEE"/>
    <w:rsid w:val="00C40453"/>
    <w:rsid w:val="00C40544"/>
    <w:rsid w:val="00C40E71"/>
    <w:rsid w:val="00C40FBC"/>
    <w:rsid w:val="00C4141D"/>
    <w:rsid w:val="00C41879"/>
    <w:rsid w:val="00C41A7C"/>
    <w:rsid w:val="00C42CEF"/>
    <w:rsid w:val="00C42D55"/>
    <w:rsid w:val="00C43080"/>
    <w:rsid w:val="00C4370E"/>
    <w:rsid w:val="00C43823"/>
    <w:rsid w:val="00C4384B"/>
    <w:rsid w:val="00C4393C"/>
    <w:rsid w:val="00C43F2D"/>
    <w:rsid w:val="00C44068"/>
    <w:rsid w:val="00C442AE"/>
    <w:rsid w:val="00C44DCD"/>
    <w:rsid w:val="00C4518B"/>
    <w:rsid w:val="00C45780"/>
    <w:rsid w:val="00C458D6"/>
    <w:rsid w:val="00C45919"/>
    <w:rsid w:val="00C4655A"/>
    <w:rsid w:val="00C466BF"/>
    <w:rsid w:val="00C47385"/>
    <w:rsid w:val="00C47555"/>
    <w:rsid w:val="00C476AC"/>
    <w:rsid w:val="00C47E67"/>
    <w:rsid w:val="00C47FD9"/>
    <w:rsid w:val="00C50C1A"/>
    <w:rsid w:val="00C50E1E"/>
    <w:rsid w:val="00C51508"/>
    <w:rsid w:val="00C51D73"/>
    <w:rsid w:val="00C52283"/>
    <w:rsid w:val="00C52A05"/>
    <w:rsid w:val="00C52E97"/>
    <w:rsid w:val="00C52EAF"/>
    <w:rsid w:val="00C53189"/>
    <w:rsid w:val="00C534E5"/>
    <w:rsid w:val="00C534F4"/>
    <w:rsid w:val="00C5375B"/>
    <w:rsid w:val="00C53B15"/>
    <w:rsid w:val="00C53DA9"/>
    <w:rsid w:val="00C53EF7"/>
    <w:rsid w:val="00C54280"/>
    <w:rsid w:val="00C54616"/>
    <w:rsid w:val="00C54929"/>
    <w:rsid w:val="00C550B6"/>
    <w:rsid w:val="00C55373"/>
    <w:rsid w:val="00C556B1"/>
    <w:rsid w:val="00C557BE"/>
    <w:rsid w:val="00C55A05"/>
    <w:rsid w:val="00C56101"/>
    <w:rsid w:val="00C565F2"/>
    <w:rsid w:val="00C567E3"/>
    <w:rsid w:val="00C56C45"/>
    <w:rsid w:val="00C573CC"/>
    <w:rsid w:val="00C57B81"/>
    <w:rsid w:val="00C57FB9"/>
    <w:rsid w:val="00C602BD"/>
    <w:rsid w:val="00C6077B"/>
    <w:rsid w:val="00C60950"/>
    <w:rsid w:val="00C60DD1"/>
    <w:rsid w:val="00C61565"/>
    <w:rsid w:val="00C61574"/>
    <w:rsid w:val="00C615B4"/>
    <w:rsid w:val="00C61AC6"/>
    <w:rsid w:val="00C61ACF"/>
    <w:rsid w:val="00C6211D"/>
    <w:rsid w:val="00C62537"/>
    <w:rsid w:val="00C62973"/>
    <w:rsid w:val="00C62B32"/>
    <w:rsid w:val="00C63DED"/>
    <w:rsid w:val="00C63E88"/>
    <w:rsid w:val="00C6436D"/>
    <w:rsid w:val="00C64F97"/>
    <w:rsid w:val="00C65585"/>
    <w:rsid w:val="00C656EB"/>
    <w:rsid w:val="00C65DF4"/>
    <w:rsid w:val="00C661C6"/>
    <w:rsid w:val="00C67880"/>
    <w:rsid w:val="00C67B49"/>
    <w:rsid w:val="00C711F5"/>
    <w:rsid w:val="00C71326"/>
    <w:rsid w:val="00C713A1"/>
    <w:rsid w:val="00C71828"/>
    <w:rsid w:val="00C72105"/>
    <w:rsid w:val="00C74520"/>
    <w:rsid w:val="00C74954"/>
    <w:rsid w:val="00C76028"/>
    <w:rsid w:val="00C76184"/>
    <w:rsid w:val="00C76462"/>
    <w:rsid w:val="00C7673D"/>
    <w:rsid w:val="00C76A80"/>
    <w:rsid w:val="00C76C27"/>
    <w:rsid w:val="00C76F07"/>
    <w:rsid w:val="00C77960"/>
    <w:rsid w:val="00C77EF6"/>
    <w:rsid w:val="00C80B4B"/>
    <w:rsid w:val="00C80D63"/>
    <w:rsid w:val="00C812D5"/>
    <w:rsid w:val="00C81BEA"/>
    <w:rsid w:val="00C81DF5"/>
    <w:rsid w:val="00C82188"/>
    <w:rsid w:val="00C8242B"/>
    <w:rsid w:val="00C82A50"/>
    <w:rsid w:val="00C83240"/>
    <w:rsid w:val="00C83381"/>
    <w:rsid w:val="00C83607"/>
    <w:rsid w:val="00C83768"/>
    <w:rsid w:val="00C83B18"/>
    <w:rsid w:val="00C840C3"/>
    <w:rsid w:val="00C841B4"/>
    <w:rsid w:val="00C84266"/>
    <w:rsid w:val="00C8450F"/>
    <w:rsid w:val="00C8466F"/>
    <w:rsid w:val="00C849E0"/>
    <w:rsid w:val="00C84B74"/>
    <w:rsid w:val="00C8512A"/>
    <w:rsid w:val="00C85378"/>
    <w:rsid w:val="00C85970"/>
    <w:rsid w:val="00C85E9B"/>
    <w:rsid w:val="00C874C8"/>
    <w:rsid w:val="00C8768B"/>
    <w:rsid w:val="00C90165"/>
    <w:rsid w:val="00C902DA"/>
    <w:rsid w:val="00C90733"/>
    <w:rsid w:val="00C921C4"/>
    <w:rsid w:val="00C9235F"/>
    <w:rsid w:val="00C9257F"/>
    <w:rsid w:val="00C92BF4"/>
    <w:rsid w:val="00C9319C"/>
    <w:rsid w:val="00C934F6"/>
    <w:rsid w:val="00C93874"/>
    <w:rsid w:val="00C93A4C"/>
    <w:rsid w:val="00C944EB"/>
    <w:rsid w:val="00C94856"/>
    <w:rsid w:val="00C94FD2"/>
    <w:rsid w:val="00C95341"/>
    <w:rsid w:val="00C95B76"/>
    <w:rsid w:val="00C964C3"/>
    <w:rsid w:val="00C96635"/>
    <w:rsid w:val="00C966B7"/>
    <w:rsid w:val="00C969DB"/>
    <w:rsid w:val="00C96A6E"/>
    <w:rsid w:val="00C97A4A"/>
    <w:rsid w:val="00C97DC9"/>
    <w:rsid w:val="00C97EE3"/>
    <w:rsid w:val="00CA042A"/>
    <w:rsid w:val="00CA12BA"/>
    <w:rsid w:val="00CA165C"/>
    <w:rsid w:val="00CA1C0D"/>
    <w:rsid w:val="00CA1DAE"/>
    <w:rsid w:val="00CA1E62"/>
    <w:rsid w:val="00CA2267"/>
    <w:rsid w:val="00CA38AD"/>
    <w:rsid w:val="00CA3EEE"/>
    <w:rsid w:val="00CA5098"/>
    <w:rsid w:val="00CA5503"/>
    <w:rsid w:val="00CA66C3"/>
    <w:rsid w:val="00CA6CAD"/>
    <w:rsid w:val="00CA70A8"/>
    <w:rsid w:val="00CA70D0"/>
    <w:rsid w:val="00CA74A4"/>
    <w:rsid w:val="00CA7683"/>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3A45"/>
    <w:rsid w:val="00CB4728"/>
    <w:rsid w:val="00CB49A6"/>
    <w:rsid w:val="00CB58E3"/>
    <w:rsid w:val="00CB59E7"/>
    <w:rsid w:val="00CB5D27"/>
    <w:rsid w:val="00CB5E4A"/>
    <w:rsid w:val="00CB6FCA"/>
    <w:rsid w:val="00CB724D"/>
    <w:rsid w:val="00CB73EA"/>
    <w:rsid w:val="00CB76E3"/>
    <w:rsid w:val="00CB7D4E"/>
    <w:rsid w:val="00CB7F1F"/>
    <w:rsid w:val="00CC002B"/>
    <w:rsid w:val="00CC07E5"/>
    <w:rsid w:val="00CC09F0"/>
    <w:rsid w:val="00CC0AB5"/>
    <w:rsid w:val="00CC0C11"/>
    <w:rsid w:val="00CC1F52"/>
    <w:rsid w:val="00CC233F"/>
    <w:rsid w:val="00CC27FD"/>
    <w:rsid w:val="00CC29A4"/>
    <w:rsid w:val="00CC31E8"/>
    <w:rsid w:val="00CC3AB9"/>
    <w:rsid w:val="00CC3C9E"/>
    <w:rsid w:val="00CC45E0"/>
    <w:rsid w:val="00CC4BBE"/>
    <w:rsid w:val="00CC4BC3"/>
    <w:rsid w:val="00CC50C7"/>
    <w:rsid w:val="00CC55AC"/>
    <w:rsid w:val="00CC5859"/>
    <w:rsid w:val="00CC6A80"/>
    <w:rsid w:val="00CC6D1C"/>
    <w:rsid w:val="00CC71DD"/>
    <w:rsid w:val="00CC71F3"/>
    <w:rsid w:val="00CC72C0"/>
    <w:rsid w:val="00CC757D"/>
    <w:rsid w:val="00CC7C74"/>
    <w:rsid w:val="00CD00DB"/>
    <w:rsid w:val="00CD0119"/>
    <w:rsid w:val="00CD07FD"/>
    <w:rsid w:val="00CD0866"/>
    <w:rsid w:val="00CD1169"/>
    <w:rsid w:val="00CD15F1"/>
    <w:rsid w:val="00CD16C7"/>
    <w:rsid w:val="00CD1A40"/>
    <w:rsid w:val="00CD1B33"/>
    <w:rsid w:val="00CD1C47"/>
    <w:rsid w:val="00CD22C2"/>
    <w:rsid w:val="00CD25F3"/>
    <w:rsid w:val="00CD27FF"/>
    <w:rsid w:val="00CD2875"/>
    <w:rsid w:val="00CD2DF3"/>
    <w:rsid w:val="00CD305C"/>
    <w:rsid w:val="00CD3A6D"/>
    <w:rsid w:val="00CD3E5A"/>
    <w:rsid w:val="00CD3E63"/>
    <w:rsid w:val="00CD40A3"/>
    <w:rsid w:val="00CD4CD3"/>
    <w:rsid w:val="00CD5249"/>
    <w:rsid w:val="00CD589F"/>
    <w:rsid w:val="00CD5BE2"/>
    <w:rsid w:val="00CD60C9"/>
    <w:rsid w:val="00CD6345"/>
    <w:rsid w:val="00CD6BBB"/>
    <w:rsid w:val="00CD6EC2"/>
    <w:rsid w:val="00CD7319"/>
    <w:rsid w:val="00CD7482"/>
    <w:rsid w:val="00CE07C1"/>
    <w:rsid w:val="00CE1567"/>
    <w:rsid w:val="00CE1859"/>
    <w:rsid w:val="00CE1862"/>
    <w:rsid w:val="00CE186F"/>
    <w:rsid w:val="00CE20E3"/>
    <w:rsid w:val="00CE273A"/>
    <w:rsid w:val="00CE321C"/>
    <w:rsid w:val="00CE32E8"/>
    <w:rsid w:val="00CE353C"/>
    <w:rsid w:val="00CE3700"/>
    <w:rsid w:val="00CE3B69"/>
    <w:rsid w:val="00CE4559"/>
    <w:rsid w:val="00CE5118"/>
    <w:rsid w:val="00CE5487"/>
    <w:rsid w:val="00CE59B5"/>
    <w:rsid w:val="00CE59DB"/>
    <w:rsid w:val="00CE5B6A"/>
    <w:rsid w:val="00CE5D3A"/>
    <w:rsid w:val="00CE67D8"/>
    <w:rsid w:val="00CE68EA"/>
    <w:rsid w:val="00CE7381"/>
    <w:rsid w:val="00CE7447"/>
    <w:rsid w:val="00CE74CE"/>
    <w:rsid w:val="00CF0829"/>
    <w:rsid w:val="00CF0E74"/>
    <w:rsid w:val="00CF14E3"/>
    <w:rsid w:val="00CF1833"/>
    <w:rsid w:val="00CF1AEA"/>
    <w:rsid w:val="00CF2091"/>
    <w:rsid w:val="00CF21F6"/>
    <w:rsid w:val="00CF2278"/>
    <w:rsid w:val="00CF2C62"/>
    <w:rsid w:val="00CF2F66"/>
    <w:rsid w:val="00CF337B"/>
    <w:rsid w:val="00CF3FE7"/>
    <w:rsid w:val="00CF4416"/>
    <w:rsid w:val="00CF5762"/>
    <w:rsid w:val="00CF65B4"/>
    <w:rsid w:val="00CF69B0"/>
    <w:rsid w:val="00CF6C05"/>
    <w:rsid w:val="00CF7485"/>
    <w:rsid w:val="00CF764E"/>
    <w:rsid w:val="00CF7E56"/>
    <w:rsid w:val="00D01502"/>
    <w:rsid w:val="00D01744"/>
    <w:rsid w:val="00D01984"/>
    <w:rsid w:val="00D01C03"/>
    <w:rsid w:val="00D025CE"/>
    <w:rsid w:val="00D02A0F"/>
    <w:rsid w:val="00D02CA6"/>
    <w:rsid w:val="00D02DF3"/>
    <w:rsid w:val="00D03181"/>
    <w:rsid w:val="00D03517"/>
    <w:rsid w:val="00D037DC"/>
    <w:rsid w:val="00D0383B"/>
    <w:rsid w:val="00D03A8A"/>
    <w:rsid w:val="00D03DA5"/>
    <w:rsid w:val="00D03F27"/>
    <w:rsid w:val="00D043EE"/>
    <w:rsid w:val="00D0470D"/>
    <w:rsid w:val="00D04BFF"/>
    <w:rsid w:val="00D05249"/>
    <w:rsid w:val="00D055CA"/>
    <w:rsid w:val="00D059FC"/>
    <w:rsid w:val="00D05DEF"/>
    <w:rsid w:val="00D062A6"/>
    <w:rsid w:val="00D06861"/>
    <w:rsid w:val="00D0688A"/>
    <w:rsid w:val="00D06F22"/>
    <w:rsid w:val="00D073D9"/>
    <w:rsid w:val="00D07A9C"/>
    <w:rsid w:val="00D10076"/>
    <w:rsid w:val="00D1033B"/>
    <w:rsid w:val="00D10360"/>
    <w:rsid w:val="00D10477"/>
    <w:rsid w:val="00D107E2"/>
    <w:rsid w:val="00D11D76"/>
    <w:rsid w:val="00D121F5"/>
    <w:rsid w:val="00D126E4"/>
    <w:rsid w:val="00D131BF"/>
    <w:rsid w:val="00D13A90"/>
    <w:rsid w:val="00D140E6"/>
    <w:rsid w:val="00D158EF"/>
    <w:rsid w:val="00D15C14"/>
    <w:rsid w:val="00D15E74"/>
    <w:rsid w:val="00D15FAA"/>
    <w:rsid w:val="00D16C3D"/>
    <w:rsid w:val="00D16ECB"/>
    <w:rsid w:val="00D16EEE"/>
    <w:rsid w:val="00D17167"/>
    <w:rsid w:val="00D17BA5"/>
    <w:rsid w:val="00D2058D"/>
    <w:rsid w:val="00D206A3"/>
    <w:rsid w:val="00D2176E"/>
    <w:rsid w:val="00D2182A"/>
    <w:rsid w:val="00D2193D"/>
    <w:rsid w:val="00D21BCD"/>
    <w:rsid w:val="00D22105"/>
    <w:rsid w:val="00D2211C"/>
    <w:rsid w:val="00D22B55"/>
    <w:rsid w:val="00D22C81"/>
    <w:rsid w:val="00D23055"/>
    <w:rsid w:val="00D230AD"/>
    <w:rsid w:val="00D2320E"/>
    <w:rsid w:val="00D2327A"/>
    <w:rsid w:val="00D234DA"/>
    <w:rsid w:val="00D23C7C"/>
    <w:rsid w:val="00D245AD"/>
    <w:rsid w:val="00D2493C"/>
    <w:rsid w:val="00D251AB"/>
    <w:rsid w:val="00D25240"/>
    <w:rsid w:val="00D25AC6"/>
    <w:rsid w:val="00D261D3"/>
    <w:rsid w:val="00D26880"/>
    <w:rsid w:val="00D31125"/>
    <w:rsid w:val="00D319DF"/>
    <w:rsid w:val="00D31C02"/>
    <w:rsid w:val="00D3225E"/>
    <w:rsid w:val="00D324BC"/>
    <w:rsid w:val="00D32B9F"/>
    <w:rsid w:val="00D33565"/>
    <w:rsid w:val="00D33761"/>
    <w:rsid w:val="00D33762"/>
    <w:rsid w:val="00D33A91"/>
    <w:rsid w:val="00D341C7"/>
    <w:rsid w:val="00D344B7"/>
    <w:rsid w:val="00D34BD1"/>
    <w:rsid w:val="00D34D55"/>
    <w:rsid w:val="00D35177"/>
    <w:rsid w:val="00D356CB"/>
    <w:rsid w:val="00D356E1"/>
    <w:rsid w:val="00D40340"/>
    <w:rsid w:val="00D40609"/>
    <w:rsid w:val="00D40983"/>
    <w:rsid w:val="00D41188"/>
    <w:rsid w:val="00D417D3"/>
    <w:rsid w:val="00D418D5"/>
    <w:rsid w:val="00D41940"/>
    <w:rsid w:val="00D41B27"/>
    <w:rsid w:val="00D41DB1"/>
    <w:rsid w:val="00D4249C"/>
    <w:rsid w:val="00D4276D"/>
    <w:rsid w:val="00D42798"/>
    <w:rsid w:val="00D42970"/>
    <w:rsid w:val="00D43AED"/>
    <w:rsid w:val="00D44916"/>
    <w:rsid w:val="00D45AE4"/>
    <w:rsid w:val="00D45CA4"/>
    <w:rsid w:val="00D45EA7"/>
    <w:rsid w:val="00D45F22"/>
    <w:rsid w:val="00D47178"/>
    <w:rsid w:val="00D4752E"/>
    <w:rsid w:val="00D47842"/>
    <w:rsid w:val="00D47BEF"/>
    <w:rsid w:val="00D50826"/>
    <w:rsid w:val="00D50C9B"/>
    <w:rsid w:val="00D51675"/>
    <w:rsid w:val="00D51F73"/>
    <w:rsid w:val="00D52827"/>
    <w:rsid w:val="00D529BE"/>
    <w:rsid w:val="00D52CF6"/>
    <w:rsid w:val="00D53D3E"/>
    <w:rsid w:val="00D547E0"/>
    <w:rsid w:val="00D54992"/>
    <w:rsid w:val="00D55291"/>
    <w:rsid w:val="00D55C48"/>
    <w:rsid w:val="00D55E47"/>
    <w:rsid w:val="00D56392"/>
    <w:rsid w:val="00D56997"/>
    <w:rsid w:val="00D570E6"/>
    <w:rsid w:val="00D5730F"/>
    <w:rsid w:val="00D5774F"/>
    <w:rsid w:val="00D60809"/>
    <w:rsid w:val="00D60D7F"/>
    <w:rsid w:val="00D61C9C"/>
    <w:rsid w:val="00D62111"/>
    <w:rsid w:val="00D62229"/>
    <w:rsid w:val="00D625B8"/>
    <w:rsid w:val="00D626F8"/>
    <w:rsid w:val="00D62A03"/>
    <w:rsid w:val="00D636DC"/>
    <w:rsid w:val="00D63F14"/>
    <w:rsid w:val="00D63F4C"/>
    <w:rsid w:val="00D64613"/>
    <w:rsid w:val="00D64702"/>
    <w:rsid w:val="00D659FA"/>
    <w:rsid w:val="00D66BFD"/>
    <w:rsid w:val="00D66C91"/>
    <w:rsid w:val="00D674EE"/>
    <w:rsid w:val="00D67535"/>
    <w:rsid w:val="00D67A4D"/>
    <w:rsid w:val="00D67BC9"/>
    <w:rsid w:val="00D67DBC"/>
    <w:rsid w:val="00D704D9"/>
    <w:rsid w:val="00D70934"/>
    <w:rsid w:val="00D70BD2"/>
    <w:rsid w:val="00D713F2"/>
    <w:rsid w:val="00D721B1"/>
    <w:rsid w:val="00D7226B"/>
    <w:rsid w:val="00D72705"/>
    <w:rsid w:val="00D738BF"/>
    <w:rsid w:val="00D73B93"/>
    <w:rsid w:val="00D73C95"/>
    <w:rsid w:val="00D7400F"/>
    <w:rsid w:val="00D745C1"/>
    <w:rsid w:val="00D74784"/>
    <w:rsid w:val="00D756F6"/>
    <w:rsid w:val="00D75731"/>
    <w:rsid w:val="00D75B45"/>
    <w:rsid w:val="00D75B5C"/>
    <w:rsid w:val="00D75F8C"/>
    <w:rsid w:val="00D76050"/>
    <w:rsid w:val="00D76309"/>
    <w:rsid w:val="00D763AF"/>
    <w:rsid w:val="00D76423"/>
    <w:rsid w:val="00D767A9"/>
    <w:rsid w:val="00D767BF"/>
    <w:rsid w:val="00D77278"/>
    <w:rsid w:val="00D7749B"/>
    <w:rsid w:val="00D775B5"/>
    <w:rsid w:val="00D77961"/>
    <w:rsid w:val="00D77A47"/>
    <w:rsid w:val="00D77B20"/>
    <w:rsid w:val="00D77B3B"/>
    <w:rsid w:val="00D8007C"/>
    <w:rsid w:val="00D800BF"/>
    <w:rsid w:val="00D8079F"/>
    <w:rsid w:val="00D80D0D"/>
    <w:rsid w:val="00D8103B"/>
    <w:rsid w:val="00D8111B"/>
    <w:rsid w:val="00D81242"/>
    <w:rsid w:val="00D812D2"/>
    <w:rsid w:val="00D82C80"/>
    <w:rsid w:val="00D82D02"/>
    <w:rsid w:val="00D82D0F"/>
    <w:rsid w:val="00D83A5A"/>
    <w:rsid w:val="00D84157"/>
    <w:rsid w:val="00D84BD7"/>
    <w:rsid w:val="00D84DCA"/>
    <w:rsid w:val="00D85114"/>
    <w:rsid w:val="00D857BC"/>
    <w:rsid w:val="00D85CC6"/>
    <w:rsid w:val="00D86A92"/>
    <w:rsid w:val="00D871B6"/>
    <w:rsid w:val="00D875E1"/>
    <w:rsid w:val="00D87F1E"/>
    <w:rsid w:val="00D90275"/>
    <w:rsid w:val="00D902F5"/>
    <w:rsid w:val="00D9075D"/>
    <w:rsid w:val="00D90959"/>
    <w:rsid w:val="00D91410"/>
    <w:rsid w:val="00D91438"/>
    <w:rsid w:val="00D91594"/>
    <w:rsid w:val="00D91ABE"/>
    <w:rsid w:val="00D91DFB"/>
    <w:rsid w:val="00D92042"/>
    <w:rsid w:val="00D921DA"/>
    <w:rsid w:val="00D92C2F"/>
    <w:rsid w:val="00D92F7F"/>
    <w:rsid w:val="00D930AC"/>
    <w:rsid w:val="00D9385C"/>
    <w:rsid w:val="00D9459D"/>
    <w:rsid w:val="00D94730"/>
    <w:rsid w:val="00D94858"/>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B8C"/>
    <w:rsid w:val="00DA0CF7"/>
    <w:rsid w:val="00DA0E96"/>
    <w:rsid w:val="00DA1203"/>
    <w:rsid w:val="00DA14A0"/>
    <w:rsid w:val="00DA18DA"/>
    <w:rsid w:val="00DA1C31"/>
    <w:rsid w:val="00DA1F0C"/>
    <w:rsid w:val="00DA2231"/>
    <w:rsid w:val="00DA3565"/>
    <w:rsid w:val="00DA3A5B"/>
    <w:rsid w:val="00DA3D0B"/>
    <w:rsid w:val="00DA3F51"/>
    <w:rsid w:val="00DA45DB"/>
    <w:rsid w:val="00DA48D9"/>
    <w:rsid w:val="00DA49F8"/>
    <w:rsid w:val="00DA4AAE"/>
    <w:rsid w:val="00DA5572"/>
    <w:rsid w:val="00DA5D5D"/>
    <w:rsid w:val="00DA6A15"/>
    <w:rsid w:val="00DA6CC2"/>
    <w:rsid w:val="00DA7029"/>
    <w:rsid w:val="00DA77A0"/>
    <w:rsid w:val="00DB09A2"/>
    <w:rsid w:val="00DB103D"/>
    <w:rsid w:val="00DB1448"/>
    <w:rsid w:val="00DB1907"/>
    <w:rsid w:val="00DB1998"/>
    <w:rsid w:val="00DB1FC4"/>
    <w:rsid w:val="00DB21F0"/>
    <w:rsid w:val="00DB2C5F"/>
    <w:rsid w:val="00DB3A58"/>
    <w:rsid w:val="00DB3BDF"/>
    <w:rsid w:val="00DB3C58"/>
    <w:rsid w:val="00DB3D46"/>
    <w:rsid w:val="00DB401C"/>
    <w:rsid w:val="00DB4527"/>
    <w:rsid w:val="00DB46C8"/>
    <w:rsid w:val="00DB540E"/>
    <w:rsid w:val="00DB5A63"/>
    <w:rsid w:val="00DB6166"/>
    <w:rsid w:val="00DB656B"/>
    <w:rsid w:val="00DB691E"/>
    <w:rsid w:val="00DB6C99"/>
    <w:rsid w:val="00DB75A3"/>
    <w:rsid w:val="00DC0574"/>
    <w:rsid w:val="00DC0C65"/>
    <w:rsid w:val="00DC16BF"/>
    <w:rsid w:val="00DC16E1"/>
    <w:rsid w:val="00DC16FC"/>
    <w:rsid w:val="00DC1881"/>
    <w:rsid w:val="00DC1ED7"/>
    <w:rsid w:val="00DC3A6F"/>
    <w:rsid w:val="00DC3AA5"/>
    <w:rsid w:val="00DC3D1C"/>
    <w:rsid w:val="00DC43E1"/>
    <w:rsid w:val="00DC5199"/>
    <w:rsid w:val="00DC57C2"/>
    <w:rsid w:val="00DC5A32"/>
    <w:rsid w:val="00DC5E4E"/>
    <w:rsid w:val="00DC6281"/>
    <w:rsid w:val="00DC651B"/>
    <w:rsid w:val="00DC662F"/>
    <w:rsid w:val="00DC6E78"/>
    <w:rsid w:val="00DC729A"/>
    <w:rsid w:val="00DC73B1"/>
    <w:rsid w:val="00DC7519"/>
    <w:rsid w:val="00DC7630"/>
    <w:rsid w:val="00DC7EB5"/>
    <w:rsid w:val="00DD04AC"/>
    <w:rsid w:val="00DD04DD"/>
    <w:rsid w:val="00DD0891"/>
    <w:rsid w:val="00DD0B35"/>
    <w:rsid w:val="00DD0C4D"/>
    <w:rsid w:val="00DD0F9F"/>
    <w:rsid w:val="00DD11A7"/>
    <w:rsid w:val="00DD1298"/>
    <w:rsid w:val="00DD1A9F"/>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CB6"/>
    <w:rsid w:val="00DE0077"/>
    <w:rsid w:val="00DE0137"/>
    <w:rsid w:val="00DE01BA"/>
    <w:rsid w:val="00DE0DCF"/>
    <w:rsid w:val="00DE137B"/>
    <w:rsid w:val="00DE19D9"/>
    <w:rsid w:val="00DE1DC6"/>
    <w:rsid w:val="00DE1F77"/>
    <w:rsid w:val="00DE21C6"/>
    <w:rsid w:val="00DE22AA"/>
    <w:rsid w:val="00DE288F"/>
    <w:rsid w:val="00DE2C45"/>
    <w:rsid w:val="00DE2D49"/>
    <w:rsid w:val="00DE2F4E"/>
    <w:rsid w:val="00DE3E66"/>
    <w:rsid w:val="00DE3F75"/>
    <w:rsid w:val="00DE41FC"/>
    <w:rsid w:val="00DE45F5"/>
    <w:rsid w:val="00DE4AAD"/>
    <w:rsid w:val="00DE4C0C"/>
    <w:rsid w:val="00DE4FC8"/>
    <w:rsid w:val="00DE53B5"/>
    <w:rsid w:val="00DE5A50"/>
    <w:rsid w:val="00DE60C5"/>
    <w:rsid w:val="00DE6D0C"/>
    <w:rsid w:val="00DE7323"/>
    <w:rsid w:val="00DE75F0"/>
    <w:rsid w:val="00DE77CB"/>
    <w:rsid w:val="00DE795A"/>
    <w:rsid w:val="00DE7A52"/>
    <w:rsid w:val="00DE7EBA"/>
    <w:rsid w:val="00DF0040"/>
    <w:rsid w:val="00DF04BD"/>
    <w:rsid w:val="00DF068D"/>
    <w:rsid w:val="00DF0D3A"/>
    <w:rsid w:val="00DF140A"/>
    <w:rsid w:val="00DF1A9A"/>
    <w:rsid w:val="00DF1C2D"/>
    <w:rsid w:val="00DF1F8A"/>
    <w:rsid w:val="00DF2209"/>
    <w:rsid w:val="00DF248E"/>
    <w:rsid w:val="00DF3577"/>
    <w:rsid w:val="00DF3C7C"/>
    <w:rsid w:val="00DF4063"/>
    <w:rsid w:val="00DF5F13"/>
    <w:rsid w:val="00DF63DD"/>
    <w:rsid w:val="00DF6B62"/>
    <w:rsid w:val="00DF7BD0"/>
    <w:rsid w:val="00DF7BDF"/>
    <w:rsid w:val="00E00303"/>
    <w:rsid w:val="00E00A62"/>
    <w:rsid w:val="00E010A0"/>
    <w:rsid w:val="00E0125E"/>
    <w:rsid w:val="00E01668"/>
    <w:rsid w:val="00E0173A"/>
    <w:rsid w:val="00E01849"/>
    <w:rsid w:val="00E020D1"/>
    <w:rsid w:val="00E02B64"/>
    <w:rsid w:val="00E02EAD"/>
    <w:rsid w:val="00E03D3F"/>
    <w:rsid w:val="00E03DED"/>
    <w:rsid w:val="00E0437C"/>
    <w:rsid w:val="00E0452C"/>
    <w:rsid w:val="00E04D61"/>
    <w:rsid w:val="00E0504C"/>
    <w:rsid w:val="00E05074"/>
    <w:rsid w:val="00E05489"/>
    <w:rsid w:val="00E05741"/>
    <w:rsid w:val="00E05F7F"/>
    <w:rsid w:val="00E06549"/>
    <w:rsid w:val="00E06930"/>
    <w:rsid w:val="00E06971"/>
    <w:rsid w:val="00E07514"/>
    <w:rsid w:val="00E105B3"/>
    <w:rsid w:val="00E10846"/>
    <w:rsid w:val="00E10883"/>
    <w:rsid w:val="00E108F4"/>
    <w:rsid w:val="00E10D4E"/>
    <w:rsid w:val="00E1100C"/>
    <w:rsid w:val="00E11489"/>
    <w:rsid w:val="00E11711"/>
    <w:rsid w:val="00E11E63"/>
    <w:rsid w:val="00E11F94"/>
    <w:rsid w:val="00E12696"/>
    <w:rsid w:val="00E1310D"/>
    <w:rsid w:val="00E13359"/>
    <w:rsid w:val="00E138BF"/>
    <w:rsid w:val="00E142FF"/>
    <w:rsid w:val="00E14EFA"/>
    <w:rsid w:val="00E151B9"/>
    <w:rsid w:val="00E158C4"/>
    <w:rsid w:val="00E161E6"/>
    <w:rsid w:val="00E167C9"/>
    <w:rsid w:val="00E1698C"/>
    <w:rsid w:val="00E16BDB"/>
    <w:rsid w:val="00E172BE"/>
    <w:rsid w:val="00E17991"/>
    <w:rsid w:val="00E17CF7"/>
    <w:rsid w:val="00E205D6"/>
    <w:rsid w:val="00E209AB"/>
    <w:rsid w:val="00E216EC"/>
    <w:rsid w:val="00E2189A"/>
    <w:rsid w:val="00E21A60"/>
    <w:rsid w:val="00E22B5A"/>
    <w:rsid w:val="00E22B68"/>
    <w:rsid w:val="00E22CFD"/>
    <w:rsid w:val="00E231C9"/>
    <w:rsid w:val="00E23EBF"/>
    <w:rsid w:val="00E23FD5"/>
    <w:rsid w:val="00E24669"/>
    <w:rsid w:val="00E24836"/>
    <w:rsid w:val="00E24C48"/>
    <w:rsid w:val="00E24EE4"/>
    <w:rsid w:val="00E25981"/>
    <w:rsid w:val="00E26141"/>
    <w:rsid w:val="00E261A6"/>
    <w:rsid w:val="00E266F5"/>
    <w:rsid w:val="00E26C97"/>
    <w:rsid w:val="00E26CCC"/>
    <w:rsid w:val="00E270D3"/>
    <w:rsid w:val="00E27FC7"/>
    <w:rsid w:val="00E3050B"/>
    <w:rsid w:val="00E30700"/>
    <w:rsid w:val="00E31360"/>
    <w:rsid w:val="00E31BB3"/>
    <w:rsid w:val="00E31D28"/>
    <w:rsid w:val="00E32425"/>
    <w:rsid w:val="00E32506"/>
    <w:rsid w:val="00E3252C"/>
    <w:rsid w:val="00E325FF"/>
    <w:rsid w:val="00E32938"/>
    <w:rsid w:val="00E32CB8"/>
    <w:rsid w:val="00E32EB7"/>
    <w:rsid w:val="00E3440F"/>
    <w:rsid w:val="00E34F3A"/>
    <w:rsid w:val="00E35F99"/>
    <w:rsid w:val="00E35F9A"/>
    <w:rsid w:val="00E3637F"/>
    <w:rsid w:val="00E364B6"/>
    <w:rsid w:val="00E36723"/>
    <w:rsid w:val="00E3713C"/>
    <w:rsid w:val="00E37470"/>
    <w:rsid w:val="00E3767B"/>
    <w:rsid w:val="00E37E1C"/>
    <w:rsid w:val="00E40126"/>
    <w:rsid w:val="00E4013B"/>
    <w:rsid w:val="00E40BC3"/>
    <w:rsid w:val="00E40C85"/>
    <w:rsid w:val="00E40CBF"/>
    <w:rsid w:val="00E40E7D"/>
    <w:rsid w:val="00E40EE4"/>
    <w:rsid w:val="00E413C6"/>
    <w:rsid w:val="00E4141C"/>
    <w:rsid w:val="00E420D5"/>
    <w:rsid w:val="00E42517"/>
    <w:rsid w:val="00E42600"/>
    <w:rsid w:val="00E42948"/>
    <w:rsid w:val="00E42D55"/>
    <w:rsid w:val="00E42FFE"/>
    <w:rsid w:val="00E43050"/>
    <w:rsid w:val="00E4316E"/>
    <w:rsid w:val="00E435AB"/>
    <w:rsid w:val="00E44275"/>
    <w:rsid w:val="00E44705"/>
    <w:rsid w:val="00E44777"/>
    <w:rsid w:val="00E44F67"/>
    <w:rsid w:val="00E4535F"/>
    <w:rsid w:val="00E455E3"/>
    <w:rsid w:val="00E466BC"/>
    <w:rsid w:val="00E4686A"/>
    <w:rsid w:val="00E469F2"/>
    <w:rsid w:val="00E46EE9"/>
    <w:rsid w:val="00E479FD"/>
    <w:rsid w:val="00E47F1A"/>
    <w:rsid w:val="00E504D6"/>
    <w:rsid w:val="00E50B6F"/>
    <w:rsid w:val="00E50EBE"/>
    <w:rsid w:val="00E50F69"/>
    <w:rsid w:val="00E50FC6"/>
    <w:rsid w:val="00E5227B"/>
    <w:rsid w:val="00E52372"/>
    <w:rsid w:val="00E5265A"/>
    <w:rsid w:val="00E52786"/>
    <w:rsid w:val="00E52F05"/>
    <w:rsid w:val="00E5312A"/>
    <w:rsid w:val="00E53579"/>
    <w:rsid w:val="00E540CA"/>
    <w:rsid w:val="00E54F3A"/>
    <w:rsid w:val="00E55560"/>
    <w:rsid w:val="00E55B28"/>
    <w:rsid w:val="00E55FCD"/>
    <w:rsid w:val="00E5642F"/>
    <w:rsid w:val="00E56D4A"/>
    <w:rsid w:val="00E57119"/>
    <w:rsid w:val="00E5719E"/>
    <w:rsid w:val="00E57D7B"/>
    <w:rsid w:val="00E57F4B"/>
    <w:rsid w:val="00E602E5"/>
    <w:rsid w:val="00E602F8"/>
    <w:rsid w:val="00E6085B"/>
    <w:rsid w:val="00E60FBA"/>
    <w:rsid w:val="00E60FBF"/>
    <w:rsid w:val="00E611AE"/>
    <w:rsid w:val="00E616F9"/>
    <w:rsid w:val="00E61852"/>
    <w:rsid w:val="00E6198A"/>
    <w:rsid w:val="00E61A0C"/>
    <w:rsid w:val="00E61D22"/>
    <w:rsid w:val="00E61D96"/>
    <w:rsid w:val="00E61E4B"/>
    <w:rsid w:val="00E63DA2"/>
    <w:rsid w:val="00E641E8"/>
    <w:rsid w:val="00E642AF"/>
    <w:rsid w:val="00E644C6"/>
    <w:rsid w:val="00E64555"/>
    <w:rsid w:val="00E64595"/>
    <w:rsid w:val="00E646BB"/>
    <w:rsid w:val="00E64D24"/>
    <w:rsid w:val="00E64FAF"/>
    <w:rsid w:val="00E653A6"/>
    <w:rsid w:val="00E6549C"/>
    <w:rsid w:val="00E654B9"/>
    <w:rsid w:val="00E655D4"/>
    <w:rsid w:val="00E6589D"/>
    <w:rsid w:val="00E65DBD"/>
    <w:rsid w:val="00E65E8C"/>
    <w:rsid w:val="00E665E7"/>
    <w:rsid w:val="00E66C96"/>
    <w:rsid w:val="00E66D89"/>
    <w:rsid w:val="00E67D87"/>
    <w:rsid w:val="00E70130"/>
    <w:rsid w:val="00E70D73"/>
    <w:rsid w:val="00E71063"/>
    <w:rsid w:val="00E715FC"/>
    <w:rsid w:val="00E71A45"/>
    <w:rsid w:val="00E71B55"/>
    <w:rsid w:val="00E71C21"/>
    <w:rsid w:val="00E729F7"/>
    <w:rsid w:val="00E72F23"/>
    <w:rsid w:val="00E730FC"/>
    <w:rsid w:val="00E73481"/>
    <w:rsid w:val="00E737D1"/>
    <w:rsid w:val="00E7385A"/>
    <w:rsid w:val="00E7391F"/>
    <w:rsid w:val="00E73CE6"/>
    <w:rsid w:val="00E74780"/>
    <w:rsid w:val="00E74956"/>
    <w:rsid w:val="00E752F7"/>
    <w:rsid w:val="00E75848"/>
    <w:rsid w:val="00E759D4"/>
    <w:rsid w:val="00E7631B"/>
    <w:rsid w:val="00E76348"/>
    <w:rsid w:val="00E76A3C"/>
    <w:rsid w:val="00E76F9B"/>
    <w:rsid w:val="00E771FC"/>
    <w:rsid w:val="00E773E5"/>
    <w:rsid w:val="00E77BDD"/>
    <w:rsid w:val="00E806D3"/>
    <w:rsid w:val="00E81C34"/>
    <w:rsid w:val="00E81D83"/>
    <w:rsid w:val="00E821BB"/>
    <w:rsid w:val="00E822E9"/>
    <w:rsid w:val="00E826FE"/>
    <w:rsid w:val="00E8275E"/>
    <w:rsid w:val="00E827AF"/>
    <w:rsid w:val="00E82843"/>
    <w:rsid w:val="00E82DE9"/>
    <w:rsid w:val="00E83253"/>
    <w:rsid w:val="00E83714"/>
    <w:rsid w:val="00E83831"/>
    <w:rsid w:val="00E844AB"/>
    <w:rsid w:val="00E84C97"/>
    <w:rsid w:val="00E85005"/>
    <w:rsid w:val="00E85296"/>
    <w:rsid w:val="00E8533B"/>
    <w:rsid w:val="00E85E4E"/>
    <w:rsid w:val="00E86327"/>
    <w:rsid w:val="00E86A7A"/>
    <w:rsid w:val="00E86DF0"/>
    <w:rsid w:val="00E8788A"/>
    <w:rsid w:val="00E87BD2"/>
    <w:rsid w:val="00E87CDC"/>
    <w:rsid w:val="00E90B33"/>
    <w:rsid w:val="00E911E0"/>
    <w:rsid w:val="00E93407"/>
    <w:rsid w:val="00E940A8"/>
    <w:rsid w:val="00E947E8"/>
    <w:rsid w:val="00E94B0F"/>
    <w:rsid w:val="00E9503F"/>
    <w:rsid w:val="00E956F3"/>
    <w:rsid w:val="00E96E68"/>
    <w:rsid w:val="00E97013"/>
    <w:rsid w:val="00E97EA1"/>
    <w:rsid w:val="00EA0BBE"/>
    <w:rsid w:val="00EA1650"/>
    <w:rsid w:val="00EA1FBC"/>
    <w:rsid w:val="00EA20A1"/>
    <w:rsid w:val="00EA212B"/>
    <w:rsid w:val="00EA24B5"/>
    <w:rsid w:val="00EA2D44"/>
    <w:rsid w:val="00EA3A1D"/>
    <w:rsid w:val="00EA3CD7"/>
    <w:rsid w:val="00EA3E2D"/>
    <w:rsid w:val="00EA4010"/>
    <w:rsid w:val="00EA429D"/>
    <w:rsid w:val="00EA43AF"/>
    <w:rsid w:val="00EA4676"/>
    <w:rsid w:val="00EA47FB"/>
    <w:rsid w:val="00EA4C7C"/>
    <w:rsid w:val="00EA4D4C"/>
    <w:rsid w:val="00EA554F"/>
    <w:rsid w:val="00EA6250"/>
    <w:rsid w:val="00EA66A4"/>
    <w:rsid w:val="00EA6819"/>
    <w:rsid w:val="00EA6A1E"/>
    <w:rsid w:val="00EA75BD"/>
    <w:rsid w:val="00EA7C47"/>
    <w:rsid w:val="00EB0B39"/>
    <w:rsid w:val="00EB0F0F"/>
    <w:rsid w:val="00EB1230"/>
    <w:rsid w:val="00EB12A5"/>
    <w:rsid w:val="00EB1DEF"/>
    <w:rsid w:val="00EB24D8"/>
    <w:rsid w:val="00EB2732"/>
    <w:rsid w:val="00EB277B"/>
    <w:rsid w:val="00EB2F20"/>
    <w:rsid w:val="00EB2F35"/>
    <w:rsid w:val="00EB31DB"/>
    <w:rsid w:val="00EB3422"/>
    <w:rsid w:val="00EB3A31"/>
    <w:rsid w:val="00EB4EAF"/>
    <w:rsid w:val="00EB5424"/>
    <w:rsid w:val="00EB548E"/>
    <w:rsid w:val="00EB5C41"/>
    <w:rsid w:val="00EB5F5A"/>
    <w:rsid w:val="00EB656C"/>
    <w:rsid w:val="00EB657E"/>
    <w:rsid w:val="00EB695E"/>
    <w:rsid w:val="00EB69D1"/>
    <w:rsid w:val="00EB69D4"/>
    <w:rsid w:val="00EB6FE9"/>
    <w:rsid w:val="00EB72FF"/>
    <w:rsid w:val="00EB756F"/>
    <w:rsid w:val="00EB79C8"/>
    <w:rsid w:val="00EB7E78"/>
    <w:rsid w:val="00EC0301"/>
    <w:rsid w:val="00EC08B5"/>
    <w:rsid w:val="00EC09C6"/>
    <w:rsid w:val="00EC0AC1"/>
    <w:rsid w:val="00EC0EA5"/>
    <w:rsid w:val="00EC1056"/>
    <w:rsid w:val="00EC1470"/>
    <w:rsid w:val="00EC222E"/>
    <w:rsid w:val="00EC2716"/>
    <w:rsid w:val="00EC27F3"/>
    <w:rsid w:val="00EC2D11"/>
    <w:rsid w:val="00EC2DBB"/>
    <w:rsid w:val="00EC358E"/>
    <w:rsid w:val="00EC3FD2"/>
    <w:rsid w:val="00EC4095"/>
    <w:rsid w:val="00EC43B5"/>
    <w:rsid w:val="00EC4537"/>
    <w:rsid w:val="00EC4960"/>
    <w:rsid w:val="00EC4AE3"/>
    <w:rsid w:val="00EC5414"/>
    <w:rsid w:val="00EC54EE"/>
    <w:rsid w:val="00EC59B2"/>
    <w:rsid w:val="00EC5A3B"/>
    <w:rsid w:val="00EC5BC0"/>
    <w:rsid w:val="00EC6424"/>
    <w:rsid w:val="00EC786C"/>
    <w:rsid w:val="00EC7ADD"/>
    <w:rsid w:val="00EC7C26"/>
    <w:rsid w:val="00ED04FE"/>
    <w:rsid w:val="00ED0DD0"/>
    <w:rsid w:val="00ED1122"/>
    <w:rsid w:val="00ED1989"/>
    <w:rsid w:val="00ED21A9"/>
    <w:rsid w:val="00ED28F2"/>
    <w:rsid w:val="00ED3145"/>
    <w:rsid w:val="00ED3309"/>
    <w:rsid w:val="00ED33DC"/>
    <w:rsid w:val="00ED356E"/>
    <w:rsid w:val="00ED3792"/>
    <w:rsid w:val="00ED3BDA"/>
    <w:rsid w:val="00ED4A94"/>
    <w:rsid w:val="00ED5A3B"/>
    <w:rsid w:val="00ED5C30"/>
    <w:rsid w:val="00ED5E02"/>
    <w:rsid w:val="00ED5EED"/>
    <w:rsid w:val="00ED612A"/>
    <w:rsid w:val="00ED6846"/>
    <w:rsid w:val="00ED6B1C"/>
    <w:rsid w:val="00ED6CF7"/>
    <w:rsid w:val="00ED6F33"/>
    <w:rsid w:val="00ED7716"/>
    <w:rsid w:val="00ED7737"/>
    <w:rsid w:val="00ED7747"/>
    <w:rsid w:val="00ED77D8"/>
    <w:rsid w:val="00ED7ABC"/>
    <w:rsid w:val="00ED7CF4"/>
    <w:rsid w:val="00ED7FA2"/>
    <w:rsid w:val="00EE0786"/>
    <w:rsid w:val="00EE1B0E"/>
    <w:rsid w:val="00EE22FB"/>
    <w:rsid w:val="00EE2407"/>
    <w:rsid w:val="00EE26AE"/>
    <w:rsid w:val="00EE29C8"/>
    <w:rsid w:val="00EE2A54"/>
    <w:rsid w:val="00EE2FC2"/>
    <w:rsid w:val="00EE3B6B"/>
    <w:rsid w:val="00EE3B88"/>
    <w:rsid w:val="00EE4B75"/>
    <w:rsid w:val="00EE4D34"/>
    <w:rsid w:val="00EE4DBD"/>
    <w:rsid w:val="00EE5E1D"/>
    <w:rsid w:val="00EE6AC6"/>
    <w:rsid w:val="00EE6E26"/>
    <w:rsid w:val="00EE784F"/>
    <w:rsid w:val="00EE7A1D"/>
    <w:rsid w:val="00EE7DBD"/>
    <w:rsid w:val="00EE7E4D"/>
    <w:rsid w:val="00EF0500"/>
    <w:rsid w:val="00EF0553"/>
    <w:rsid w:val="00EF0808"/>
    <w:rsid w:val="00EF1002"/>
    <w:rsid w:val="00EF143F"/>
    <w:rsid w:val="00EF1D3B"/>
    <w:rsid w:val="00EF236B"/>
    <w:rsid w:val="00EF23D8"/>
    <w:rsid w:val="00EF2678"/>
    <w:rsid w:val="00EF2A5A"/>
    <w:rsid w:val="00EF2A87"/>
    <w:rsid w:val="00EF3A74"/>
    <w:rsid w:val="00EF3AE9"/>
    <w:rsid w:val="00EF3EA5"/>
    <w:rsid w:val="00EF49FB"/>
    <w:rsid w:val="00EF55D6"/>
    <w:rsid w:val="00EF644D"/>
    <w:rsid w:val="00EF6BAD"/>
    <w:rsid w:val="00EF6D29"/>
    <w:rsid w:val="00EF7138"/>
    <w:rsid w:val="00EF7E0B"/>
    <w:rsid w:val="00F00725"/>
    <w:rsid w:val="00F00881"/>
    <w:rsid w:val="00F00917"/>
    <w:rsid w:val="00F00B65"/>
    <w:rsid w:val="00F010BB"/>
    <w:rsid w:val="00F012C1"/>
    <w:rsid w:val="00F0175F"/>
    <w:rsid w:val="00F01A41"/>
    <w:rsid w:val="00F01B39"/>
    <w:rsid w:val="00F01B5A"/>
    <w:rsid w:val="00F0276D"/>
    <w:rsid w:val="00F03280"/>
    <w:rsid w:val="00F0362A"/>
    <w:rsid w:val="00F0385C"/>
    <w:rsid w:val="00F03894"/>
    <w:rsid w:val="00F03ABE"/>
    <w:rsid w:val="00F03B69"/>
    <w:rsid w:val="00F04345"/>
    <w:rsid w:val="00F047A4"/>
    <w:rsid w:val="00F04F52"/>
    <w:rsid w:val="00F0510F"/>
    <w:rsid w:val="00F0563F"/>
    <w:rsid w:val="00F064EF"/>
    <w:rsid w:val="00F06558"/>
    <w:rsid w:val="00F06F42"/>
    <w:rsid w:val="00F07122"/>
    <w:rsid w:val="00F074C9"/>
    <w:rsid w:val="00F07C82"/>
    <w:rsid w:val="00F07F5E"/>
    <w:rsid w:val="00F1001E"/>
    <w:rsid w:val="00F1055F"/>
    <w:rsid w:val="00F106BB"/>
    <w:rsid w:val="00F11027"/>
    <w:rsid w:val="00F111BA"/>
    <w:rsid w:val="00F116DD"/>
    <w:rsid w:val="00F11AD3"/>
    <w:rsid w:val="00F11D9F"/>
    <w:rsid w:val="00F11E31"/>
    <w:rsid w:val="00F12C53"/>
    <w:rsid w:val="00F1360C"/>
    <w:rsid w:val="00F13AA1"/>
    <w:rsid w:val="00F13F2A"/>
    <w:rsid w:val="00F14D9E"/>
    <w:rsid w:val="00F15097"/>
    <w:rsid w:val="00F153F8"/>
    <w:rsid w:val="00F15671"/>
    <w:rsid w:val="00F1643E"/>
    <w:rsid w:val="00F16695"/>
    <w:rsid w:val="00F16811"/>
    <w:rsid w:val="00F1733F"/>
    <w:rsid w:val="00F173CF"/>
    <w:rsid w:val="00F179C0"/>
    <w:rsid w:val="00F202E3"/>
    <w:rsid w:val="00F20C6E"/>
    <w:rsid w:val="00F20D6C"/>
    <w:rsid w:val="00F20F03"/>
    <w:rsid w:val="00F22267"/>
    <w:rsid w:val="00F2255F"/>
    <w:rsid w:val="00F225CF"/>
    <w:rsid w:val="00F22882"/>
    <w:rsid w:val="00F22985"/>
    <w:rsid w:val="00F22AEF"/>
    <w:rsid w:val="00F22F7A"/>
    <w:rsid w:val="00F2343C"/>
    <w:rsid w:val="00F23CFC"/>
    <w:rsid w:val="00F24076"/>
    <w:rsid w:val="00F240CB"/>
    <w:rsid w:val="00F24378"/>
    <w:rsid w:val="00F2492F"/>
    <w:rsid w:val="00F24B16"/>
    <w:rsid w:val="00F2500D"/>
    <w:rsid w:val="00F253C3"/>
    <w:rsid w:val="00F2596D"/>
    <w:rsid w:val="00F25CAA"/>
    <w:rsid w:val="00F26463"/>
    <w:rsid w:val="00F26AD6"/>
    <w:rsid w:val="00F2711C"/>
    <w:rsid w:val="00F27253"/>
    <w:rsid w:val="00F27327"/>
    <w:rsid w:val="00F277E8"/>
    <w:rsid w:val="00F27B04"/>
    <w:rsid w:val="00F27E3D"/>
    <w:rsid w:val="00F27EB2"/>
    <w:rsid w:val="00F301D0"/>
    <w:rsid w:val="00F30574"/>
    <w:rsid w:val="00F3069F"/>
    <w:rsid w:val="00F30C3F"/>
    <w:rsid w:val="00F30C60"/>
    <w:rsid w:val="00F30F38"/>
    <w:rsid w:val="00F311D1"/>
    <w:rsid w:val="00F3158A"/>
    <w:rsid w:val="00F318DB"/>
    <w:rsid w:val="00F3199C"/>
    <w:rsid w:val="00F31F7D"/>
    <w:rsid w:val="00F31FB9"/>
    <w:rsid w:val="00F326F6"/>
    <w:rsid w:val="00F32AFF"/>
    <w:rsid w:val="00F33825"/>
    <w:rsid w:val="00F33A8B"/>
    <w:rsid w:val="00F33D3B"/>
    <w:rsid w:val="00F34A96"/>
    <w:rsid w:val="00F34EBF"/>
    <w:rsid w:val="00F34F05"/>
    <w:rsid w:val="00F35506"/>
    <w:rsid w:val="00F356D5"/>
    <w:rsid w:val="00F359A5"/>
    <w:rsid w:val="00F361AE"/>
    <w:rsid w:val="00F36240"/>
    <w:rsid w:val="00F363EB"/>
    <w:rsid w:val="00F365BA"/>
    <w:rsid w:val="00F365DE"/>
    <w:rsid w:val="00F366DA"/>
    <w:rsid w:val="00F367CF"/>
    <w:rsid w:val="00F36D37"/>
    <w:rsid w:val="00F3719A"/>
    <w:rsid w:val="00F379BF"/>
    <w:rsid w:val="00F37EA7"/>
    <w:rsid w:val="00F40505"/>
    <w:rsid w:val="00F40805"/>
    <w:rsid w:val="00F40B93"/>
    <w:rsid w:val="00F40C5E"/>
    <w:rsid w:val="00F40E3E"/>
    <w:rsid w:val="00F4163A"/>
    <w:rsid w:val="00F41873"/>
    <w:rsid w:val="00F419C3"/>
    <w:rsid w:val="00F41D91"/>
    <w:rsid w:val="00F41E2B"/>
    <w:rsid w:val="00F423BE"/>
    <w:rsid w:val="00F424A5"/>
    <w:rsid w:val="00F425EF"/>
    <w:rsid w:val="00F428AC"/>
    <w:rsid w:val="00F42EE3"/>
    <w:rsid w:val="00F43149"/>
    <w:rsid w:val="00F43660"/>
    <w:rsid w:val="00F43888"/>
    <w:rsid w:val="00F43B91"/>
    <w:rsid w:val="00F44542"/>
    <w:rsid w:val="00F448DD"/>
    <w:rsid w:val="00F44D6A"/>
    <w:rsid w:val="00F44DB8"/>
    <w:rsid w:val="00F45760"/>
    <w:rsid w:val="00F45836"/>
    <w:rsid w:val="00F45925"/>
    <w:rsid w:val="00F46BA6"/>
    <w:rsid w:val="00F46C97"/>
    <w:rsid w:val="00F4703E"/>
    <w:rsid w:val="00F4775F"/>
    <w:rsid w:val="00F47C3D"/>
    <w:rsid w:val="00F50781"/>
    <w:rsid w:val="00F50CA3"/>
    <w:rsid w:val="00F517ED"/>
    <w:rsid w:val="00F5195A"/>
    <w:rsid w:val="00F51A7A"/>
    <w:rsid w:val="00F51F3F"/>
    <w:rsid w:val="00F528B5"/>
    <w:rsid w:val="00F528E7"/>
    <w:rsid w:val="00F52C8A"/>
    <w:rsid w:val="00F5352D"/>
    <w:rsid w:val="00F53615"/>
    <w:rsid w:val="00F53A91"/>
    <w:rsid w:val="00F54783"/>
    <w:rsid w:val="00F547E9"/>
    <w:rsid w:val="00F5494E"/>
    <w:rsid w:val="00F54ABD"/>
    <w:rsid w:val="00F54ABE"/>
    <w:rsid w:val="00F55804"/>
    <w:rsid w:val="00F55F1A"/>
    <w:rsid w:val="00F5629D"/>
    <w:rsid w:val="00F56310"/>
    <w:rsid w:val="00F5684C"/>
    <w:rsid w:val="00F57210"/>
    <w:rsid w:val="00F577FC"/>
    <w:rsid w:val="00F60241"/>
    <w:rsid w:val="00F602F0"/>
    <w:rsid w:val="00F60622"/>
    <w:rsid w:val="00F60C90"/>
    <w:rsid w:val="00F619EE"/>
    <w:rsid w:val="00F61AF8"/>
    <w:rsid w:val="00F61CF5"/>
    <w:rsid w:val="00F61FF9"/>
    <w:rsid w:val="00F62069"/>
    <w:rsid w:val="00F62159"/>
    <w:rsid w:val="00F625CC"/>
    <w:rsid w:val="00F62A7C"/>
    <w:rsid w:val="00F62B93"/>
    <w:rsid w:val="00F633E5"/>
    <w:rsid w:val="00F63C89"/>
    <w:rsid w:val="00F647EC"/>
    <w:rsid w:val="00F64FAB"/>
    <w:rsid w:val="00F65AC8"/>
    <w:rsid w:val="00F65CEA"/>
    <w:rsid w:val="00F65EED"/>
    <w:rsid w:val="00F65F15"/>
    <w:rsid w:val="00F66443"/>
    <w:rsid w:val="00F675EA"/>
    <w:rsid w:val="00F7074A"/>
    <w:rsid w:val="00F70AD6"/>
    <w:rsid w:val="00F710A5"/>
    <w:rsid w:val="00F71687"/>
    <w:rsid w:val="00F71708"/>
    <w:rsid w:val="00F717C1"/>
    <w:rsid w:val="00F71AAE"/>
    <w:rsid w:val="00F71CDB"/>
    <w:rsid w:val="00F725D3"/>
    <w:rsid w:val="00F7281E"/>
    <w:rsid w:val="00F72C1A"/>
    <w:rsid w:val="00F72C3D"/>
    <w:rsid w:val="00F737AB"/>
    <w:rsid w:val="00F73992"/>
    <w:rsid w:val="00F7406A"/>
    <w:rsid w:val="00F74216"/>
    <w:rsid w:val="00F74F0F"/>
    <w:rsid w:val="00F75731"/>
    <w:rsid w:val="00F75841"/>
    <w:rsid w:val="00F76333"/>
    <w:rsid w:val="00F77100"/>
    <w:rsid w:val="00F77718"/>
    <w:rsid w:val="00F8090F"/>
    <w:rsid w:val="00F80B4B"/>
    <w:rsid w:val="00F8139A"/>
    <w:rsid w:val="00F82AAE"/>
    <w:rsid w:val="00F834BE"/>
    <w:rsid w:val="00F838A9"/>
    <w:rsid w:val="00F849E3"/>
    <w:rsid w:val="00F84B4E"/>
    <w:rsid w:val="00F84C44"/>
    <w:rsid w:val="00F851B7"/>
    <w:rsid w:val="00F8566C"/>
    <w:rsid w:val="00F858D4"/>
    <w:rsid w:val="00F85C65"/>
    <w:rsid w:val="00F860EB"/>
    <w:rsid w:val="00F868B6"/>
    <w:rsid w:val="00F86968"/>
    <w:rsid w:val="00F86E42"/>
    <w:rsid w:val="00F87354"/>
    <w:rsid w:val="00F876E6"/>
    <w:rsid w:val="00F87825"/>
    <w:rsid w:val="00F87838"/>
    <w:rsid w:val="00F879E8"/>
    <w:rsid w:val="00F87FCE"/>
    <w:rsid w:val="00F9008B"/>
    <w:rsid w:val="00F909C7"/>
    <w:rsid w:val="00F91669"/>
    <w:rsid w:val="00F916DE"/>
    <w:rsid w:val="00F9184F"/>
    <w:rsid w:val="00F91943"/>
    <w:rsid w:val="00F91C08"/>
    <w:rsid w:val="00F9231D"/>
    <w:rsid w:val="00F92A66"/>
    <w:rsid w:val="00F931CF"/>
    <w:rsid w:val="00F93A31"/>
    <w:rsid w:val="00F93D6E"/>
    <w:rsid w:val="00F9423D"/>
    <w:rsid w:val="00F94609"/>
    <w:rsid w:val="00F95182"/>
    <w:rsid w:val="00F95625"/>
    <w:rsid w:val="00F957D2"/>
    <w:rsid w:val="00F95D94"/>
    <w:rsid w:val="00F96F86"/>
    <w:rsid w:val="00F977ED"/>
    <w:rsid w:val="00FA02B8"/>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629"/>
    <w:rsid w:val="00FA57D1"/>
    <w:rsid w:val="00FA67E3"/>
    <w:rsid w:val="00FA7157"/>
    <w:rsid w:val="00FA73A6"/>
    <w:rsid w:val="00FA7698"/>
    <w:rsid w:val="00FA78C2"/>
    <w:rsid w:val="00FA7A2D"/>
    <w:rsid w:val="00FA7B4F"/>
    <w:rsid w:val="00FA7DA6"/>
    <w:rsid w:val="00FB02F8"/>
    <w:rsid w:val="00FB06E7"/>
    <w:rsid w:val="00FB0822"/>
    <w:rsid w:val="00FB0C65"/>
    <w:rsid w:val="00FB1093"/>
    <w:rsid w:val="00FB13A0"/>
    <w:rsid w:val="00FB227E"/>
    <w:rsid w:val="00FB267D"/>
    <w:rsid w:val="00FB29E5"/>
    <w:rsid w:val="00FB2A18"/>
    <w:rsid w:val="00FB2BF4"/>
    <w:rsid w:val="00FB2C8D"/>
    <w:rsid w:val="00FB2DC6"/>
    <w:rsid w:val="00FB4926"/>
    <w:rsid w:val="00FB59D4"/>
    <w:rsid w:val="00FB5E81"/>
    <w:rsid w:val="00FB6E6C"/>
    <w:rsid w:val="00FB71B0"/>
    <w:rsid w:val="00FB7ABA"/>
    <w:rsid w:val="00FB7C21"/>
    <w:rsid w:val="00FB7C46"/>
    <w:rsid w:val="00FC04E0"/>
    <w:rsid w:val="00FC0D98"/>
    <w:rsid w:val="00FC0E2F"/>
    <w:rsid w:val="00FC1042"/>
    <w:rsid w:val="00FC11C6"/>
    <w:rsid w:val="00FC1370"/>
    <w:rsid w:val="00FC17D8"/>
    <w:rsid w:val="00FC279A"/>
    <w:rsid w:val="00FC324D"/>
    <w:rsid w:val="00FC39A1"/>
    <w:rsid w:val="00FC3BC3"/>
    <w:rsid w:val="00FC3E47"/>
    <w:rsid w:val="00FC4B53"/>
    <w:rsid w:val="00FC4BAE"/>
    <w:rsid w:val="00FC4F75"/>
    <w:rsid w:val="00FC5160"/>
    <w:rsid w:val="00FC5A36"/>
    <w:rsid w:val="00FC6353"/>
    <w:rsid w:val="00FC69CF"/>
    <w:rsid w:val="00FC6B0B"/>
    <w:rsid w:val="00FC6C22"/>
    <w:rsid w:val="00FC713B"/>
    <w:rsid w:val="00FC7862"/>
    <w:rsid w:val="00FC79D5"/>
    <w:rsid w:val="00FC7B35"/>
    <w:rsid w:val="00FC7B53"/>
    <w:rsid w:val="00FC7BD8"/>
    <w:rsid w:val="00FD0177"/>
    <w:rsid w:val="00FD0AE7"/>
    <w:rsid w:val="00FD0B44"/>
    <w:rsid w:val="00FD0F70"/>
    <w:rsid w:val="00FD1312"/>
    <w:rsid w:val="00FD2315"/>
    <w:rsid w:val="00FD29A7"/>
    <w:rsid w:val="00FD2B15"/>
    <w:rsid w:val="00FD3092"/>
    <w:rsid w:val="00FD3368"/>
    <w:rsid w:val="00FD412E"/>
    <w:rsid w:val="00FD420F"/>
    <w:rsid w:val="00FD4339"/>
    <w:rsid w:val="00FD4B0C"/>
    <w:rsid w:val="00FD4F2F"/>
    <w:rsid w:val="00FD51F7"/>
    <w:rsid w:val="00FD5258"/>
    <w:rsid w:val="00FD5602"/>
    <w:rsid w:val="00FD5661"/>
    <w:rsid w:val="00FD5A2A"/>
    <w:rsid w:val="00FD5AE2"/>
    <w:rsid w:val="00FD62B4"/>
    <w:rsid w:val="00FD7142"/>
    <w:rsid w:val="00FD750F"/>
    <w:rsid w:val="00FE011C"/>
    <w:rsid w:val="00FE07DC"/>
    <w:rsid w:val="00FE08FB"/>
    <w:rsid w:val="00FE1116"/>
    <w:rsid w:val="00FE1FA1"/>
    <w:rsid w:val="00FE2075"/>
    <w:rsid w:val="00FE2080"/>
    <w:rsid w:val="00FE27B9"/>
    <w:rsid w:val="00FE2E37"/>
    <w:rsid w:val="00FE3640"/>
    <w:rsid w:val="00FE3780"/>
    <w:rsid w:val="00FE3954"/>
    <w:rsid w:val="00FE3CF7"/>
    <w:rsid w:val="00FE3E50"/>
    <w:rsid w:val="00FE4071"/>
    <w:rsid w:val="00FE42E3"/>
    <w:rsid w:val="00FE4ECD"/>
    <w:rsid w:val="00FE52B7"/>
    <w:rsid w:val="00FE53C5"/>
    <w:rsid w:val="00FE56A8"/>
    <w:rsid w:val="00FE5807"/>
    <w:rsid w:val="00FE5C39"/>
    <w:rsid w:val="00FE5C57"/>
    <w:rsid w:val="00FE624E"/>
    <w:rsid w:val="00FE6415"/>
    <w:rsid w:val="00FE69E7"/>
    <w:rsid w:val="00FE6BB8"/>
    <w:rsid w:val="00FE6E76"/>
    <w:rsid w:val="00FE6F5A"/>
    <w:rsid w:val="00FF027B"/>
    <w:rsid w:val="00FF1174"/>
    <w:rsid w:val="00FF165A"/>
    <w:rsid w:val="00FF1B72"/>
    <w:rsid w:val="00FF1CF1"/>
    <w:rsid w:val="00FF1F4C"/>
    <w:rsid w:val="00FF228F"/>
    <w:rsid w:val="00FF324B"/>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B6C"/>
    <w:rsid w:val="00FF6DD4"/>
    <w:rsid w:val="00FF7634"/>
    <w:rsid w:val="017E3F71"/>
    <w:rsid w:val="01AA2C10"/>
    <w:rsid w:val="01AA5B27"/>
    <w:rsid w:val="037738D8"/>
    <w:rsid w:val="03CA2A2C"/>
    <w:rsid w:val="046E4522"/>
    <w:rsid w:val="04FA5F8A"/>
    <w:rsid w:val="055A2489"/>
    <w:rsid w:val="05D70FA4"/>
    <w:rsid w:val="06216784"/>
    <w:rsid w:val="06231119"/>
    <w:rsid w:val="068955F4"/>
    <w:rsid w:val="075F0692"/>
    <w:rsid w:val="077D7763"/>
    <w:rsid w:val="07DB054A"/>
    <w:rsid w:val="083D2AF4"/>
    <w:rsid w:val="0849753D"/>
    <w:rsid w:val="0860435E"/>
    <w:rsid w:val="08D00067"/>
    <w:rsid w:val="08F53B23"/>
    <w:rsid w:val="098E36E1"/>
    <w:rsid w:val="09D05185"/>
    <w:rsid w:val="0A053C89"/>
    <w:rsid w:val="0A070656"/>
    <w:rsid w:val="0A3B5B72"/>
    <w:rsid w:val="0A913ED8"/>
    <w:rsid w:val="0B24171E"/>
    <w:rsid w:val="0B5C3243"/>
    <w:rsid w:val="0BAD59A4"/>
    <w:rsid w:val="0BFC043E"/>
    <w:rsid w:val="0C42188D"/>
    <w:rsid w:val="0C466B45"/>
    <w:rsid w:val="0D584403"/>
    <w:rsid w:val="0DBE1189"/>
    <w:rsid w:val="0DEE7765"/>
    <w:rsid w:val="0E3C7F4D"/>
    <w:rsid w:val="0EC22EEE"/>
    <w:rsid w:val="0F2B5D1F"/>
    <w:rsid w:val="101C0A97"/>
    <w:rsid w:val="10F67974"/>
    <w:rsid w:val="12685FCD"/>
    <w:rsid w:val="12745D9D"/>
    <w:rsid w:val="12DC6251"/>
    <w:rsid w:val="13300B4F"/>
    <w:rsid w:val="13A90F47"/>
    <w:rsid w:val="13AD285B"/>
    <w:rsid w:val="13B33E98"/>
    <w:rsid w:val="142323AF"/>
    <w:rsid w:val="145D51FF"/>
    <w:rsid w:val="146F2C7A"/>
    <w:rsid w:val="149E4992"/>
    <w:rsid w:val="1537221F"/>
    <w:rsid w:val="15F63FB8"/>
    <w:rsid w:val="16792394"/>
    <w:rsid w:val="168E672D"/>
    <w:rsid w:val="170E5D26"/>
    <w:rsid w:val="179168AA"/>
    <w:rsid w:val="17BE59A2"/>
    <w:rsid w:val="18077515"/>
    <w:rsid w:val="18185849"/>
    <w:rsid w:val="185344DB"/>
    <w:rsid w:val="18A74C06"/>
    <w:rsid w:val="18CA5D94"/>
    <w:rsid w:val="18DE6D94"/>
    <w:rsid w:val="191D394B"/>
    <w:rsid w:val="191F01CD"/>
    <w:rsid w:val="193E726F"/>
    <w:rsid w:val="19991F6F"/>
    <w:rsid w:val="1A3A451F"/>
    <w:rsid w:val="1A442DE9"/>
    <w:rsid w:val="1B841B34"/>
    <w:rsid w:val="1BAF48EB"/>
    <w:rsid w:val="1BC305D3"/>
    <w:rsid w:val="1CD55680"/>
    <w:rsid w:val="1D321E13"/>
    <w:rsid w:val="1DBC044E"/>
    <w:rsid w:val="1DFF68C5"/>
    <w:rsid w:val="1E7F3055"/>
    <w:rsid w:val="1E885624"/>
    <w:rsid w:val="1E8A2915"/>
    <w:rsid w:val="1E9A600D"/>
    <w:rsid w:val="1F4849CA"/>
    <w:rsid w:val="1F873477"/>
    <w:rsid w:val="205845D9"/>
    <w:rsid w:val="20A91A2C"/>
    <w:rsid w:val="211660B2"/>
    <w:rsid w:val="21455F84"/>
    <w:rsid w:val="215F5FD5"/>
    <w:rsid w:val="227F09EA"/>
    <w:rsid w:val="22B34A0F"/>
    <w:rsid w:val="237B1C44"/>
    <w:rsid w:val="23F231B6"/>
    <w:rsid w:val="240B5FA0"/>
    <w:rsid w:val="24225EB7"/>
    <w:rsid w:val="24355665"/>
    <w:rsid w:val="248D14FD"/>
    <w:rsid w:val="24977600"/>
    <w:rsid w:val="24B831E2"/>
    <w:rsid w:val="24C818E6"/>
    <w:rsid w:val="24F43A2F"/>
    <w:rsid w:val="250B120F"/>
    <w:rsid w:val="25192FBF"/>
    <w:rsid w:val="252C7220"/>
    <w:rsid w:val="26071ED5"/>
    <w:rsid w:val="26226B65"/>
    <w:rsid w:val="26A50560"/>
    <w:rsid w:val="26F738CE"/>
    <w:rsid w:val="270F55EE"/>
    <w:rsid w:val="272F1A96"/>
    <w:rsid w:val="27557937"/>
    <w:rsid w:val="277D5407"/>
    <w:rsid w:val="27F52753"/>
    <w:rsid w:val="280D0C19"/>
    <w:rsid w:val="297B0CF7"/>
    <w:rsid w:val="2B822DA1"/>
    <w:rsid w:val="2C026CFE"/>
    <w:rsid w:val="2C541884"/>
    <w:rsid w:val="2D17448D"/>
    <w:rsid w:val="2D632AF5"/>
    <w:rsid w:val="2EA133AF"/>
    <w:rsid w:val="2EDD2DD9"/>
    <w:rsid w:val="2F723467"/>
    <w:rsid w:val="2F85048B"/>
    <w:rsid w:val="304A1E91"/>
    <w:rsid w:val="306835D0"/>
    <w:rsid w:val="30B91060"/>
    <w:rsid w:val="319430E0"/>
    <w:rsid w:val="32A0292F"/>
    <w:rsid w:val="32A02B99"/>
    <w:rsid w:val="337D5F7B"/>
    <w:rsid w:val="33D414D0"/>
    <w:rsid w:val="341B2B8A"/>
    <w:rsid w:val="34393415"/>
    <w:rsid w:val="3439368F"/>
    <w:rsid w:val="34603E67"/>
    <w:rsid w:val="347E724C"/>
    <w:rsid w:val="3502693D"/>
    <w:rsid w:val="356224B2"/>
    <w:rsid w:val="35CD358A"/>
    <w:rsid w:val="35DF204F"/>
    <w:rsid w:val="35E50281"/>
    <w:rsid w:val="35EC1B49"/>
    <w:rsid w:val="36007F73"/>
    <w:rsid w:val="36232DB0"/>
    <w:rsid w:val="38585500"/>
    <w:rsid w:val="385F359C"/>
    <w:rsid w:val="39D67104"/>
    <w:rsid w:val="3A514476"/>
    <w:rsid w:val="3A52685B"/>
    <w:rsid w:val="3A8A602E"/>
    <w:rsid w:val="3BA80B19"/>
    <w:rsid w:val="3C4240EC"/>
    <w:rsid w:val="3C9B0CDC"/>
    <w:rsid w:val="3D711B40"/>
    <w:rsid w:val="3DBB665B"/>
    <w:rsid w:val="3E4F2E22"/>
    <w:rsid w:val="3E800AA6"/>
    <w:rsid w:val="3E826019"/>
    <w:rsid w:val="3F3A1FEB"/>
    <w:rsid w:val="3F446C4E"/>
    <w:rsid w:val="40A67243"/>
    <w:rsid w:val="40DD2B7D"/>
    <w:rsid w:val="41A02F6B"/>
    <w:rsid w:val="42253D73"/>
    <w:rsid w:val="43075A43"/>
    <w:rsid w:val="435369A7"/>
    <w:rsid w:val="43572B58"/>
    <w:rsid w:val="436B2B09"/>
    <w:rsid w:val="437D6522"/>
    <w:rsid w:val="44592171"/>
    <w:rsid w:val="446C1BD7"/>
    <w:rsid w:val="44727C49"/>
    <w:rsid w:val="44C4575F"/>
    <w:rsid w:val="44E4602A"/>
    <w:rsid w:val="456B1D19"/>
    <w:rsid w:val="45B80788"/>
    <w:rsid w:val="464D75C4"/>
    <w:rsid w:val="4752380F"/>
    <w:rsid w:val="47E9061B"/>
    <w:rsid w:val="48365196"/>
    <w:rsid w:val="484245C7"/>
    <w:rsid w:val="484B0479"/>
    <w:rsid w:val="488D7CFE"/>
    <w:rsid w:val="48CC3E16"/>
    <w:rsid w:val="49323FD7"/>
    <w:rsid w:val="4A4B229A"/>
    <w:rsid w:val="4BE95365"/>
    <w:rsid w:val="4C12409B"/>
    <w:rsid w:val="4C4130BC"/>
    <w:rsid w:val="4D9B7742"/>
    <w:rsid w:val="4E843B5A"/>
    <w:rsid w:val="4E9B14FE"/>
    <w:rsid w:val="4EAC5711"/>
    <w:rsid w:val="4F6D341E"/>
    <w:rsid w:val="4F71582B"/>
    <w:rsid w:val="51431FAD"/>
    <w:rsid w:val="51B2004B"/>
    <w:rsid w:val="51BC3BDF"/>
    <w:rsid w:val="51C7237F"/>
    <w:rsid w:val="51E00AF8"/>
    <w:rsid w:val="522851DA"/>
    <w:rsid w:val="52532142"/>
    <w:rsid w:val="528F1A89"/>
    <w:rsid w:val="52904232"/>
    <w:rsid w:val="52A51AF3"/>
    <w:rsid w:val="52F171C3"/>
    <w:rsid w:val="53262E6D"/>
    <w:rsid w:val="5363461D"/>
    <w:rsid w:val="540125D8"/>
    <w:rsid w:val="54556AEA"/>
    <w:rsid w:val="549D5C4E"/>
    <w:rsid w:val="55131A57"/>
    <w:rsid w:val="55622629"/>
    <w:rsid w:val="55F1426F"/>
    <w:rsid w:val="56DC6925"/>
    <w:rsid w:val="57155104"/>
    <w:rsid w:val="577D71D5"/>
    <w:rsid w:val="579C4D6E"/>
    <w:rsid w:val="57E8522F"/>
    <w:rsid w:val="581F15F0"/>
    <w:rsid w:val="5859697C"/>
    <w:rsid w:val="589B369A"/>
    <w:rsid w:val="58BF5DB5"/>
    <w:rsid w:val="598E41B2"/>
    <w:rsid w:val="59D9433B"/>
    <w:rsid w:val="5A2E0019"/>
    <w:rsid w:val="5A3A2DDD"/>
    <w:rsid w:val="5A570410"/>
    <w:rsid w:val="5BF449CD"/>
    <w:rsid w:val="5BF918A2"/>
    <w:rsid w:val="5C930305"/>
    <w:rsid w:val="5CE57299"/>
    <w:rsid w:val="5D020753"/>
    <w:rsid w:val="5DE6679D"/>
    <w:rsid w:val="5FAB0B04"/>
    <w:rsid w:val="5FB87F49"/>
    <w:rsid w:val="62093465"/>
    <w:rsid w:val="620A0DEF"/>
    <w:rsid w:val="629277C2"/>
    <w:rsid w:val="629549AC"/>
    <w:rsid w:val="62B8336A"/>
    <w:rsid w:val="635F5CFB"/>
    <w:rsid w:val="63D17EA6"/>
    <w:rsid w:val="63E340FD"/>
    <w:rsid w:val="63EB60FE"/>
    <w:rsid w:val="63FC040C"/>
    <w:rsid w:val="64337579"/>
    <w:rsid w:val="64441196"/>
    <w:rsid w:val="648B53C8"/>
    <w:rsid w:val="65050D9C"/>
    <w:rsid w:val="65091B75"/>
    <w:rsid w:val="653278A8"/>
    <w:rsid w:val="6568774A"/>
    <w:rsid w:val="65BC6440"/>
    <w:rsid w:val="65C36E7F"/>
    <w:rsid w:val="65D21A26"/>
    <w:rsid w:val="663B7430"/>
    <w:rsid w:val="66442637"/>
    <w:rsid w:val="66671F51"/>
    <w:rsid w:val="66AA0C4D"/>
    <w:rsid w:val="66DF2B32"/>
    <w:rsid w:val="671E1CA4"/>
    <w:rsid w:val="671F3648"/>
    <w:rsid w:val="672A0BC3"/>
    <w:rsid w:val="67C051B9"/>
    <w:rsid w:val="68224A5A"/>
    <w:rsid w:val="687775B2"/>
    <w:rsid w:val="68A533C3"/>
    <w:rsid w:val="6A125484"/>
    <w:rsid w:val="6A1B14A7"/>
    <w:rsid w:val="6AB02BD1"/>
    <w:rsid w:val="6B241A17"/>
    <w:rsid w:val="6B8933DD"/>
    <w:rsid w:val="6BDF74AC"/>
    <w:rsid w:val="6D732602"/>
    <w:rsid w:val="6DDF2EBF"/>
    <w:rsid w:val="6E1148C4"/>
    <w:rsid w:val="6E914282"/>
    <w:rsid w:val="6E9C0F6F"/>
    <w:rsid w:val="6F0E4EC3"/>
    <w:rsid w:val="70557737"/>
    <w:rsid w:val="706D27E8"/>
    <w:rsid w:val="71AD7318"/>
    <w:rsid w:val="720218B9"/>
    <w:rsid w:val="726D70E7"/>
    <w:rsid w:val="72A63D8F"/>
    <w:rsid w:val="747D74F0"/>
    <w:rsid w:val="74C31ECB"/>
    <w:rsid w:val="74C4154C"/>
    <w:rsid w:val="75120509"/>
    <w:rsid w:val="756A1283"/>
    <w:rsid w:val="75857FCA"/>
    <w:rsid w:val="75942919"/>
    <w:rsid w:val="76E67008"/>
    <w:rsid w:val="774011F5"/>
    <w:rsid w:val="7862316F"/>
    <w:rsid w:val="788D2064"/>
    <w:rsid w:val="78CB5A16"/>
    <w:rsid w:val="794E5510"/>
    <w:rsid w:val="7A01351B"/>
    <w:rsid w:val="7A5A2B18"/>
    <w:rsid w:val="7A8A0B42"/>
    <w:rsid w:val="7AAA36FF"/>
    <w:rsid w:val="7B1F572E"/>
    <w:rsid w:val="7C9C4E59"/>
    <w:rsid w:val="7D484705"/>
    <w:rsid w:val="7DB20B67"/>
    <w:rsid w:val="7DBD42B1"/>
    <w:rsid w:val="7E092C14"/>
    <w:rsid w:val="7E2F1D63"/>
    <w:rsid w:val="7E8B49D4"/>
    <w:rsid w:val="7EE53954"/>
    <w:rsid w:val="7F340AFD"/>
    <w:rsid w:val="7F482401"/>
    <w:rsid w:val="7F4F7D22"/>
    <w:rsid w:val="7F7F6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99" w:semiHidden="0"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2"/>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63"/>
    <w:qFormat/>
    <w:uiPriority w:val="0"/>
    <w:pPr>
      <w:keepNext/>
      <w:keepLines/>
      <w:spacing w:before="260" w:after="260" w:line="416" w:lineRule="auto"/>
      <w:outlineLvl w:val="2"/>
    </w:pPr>
    <w:rPr>
      <w:b/>
      <w:bCs/>
      <w:kern w:val="0"/>
      <w:sz w:val="32"/>
      <w:szCs w:val="32"/>
    </w:rPr>
  </w:style>
  <w:style w:type="paragraph" w:styleId="5">
    <w:name w:val="heading 5"/>
    <w:basedOn w:val="1"/>
    <w:next w:val="6"/>
    <w:link w:val="64"/>
    <w:qFormat/>
    <w:uiPriority w:val="0"/>
    <w:pPr>
      <w:keepNext/>
      <w:keepLines/>
      <w:numPr>
        <w:ilvl w:val="4"/>
        <w:numId w:val="1"/>
      </w:numPr>
      <w:spacing w:before="280" w:after="290" w:line="376" w:lineRule="auto"/>
      <w:outlineLvl w:val="4"/>
    </w:pPr>
    <w:rPr>
      <w:b/>
      <w:sz w:val="28"/>
    </w:rPr>
  </w:style>
  <w:style w:type="paragraph" w:styleId="7">
    <w:name w:val="heading 6"/>
    <w:basedOn w:val="1"/>
    <w:next w:val="6"/>
    <w:link w:val="65"/>
    <w:qFormat/>
    <w:uiPriority w:val="0"/>
    <w:pPr>
      <w:keepNext/>
      <w:keepLines/>
      <w:numPr>
        <w:ilvl w:val="5"/>
        <w:numId w:val="1"/>
      </w:numPr>
      <w:spacing w:before="240" w:after="64" w:line="320" w:lineRule="auto"/>
      <w:outlineLvl w:val="5"/>
    </w:pPr>
    <w:rPr>
      <w:rFonts w:ascii="Arial" w:hAnsi="Arial" w:eastAsia="黑体"/>
      <w:b/>
      <w:sz w:val="24"/>
    </w:rPr>
  </w:style>
  <w:style w:type="paragraph" w:styleId="8">
    <w:name w:val="heading 7"/>
    <w:basedOn w:val="1"/>
    <w:next w:val="6"/>
    <w:link w:val="66"/>
    <w:qFormat/>
    <w:uiPriority w:val="0"/>
    <w:pPr>
      <w:keepNext/>
      <w:keepLines/>
      <w:numPr>
        <w:ilvl w:val="6"/>
        <w:numId w:val="1"/>
      </w:numPr>
      <w:spacing w:before="240" w:after="64" w:line="320" w:lineRule="auto"/>
      <w:outlineLvl w:val="6"/>
    </w:pPr>
    <w:rPr>
      <w:b/>
      <w:sz w:val="24"/>
    </w:rPr>
  </w:style>
  <w:style w:type="paragraph" w:styleId="9">
    <w:name w:val="heading 8"/>
    <w:basedOn w:val="1"/>
    <w:next w:val="6"/>
    <w:link w:val="67"/>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6"/>
    <w:link w:val="68"/>
    <w:qFormat/>
    <w:uiPriority w:val="0"/>
    <w:pPr>
      <w:keepNext/>
      <w:keepLines/>
      <w:numPr>
        <w:ilvl w:val="8"/>
        <w:numId w:val="1"/>
      </w:numPr>
      <w:spacing w:before="240" w:after="64" w:line="320" w:lineRule="auto"/>
      <w:outlineLvl w:val="8"/>
    </w:pPr>
    <w:rPr>
      <w:rFonts w:ascii="Arial" w:hAnsi="Arial" w:eastAsia="黑体"/>
    </w:rPr>
  </w:style>
  <w:style w:type="character" w:default="1" w:styleId="51">
    <w:name w:val="Default Paragraph Font"/>
    <w:semiHidden/>
    <w:unhideWhenUsed/>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11">
    <w:name w:val="toc 7"/>
    <w:basedOn w:val="1"/>
    <w:next w:val="1"/>
    <w:unhideWhenUsed/>
    <w:qFormat/>
    <w:uiPriority w:val="39"/>
    <w:pPr>
      <w:ind w:left="2520" w:leftChars="1200"/>
    </w:pPr>
    <w:rPr>
      <w:rFonts w:ascii="Calibri" w:hAnsi="Calibri"/>
      <w:szCs w:val="22"/>
    </w:rPr>
  </w:style>
  <w:style w:type="paragraph" w:styleId="12">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link w:val="69"/>
    <w:unhideWhenUsed/>
    <w:qFormat/>
    <w:uiPriority w:val="0"/>
    <w:pPr>
      <w:shd w:val="clear" w:color="auto" w:fill="000080"/>
    </w:pPr>
    <w:rPr>
      <w:rFonts w:hint="eastAsia" w:ascii="宋体" w:hAnsi="宋体"/>
      <w:kern w:val="0"/>
      <w:sz w:val="20"/>
      <w:szCs w:val="20"/>
    </w:rPr>
  </w:style>
  <w:style w:type="paragraph" w:styleId="15">
    <w:name w:val="annotation text"/>
    <w:basedOn w:val="1"/>
    <w:link w:val="70"/>
    <w:unhideWhenUsed/>
    <w:qFormat/>
    <w:uiPriority w:val="0"/>
    <w:pPr>
      <w:jc w:val="left"/>
    </w:pPr>
  </w:style>
  <w:style w:type="paragraph" w:styleId="16">
    <w:name w:val="Body Text 3"/>
    <w:basedOn w:val="1"/>
    <w:link w:val="71"/>
    <w:qFormat/>
    <w:uiPriority w:val="0"/>
    <w:pPr>
      <w:spacing w:line="500" w:lineRule="exact"/>
    </w:pPr>
    <w:rPr>
      <w:b/>
      <w:bCs/>
      <w:kern w:val="0"/>
      <w:sz w:val="24"/>
    </w:rPr>
  </w:style>
  <w:style w:type="paragraph" w:styleId="17">
    <w:name w:val="Body Text"/>
    <w:basedOn w:val="1"/>
    <w:link w:val="60"/>
    <w:qFormat/>
    <w:uiPriority w:val="99"/>
    <w:pPr>
      <w:spacing w:line="380" w:lineRule="exact"/>
    </w:pPr>
    <w:rPr>
      <w:kern w:val="0"/>
      <w:sz w:val="24"/>
    </w:rPr>
  </w:style>
  <w:style w:type="paragraph" w:styleId="18">
    <w:name w:val="Body Text Indent"/>
    <w:basedOn w:val="1"/>
    <w:next w:val="19"/>
    <w:link w:val="72"/>
    <w:qFormat/>
    <w:uiPriority w:val="0"/>
    <w:pPr>
      <w:ind w:firstLine="830" w:firstLineChars="352"/>
    </w:pPr>
    <w:rPr>
      <w:rFonts w:ascii="仿宋_GB2312" w:eastAsia="仿宋_GB2312"/>
      <w:kern w:val="0"/>
      <w:sz w:val="32"/>
      <w:szCs w:val="20"/>
    </w:rPr>
  </w:style>
  <w:style w:type="paragraph" w:customStyle="1" w:styleId="19">
    <w:name w:val="样式 正文文本缩进 + 首行缩进:  2 字符 行距: 1.5 倍行距"/>
    <w:basedOn w:val="18"/>
    <w:qFormat/>
    <w:uiPriority w:val="99"/>
    <w:rPr>
      <w:rFonts w:cs="??"/>
    </w:rPr>
  </w:style>
  <w:style w:type="paragraph" w:styleId="20">
    <w:name w:val="List Number 3"/>
    <w:basedOn w:val="1"/>
    <w:qFormat/>
    <w:uiPriority w:val="0"/>
    <w:pPr>
      <w:numPr>
        <w:ilvl w:val="0"/>
        <w:numId w:val="2"/>
      </w:numPr>
    </w:pPr>
  </w:style>
  <w:style w:type="paragraph" w:styleId="21">
    <w:name w:val="List 2"/>
    <w:basedOn w:val="1"/>
    <w:qFormat/>
    <w:uiPriority w:val="0"/>
    <w:pPr>
      <w:ind w:left="100" w:leftChars="200" w:hanging="200" w:hangingChars="200"/>
    </w:pPr>
    <w:rPr>
      <w:sz w:val="28"/>
    </w:rPr>
  </w:style>
  <w:style w:type="paragraph" w:styleId="22">
    <w:name w:val="toc 5"/>
    <w:basedOn w:val="1"/>
    <w:next w:val="1"/>
    <w:unhideWhenUsed/>
    <w:qFormat/>
    <w:uiPriority w:val="39"/>
    <w:pPr>
      <w:ind w:left="1680" w:leftChars="800"/>
    </w:pPr>
    <w:rPr>
      <w:rFonts w:ascii="Calibri" w:hAnsi="Calibri"/>
      <w:szCs w:val="22"/>
    </w:rPr>
  </w:style>
  <w:style w:type="paragraph" w:styleId="23">
    <w:name w:val="toc 3"/>
    <w:basedOn w:val="1"/>
    <w:next w:val="1"/>
    <w:unhideWhenUsed/>
    <w:qFormat/>
    <w:uiPriority w:val="39"/>
    <w:pPr>
      <w:ind w:left="840" w:leftChars="400"/>
    </w:pPr>
    <w:rPr>
      <w:rFonts w:ascii="Calibri" w:hAnsi="Calibri"/>
      <w:szCs w:val="22"/>
    </w:rPr>
  </w:style>
  <w:style w:type="paragraph" w:styleId="24">
    <w:name w:val="Plain Text"/>
    <w:basedOn w:val="1"/>
    <w:link w:val="73"/>
    <w:qFormat/>
    <w:uiPriority w:val="0"/>
    <w:rPr>
      <w:rFonts w:ascii="宋体" w:hAnsi="Courier New"/>
      <w:kern w:val="0"/>
      <w:sz w:val="20"/>
      <w:szCs w:val="21"/>
    </w:rPr>
  </w:style>
  <w:style w:type="paragraph" w:styleId="25">
    <w:name w:val="toc 8"/>
    <w:basedOn w:val="1"/>
    <w:next w:val="1"/>
    <w:unhideWhenUsed/>
    <w:qFormat/>
    <w:uiPriority w:val="39"/>
    <w:pPr>
      <w:ind w:left="2940" w:leftChars="1400"/>
    </w:pPr>
    <w:rPr>
      <w:rFonts w:ascii="Calibri" w:hAnsi="Calibri"/>
      <w:szCs w:val="22"/>
    </w:rPr>
  </w:style>
  <w:style w:type="paragraph" w:styleId="26">
    <w:name w:val="Date"/>
    <w:basedOn w:val="1"/>
    <w:next w:val="1"/>
    <w:link w:val="74"/>
    <w:qFormat/>
    <w:uiPriority w:val="0"/>
    <w:pPr>
      <w:ind w:left="100" w:leftChars="2500"/>
    </w:pPr>
    <w:rPr>
      <w:rFonts w:ascii="宋体" w:hAnsi="Courier New"/>
      <w:kern w:val="0"/>
      <w:sz w:val="20"/>
      <w:szCs w:val="21"/>
    </w:rPr>
  </w:style>
  <w:style w:type="paragraph" w:styleId="27">
    <w:name w:val="Body Text Indent 2"/>
    <w:basedOn w:val="1"/>
    <w:link w:val="75"/>
    <w:qFormat/>
    <w:uiPriority w:val="0"/>
    <w:pPr>
      <w:ind w:firstLine="630"/>
    </w:pPr>
    <w:rPr>
      <w:kern w:val="0"/>
      <w:sz w:val="32"/>
      <w:szCs w:val="20"/>
    </w:rPr>
  </w:style>
  <w:style w:type="paragraph" w:styleId="28">
    <w:name w:val="endnote text"/>
    <w:basedOn w:val="1"/>
    <w:link w:val="76"/>
    <w:unhideWhenUsed/>
    <w:qFormat/>
    <w:uiPriority w:val="99"/>
    <w:pPr>
      <w:snapToGrid w:val="0"/>
      <w:jc w:val="left"/>
    </w:pPr>
  </w:style>
  <w:style w:type="paragraph" w:styleId="29">
    <w:name w:val="Balloon Text"/>
    <w:basedOn w:val="1"/>
    <w:link w:val="77"/>
    <w:semiHidden/>
    <w:qFormat/>
    <w:uiPriority w:val="0"/>
    <w:rPr>
      <w:kern w:val="0"/>
      <w:sz w:val="18"/>
      <w:szCs w:val="18"/>
    </w:rPr>
  </w:style>
  <w:style w:type="paragraph" w:styleId="30">
    <w:name w:val="footer"/>
    <w:basedOn w:val="1"/>
    <w:link w:val="78"/>
    <w:unhideWhenUsed/>
    <w:qFormat/>
    <w:uiPriority w:val="99"/>
    <w:pPr>
      <w:tabs>
        <w:tab w:val="center" w:pos="4153"/>
        <w:tab w:val="right" w:pos="8306"/>
      </w:tabs>
      <w:snapToGrid w:val="0"/>
      <w:jc w:val="left"/>
    </w:pPr>
    <w:rPr>
      <w:kern w:val="0"/>
      <w:sz w:val="18"/>
      <w:szCs w:val="18"/>
    </w:rPr>
  </w:style>
  <w:style w:type="paragraph" w:styleId="31">
    <w:name w:val="envelope return"/>
    <w:basedOn w:val="1"/>
    <w:qFormat/>
    <w:uiPriority w:val="99"/>
    <w:pPr>
      <w:snapToGrid w:val="0"/>
    </w:pPr>
    <w:rPr>
      <w:rFonts w:ascii="Arial" w:hAnsi="Arial"/>
    </w:rPr>
  </w:style>
  <w:style w:type="paragraph" w:styleId="32">
    <w:name w:val="header"/>
    <w:basedOn w:val="1"/>
    <w:link w:val="79"/>
    <w:unhideWhenUsed/>
    <w:qFormat/>
    <w:uiPriority w:val="99"/>
    <w:pPr>
      <w:pBdr>
        <w:bottom w:val="single" w:color="auto" w:sz="6" w:space="1"/>
      </w:pBdr>
      <w:tabs>
        <w:tab w:val="center" w:pos="0"/>
        <w:tab w:val="left" w:pos="8306"/>
      </w:tabs>
      <w:snapToGrid w:val="0"/>
      <w:jc w:val="center"/>
    </w:pPr>
    <w:rPr>
      <w:sz w:val="18"/>
      <w:szCs w:val="18"/>
    </w:rPr>
  </w:style>
  <w:style w:type="paragraph" w:styleId="33">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unhideWhenUsed/>
    <w:qFormat/>
    <w:uiPriority w:val="39"/>
    <w:pPr>
      <w:ind w:left="1260" w:leftChars="600"/>
    </w:pPr>
    <w:rPr>
      <w:rFonts w:ascii="Calibri" w:hAnsi="Calibri"/>
      <w:szCs w:val="22"/>
    </w:rPr>
  </w:style>
  <w:style w:type="paragraph" w:styleId="35">
    <w:name w:val="List"/>
    <w:basedOn w:val="1"/>
    <w:qFormat/>
    <w:uiPriority w:val="0"/>
    <w:pPr>
      <w:ind w:left="200" w:hanging="200" w:hangingChars="200"/>
    </w:pPr>
    <w:rPr>
      <w:sz w:val="28"/>
    </w:rPr>
  </w:style>
  <w:style w:type="paragraph" w:styleId="36">
    <w:name w:val="footnote text"/>
    <w:basedOn w:val="1"/>
    <w:link w:val="80"/>
    <w:unhideWhenUsed/>
    <w:qFormat/>
    <w:uiPriority w:val="99"/>
    <w:pPr>
      <w:snapToGrid w:val="0"/>
      <w:jc w:val="left"/>
    </w:pPr>
    <w:rPr>
      <w:sz w:val="18"/>
      <w:szCs w:val="18"/>
    </w:rPr>
  </w:style>
  <w:style w:type="paragraph" w:styleId="37">
    <w:name w:val="toc 6"/>
    <w:basedOn w:val="1"/>
    <w:next w:val="1"/>
    <w:unhideWhenUsed/>
    <w:qFormat/>
    <w:uiPriority w:val="39"/>
    <w:pPr>
      <w:ind w:left="2100" w:leftChars="1000"/>
    </w:pPr>
    <w:rPr>
      <w:rFonts w:ascii="Calibri" w:hAnsi="Calibri"/>
      <w:szCs w:val="22"/>
    </w:rPr>
  </w:style>
  <w:style w:type="paragraph" w:styleId="38">
    <w:name w:val="Body Text Indent 3"/>
    <w:basedOn w:val="1"/>
    <w:link w:val="81"/>
    <w:qFormat/>
    <w:uiPriority w:val="0"/>
    <w:pPr>
      <w:spacing w:after="120"/>
      <w:ind w:left="420" w:leftChars="200"/>
    </w:pPr>
    <w:rPr>
      <w:kern w:val="0"/>
      <w:sz w:val="16"/>
      <w:szCs w:val="16"/>
    </w:rPr>
  </w:style>
  <w:style w:type="paragraph" w:styleId="39">
    <w:name w:val="toc 2"/>
    <w:basedOn w:val="1"/>
    <w:next w:val="1"/>
    <w:unhideWhenUsed/>
    <w:qFormat/>
    <w:uiPriority w:val="39"/>
    <w:pPr>
      <w:ind w:left="420" w:leftChars="200"/>
    </w:pPr>
  </w:style>
  <w:style w:type="paragraph" w:styleId="40">
    <w:name w:val="toc 9"/>
    <w:basedOn w:val="1"/>
    <w:next w:val="1"/>
    <w:unhideWhenUsed/>
    <w:qFormat/>
    <w:uiPriority w:val="39"/>
    <w:pPr>
      <w:ind w:left="3360" w:leftChars="1600"/>
    </w:pPr>
    <w:rPr>
      <w:rFonts w:ascii="Calibri" w:hAnsi="Calibri"/>
      <w:szCs w:val="22"/>
    </w:rPr>
  </w:style>
  <w:style w:type="paragraph" w:styleId="41">
    <w:name w:val="Body Text 2"/>
    <w:basedOn w:val="1"/>
    <w:link w:val="82"/>
    <w:qFormat/>
    <w:uiPriority w:val="0"/>
    <w:pPr>
      <w:spacing w:after="120" w:line="480" w:lineRule="auto"/>
    </w:pPr>
    <w:rPr>
      <w:kern w:val="0"/>
      <w:sz w:val="20"/>
    </w:rPr>
  </w:style>
  <w:style w:type="paragraph" w:styleId="42">
    <w:name w:val="Normal (Web)"/>
    <w:basedOn w:val="1"/>
    <w:qFormat/>
    <w:uiPriority w:val="99"/>
    <w:pPr>
      <w:widowControl/>
      <w:spacing w:before="100" w:beforeAutospacing="1" w:after="100" w:afterAutospacing="1"/>
      <w:jc w:val="left"/>
    </w:pPr>
    <w:rPr>
      <w:rFonts w:ascii="宋体" w:hAnsi="宋体"/>
      <w:kern w:val="0"/>
      <w:sz w:val="24"/>
    </w:rPr>
  </w:style>
  <w:style w:type="paragraph" w:styleId="43">
    <w:name w:val="index 1"/>
    <w:basedOn w:val="1"/>
    <w:next w:val="1"/>
    <w:semiHidden/>
    <w:qFormat/>
    <w:uiPriority w:val="0"/>
    <w:pPr>
      <w:spacing w:line="400" w:lineRule="exact"/>
      <w:ind w:firstLine="420" w:firstLineChars="200"/>
    </w:pPr>
    <w:rPr>
      <w:rFonts w:ascii="宋体" w:hAnsi="Courier New"/>
      <w:b/>
      <w:szCs w:val="20"/>
    </w:rPr>
  </w:style>
  <w:style w:type="paragraph" w:styleId="44">
    <w:name w:val="Title"/>
    <w:basedOn w:val="1"/>
    <w:link w:val="83"/>
    <w:qFormat/>
    <w:uiPriority w:val="10"/>
    <w:pPr>
      <w:spacing w:before="240" w:after="60"/>
      <w:jc w:val="center"/>
      <w:outlineLvl w:val="0"/>
    </w:pPr>
    <w:rPr>
      <w:rFonts w:ascii="Cambria" w:hAnsi="Cambria"/>
      <w:b/>
      <w:bCs/>
      <w:sz w:val="32"/>
      <w:szCs w:val="32"/>
    </w:rPr>
  </w:style>
  <w:style w:type="paragraph" w:styleId="45">
    <w:name w:val="annotation subject"/>
    <w:basedOn w:val="15"/>
    <w:next w:val="15"/>
    <w:link w:val="84"/>
    <w:unhideWhenUsed/>
    <w:qFormat/>
    <w:uiPriority w:val="99"/>
    <w:rPr>
      <w:b/>
      <w:bCs/>
    </w:rPr>
  </w:style>
  <w:style w:type="paragraph" w:styleId="46">
    <w:name w:val="Body Text First Indent"/>
    <w:basedOn w:val="17"/>
    <w:unhideWhenUsed/>
    <w:qFormat/>
    <w:uiPriority w:val="0"/>
    <w:pPr>
      <w:ind w:firstLine="420" w:firstLineChars="100"/>
    </w:pPr>
    <w:rPr>
      <w:kern w:val="2"/>
      <w:sz w:val="21"/>
    </w:rPr>
  </w:style>
  <w:style w:type="paragraph" w:styleId="47">
    <w:name w:val="Body Text First Indent 2"/>
    <w:basedOn w:val="18"/>
    <w:next w:val="48"/>
    <w:qFormat/>
    <w:uiPriority w:val="99"/>
    <w:pPr>
      <w:ind w:firstLine="420" w:firstLineChars="200"/>
    </w:pPr>
  </w:style>
  <w:style w:type="paragraph" w:customStyle="1" w:styleId="48">
    <w:name w:val="**正文"/>
    <w:basedOn w:val="1"/>
    <w:qFormat/>
    <w:uiPriority w:val="99"/>
    <w:pPr>
      <w:ind w:firstLine="482"/>
    </w:pPr>
    <w:rPr>
      <w:rFonts w:ascii="??" w:hAnsi="??"/>
      <w:sz w:val="24"/>
    </w:rPr>
  </w:style>
  <w:style w:type="table" w:styleId="50">
    <w:name w:val="Table Grid"/>
    <w:basedOn w:val="4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2">
    <w:name w:val="Strong"/>
    <w:basedOn w:val="51"/>
    <w:qFormat/>
    <w:uiPriority w:val="22"/>
    <w:rPr>
      <w:b/>
    </w:rPr>
  </w:style>
  <w:style w:type="character" w:styleId="53">
    <w:name w:val="endnote reference"/>
    <w:unhideWhenUsed/>
    <w:qFormat/>
    <w:uiPriority w:val="99"/>
    <w:rPr>
      <w:vertAlign w:val="superscript"/>
    </w:rPr>
  </w:style>
  <w:style w:type="character" w:styleId="54">
    <w:name w:val="page number"/>
    <w:qFormat/>
    <w:uiPriority w:val="0"/>
  </w:style>
  <w:style w:type="character" w:styleId="55">
    <w:name w:val="FollowedHyperlink"/>
    <w:qFormat/>
    <w:uiPriority w:val="0"/>
    <w:rPr>
      <w:color w:val="800080"/>
      <w:u w:val="single"/>
    </w:rPr>
  </w:style>
  <w:style w:type="character" w:styleId="56">
    <w:name w:val="Hyperlink"/>
    <w:qFormat/>
    <w:uiPriority w:val="99"/>
    <w:rPr>
      <w:color w:val="0000FF"/>
      <w:u w:val="single"/>
    </w:rPr>
  </w:style>
  <w:style w:type="character" w:styleId="57">
    <w:name w:val="annotation reference"/>
    <w:unhideWhenUsed/>
    <w:qFormat/>
    <w:uiPriority w:val="0"/>
    <w:rPr>
      <w:sz w:val="21"/>
      <w:szCs w:val="21"/>
    </w:rPr>
  </w:style>
  <w:style w:type="character" w:styleId="58">
    <w:name w:val="footnote reference"/>
    <w:unhideWhenUsed/>
    <w:qFormat/>
    <w:uiPriority w:val="99"/>
    <w:rPr>
      <w:vertAlign w:val="superscript"/>
    </w:rPr>
  </w:style>
  <w:style w:type="paragraph" w:customStyle="1" w:styleId="59">
    <w:name w:val="首行缩进"/>
    <w:basedOn w:val="1"/>
    <w:qFormat/>
    <w:uiPriority w:val="0"/>
    <w:pPr>
      <w:widowControl/>
      <w:ind w:firstLine="480" w:firstLineChars="200"/>
      <w:jc w:val="left"/>
    </w:pPr>
    <w:rPr>
      <w:kern w:val="0"/>
      <w:sz w:val="24"/>
      <w:lang w:val="zh-CN"/>
    </w:rPr>
  </w:style>
  <w:style w:type="character" w:customStyle="1" w:styleId="60">
    <w:name w:val="正文文本 Char"/>
    <w:link w:val="17"/>
    <w:qFormat/>
    <w:uiPriority w:val="99"/>
    <w:rPr>
      <w:rFonts w:ascii="Times New Roman" w:hAnsi="Times New Roman" w:eastAsia="宋体" w:cs="Times New Roman"/>
      <w:sz w:val="24"/>
      <w:szCs w:val="24"/>
    </w:rPr>
  </w:style>
  <w:style w:type="character" w:customStyle="1" w:styleId="61">
    <w:name w:val="标题 1 Char"/>
    <w:link w:val="2"/>
    <w:qFormat/>
    <w:uiPriority w:val="0"/>
    <w:rPr>
      <w:rFonts w:ascii="Times New Roman" w:hAnsi="Times New Roman" w:eastAsia="宋体" w:cs="Times New Roman"/>
      <w:b/>
      <w:bCs/>
      <w:kern w:val="44"/>
      <w:sz w:val="44"/>
      <w:szCs w:val="44"/>
    </w:rPr>
  </w:style>
  <w:style w:type="character" w:customStyle="1" w:styleId="62">
    <w:name w:val="标题 2 Char"/>
    <w:link w:val="3"/>
    <w:qFormat/>
    <w:uiPriority w:val="0"/>
    <w:rPr>
      <w:rFonts w:ascii="Arial" w:hAnsi="Arial" w:eastAsia="黑体" w:cs="Times New Roman"/>
      <w:b/>
      <w:bCs/>
      <w:sz w:val="32"/>
      <w:szCs w:val="32"/>
    </w:rPr>
  </w:style>
  <w:style w:type="character" w:customStyle="1" w:styleId="63">
    <w:name w:val="标题 3 Char"/>
    <w:link w:val="4"/>
    <w:qFormat/>
    <w:uiPriority w:val="0"/>
    <w:rPr>
      <w:rFonts w:ascii="Times New Roman" w:hAnsi="Times New Roman" w:eastAsia="宋体" w:cs="Times New Roman"/>
      <w:b/>
      <w:bCs/>
      <w:sz w:val="32"/>
      <w:szCs w:val="32"/>
    </w:rPr>
  </w:style>
  <w:style w:type="character" w:customStyle="1" w:styleId="64">
    <w:name w:val="标题 5 Char1"/>
    <w:link w:val="5"/>
    <w:qFormat/>
    <w:uiPriority w:val="0"/>
    <w:rPr>
      <w:b/>
      <w:kern w:val="2"/>
      <w:sz w:val="28"/>
      <w:szCs w:val="24"/>
    </w:rPr>
  </w:style>
  <w:style w:type="character" w:customStyle="1" w:styleId="65">
    <w:name w:val="标题 6 Char"/>
    <w:link w:val="7"/>
    <w:qFormat/>
    <w:uiPriority w:val="0"/>
    <w:rPr>
      <w:rFonts w:ascii="Arial" w:hAnsi="Arial" w:eastAsia="黑体"/>
      <w:b/>
      <w:kern w:val="2"/>
      <w:sz w:val="24"/>
      <w:szCs w:val="24"/>
    </w:rPr>
  </w:style>
  <w:style w:type="character" w:customStyle="1" w:styleId="66">
    <w:name w:val="标题 7 Char"/>
    <w:link w:val="8"/>
    <w:qFormat/>
    <w:uiPriority w:val="0"/>
    <w:rPr>
      <w:rFonts w:ascii="Times New Roman" w:hAnsi="Times New Roman"/>
      <w:b/>
      <w:kern w:val="2"/>
      <w:sz w:val="24"/>
      <w:szCs w:val="24"/>
    </w:rPr>
  </w:style>
  <w:style w:type="character" w:customStyle="1" w:styleId="67">
    <w:name w:val="标题 8 Char"/>
    <w:link w:val="9"/>
    <w:qFormat/>
    <w:uiPriority w:val="0"/>
    <w:rPr>
      <w:rFonts w:ascii="Arial" w:hAnsi="Arial" w:eastAsia="黑体"/>
      <w:kern w:val="2"/>
      <w:sz w:val="24"/>
      <w:szCs w:val="24"/>
    </w:rPr>
  </w:style>
  <w:style w:type="character" w:customStyle="1" w:styleId="68">
    <w:name w:val="标题 9 Char"/>
    <w:link w:val="10"/>
    <w:qFormat/>
    <w:uiPriority w:val="0"/>
    <w:rPr>
      <w:rFonts w:ascii="Arial" w:hAnsi="Arial" w:eastAsia="黑体"/>
      <w:kern w:val="2"/>
      <w:sz w:val="21"/>
      <w:szCs w:val="24"/>
    </w:rPr>
  </w:style>
  <w:style w:type="character" w:customStyle="1" w:styleId="69">
    <w:name w:val="文档结构图 Char"/>
    <w:link w:val="14"/>
    <w:qFormat/>
    <w:uiPriority w:val="0"/>
    <w:rPr>
      <w:rFonts w:hint="eastAsia" w:ascii="宋体" w:hAnsi="宋体" w:eastAsia="宋体" w:cs="宋体"/>
    </w:rPr>
  </w:style>
  <w:style w:type="character" w:customStyle="1" w:styleId="70">
    <w:name w:val="批注文字 Char2"/>
    <w:link w:val="15"/>
    <w:qFormat/>
    <w:uiPriority w:val="0"/>
    <w:rPr>
      <w:rFonts w:ascii="Times New Roman" w:hAnsi="Times New Roman"/>
      <w:kern w:val="2"/>
      <w:sz w:val="21"/>
      <w:szCs w:val="24"/>
    </w:rPr>
  </w:style>
  <w:style w:type="character" w:customStyle="1" w:styleId="71">
    <w:name w:val="正文文本 3 Char"/>
    <w:link w:val="16"/>
    <w:qFormat/>
    <w:uiPriority w:val="0"/>
    <w:rPr>
      <w:rFonts w:ascii="Times New Roman" w:hAnsi="Times New Roman" w:eastAsia="宋体" w:cs="Times New Roman"/>
      <w:b/>
      <w:bCs/>
      <w:sz w:val="24"/>
      <w:szCs w:val="24"/>
    </w:rPr>
  </w:style>
  <w:style w:type="character" w:customStyle="1" w:styleId="72">
    <w:name w:val="正文文本缩进 Char"/>
    <w:link w:val="18"/>
    <w:qFormat/>
    <w:uiPriority w:val="0"/>
    <w:rPr>
      <w:rFonts w:ascii="仿宋_GB2312" w:hAnsi="Times New Roman" w:eastAsia="仿宋_GB2312" w:cs="Times New Roman"/>
      <w:sz w:val="32"/>
      <w:szCs w:val="20"/>
    </w:rPr>
  </w:style>
  <w:style w:type="character" w:customStyle="1" w:styleId="73">
    <w:name w:val="纯文本 Char1"/>
    <w:link w:val="24"/>
    <w:qFormat/>
    <w:uiPriority w:val="0"/>
    <w:rPr>
      <w:rFonts w:ascii="宋体" w:hAnsi="Courier New" w:eastAsia="宋体" w:cs="Courier New"/>
      <w:szCs w:val="21"/>
    </w:rPr>
  </w:style>
  <w:style w:type="character" w:customStyle="1" w:styleId="74">
    <w:name w:val="日期 Char"/>
    <w:link w:val="26"/>
    <w:qFormat/>
    <w:uiPriority w:val="0"/>
    <w:rPr>
      <w:rFonts w:ascii="宋体" w:hAnsi="Courier New" w:eastAsia="宋体" w:cs="Courier New"/>
      <w:szCs w:val="21"/>
    </w:rPr>
  </w:style>
  <w:style w:type="character" w:customStyle="1" w:styleId="75">
    <w:name w:val="正文文本缩进 2 Char"/>
    <w:link w:val="27"/>
    <w:qFormat/>
    <w:uiPriority w:val="0"/>
    <w:rPr>
      <w:rFonts w:ascii="Times New Roman" w:hAnsi="Times New Roman" w:eastAsia="宋体" w:cs="Times New Roman"/>
      <w:sz w:val="32"/>
      <w:szCs w:val="20"/>
    </w:rPr>
  </w:style>
  <w:style w:type="character" w:customStyle="1" w:styleId="76">
    <w:name w:val="尾注文本 Char"/>
    <w:link w:val="28"/>
    <w:semiHidden/>
    <w:qFormat/>
    <w:uiPriority w:val="99"/>
    <w:rPr>
      <w:rFonts w:ascii="Times New Roman" w:hAnsi="Times New Roman"/>
      <w:kern w:val="2"/>
      <w:sz w:val="21"/>
      <w:szCs w:val="24"/>
    </w:rPr>
  </w:style>
  <w:style w:type="character" w:customStyle="1" w:styleId="77">
    <w:name w:val="批注框文本 Char"/>
    <w:link w:val="29"/>
    <w:semiHidden/>
    <w:qFormat/>
    <w:uiPriority w:val="0"/>
    <w:rPr>
      <w:rFonts w:ascii="Times New Roman" w:hAnsi="Times New Roman" w:eastAsia="宋体" w:cs="Times New Roman"/>
      <w:sz w:val="18"/>
      <w:szCs w:val="18"/>
    </w:rPr>
  </w:style>
  <w:style w:type="character" w:customStyle="1" w:styleId="78">
    <w:name w:val="页脚 Char"/>
    <w:link w:val="30"/>
    <w:qFormat/>
    <w:uiPriority w:val="99"/>
    <w:rPr>
      <w:sz w:val="18"/>
      <w:szCs w:val="18"/>
    </w:rPr>
  </w:style>
  <w:style w:type="character" w:customStyle="1" w:styleId="79">
    <w:name w:val="页眉 Char"/>
    <w:link w:val="32"/>
    <w:qFormat/>
    <w:uiPriority w:val="99"/>
    <w:rPr>
      <w:rFonts w:ascii="Times New Roman" w:hAnsi="Times New Roman"/>
      <w:kern w:val="2"/>
      <w:sz w:val="18"/>
      <w:szCs w:val="18"/>
    </w:rPr>
  </w:style>
  <w:style w:type="character" w:customStyle="1" w:styleId="80">
    <w:name w:val="脚注文本 Char"/>
    <w:link w:val="36"/>
    <w:semiHidden/>
    <w:qFormat/>
    <w:uiPriority w:val="99"/>
    <w:rPr>
      <w:rFonts w:ascii="Times New Roman" w:hAnsi="Times New Roman"/>
      <w:kern w:val="2"/>
      <w:sz w:val="18"/>
      <w:szCs w:val="18"/>
    </w:rPr>
  </w:style>
  <w:style w:type="character" w:customStyle="1" w:styleId="81">
    <w:name w:val="正文文本缩进 3 Char"/>
    <w:link w:val="38"/>
    <w:qFormat/>
    <w:uiPriority w:val="0"/>
    <w:rPr>
      <w:rFonts w:ascii="Times New Roman" w:hAnsi="Times New Roman" w:eastAsia="宋体" w:cs="Times New Roman"/>
      <w:sz w:val="16"/>
      <w:szCs w:val="16"/>
    </w:rPr>
  </w:style>
  <w:style w:type="character" w:customStyle="1" w:styleId="82">
    <w:name w:val="正文文本 2 Char"/>
    <w:link w:val="41"/>
    <w:qFormat/>
    <w:uiPriority w:val="0"/>
    <w:rPr>
      <w:rFonts w:ascii="Times New Roman" w:hAnsi="Times New Roman" w:eastAsia="宋体" w:cs="Times New Roman"/>
      <w:szCs w:val="24"/>
    </w:rPr>
  </w:style>
  <w:style w:type="character" w:customStyle="1" w:styleId="83">
    <w:name w:val="标题 Char"/>
    <w:link w:val="44"/>
    <w:qFormat/>
    <w:uiPriority w:val="10"/>
    <w:rPr>
      <w:rFonts w:ascii="Cambria" w:hAnsi="Cambria" w:cs="Times New Roman"/>
      <w:b/>
      <w:bCs/>
      <w:kern w:val="2"/>
      <w:sz w:val="32"/>
      <w:szCs w:val="32"/>
    </w:rPr>
  </w:style>
  <w:style w:type="character" w:customStyle="1" w:styleId="84">
    <w:name w:val="批注主题 Char"/>
    <w:link w:val="45"/>
    <w:semiHidden/>
    <w:qFormat/>
    <w:uiPriority w:val="99"/>
    <w:rPr>
      <w:rFonts w:ascii="Times New Roman" w:hAnsi="Times New Roman"/>
      <w:b/>
      <w:bCs/>
      <w:kern w:val="2"/>
      <w:sz w:val="21"/>
      <w:szCs w:val="24"/>
    </w:rPr>
  </w:style>
  <w:style w:type="character" w:customStyle="1" w:styleId="85">
    <w:name w:val="批注文字 Char1"/>
    <w:semiHidden/>
    <w:qFormat/>
    <w:locked/>
    <w:uiPriority w:val="0"/>
    <w:rPr>
      <w:rFonts w:ascii="Times New Roman" w:hAnsi="Times New Roman"/>
      <w:kern w:val="2"/>
      <w:sz w:val="21"/>
      <w:szCs w:val="24"/>
    </w:rPr>
  </w:style>
  <w:style w:type="character" w:customStyle="1" w:styleId="86">
    <w:name w:val="case31"/>
    <w:qFormat/>
    <w:uiPriority w:val="0"/>
    <w:rPr>
      <w:rFonts w:hint="default" w:ascii="_x000B__x000C_" w:hAnsi="_x000B__x000C_"/>
      <w:sz w:val="21"/>
      <w:szCs w:val="21"/>
    </w:rPr>
  </w:style>
  <w:style w:type="character" w:customStyle="1" w:styleId="87">
    <w:name w:val="批注文字 Char"/>
    <w:qFormat/>
    <w:uiPriority w:val="99"/>
    <w:rPr>
      <w:rFonts w:ascii="Times New Roman" w:hAnsi="Times New Roman"/>
      <w:kern w:val="2"/>
      <w:sz w:val="21"/>
      <w:szCs w:val="24"/>
    </w:rPr>
  </w:style>
  <w:style w:type="character" w:customStyle="1" w:styleId="88">
    <w:name w:val="纯文本 Char"/>
    <w:qFormat/>
    <w:uiPriority w:val="0"/>
    <w:rPr>
      <w:rFonts w:ascii="宋体" w:hAnsi="Courier New" w:eastAsia="宋体"/>
      <w:kern w:val="2"/>
      <w:sz w:val="21"/>
      <w:lang w:val="en-US" w:eastAsia="zh-CN" w:bidi="ar-SA"/>
    </w:rPr>
  </w:style>
  <w:style w:type="character" w:customStyle="1" w:styleId="89">
    <w:name w:val="纯文本 字符1"/>
    <w:qFormat/>
    <w:uiPriority w:val="0"/>
    <w:rPr>
      <w:rFonts w:ascii="宋体" w:hAnsi="Courier New"/>
    </w:rPr>
  </w:style>
  <w:style w:type="character" w:customStyle="1" w:styleId="90">
    <w:name w:val="批注文字 字符1"/>
    <w:qFormat/>
    <w:uiPriority w:val="0"/>
    <w:rPr>
      <w:rFonts w:ascii="Times New Roman" w:hAnsi="Times New Roman"/>
      <w:kern w:val="2"/>
      <w:sz w:val="21"/>
      <w:szCs w:val="24"/>
    </w:rPr>
  </w:style>
  <w:style w:type="character" w:customStyle="1" w:styleId="91">
    <w:name w:val="正文文本 Char1"/>
    <w:semiHidden/>
    <w:qFormat/>
    <w:locked/>
    <w:uiPriority w:val="99"/>
    <w:rPr>
      <w:sz w:val="24"/>
      <w:szCs w:val="24"/>
    </w:rPr>
  </w:style>
  <w:style w:type="character" w:customStyle="1" w:styleId="92">
    <w:name w:val="apple-style-span"/>
    <w:qFormat/>
    <w:uiPriority w:val="0"/>
  </w:style>
  <w:style w:type="character" w:customStyle="1" w:styleId="93">
    <w:name w:val="textcontents"/>
    <w:qFormat/>
    <w:uiPriority w:val="0"/>
  </w:style>
  <w:style w:type="character" w:customStyle="1" w:styleId="94">
    <w:name w:val="普通文字 Char Char2"/>
    <w:qFormat/>
    <w:uiPriority w:val="0"/>
    <w:rPr>
      <w:rFonts w:ascii="宋体" w:hAnsi="Courier New" w:eastAsia="宋体"/>
      <w:kern w:val="2"/>
      <w:sz w:val="21"/>
      <w:lang w:val="en-US" w:eastAsia="zh-CN" w:bidi="ar-SA"/>
    </w:rPr>
  </w:style>
  <w:style w:type="character" w:customStyle="1" w:styleId="95">
    <w:name w:val="标题 5 Char"/>
    <w:qFormat/>
    <w:uiPriority w:val="0"/>
    <w:rPr>
      <w:b/>
      <w:kern w:val="2"/>
      <w:sz w:val="28"/>
      <w:szCs w:val="24"/>
    </w:rPr>
  </w:style>
  <w:style w:type="character" w:customStyle="1" w:styleId="96">
    <w:name w:val="批注文字 字符"/>
    <w:qFormat/>
    <w:uiPriority w:val="0"/>
    <w:rPr>
      <w:rFonts w:ascii="Times New Roman" w:hAnsi="Times New Roman"/>
      <w:kern w:val="2"/>
      <w:sz w:val="21"/>
      <w:szCs w:val="24"/>
    </w:rPr>
  </w:style>
  <w:style w:type="character" w:customStyle="1" w:styleId="97">
    <w:name w:val="标题 1 字符"/>
    <w:qFormat/>
    <w:uiPriority w:val="9"/>
    <w:rPr>
      <w:rFonts w:ascii="Times New Roman" w:hAnsi="Times New Roman" w:eastAsia="宋体" w:cs="Times New Roman"/>
      <w:b/>
      <w:bCs/>
      <w:kern w:val="44"/>
      <w:sz w:val="44"/>
      <w:szCs w:val="44"/>
    </w:rPr>
  </w:style>
  <w:style w:type="character" w:customStyle="1" w:styleId="98">
    <w:name w:val="纯文本 字符"/>
    <w:qFormat/>
    <w:uiPriority w:val="0"/>
    <w:rPr>
      <w:rFonts w:ascii="宋体" w:hAnsi="Courier New" w:eastAsia="宋体" w:cs="Courier New"/>
      <w:szCs w:val="21"/>
    </w:rPr>
  </w:style>
  <w:style w:type="character" w:customStyle="1" w:styleId="99">
    <w:name w:val="headline-content4"/>
    <w:qFormat/>
    <w:uiPriority w:val="0"/>
  </w:style>
  <w:style w:type="character" w:customStyle="1" w:styleId="100">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01">
    <w:name w:val="正文文本缩进 字符"/>
    <w:qFormat/>
    <w:uiPriority w:val="0"/>
    <w:rPr>
      <w:rFonts w:ascii="仿宋_GB2312" w:hAnsi="Times New Roman" w:eastAsia="仿宋_GB2312" w:cs="Times New Roman"/>
      <w:sz w:val="32"/>
      <w:szCs w:val="20"/>
    </w:rPr>
  </w:style>
  <w:style w:type="paragraph" w:customStyle="1" w:styleId="102">
    <w:name w:val="Char1"/>
    <w:basedOn w:val="1"/>
    <w:qFormat/>
    <w:uiPriority w:val="0"/>
    <w:rPr>
      <w:szCs w:val="21"/>
    </w:rPr>
  </w:style>
  <w:style w:type="paragraph" w:styleId="103">
    <w:name w:val="List Paragraph"/>
    <w:basedOn w:val="1"/>
    <w:qFormat/>
    <w:uiPriority w:val="34"/>
    <w:pPr>
      <w:ind w:firstLine="420" w:firstLineChars="200"/>
    </w:pPr>
  </w:style>
  <w:style w:type="paragraph" w:customStyle="1" w:styleId="104">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05">
    <w:name w:val="默认段落字体 Para Char Char Char Char Char Char Char Char Char1 Char Char Char Char"/>
    <w:basedOn w:val="1"/>
    <w:qFormat/>
    <w:uiPriority w:val="0"/>
    <w:rPr>
      <w:rFonts w:ascii="Tahoma" w:hAnsi="Tahoma"/>
      <w:sz w:val="24"/>
      <w:szCs w:val="20"/>
    </w:rPr>
  </w:style>
  <w:style w:type="paragraph" w:customStyle="1" w:styleId="106">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7">
    <w:name w:val="纯文本1"/>
    <w:basedOn w:val="1"/>
    <w:qFormat/>
    <w:uiPriority w:val="0"/>
    <w:rPr>
      <w:rFonts w:ascii="宋体" w:hAnsi="Courier New" w:cs="Century"/>
      <w:szCs w:val="21"/>
    </w:rPr>
  </w:style>
  <w:style w:type="paragraph" w:customStyle="1" w:styleId="108">
    <w:name w:val="Table Paragraph"/>
    <w:basedOn w:val="1"/>
    <w:qFormat/>
    <w:uiPriority w:val="1"/>
    <w:pPr>
      <w:jc w:val="left"/>
    </w:pPr>
    <w:rPr>
      <w:rFonts w:ascii="Calibri" w:hAnsi="Calibri"/>
      <w:kern w:val="0"/>
      <w:sz w:val="22"/>
      <w:szCs w:val="22"/>
      <w:lang w:eastAsia="en-US"/>
    </w:rPr>
  </w:style>
  <w:style w:type="paragraph" w:customStyle="1" w:styleId="10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0">
    <w:name w:val="表格"/>
    <w:basedOn w:val="1"/>
    <w:qFormat/>
    <w:uiPriority w:val="0"/>
    <w:pPr>
      <w:spacing w:line="400" w:lineRule="exact"/>
    </w:pPr>
    <w:rPr>
      <w:sz w:val="24"/>
    </w:rPr>
  </w:style>
  <w:style w:type="paragraph" w:customStyle="1" w:styleId="111">
    <w:name w:val="样式 首行缩进:  2 字符"/>
    <w:basedOn w:val="1"/>
    <w:qFormat/>
    <w:uiPriority w:val="0"/>
    <w:pPr>
      <w:spacing w:line="400" w:lineRule="exact"/>
      <w:ind w:firstLine="200" w:firstLineChars="200"/>
    </w:pPr>
    <w:rPr>
      <w:rFonts w:cs="宋体"/>
      <w:sz w:val="24"/>
    </w:rPr>
  </w:style>
  <w:style w:type="paragraph" w:customStyle="1" w:styleId="112">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13">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14">
    <w:name w:val="正文首行缩进两字符"/>
    <w:basedOn w:val="1"/>
    <w:qFormat/>
    <w:uiPriority w:val="0"/>
    <w:pPr>
      <w:spacing w:line="360" w:lineRule="auto"/>
      <w:ind w:firstLine="200" w:firstLineChars="200"/>
    </w:pPr>
  </w:style>
  <w:style w:type="paragraph" w:customStyle="1" w:styleId="115">
    <w:name w:val="正文段"/>
    <w:basedOn w:val="1"/>
    <w:qFormat/>
    <w:uiPriority w:val="0"/>
    <w:pPr>
      <w:widowControl/>
      <w:snapToGrid w:val="0"/>
      <w:spacing w:after="50" w:afterLines="50"/>
      <w:ind w:firstLine="200" w:firstLineChars="200"/>
    </w:pPr>
    <w:rPr>
      <w:kern w:val="0"/>
      <w:sz w:val="24"/>
      <w:szCs w:val="20"/>
    </w:rPr>
  </w:style>
  <w:style w:type="table" w:customStyle="1" w:styleId="116">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17">
    <w:name w:val="页脚 字符"/>
    <w:qFormat/>
    <w:uiPriority w:val="99"/>
  </w:style>
  <w:style w:type="character" w:customStyle="1" w:styleId="118">
    <w:name w:val="正文2 Char Char"/>
    <w:link w:val="119"/>
    <w:qFormat/>
    <w:uiPriority w:val="0"/>
    <w:rPr>
      <w:kern w:val="2"/>
      <w:sz w:val="24"/>
    </w:rPr>
  </w:style>
  <w:style w:type="paragraph" w:customStyle="1" w:styleId="119">
    <w:name w:val="正文2"/>
    <w:basedOn w:val="1"/>
    <w:link w:val="118"/>
    <w:qFormat/>
    <w:uiPriority w:val="0"/>
    <w:pPr>
      <w:adjustRightInd w:val="0"/>
      <w:spacing w:before="156" w:line="360" w:lineRule="auto"/>
      <w:ind w:firstLine="510" w:firstLineChars="200"/>
    </w:pPr>
    <w:rPr>
      <w:sz w:val="24"/>
      <w:szCs w:val="20"/>
    </w:rPr>
  </w:style>
  <w:style w:type="paragraph" w:customStyle="1" w:styleId="120">
    <w:name w:val="_Style 112"/>
    <w:unhideWhenUsed/>
    <w:qFormat/>
    <w:uiPriority w:val="99"/>
    <w:rPr>
      <w:rFonts w:ascii="Times New Roman" w:hAnsi="Times New Roman" w:eastAsia="宋体" w:cs="Times New Roman"/>
      <w:kern w:val="2"/>
      <w:sz w:val="21"/>
      <w:szCs w:val="24"/>
      <w:lang w:val="en-US" w:eastAsia="zh-CN" w:bidi="ar-SA"/>
    </w:rPr>
  </w:style>
  <w:style w:type="character" w:customStyle="1" w:styleId="121">
    <w:name w:val="表格文字 Char1"/>
    <w:link w:val="122"/>
    <w:qFormat/>
    <w:locked/>
    <w:uiPriority w:val="0"/>
    <w:rPr>
      <w:bCs/>
      <w:spacing w:val="10"/>
      <w:sz w:val="24"/>
    </w:rPr>
  </w:style>
  <w:style w:type="paragraph" w:customStyle="1" w:styleId="122">
    <w:name w:val="表格文字"/>
    <w:basedOn w:val="1"/>
    <w:next w:val="17"/>
    <w:link w:val="121"/>
    <w:qFormat/>
    <w:uiPriority w:val="0"/>
    <w:pPr>
      <w:spacing w:before="25" w:after="25"/>
      <w:jc w:val="left"/>
    </w:pPr>
    <w:rPr>
      <w:bCs/>
      <w:spacing w:val="10"/>
      <w:kern w:val="0"/>
      <w:sz w:val="24"/>
      <w:szCs w:val="20"/>
    </w:rPr>
  </w:style>
  <w:style w:type="paragraph" w:customStyle="1" w:styleId="12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24">
    <w:name w:val="列出段落1"/>
    <w:basedOn w:val="1"/>
    <w:qFormat/>
    <w:uiPriority w:val="0"/>
    <w:pPr>
      <w:ind w:firstLine="420" w:firstLineChars="200"/>
    </w:pPr>
    <w:rPr>
      <w:szCs w:val="21"/>
    </w:rPr>
  </w:style>
  <w:style w:type="paragraph" w:customStyle="1" w:styleId="125">
    <w:name w:val="Default"/>
    <w:next w:val="126"/>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127">
    <w:name w:val="纯文本 Char2"/>
    <w:qFormat/>
    <w:uiPriority w:val="0"/>
    <w:rPr>
      <w:rFonts w:ascii="宋体" w:hAnsi="Courier New" w:eastAsia="宋体" w:cs="Courier New"/>
      <w:szCs w:val="21"/>
    </w:rPr>
  </w:style>
  <w:style w:type="character" w:customStyle="1" w:styleId="128">
    <w:name w:val="font11"/>
    <w:basedOn w:val="51"/>
    <w:qFormat/>
    <w:uiPriority w:val="0"/>
    <w:rPr>
      <w:rFonts w:hint="eastAsia" w:ascii="宋体" w:hAnsi="宋体" w:eastAsia="宋体" w:cs="宋体"/>
      <w:color w:val="000000"/>
      <w:sz w:val="24"/>
      <w:szCs w:val="24"/>
      <w:u w:val="none"/>
    </w:rPr>
  </w:style>
  <w:style w:type="paragraph" w:customStyle="1" w:styleId="129">
    <w:name w:val="p15"/>
    <w:basedOn w:val="1"/>
    <w:qFormat/>
    <w:uiPriority w:val="0"/>
    <w:pPr>
      <w:widowControl/>
      <w:ind w:firstLine="420"/>
    </w:pPr>
    <w:rPr>
      <w:szCs w:val="21"/>
    </w:rPr>
  </w:style>
  <w:style w:type="paragraph" w:styleId="130">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31">
    <w:name w:val="BodyText"/>
    <w:basedOn w:val="1"/>
    <w:qFormat/>
    <w:uiPriority w:val="0"/>
    <w:pPr>
      <w:spacing w:line="380" w:lineRule="exact"/>
      <w:textAlignment w:val="baseline"/>
    </w:pPr>
    <w:rPr>
      <w:sz w:val="24"/>
    </w:rPr>
  </w:style>
  <w:style w:type="character" w:customStyle="1" w:styleId="132">
    <w:name w:val="NormalCharacter"/>
    <w:qFormat/>
    <w:uiPriority w:val="0"/>
  </w:style>
  <w:style w:type="paragraph" w:customStyle="1" w:styleId="133">
    <w:name w:val="列出段落2"/>
    <w:basedOn w:val="1"/>
    <w:qFormat/>
    <w:uiPriority w:val="34"/>
    <w:pPr>
      <w:widowControl/>
      <w:spacing w:after="200" w:line="276" w:lineRule="auto"/>
      <w:ind w:left="720"/>
      <w:contextualSpacing/>
      <w:jc w:val="left"/>
    </w:pPr>
    <w:rPr>
      <w:kern w:val="0"/>
      <w:sz w:val="22"/>
    </w:rPr>
  </w:style>
  <w:style w:type="paragraph" w:customStyle="1" w:styleId="134">
    <w:name w:val="二级无"/>
    <w:basedOn w:val="1"/>
    <w:qFormat/>
    <w:uiPriority w:val="0"/>
    <w:pPr>
      <w:widowControl/>
      <w:jc w:val="left"/>
      <w:outlineLvl w:val="3"/>
    </w:pPr>
    <w:rPr>
      <w:rFonts w:ascii="宋体"/>
      <w:kern w:val="0"/>
      <w:szCs w:val="21"/>
    </w:rPr>
  </w:style>
  <w:style w:type="paragraph" w:customStyle="1" w:styleId="135">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136">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https://www.gov.cn/zhengce/content/202509/W020250930645245947614.png" TargetMode="Externa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6CCC6-1EAE-45AA-9242-7A525DD0308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99</Pages>
  <Words>53900</Words>
  <Characters>57902</Characters>
  <Lines>474</Lines>
  <Paragraphs>133</Paragraphs>
  <TotalTime>15</TotalTime>
  <ScaleCrop>false</ScaleCrop>
  <LinksUpToDate>false</LinksUpToDate>
  <CharactersWithSpaces>63830</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2024-05-20T09:01:00Z</dcterms:created>
  <dc:creator>番茄花园</dc:creator>
  <cp:lastModifiedBy>吃不饱先生</cp:lastModifiedBy>
  <cp:lastPrinted>2019-09-27T01:36:00Z</cp:lastPrinted>
  <dcterms:modified xsi:type="dcterms:W3CDTF">2026-04-02T04:00:32Z</dcterms:modified>
  <dc:title>公开招标采购文件范本</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97B4C0112BC342F8B920CDC17F15264E_13</vt:lpwstr>
  </property>
  <property fmtid="{D5CDD505-2E9C-101B-9397-08002B2CF9AE}" pid="4" name="KSOTemplateDocerSaveRecord">
    <vt:lpwstr>eyJoZGlkIjoiN2ZiZjUyYTc5YzM4OTI2MGM5Mzg0NzRlMzgyMzk0ODEiLCJ1c2VySWQiOiI0ODU2NjA1NzQifQ==</vt:lpwstr>
  </property>
</Properties>
</file>