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EC652">
      <w:pPr>
        <w:spacing w:line="360" w:lineRule="auto"/>
        <w:jc w:val="center"/>
        <w:rPr>
          <w:rFonts w:ascii="Arial Unicode MS" w:hAnsi="宋体" w:eastAsia="Arial Unicode MS"/>
          <w:color w:val="auto"/>
          <w:sz w:val="52"/>
          <w:szCs w:val="52"/>
        </w:rPr>
      </w:pPr>
      <w:r>
        <w:rPr>
          <w:rFonts w:hint="eastAsia" w:ascii="Arial Unicode MS" w:hAnsi="宋体" w:eastAsia="Arial Unicode MS"/>
          <w:color w:val="auto"/>
          <w:sz w:val="52"/>
          <w:szCs w:val="52"/>
        </w:rPr>
        <w:t>云之龙咨询集团有限公司</w:t>
      </w:r>
    </w:p>
    <w:p w14:paraId="7F1EAB59">
      <w:pPr>
        <w:spacing w:line="360" w:lineRule="auto"/>
        <w:rPr>
          <w:rFonts w:ascii="Arial Unicode MS" w:hAnsi="Arial Unicode MS" w:eastAsia="Arial Unicode MS" w:cs="Arial Unicode MS"/>
          <w:b/>
          <w:color w:val="auto"/>
          <w:sz w:val="44"/>
          <w:szCs w:val="44"/>
        </w:rPr>
      </w:pPr>
      <w:bookmarkStart w:id="67" w:name="_GoBack"/>
      <w:bookmarkEnd w:id="67"/>
    </w:p>
    <w:p w14:paraId="242FBAF9">
      <w:pPr>
        <w:spacing w:before="156" w:line="360" w:lineRule="auto"/>
        <w:jc w:val="center"/>
        <w:rPr>
          <w:rFonts w:ascii="华文细黑" w:hAnsi="华文细黑" w:eastAsia="华文细黑" w:cs="华文细黑"/>
          <w:color w:val="auto"/>
          <w:sz w:val="100"/>
          <w:szCs w:val="100"/>
        </w:rPr>
      </w:pPr>
      <w:r>
        <w:rPr>
          <w:rFonts w:hint="eastAsia" w:ascii="华文细黑" w:hAnsi="华文细黑" w:eastAsia="华文细黑" w:cs="华文细黑"/>
          <w:color w:val="auto"/>
          <w:sz w:val="100"/>
          <w:szCs w:val="100"/>
        </w:rPr>
        <w:t>竞争性谈判文件</w:t>
      </w:r>
    </w:p>
    <w:p w14:paraId="08B17B6B">
      <w:pPr>
        <w:spacing w:before="156" w:line="360" w:lineRule="auto"/>
        <w:jc w:val="center"/>
        <w:rPr>
          <w:rFonts w:ascii="仿宋_GB2312" w:hAnsi="宋体" w:eastAsia="仿宋_GB2312"/>
          <w:b/>
          <w:color w:val="auto"/>
          <w:sz w:val="30"/>
          <w:szCs w:val="72"/>
        </w:rPr>
      </w:pPr>
      <w:r>
        <w:rPr>
          <w:rFonts w:hint="eastAsia" w:ascii="仿宋_GB2312" w:hAnsi="宋体" w:eastAsia="仿宋_GB2312"/>
          <w:b/>
          <w:color w:val="auto"/>
          <w:sz w:val="48"/>
          <w:szCs w:val="48"/>
        </w:rPr>
        <w:t>（全流程电子化采购）</w:t>
      </w:r>
    </w:p>
    <w:p w14:paraId="01D66213">
      <w:pPr>
        <w:pStyle w:val="44"/>
        <w:rPr>
          <w:color w:val="auto"/>
        </w:rPr>
      </w:pPr>
    </w:p>
    <w:p w14:paraId="1954AE5E">
      <w:pPr>
        <w:pStyle w:val="44"/>
        <w:rPr>
          <w:color w:val="auto"/>
        </w:rPr>
      </w:pPr>
    </w:p>
    <w:p w14:paraId="4B89C372">
      <w:pPr>
        <w:pStyle w:val="31"/>
        <w:spacing w:line="360" w:lineRule="auto"/>
        <w:ind w:firstLine="1193" w:firstLineChars="396"/>
        <w:rPr>
          <w:rFonts w:ascii="仿宋_GB2312" w:hAnsi="宋体" w:eastAsia="仿宋_GB2312"/>
          <w:b/>
          <w:bCs/>
          <w:color w:val="auto"/>
          <w:sz w:val="30"/>
          <w:szCs w:val="30"/>
        </w:rPr>
      </w:pPr>
    </w:p>
    <w:p w14:paraId="41338356">
      <w:pPr>
        <w:spacing w:line="360" w:lineRule="auto"/>
        <w:rPr>
          <w:rFonts w:ascii="仿宋_GB2312" w:hAnsi="宋体" w:eastAsia="仿宋_GB2312"/>
          <w:b/>
          <w:bCs/>
          <w:color w:val="auto"/>
          <w:sz w:val="30"/>
          <w:szCs w:val="30"/>
        </w:rPr>
      </w:pPr>
      <w:r>
        <w:rPr>
          <w:rFonts w:hint="eastAsia" w:ascii="仿宋_GB2312" w:hAnsi="宋体" w:eastAsia="仿宋_GB2312"/>
          <w:b/>
          <w:bCs/>
          <w:color w:val="auto"/>
          <w:sz w:val="30"/>
          <w:szCs w:val="30"/>
        </w:rPr>
        <w:t>项目</w:t>
      </w:r>
      <w:r>
        <w:rPr>
          <w:rFonts w:hint="eastAsia" w:ascii="仿宋_GB2312" w:hAnsi="宋体" w:eastAsia="仿宋_GB2312" w:cs="Courier New"/>
          <w:b/>
          <w:bCs/>
          <w:color w:val="auto"/>
          <w:w w:val="95"/>
          <w:sz w:val="30"/>
          <w:szCs w:val="30"/>
        </w:rPr>
        <w:t>名称</w:t>
      </w:r>
      <w:r>
        <w:rPr>
          <w:rFonts w:hint="eastAsia" w:ascii="仿宋_GB2312" w:hAnsi="宋体" w:eastAsia="仿宋_GB2312"/>
          <w:b/>
          <w:bCs/>
          <w:color w:val="auto"/>
          <w:sz w:val="30"/>
          <w:szCs w:val="30"/>
        </w:rPr>
        <w:t>：崇左市人民医院2026年度残疾人劳务派遣服务项目</w:t>
      </w:r>
    </w:p>
    <w:p w14:paraId="2679AD73">
      <w:pPr>
        <w:spacing w:line="360" w:lineRule="auto"/>
        <w:rPr>
          <w:rFonts w:ascii="仿宋_GB2312" w:hAnsi="宋体" w:eastAsia="仿宋_GB2312" w:cs="Courier New"/>
          <w:b/>
          <w:bCs/>
          <w:color w:val="auto"/>
          <w:w w:val="95"/>
          <w:sz w:val="30"/>
          <w:szCs w:val="30"/>
        </w:rPr>
      </w:pPr>
      <w:r>
        <w:rPr>
          <w:rFonts w:hint="eastAsia" w:ascii="仿宋_GB2312" w:hAnsi="宋体" w:eastAsia="仿宋_GB2312" w:cs="Courier New"/>
          <w:b/>
          <w:bCs/>
          <w:color w:val="auto"/>
          <w:w w:val="95"/>
          <w:sz w:val="30"/>
          <w:szCs w:val="30"/>
        </w:rPr>
        <w:t>项目</w:t>
      </w:r>
      <w:r>
        <w:rPr>
          <w:rFonts w:hint="eastAsia" w:ascii="仿宋_GB2312" w:hAnsi="宋体" w:eastAsia="仿宋_GB2312"/>
          <w:b/>
          <w:bCs/>
          <w:color w:val="auto"/>
          <w:sz w:val="30"/>
          <w:szCs w:val="30"/>
        </w:rPr>
        <w:t>编号</w:t>
      </w:r>
      <w:r>
        <w:rPr>
          <w:rFonts w:hint="eastAsia" w:ascii="仿宋_GB2312" w:hAnsi="宋体" w:eastAsia="仿宋_GB2312" w:cs="Courier New"/>
          <w:b/>
          <w:bCs/>
          <w:color w:val="auto"/>
          <w:w w:val="95"/>
          <w:sz w:val="30"/>
          <w:szCs w:val="30"/>
        </w:rPr>
        <w:t>：CZZC2026-J3-990031-YZLZ</w:t>
      </w:r>
    </w:p>
    <w:p w14:paraId="44EF9B2C">
      <w:pPr>
        <w:spacing w:line="360" w:lineRule="auto"/>
        <w:ind w:firstLine="1205" w:firstLineChars="400"/>
        <w:rPr>
          <w:rFonts w:ascii="仿宋_GB2312" w:hAnsi="宋体" w:eastAsia="仿宋_GB2312"/>
          <w:b/>
          <w:color w:val="auto"/>
          <w:sz w:val="30"/>
          <w:szCs w:val="48"/>
        </w:rPr>
      </w:pPr>
      <w:r>
        <w:rPr>
          <w:rFonts w:hint="eastAsia" w:ascii="仿宋_GB2312" w:hAnsi="宋体" w:eastAsia="仿宋_GB2312"/>
          <w:b/>
          <w:color w:val="auto"/>
          <w:sz w:val="30"/>
          <w:szCs w:val="48"/>
        </w:rPr>
        <w:t xml:space="preserve"> </w:t>
      </w:r>
    </w:p>
    <w:p w14:paraId="2B50CAEF">
      <w:pPr>
        <w:pStyle w:val="82"/>
        <w:rPr>
          <w:rFonts w:ascii="仿宋_GB2312" w:hAnsi="宋体" w:eastAsia="仿宋_GB2312"/>
          <w:b/>
          <w:color w:val="auto"/>
          <w:sz w:val="30"/>
          <w:szCs w:val="48"/>
        </w:rPr>
      </w:pPr>
    </w:p>
    <w:p w14:paraId="69279A37">
      <w:pPr>
        <w:pStyle w:val="82"/>
        <w:rPr>
          <w:rFonts w:ascii="仿宋_GB2312" w:hAnsi="宋体" w:eastAsia="仿宋_GB2312"/>
          <w:b/>
          <w:color w:val="auto"/>
          <w:sz w:val="30"/>
          <w:szCs w:val="48"/>
        </w:rPr>
      </w:pPr>
    </w:p>
    <w:p w14:paraId="57930BD1">
      <w:pPr>
        <w:pStyle w:val="31"/>
        <w:spacing w:line="360" w:lineRule="auto"/>
        <w:ind w:firstLine="1125" w:firstLineChars="393"/>
        <w:rPr>
          <w:rFonts w:ascii="仿宋_GB2312" w:hAnsi="宋体" w:eastAsia="仿宋_GB2312"/>
          <w:b/>
          <w:bCs/>
          <w:color w:val="auto"/>
          <w:w w:val="95"/>
          <w:sz w:val="30"/>
          <w:szCs w:val="30"/>
        </w:rPr>
      </w:pPr>
      <w:r>
        <w:rPr>
          <w:rFonts w:hint="eastAsia" w:ascii="仿宋_GB2312" w:hAnsi="宋体" w:eastAsia="仿宋_GB2312"/>
          <w:b/>
          <w:bCs/>
          <w:color w:val="auto"/>
          <w:w w:val="95"/>
          <w:sz w:val="30"/>
          <w:szCs w:val="30"/>
        </w:rPr>
        <w:t>采 购 人：崇左市人民医院</w:t>
      </w:r>
    </w:p>
    <w:p w14:paraId="7CC14716">
      <w:pPr>
        <w:pStyle w:val="31"/>
        <w:spacing w:line="360" w:lineRule="auto"/>
        <w:ind w:firstLine="1125" w:firstLineChars="393"/>
        <w:rPr>
          <w:rFonts w:ascii="仿宋_GB2312" w:hAnsi="宋体" w:eastAsia="仿宋_GB2312"/>
          <w:b/>
          <w:bCs/>
          <w:color w:val="auto"/>
          <w:w w:val="95"/>
          <w:sz w:val="30"/>
          <w:szCs w:val="30"/>
        </w:rPr>
      </w:pPr>
      <w:r>
        <w:rPr>
          <w:rFonts w:hint="eastAsia" w:ascii="仿宋_GB2312" w:hAnsi="宋体" w:eastAsia="仿宋_GB2312"/>
          <w:b/>
          <w:bCs/>
          <w:color w:val="auto"/>
          <w:w w:val="95"/>
          <w:sz w:val="30"/>
          <w:szCs w:val="30"/>
        </w:rPr>
        <w:t>采购代理机构：云之龙咨询集团有限公司</w:t>
      </w:r>
    </w:p>
    <w:p w14:paraId="51A58AFC">
      <w:pPr>
        <w:pStyle w:val="31"/>
        <w:spacing w:line="360" w:lineRule="auto"/>
        <w:ind w:firstLine="2862" w:firstLineChars="1000"/>
        <w:rPr>
          <w:rFonts w:hAnsi="宋体" w:cs="宋体"/>
          <w:b/>
          <w:color w:val="auto"/>
          <w:sz w:val="32"/>
          <w:szCs w:val="32"/>
        </w:rPr>
      </w:pPr>
      <w:r>
        <w:rPr>
          <w:rFonts w:hint="eastAsia" w:ascii="仿宋_GB2312" w:hAnsi="宋体" w:eastAsia="仿宋_GB2312"/>
          <w:b/>
          <w:bCs/>
          <w:color w:val="auto"/>
          <w:w w:val="95"/>
          <w:sz w:val="30"/>
          <w:szCs w:val="30"/>
        </w:rPr>
        <w:t>2026年</w:t>
      </w:r>
      <w:r>
        <w:rPr>
          <w:rFonts w:hint="eastAsia" w:ascii="仿宋_GB2312" w:hAnsi="宋体" w:eastAsia="仿宋_GB2312"/>
          <w:b/>
          <w:bCs/>
          <w:color w:val="auto"/>
          <w:w w:val="95"/>
          <w:sz w:val="30"/>
          <w:szCs w:val="30"/>
          <w:lang w:val="en-US" w:eastAsia="zh-CN"/>
        </w:rPr>
        <w:t>3</w:t>
      </w:r>
      <w:r>
        <w:rPr>
          <w:rFonts w:hint="eastAsia" w:ascii="仿宋_GB2312" w:hAnsi="宋体" w:eastAsia="仿宋_GB2312"/>
          <w:b/>
          <w:bCs/>
          <w:color w:val="auto"/>
          <w:w w:val="95"/>
          <w:sz w:val="30"/>
          <w:szCs w:val="30"/>
        </w:rPr>
        <w:t>月</w:t>
      </w:r>
      <w:r>
        <w:rPr>
          <w:rFonts w:hint="eastAsia" w:ascii="仿宋_GB2312" w:hAnsi="宋体" w:eastAsia="仿宋_GB2312"/>
          <w:b/>
          <w:bCs/>
          <w:color w:val="auto"/>
          <w:w w:val="95"/>
          <w:sz w:val="30"/>
          <w:szCs w:val="30"/>
          <w:lang w:val="en-US" w:eastAsia="zh-CN"/>
        </w:rPr>
        <w:t>30</w:t>
      </w:r>
      <w:r>
        <w:rPr>
          <w:rFonts w:hint="eastAsia" w:ascii="仿宋_GB2312" w:hAnsi="宋体" w:eastAsia="仿宋_GB2312"/>
          <w:b/>
          <w:bCs/>
          <w:color w:val="auto"/>
          <w:w w:val="95"/>
          <w:sz w:val="30"/>
          <w:szCs w:val="30"/>
        </w:rPr>
        <w:t>日</w:t>
      </w:r>
    </w:p>
    <w:p w14:paraId="7829A660">
      <w:pPr>
        <w:tabs>
          <w:tab w:val="left" w:pos="1080"/>
        </w:tabs>
        <w:spacing w:line="360" w:lineRule="exact"/>
        <w:ind w:firstLine="480"/>
        <w:rPr>
          <w:rFonts w:ascii="宋体" w:hAnsi="宋体" w:cs="宋体"/>
          <w:bCs/>
          <w:color w:val="auto"/>
        </w:rPr>
      </w:pPr>
    </w:p>
    <w:p w14:paraId="436EB9B3">
      <w:pPr>
        <w:tabs>
          <w:tab w:val="left" w:pos="1080"/>
        </w:tabs>
        <w:spacing w:line="360" w:lineRule="exact"/>
        <w:ind w:firstLine="480"/>
        <w:rPr>
          <w:rFonts w:ascii="宋体" w:hAnsi="宋体" w:cs="宋体"/>
          <w:bCs/>
          <w:color w:val="auto"/>
        </w:rPr>
      </w:pPr>
    </w:p>
    <w:p w14:paraId="6541CAA9">
      <w:pPr>
        <w:spacing w:line="360" w:lineRule="auto"/>
        <w:jc w:val="center"/>
        <w:rPr>
          <w:rFonts w:ascii="宋体" w:hAnsi="宋体"/>
          <w:b/>
          <w:color w:val="auto"/>
          <w:sz w:val="44"/>
          <w:szCs w:val="44"/>
        </w:rPr>
      </w:pPr>
      <w:r>
        <w:rPr>
          <w:rFonts w:ascii="宋体" w:hAnsi="宋体"/>
          <w:b/>
          <w:color w:val="auto"/>
          <w:sz w:val="44"/>
          <w:szCs w:val="44"/>
        </w:rPr>
        <w:br w:type="page"/>
      </w:r>
    </w:p>
    <w:p w14:paraId="6D7095AD">
      <w:pPr>
        <w:spacing w:line="360" w:lineRule="auto"/>
        <w:jc w:val="center"/>
        <w:rPr>
          <w:rFonts w:ascii="宋体" w:hAnsi="宋体"/>
          <w:b/>
          <w:color w:val="auto"/>
          <w:sz w:val="44"/>
          <w:szCs w:val="44"/>
        </w:rPr>
      </w:pPr>
      <w:r>
        <w:rPr>
          <w:rFonts w:hint="eastAsia" w:ascii="宋体" w:hAnsi="宋体"/>
          <w:b/>
          <w:color w:val="auto"/>
          <w:sz w:val="44"/>
          <w:szCs w:val="44"/>
        </w:rPr>
        <w:t>目  录</w:t>
      </w:r>
    </w:p>
    <w:p w14:paraId="46B9537D">
      <w:pPr>
        <w:spacing w:line="400" w:lineRule="exact"/>
        <w:jc w:val="center"/>
        <w:rPr>
          <w:rFonts w:ascii="宋体" w:hAnsi="宋体"/>
          <w:b/>
          <w:color w:val="auto"/>
          <w:sz w:val="44"/>
          <w:szCs w:val="44"/>
        </w:rPr>
      </w:pPr>
    </w:p>
    <w:p w14:paraId="613EF8DE">
      <w:pPr>
        <w:pStyle w:val="4"/>
        <w:tabs>
          <w:tab w:val="right" w:leader="dot" w:pos="8879"/>
        </w:tabs>
        <w:spacing w:line="500" w:lineRule="exact"/>
        <w:rPr>
          <w:color w:val="auto"/>
        </w:rPr>
      </w:pPr>
      <w:r>
        <w:rPr>
          <w:rFonts w:ascii="宋体" w:hAnsi="宋体"/>
          <w:b/>
          <w:color w:val="auto"/>
          <w:sz w:val="24"/>
        </w:rPr>
        <w:fldChar w:fldCharType="begin"/>
      </w:r>
      <w:r>
        <w:rPr>
          <w:rFonts w:ascii="宋体" w:hAnsi="宋体"/>
          <w:b/>
          <w:color w:val="auto"/>
          <w:sz w:val="24"/>
        </w:rPr>
        <w:instrText xml:space="preserve"> </w:instrText>
      </w:r>
      <w:r>
        <w:rPr>
          <w:rFonts w:hint="eastAsia" w:ascii="宋体" w:hAnsi="宋体"/>
          <w:b/>
          <w:color w:val="auto"/>
          <w:sz w:val="24"/>
        </w:rPr>
        <w:instrText xml:space="preserve">TOC \o "1-3" \h \z \u</w:instrText>
      </w:r>
      <w:r>
        <w:rPr>
          <w:rFonts w:ascii="宋体" w:hAnsi="宋体"/>
          <w:b/>
          <w:color w:val="auto"/>
          <w:sz w:val="24"/>
        </w:rPr>
        <w:instrText xml:space="preserve"> </w:instrText>
      </w:r>
      <w:r>
        <w:rPr>
          <w:rFonts w:ascii="宋体" w:hAnsi="宋体"/>
          <w:b/>
          <w:color w:val="auto"/>
          <w:sz w:val="24"/>
        </w:rPr>
        <w:fldChar w:fldCharType="separate"/>
      </w:r>
      <w:r>
        <w:rPr>
          <w:color w:val="auto"/>
        </w:rPr>
        <w:fldChar w:fldCharType="begin"/>
      </w:r>
      <w:r>
        <w:rPr>
          <w:color w:val="auto"/>
        </w:rPr>
        <w:instrText xml:space="preserve"> HYPERLINK \l "_Toc18511" </w:instrText>
      </w:r>
      <w:r>
        <w:rPr>
          <w:color w:val="auto"/>
        </w:rPr>
        <w:fldChar w:fldCharType="separate"/>
      </w:r>
      <w:r>
        <w:rPr>
          <w:rFonts w:hint="eastAsia"/>
          <w:color w:val="auto"/>
        </w:rPr>
        <w:t>第一章 竞争性谈判公告</w:t>
      </w:r>
      <w:r>
        <w:rPr>
          <w:color w:val="auto"/>
        </w:rPr>
        <w:tab/>
      </w:r>
      <w:r>
        <w:rPr>
          <w:color w:val="auto"/>
        </w:rPr>
        <w:fldChar w:fldCharType="begin"/>
      </w:r>
      <w:r>
        <w:rPr>
          <w:color w:val="auto"/>
        </w:rPr>
        <w:instrText xml:space="preserve"> PAGEREF _Toc18511 \h </w:instrText>
      </w:r>
      <w:r>
        <w:rPr>
          <w:color w:val="auto"/>
        </w:rPr>
        <w:fldChar w:fldCharType="separate"/>
      </w:r>
      <w:r>
        <w:rPr>
          <w:color w:val="auto"/>
        </w:rPr>
        <w:t>3</w:t>
      </w:r>
      <w:r>
        <w:rPr>
          <w:color w:val="auto"/>
        </w:rPr>
        <w:fldChar w:fldCharType="end"/>
      </w:r>
      <w:r>
        <w:rPr>
          <w:color w:val="auto"/>
        </w:rPr>
        <w:fldChar w:fldCharType="end"/>
      </w:r>
    </w:p>
    <w:p w14:paraId="7A3D9E83">
      <w:pPr>
        <w:pStyle w:val="4"/>
        <w:tabs>
          <w:tab w:val="right" w:leader="dot" w:pos="8879"/>
        </w:tabs>
        <w:spacing w:line="500" w:lineRule="exact"/>
        <w:rPr>
          <w:color w:val="auto"/>
        </w:rPr>
      </w:pPr>
      <w:r>
        <w:rPr>
          <w:color w:val="auto"/>
        </w:rPr>
        <w:fldChar w:fldCharType="begin"/>
      </w:r>
      <w:r>
        <w:rPr>
          <w:color w:val="auto"/>
        </w:rPr>
        <w:instrText xml:space="preserve"> HYPERLINK \l "_Toc19778" </w:instrText>
      </w:r>
      <w:r>
        <w:rPr>
          <w:color w:val="auto"/>
        </w:rPr>
        <w:fldChar w:fldCharType="separate"/>
      </w:r>
      <w:r>
        <w:rPr>
          <w:rFonts w:hint="eastAsia"/>
          <w:color w:val="auto"/>
        </w:rPr>
        <w:t>第二章 供应商须知</w:t>
      </w:r>
      <w:r>
        <w:rPr>
          <w:color w:val="auto"/>
        </w:rPr>
        <w:tab/>
      </w:r>
      <w:r>
        <w:rPr>
          <w:color w:val="auto"/>
        </w:rPr>
        <w:fldChar w:fldCharType="begin"/>
      </w:r>
      <w:r>
        <w:rPr>
          <w:color w:val="auto"/>
        </w:rPr>
        <w:instrText xml:space="preserve"> PAGEREF _Toc19778 \h </w:instrText>
      </w:r>
      <w:r>
        <w:rPr>
          <w:color w:val="auto"/>
        </w:rPr>
        <w:fldChar w:fldCharType="separate"/>
      </w:r>
      <w:r>
        <w:rPr>
          <w:color w:val="auto"/>
        </w:rPr>
        <w:t>7</w:t>
      </w:r>
      <w:r>
        <w:rPr>
          <w:color w:val="auto"/>
        </w:rPr>
        <w:fldChar w:fldCharType="end"/>
      </w:r>
      <w:r>
        <w:rPr>
          <w:color w:val="auto"/>
        </w:rPr>
        <w:fldChar w:fldCharType="end"/>
      </w:r>
    </w:p>
    <w:p w14:paraId="344EA2B0">
      <w:pPr>
        <w:pStyle w:val="4"/>
        <w:tabs>
          <w:tab w:val="right" w:leader="dot" w:pos="8879"/>
        </w:tabs>
        <w:spacing w:line="500" w:lineRule="exact"/>
        <w:rPr>
          <w:color w:val="auto"/>
        </w:rPr>
      </w:pPr>
      <w:r>
        <w:rPr>
          <w:color w:val="auto"/>
        </w:rPr>
        <w:fldChar w:fldCharType="begin"/>
      </w:r>
      <w:r>
        <w:rPr>
          <w:color w:val="auto"/>
        </w:rPr>
        <w:instrText xml:space="preserve"> HYPERLINK \l "_Toc16482" </w:instrText>
      </w:r>
      <w:r>
        <w:rPr>
          <w:color w:val="auto"/>
        </w:rPr>
        <w:fldChar w:fldCharType="separate"/>
      </w:r>
      <w:r>
        <w:rPr>
          <w:rFonts w:hint="eastAsia"/>
          <w:color w:val="auto"/>
        </w:rPr>
        <w:t>第三章 采购需求</w:t>
      </w:r>
      <w:r>
        <w:rPr>
          <w:color w:val="auto"/>
        </w:rPr>
        <w:tab/>
      </w:r>
      <w:r>
        <w:rPr>
          <w:color w:val="auto"/>
        </w:rPr>
        <w:fldChar w:fldCharType="begin"/>
      </w:r>
      <w:r>
        <w:rPr>
          <w:color w:val="auto"/>
        </w:rPr>
        <w:instrText xml:space="preserve"> PAGEREF _Toc16482 \h </w:instrText>
      </w:r>
      <w:r>
        <w:rPr>
          <w:color w:val="auto"/>
        </w:rPr>
        <w:fldChar w:fldCharType="separate"/>
      </w:r>
      <w:r>
        <w:rPr>
          <w:color w:val="auto"/>
        </w:rPr>
        <w:t>25</w:t>
      </w:r>
      <w:r>
        <w:rPr>
          <w:color w:val="auto"/>
        </w:rPr>
        <w:fldChar w:fldCharType="end"/>
      </w:r>
      <w:r>
        <w:rPr>
          <w:color w:val="auto"/>
        </w:rPr>
        <w:fldChar w:fldCharType="end"/>
      </w:r>
    </w:p>
    <w:p w14:paraId="1822FF1D">
      <w:pPr>
        <w:pStyle w:val="4"/>
        <w:tabs>
          <w:tab w:val="right" w:leader="dot" w:pos="8879"/>
        </w:tabs>
        <w:spacing w:line="500" w:lineRule="exact"/>
        <w:rPr>
          <w:color w:val="auto"/>
        </w:rPr>
      </w:pPr>
      <w:r>
        <w:rPr>
          <w:color w:val="auto"/>
        </w:rPr>
        <w:fldChar w:fldCharType="begin"/>
      </w:r>
      <w:r>
        <w:rPr>
          <w:color w:val="auto"/>
        </w:rPr>
        <w:instrText xml:space="preserve"> HYPERLINK \l "_Toc7304" </w:instrText>
      </w:r>
      <w:r>
        <w:rPr>
          <w:color w:val="auto"/>
        </w:rPr>
        <w:fldChar w:fldCharType="separate"/>
      </w:r>
      <w:r>
        <w:rPr>
          <w:rFonts w:hint="eastAsia"/>
          <w:color w:val="auto"/>
        </w:rPr>
        <w:t>第四章  评审程序和评定成交的标准</w:t>
      </w:r>
      <w:r>
        <w:rPr>
          <w:color w:val="auto"/>
        </w:rPr>
        <w:tab/>
      </w:r>
      <w:r>
        <w:rPr>
          <w:color w:val="auto"/>
        </w:rPr>
        <w:fldChar w:fldCharType="begin"/>
      </w:r>
      <w:r>
        <w:rPr>
          <w:color w:val="auto"/>
        </w:rPr>
        <w:instrText xml:space="preserve"> PAGEREF _Toc7304 \h </w:instrText>
      </w:r>
      <w:r>
        <w:rPr>
          <w:color w:val="auto"/>
        </w:rPr>
        <w:fldChar w:fldCharType="separate"/>
      </w:r>
      <w:r>
        <w:rPr>
          <w:color w:val="auto"/>
        </w:rPr>
        <w:t>31</w:t>
      </w:r>
      <w:r>
        <w:rPr>
          <w:color w:val="auto"/>
        </w:rPr>
        <w:fldChar w:fldCharType="end"/>
      </w:r>
      <w:r>
        <w:rPr>
          <w:color w:val="auto"/>
        </w:rPr>
        <w:fldChar w:fldCharType="end"/>
      </w:r>
    </w:p>
    <w:p w14:paraId="445D2503">
      <w:pPr>
        <w:pStyle w:val="4"/>
        <w:tabs>
          <w:tab w:val="right" w:leader="dot" w:pos="8879"/>
        </w:tabs>
        <w:spacing w:line="500" w:lineRule="exact"/>
        <w:rPr>
          <w:color w:val="auto"/>
        </w:rPr>
      </w:pPr>
      <w:r>
        <w:rPr>
          <w:color w:val="auto"/>
        </w:rPr>
        <w:fldChar w:fldCharType="begin"/>
      </w:r>
      <w:r>
        <w:rPr>
          <w:color w:val="auto"/>
        </w:rPr>
        <w:instrText xml:space="preserve"> HYPERLINK \l "_Toc29999" </w:instrText>
      </w:r>
      <w:r>
        <w:rPr>
          <w:color w:val="auto"/>
        </w:rPr>
        <w:fldChar w:fldCharType="separate"/>
      </w:r>
      <w:r>
        <w:rPr>
          <w:rFonts w:hint="eastAsia"/>
          <w:color w:val="auto"/>
        </w:rPr>
        <w:t>第五章 响应文件格式</w:t>
      </w:r>
      <w:r>
        <w:rPr>
          <w:color w:val="auto"/>
        </w:rPr>
        <w:tab/>
      </w:r>
      <w:r>
        <w:rPr>
          <w:color w:val="auto"/>
        </w:rPr>
        <w:fldChar w:fldCharType="begin"/>
      </w:r>
      <w:r>
        <w:rPr>
          <w:color w:val="auto"/>
        </w:rPr>
        <w:instrText xml:space="preserve"> PAGEREF _Toc29999 \h </w:instrText>
      </w:r>
      <w:r>
        <w:rPr>
          <w:color w:val="auto"/>
        </w:rPr>
        <w:fldChar w:fldCharType="separate"/>
      </w:r>
      <w:r>
        <w:rPr>
          <w:color w:val="auto"/>
        </w:rPr>
        <w:t>38</w:t>
      </w:r>
      <w:r>
        <w:rPr>
          <w:color w:val="auto"/>
        </w:rPr>
        <w:fldChar w:fldCharType="end"/>
      </w:r>
      <w:r>
        <w:rPr>
          <w:color w:val="auto"/>
        </w:rPr>
        <w:fldChar w:fldCharType="end"/>
      </w:r>
    </w:p>
    <w:p w14:paraId="685A3160">
      <w:pPr>
        <w:pStyle w:val="4"/>
        <w:tabs>
          <w:tab w:val="right" w:leader="dot" w:pos="8879"/>
        </w:tabs>
        <w:spacing w:line="500" w:lineRule="exact"/>
        <w:rPr>
          <w:color w:val="auto"/>
        </w:rPr>
      </w:pPr>
      <w:r>
        <w:rPr>
          <w:color w:val="auto"/>
        </w:rPr>
        <w:fldChar w:fldCharType="begin"/>
      </w:r>
      <w:r>
        <w:rPr>
          <w:color w:val="auto"/>
        </w:rPr>
        <w:instrText xml:space="preserve"> HYPERLINK \l "_Toc15072" </w:instrText>
      </w:r>
      <w:r>
        <w:rPr>
          <w:color w:val="auto"/>
        </w:rPr>
        <w:fldChar w:fldCharType="separate"/>
      </w:r>
      <w:r>
        <w:rPr>
          <w:rFonts w:hint="eastAsia"/>
          <w:color w:val="auto"/>
        </w:rPr>
        <w:t>第六章 合同文本</w:t>
      </w:r>
      <w:r>
        <w:rPr>
          <w:color w:val="auto"/>
        </w:rPr>
        <w:tab/>
      </w:r>
      <w:r>
        <w:rPr>
          <w:color w:val="auto"/>
        </w:rPr>
        <w:fldChar w:fldCharType="begin"/>
      </w:r>
      <w:r>
        <w:rPr>
          <w:color w:val="auto"/>
        </w:rPr>
        <w:instrText xml:space="preserve"> PAGEREF _Toc15072 \h </w:instrText>
      </w:r>
      <w:r>
        <w:rPr>
          <w:color w:val="auto"/>
        </w:rPr>
        <w:fldChar w:fldCharType="separate"/>
      </w:r>
      <w:r>
        <w:rPr>
          <w:color w:val="auto"/>
        </w:rPr>
        <w:t>60</w:t>
      </w:r>
      <w:r>
        <w:rPr>
          <w:color w:val="auto"/>
        </w:rPr>
        <w:fldChar w:fldCharType="end"/>
      </w:r>
      <w:r>
        <w:rPr>
          <w:color w:val="auto"/>
        </w:rPr>
        <w:fldChar w:fldCharType="end"/>
      </w:r>
    </w:p>
    <w:p w14:paraId="320D46A2">
      <w:pPr>
        <w:pStyle w:val="43"/>
        <w:tabs>
          <w:tab w:val="right" w:leader="dot" w:pos="8931"/>
          <w:tab w:val="clear" w:pos="8296"/>
        </w:tabs>
        <w:spacing w:line="500" w:lineRule="exact"/>
        <w:ind w:left="0" w:leftChars="0"/>
        <w:rPr>
          <w:rFonts w:ascii="宋体" w:hAnsi="宋体"/>
          <w:b/>
          <w:color w:val="auto"/>
          <w:sz w:val="24"/>
        </w:rPr>
      </w:pPr>
      <w:r>
        <w:rPr>
          <w:rFonts w:ascii="宋体" w:hAnsi="宋体"/>
          <w:color w:val="auto"/>
        </w:rPr>
        <w:fldChar w:fldCharType="end"/>
      </w:r>
    </w:p>
    <w:p w14:paraId="4574D9F0">
      <w:pPr>
        <w:spacing w:line="400" w:lineRule="exact"/>
        <w:jc w:val="left"/>
        <w:rPr>
          <w:rFonts w:ascii="宋体" w:hAnsi="宋体"/>
          <w:b/>
          <w:color w:val="auto"/>
          <w:sz w:val="32"/>
          <w:szCs w:val="32"/>
        </w:rPr>
      </w:pPr>
    </w:p>
    <w:p w14:paraId="4695F2DA">
      <w:pPr>
        <w:spacing w:line="400" w:lineRule="exact"/>
        <w:jc w:val="center"/>
        <w:rPr>
          <w:rFonts w:ascii="宋体" w:hAnsi="宋体"/>
          <w:b/>
          <w:color w:val="auto"/>
          <w:sz w:val="32"/>
          <w:szCs w:val="32"/>
        </w:rPr>
      </w:pPr>
    </w:p>
    <w:p w14:paraId="13A6D359">
      <w:pPr>
        <w:spacing w:line="400" w:lineRule="exact"/>
        <w:jc w:val="center"/>
        <w:rPr>
          <w:rFonts w:ascii="宋体" w:hAnsi="宋体"/>
          <w:b/>
          <w:color w:val="auto"/>
          <w:sz w:val="32"/>
          <w:szCs w:val="32"/>
        </w:rPr>
      </w:pPr>
    </w:p>
    <w:p w14:paraId="0FD55E9B">
      <w:pPr>
        <w:spacing w:line="400" w:lineRule="exact"/>
        <w:jc w:val="center"/>
        <w:rPr>
          <w:rFonts w:ascii="宋体" w:hAnsi="宋体"/>
          <w:b/>
          <w:color w:val="auto"/>
          <w:sz w:val="32"/>
          <w:szCs w:val="32"/>
        </w:rPr>
      </w:pPr>
    </w:p>
    <w:p w14:paraId="659C445D">
      <w:pPr>
        <w:spacing w:line="400" w:lineRule="exact"/>
        <w:jc w:val="center"/>
        <w:rPr>
          <w:rFonts w:ascii="宋体" w:hAnsi="宋体"/>
          <w:b/>
          <w:color w:val="auto"/>
          <w:sz w:val="32"/>
          <w:szCs w:val="32"/>
        </w:rPr>
      </w:pPr>
    </w:p>
    <w:p w14:paraId="05B6760E">
      <w:pPr>
        <w:spacing w:line="400" w:lineRule="exact"/>
        <w:rPr>
          <w:rFonts w:ascii="宋体" w:hAnsi="宋体"/>
          <w:b/>
          <w:color w:val="auto"/>
          <w:sz w:val="32"/>
          <w:szCs w:val="32"/>
        </w:rPr>
        <w:sectPr>
          <w:headerReference r:id="rId3" w:type="default"/>
          <w:footerReference r:id="rId4" w:type="default"/>
          <w:pgSz w:w="11906" w:h="16838"/>
          <w:pgMar w:top="1440" w:right="1440" w:bottom="1440" w:left="1587" w:header="851" w:footer="992" w:gutter="0"/>
          <w:cols w:space="720" w:num="1"/>
          <w:titlePg/>
          <w:docGrid w:type="lines" w:linePitch="312" w:charSpace="0"/>
        </w:sectPr>
      </w:pPr>
    </w:p>
    <w:p w14:paraId="1853EDF0">
      <w:pPr>
        <w:pStyle w:val="9"/>
        <w:spacing w:after="100" w:line="480" w:lineRule="auto"/>
        <w:jc w:val="center"/>
        <w:rPr>
          <w:color w:val="auto"/>
        </w:rPr>
      </w:pPr>
      <w:bookmarkStart w:id="0" w:name="_Toc18511"/>
      <w:r>
        <w:rPr>
          <w:rFonts w:hint="eastAsia"/>
          <w:color w:val="auto"/>
        </w:rPr>
        <w:t>第一章 竞争性谈判公告</w:t>
      </w:r>
      <w:bookmarkEnd w:id="0"/>
    </w:p>
    <w:p w14:paraId="30D20531">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textAlignment w:val="auto"/>
        <w:rPr>
          <w:rFonts w:ascii="宋体" w:hAnsi="宋体"/>
          <w:color w:val="auto"/>
          <w:szCs w:val="21"/>
        </w:rPr>
      </w:pPr>
      <w:bookmarkStart w:id="1" w:name="_Hlk37430271"/>
      <w:r>
        <w:rPr>
          <w:rFonts w:hint="eastAsia" w:ascii="宋体" w:hAnsi="宋体"/>
          <w:color w:val="auto"/>
          <w:szCs w:val="21"/>
        </w:rPr>
        <w:t>项目概况</w:t>
      </w:r>
    </w:p>
    <w:p w14:paraId="737F1ED1">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20" w:firstLineChars="200"/>
        <w:textAlignment w:val="auto"/>
        <w:rPr>
          <w:rFonts w:ascii="宋体" w:hAnsi="宋体"/>
          <w:color w:val="auto"/>
          <w:szCs w:val="21"/>
        </w:rPr>
      </w:pPr>
      <w:r>
        <w:rPr>
          <w:rFonts w:hint="eastAsia" w:ascii="宋体" w:hAnsi="宋体"/>
          <w:color w:val="auto"/>
          <w:szCs w:val="21"/>
          <w:u w:val="single"/>
        </w:rPr>
        <w:t>崇左市人民医院2026年度残疾人劳务派遣服务项目</w:t>
      </w:r>
      <w:r>
        <w:rPr>
          <w:rFonts w:hint="eastAsia" w:ascii="宋体" w:hAnsi="宋体"/>
          <w:color w:val="auto"/>
          <w:szCs w:val="21"/>
        </w:rPr>
        <w:t>的潜在供应商应在广西政府采购云平台（https://www.gcy.zfcg.gxzf.gov.cn）获取（下载）竞争性谈判文件，并于</w:t>
      </w:r>
      <w:r>
        <w:rPr>
          <w:rFonts w:hint="eastAsia" w:ascii="宋体" w:hAnsi="宋体"/>
          <w:color w:val="auto"/>
          <w:szCs w:val="21"/>
          <w:u w:val="single"/>
        </w:rPr>
        <w:t>2026</w:t>
      </w:r>
      <w:r>
        <w:rPr>
          <w:rFonts w:hint="eastAsia" w:ascii="宋体" w:hAnsi="宋体"/>
          <w:bCs/>
          <w:color w:val="auto"/>
          <w:szCs w:val="21"/>
          <w:u w:val="single"/>
        </w:rPr>
        <w:t>年</w:t>
      </w:r>
      <w:r>
        <w:rPr>
          <w:rFonts w:hint="eastAsia" w:ascii="宋体" w:hAnsi="宋体"/>
          <w:bCs/>
          <w:color w:val="auto"/>
          <w:szCs w:val="21"/>
          <w:u w:val="single"/>
          <w:lang w:val="en-US" w:eastAsia="zh-CN"/>
        </w:rPr>
        <w:t>4</w:t>
      </w:r>
      <w:r>
        <w:rPr>
          <w:rFonts w:hint="eastAsia" w:ascii="宋体" w:hAnsi="宋体"/>
          <w:bCs/>
          <w:color w:val="auto"/>
          <w:szCs w:val="21"/>
          <w:u w:val="single"/>
        </w:rPr>
        <w:t>月</w:t>
      </w:r>
      <w:r>
        <w:rPr>
          <w:rFonts w:hint="eastAsia" w:ascii="宋体" w:hAnsi="宋体"/>
          <w:bCs/>
          <w:color w:val="auto"/>
          <w:szCs w:val="21"/>
          <w:u w:val="single"/>
          <w:lang w:val="en-US" w:eastAsia="zh-CN"/>
        </w:rPr>
        <w:t>3</w:t>
      </w:r>
      <w:r>
        <w:rPr>
          <w:rFonts w:hint="eastAsia" w:ascii="宋体" w:hAnsi="宋体"/>
          <w:bCs/>
          <w:color w:val="auto"/>
          <w:szCs w:val="21"/>
          <w:u w:val="single"/>
        </w:rPr>
        <w:t>日9时00分（</w:t>
      </w:r>
      <w:r>
        <w:rPr>
          <w:rFonts w:hint="eastAsia" w:ascii="宋体" w:hAnsi="宋体"/>
          <w:bCs/>
          <w:color w:val="auto"/>
          <w:szCs w:val="21"/>
        </w:rPr>
        <w:t>北京时间）前提交（上传）</w:t>
      </w:r>
      <w:r>
        <w:rPr>
          <w:rFonts w:hint="eastAsia" w:ascii="宋体" w:hAnsi="宋体"/>
          <w:color w:val="auto"/>
          <w:szCs w:val="21"/>
        </w:rPr>
        <w:t>响应</w:t>
      </w:r>
      <w:r>
        <w:rPr>
          <w:rFonts w:ascii="宋体" w:hAnsi="宋体"/>
          <w:bCs/>
          <w:color w:val="auto"/>
          <w:szCs w:val="21"/>
        </w:rPr>
        <w:t>文件</w:t>
      </w:r>
      <w:r>
        <w:rPr>
          <w:rFonts w:hint="eastAsia" w:ascii="宋体" w:hAnsi="宋体"/>
          <w:color w:val="auto"/>
          <w:szCs w:val="21"/>
        </w:rPr>
        <w:t>。</w:t>
      </w:r>
    </w:p>
    <w:p w14:paraId="7C40DCCF">
      <w:pPr>
        <w:keepNext w:val="0"/>
        <w:keepLines w:val="0"/>
        <w:pageBreakBefore w:val="0"/>
        <w:kinsoku/>
        <w:wordWrap/>
        <w:overflowPunct/>
        <w:topLinePunct w:val="0"/>
        <w:autoSpaceDE/>
        <w:autoSpaceDN/>
        <w:bidi w:val="0"/>
        <w:adjustRightInd/>
        <w:snapToGrid/>
        <w:spacing w:line="440" w:lineRule="exact"/>
        <w:ind w:firstLine="360" w:firstLineChars="150"/>
        <w:textAlignment w:val="auto"/>
        <w:rPr>
          <w:rFonts w:ascii="黑体" w:hAnsi="黑体" w:eastAsia="黑体"/>
          <w:color w:val="auto"/>
          <w:sz w:val="24"/>
        </w:rPr>
      </w:pPr>
      <w:bookmarkStart w:id="2" w:name="_Toc28359012"/>
      <w:bookmarkStart w:id="3" w:name="_Toc28359089"/>
      <w:bookmarkStart w:id="4" w:name="_Toc35393629"/>
      <w:bookmarkStart w:id="5" w:name="_Toc71366040"/>
      <w:bookmarkStart w:id="6" w:name="_Toc35393798"/>
      <w:bookmarkStart w:id="7" w:name="_Toc71365362"/>
      <w:r>
        <w:rPr>
          <w:rFonts w:hint="eastAsia" w:ascii="黑体" w:hAnsi="黑体" w:eastAsia="黑体"/>
          <w:color w:val="auto"/>
          <w:sz w:val="24"/>
        </w:rPr>
        <w:t>一、项目基本情况</w:t>
      </w:r>
      <w:bookmarkEnd w:id="1"/>
      <w:bookmarkEnd w:id="2"/>
      <w:bookmarkEnd w:id="3"/>
      <w:bookmarkEnd w:id="4"/>
      <w:bookmarkEnd w:id="5"/>
      <w:bookmarkEnd w:id="6"/>
    </w:p>
    <w:p w14:paraId="1A95144B">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olor w:val="auto"/>
          <w:szCs w:val="21"/>
        </w:rPr>
      </w:pPr>
      <w:r>
        <w:rPr>
          <w:rFonts w:hint="eastAsia" w:ascii="宋体" w:hAnsi="宋体"/>
          <w:color w:val="auto"/>
          <w:szCs w:val="21"/>
        </w:rPr>
        <w:t>1.项目编号：CZZC2026-J3-990031-YZLZ</w:t>
      </w:r>
    </w:p>
    <w:p w14:paraId="5C3E6AB9">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olor w:val="auto"/>
          <w:szCs w:val="21"/>
          <w:u w:val="single"/>
        </w:rPr>
      </w:pPr>
      <w:r>
        <w:rPr>
          <w:rFonts w:hint="eastAsia" w:ascii="宋体" w:hAnsi="宋体"/>
          <w:color w:val="auto"/>
          <w:szCs w:val="21"/>
        </w:rPr>
        <w:t>2.项目名称：崇左市人民医院2026年度残疾人劳务派遣服务项目</w:t>
      </w:r>
    </w:p>
    <w:p w14:paraId="43F96950">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olor w:val="auto"/>
          <w:szCs w:val="21"/>
        </w:rPr>
      </w:pPr>
      <w:r>
        <w:rPr>
          <w:rFonts w:hint="eastAsia" w:ascii="宋体" w:hAnsi="宋体"/>
          <w:color w:val="auto"/>
          <w:szCs w:val="21"/>
        </w:rPr>
        <w:t>3.采购方式：竞争性谈判</w:t>
      </w:r>
    </w:p>
    <w:p w14:paraId="695733C6">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olor w:val="auto"/>
          <w:szCs w:val="21"/>
        </w:rPr>
      </w:pPr>
      <w:r>
        <w:rPr>
          <w:rFonts w:hint="eastAsia" w:ascii="宋体" w:hAnsi="宋体"/>
          <w:color w:val="auto"/>
          <w:szCs w:val="21"/>
        </w:rPr>
        <w:t>4.预算金额：72万元。</w:t>
      </w:r>
    </w:p>
    <w:p w14:paraId="037BA69F">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olor w:val="auto"/>
          <w:szCs w:val="21"/>
        </w:rPr>
      </w:pPr>
      <w:r>
        <w:rPr>
          <w:rFonts w:hint="eastAsia" w:ascii="宋体" w:hAnsi="宋体"/>
          <w:color w:val="auto"/>
          <w:szCs w:val="21"/>
        </w:rPr>
        <w:t>5.最高限价：72万元。</w:t>
      </w:r>
    </w:p>
    <w:p w14:paraId="1F8D8601">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olor w:val="auto"/>
          <w:szCs w:val="21"/>
        </w:rPr>
      </w:pPr>
      <w:r>
        <w:rPr>
          <w:rFonts w:hint="eastAsia" w:ascii="宋体" w:hAnsi="宋体"/>
          <w:color w:val="auto"/>
          <w:szCs w:val="21"/>
        </w:rPr>
        <w:t>6.采购需求：</w:t>
      </w:r>
    </w:p>
    <w:tbl>
      <w:tblPr>
        <w:tblStyle w:val="6"/>
        <w:tblW w:w="497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2"/>
        <w:gridCol w:w="1380"/>
        <w:gridCol w:w="709"/>
        <w:gridCol w:w="6166"/>
      </w:tblGrid>
      <w:tr w14:paraId="465483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6" w:type="pct"/>
            <w:tcBorders>
              <w:top w:val="single" w:color="auto" w:sz="4" w:space="0"/>
              <w:left w:val="single" w:color="auto" w:sz="4" w:space="0"/>
              <w:bottom w:val="single" w:color="auto" w:sz="4" w:space="0"/>
              <w:right w:val="single" w:color="auto" w:sz="4" w:space="0"/>
            </w:tcBorders>
            <w:vAlign w:val="center"/>
          </w:tcPr>
          <w:p w14:paraId="725B8B3D">
            <w:pPr>
              <w:keepNext w:val="0"/>
              <w:keepLines w:val="0"/>
              <w:pageBreakBefore w:val="0"/>
              <w:kinsoku/>
              <w:wordWrap/>
              <w:overflowPunct/>
              <w:topLinePunct w:val="0"/>
              <w:autoSpaceDE/>
              <w:autoSpaceDN/>
              <w:bidi w:val="0"/>
              <w:adjustRightInd/>
              <w:snapToGrid/>
              <w:spacing w:line="440" w:lineRule="exact"/>
              <w:jc w:val="center"/>
              <w:textAlignment w:val="auto"/>
              <w:rPr>
                <w:rFonts w:ascii="新宋体" w:hAnsi="新宋体" w:eastAsia="新宋体" w:cs="新宋体"/>
                <w:color w:val="auto"/>
                <w:szCs w:val="21"/>
              </w:rPr>
            </w:pPr>
            <w:r>
              <w:rPr>
                <w:rFonts w:hint="eastAsia" w:ascii="新宋体" w:hAnsi="新宋体" w:eastAsia="新宋体" w:cs="新宋体"/>
                <w:color w:val="auto"/>
                <w:szCs w:val="21"/>
              </w:rPr>
              <w:t>序号</w:t>
            </w:r>
          </w:p>
        </w:tc>
        <w:tc>
          <w:tcPr>
            <w:tcW w:w="774" w:type="pct"/>
            <w:tcBorders>
              <w:top w:val="single" w:color="auto" w:sz="4" w:space="0"/>
              <w:left w:val="single" w:color="auto" w:sz="4" w:space="0"/>
              <w:bottom w:val="single" w:color="auto" w:sz="4" w:space="0"/>
              <w:right w:val="single" w:color="auto" w:sz="4" w:space="0"/>
            </w:tcBorders>
            <w:vAlign w:val="center"/>
          </w:tcPr>
          <w:p w14:paraId="4CE77B58">
            <w:pPr>
              <w:keepNext w:val="0"/>
              <w:keepLines w:val="0"/>
              <w:pageBreakBefore w:val="0"/>
              <w:kinsoku/>
              <w:wordWrap/>
              <w:overflowPunct/>
              <w:topLinePunct w:val="0"/>
              <w:autoSpaceDE/>
              <w:autoSpaceDN/>
              <w:bidi w:val="0"/>
              <w:adjustRightInd/>
              <w:snapToGrid/>
              <w:spacing w:line="440" w:lineRule="exact"/>
              <w:jc w:val="center"/>
              <w:textAlignment w:val="auto"/>
              <w:rPr>
                <w:rFonts w:ascii="新宋体" w:hAnsi="新宋体" w:eastAsia="新宋体" w:cs="新宋体"/>
                <w:color w:val="auto"/>
                <w:szCs w:val="21"/>
              </w:rPr>
            </w:pPr>
            <w:r>
              <w:rPr>
                <w:rFonts w:hint="eastAsia" w:ascii="新宋体" w:hAnsi="新宋体" w:eastAsia="新宋体" w:cs="新宋体"/>
                <w:color w:val="auto"/>
                <w:szCs w:val="21"/>
              </w:rPr>
              <w:t>标的名称</w:t>
            </w:r>
          </w:p>
        </w:tc>
        <w:tc>
          <w:tcPr>
            <w:tcW w:w="398" w:type="pct"/>
            <w:tcBorders>
              <w:top w:val="single" w:color="auto" w:sz="4" w:space="0"/>
              <w:left w:val="single" w:color="auto" w:sz="4" w:space="0"/>
              <w:bottom w:val="single" w:color="auto" w:sz="4" w:space="0"/>
              <w:right w:val="single" w:color="auto" w:sz="4" w:space="0"/>
            </w:tcBorders>
            <w:vAlign w:val="center"/>
          </w:tcPr>
          <w:p w14:paraId="4F9DFD9B">
            <w:pPr>
              <w:keepNext w:val="0"/>
              <w:keepLines w:val="0"/>
              <w:pageBreakBefore w:val="0"/>
              <w:kinsoku/>
              <w:wordWrap/>
              <w:overflowPunct/>
              <w:topLinePunct w:val="0"/>
              <w:autoSpaceDE/>
              <w:autoSpaceDN/>
              <w:bidi w:val="0"/>
              <w:adjustRightInd/>
              <w:snapToGrid/>
              <w:spacing w:line="440" w:lineRule="exact"/>
              <w:jc w:val="center"/>
              <w:textAlignment w:val="auto"/>
              <w:rPr>
                <w:rFonts w:ascii="新宋体" w:hAnsi="新宋体" w:eastAsia="新宋体" w:cs="新宋体"/>
                <w:color w:val="auto"/>
                <w:szCs w:val="21"/>
              </w:rPr>
            </w:pPr>
            <w:r>
              <w:rPr>
                <w:rFonts w:hint="eastAsia" w:ascii="新宋体" w:hAnsi="新宋体" w:eastAsia="新宋体" w:cs="新宋体"/>
                <w:color w:val="auto"/>
                <w:szCs w:val="21"/>
              </w:rPr>
              <w:t>数量</w:t>
            </w:r>
          </w:p>
        </w:tc>
        <w:tc>
          <w:tcPr>
            <w:tcW w:w="3461" w:type="pct"/>
            <w:tcBorders>
              <w:top w:val="single" w:color="auto" w:sz="4" w:space="0"/>
              <w:left w:val="single" w:color="auto" w:sz="4" w:space="0"/>
              <w:bottom w:val="single" w:color="auto" w:sz="4" w:space="0"/>
              <w:right w:val="single" w:color="auto" w:sz="4" w:space="0"/>
            </w:tcBorders>
            <w:vAlign w:val="center"/>
          </w:tcPr>
          <w:p w14:paraId="6C0E0011">
            <w:pPr>
              <w:keepNext w:val="0"/>
              <w:keepLines w:val="0"/>
              <w:pageBreakBefore w:val="0"/>
              <w:kinsoku/>
              <w:wordWrap/>
              <w:overflowPunct/>
              <w:topLinePunct w:val="0"/>
              <w:autoSpaceDE/>
              <w:autoSpaceDN/>
              <w:bidi w:val="0"/>
              <w:adjustRightInd/>
              <w:snapToGrid/>
              <w:spacing w:line="440" w:lineRule="exact"/>
              <w:jc w:val="center"/>
              <w:textAlignment w:val="auto"/>
              <w:rPr>
                <w:rFonts w:ascii="新宋体" w:hAnsi="新宋体" w:eastAsia="新宋体" w:cs="新宋体"/>
                <w:bCs/>
                <w:color w:val="auto"/>
                <w:szCs w:val="21"/>
              </w:rPr>
            </w:pPr>
            <w:r>
              <w:rPr>
                <w:rFonts w:hint="eastAsia" w:ascii="新宋体" w:hAnsi="新宋体" w:eastAsia="新宋体" w:cs="新宋体"/>
                <w:bCs/>
                <w:color w:val="auto"/>
                <w:szCs w:val="21"/>
              </w:rPr>
              <w:t>简要技术需求或者服务要求</w:t>
            </w:r>
          </w:p>
        </w:tc>
      </w:tr>
      <w:tr w14:paraId="0236EF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66" w:type="pct"/>
            <w:tcBorders>
              <w:top w:val="single" w:color="auto" w:sz="4" w:space="0"/>
              <w:left w:val="single" w:color="auto" w:sz="4" w:space="0"/>
              <w:bottom w:val="single" w:color="auto" w:sz="4" w:space="0"/>
              <w:right w:val="single" w:color="auto" w:sz="4" w:space="0"/>
            </w:tcBorders>
            <w:vAlign w:val="center"/>
          </w:tcPr>
          <w:p w14:paraId="5B55923D">
            <w:pPr>
              <w:keepNext w:val="0"/>
              <w:keepLines w:val="0"/>
              <w:pageBreakBefore w:val="0"/>
              <w:kinsoku/>
              <w:wordWrap/>
              <w:overflowPunct/>
              <w:topLinePunct w:val="0"/>
              <w:autoSpaceDE/>
              <w:autoSpaceDN/>
              <w:bidi w:val="0"/>
              <w:adjustRightInd/>
              <w:snapToGrid/>
              <w:spacing w:line="440" w:lineRule="exact"/>
              <w:jc w:val="center"/>
              <w:textAlignment w:val="auto"/>
              <w:rPr>
                <w:rFonts w:ascii="新宋体" w:hAnsi="新宋体" w:eastAsia="新宋体" w:cs="新宋体"/>
                <w:color w:val="auto"/>
                <w:szCs w:val="21"/>
              </w:rPr>
            </w:pPr>
            <w:r>
              <w:rPr>
                <w:rFonts w:hint="eastAsia" w:ascii="新宋体" w:hAnsi="新宋体" w:eastAsia="新宋体" w:cs="新宋体"/>
                <w:color w:val="auto"/>
                <w:szCs w:val="21"/>
              </w:rPr>
              <w:t>1</w:t>
            </w:r>
          </w:p>
        </w:tc>
        <w:tc>
          <w:tcPr>
            <w:tcW w:w="774" w:type="pct"/>
            <w:tcBorders>
              <w:top w:val="single" w:color="auto" w:sz="4" w:space="0"/>
              <w:left w:val="single" w:color="auto" w:sz="4" w:space="0"/>
              <w:bottom w:val="single" w:color="auto" w:sz="4" w:space="0"/>
              <w:right w:val="single" w:color="auto" w:sz="4" w:space="0"/>
            </w:tcBorders>
            <w:vAlign w:val="center"/>
          </w:tcPr>
          <w:p w14:paraId="4C0D597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新宋体" w:hAnsi="新宋体" w:eastAsia="新宋体" w:cs="新宋体"/>
                <w:color w:val="auto"/>
                <w:szCs w:val="21"/>
              </w:rPr>
            </w:pPr>
            <w:r>
              <w:rPr>
                <w:rFonts w:hint="eastAsia" w:ascii="宋体" w:hAnsi="宋体"/>
                <w:color w:val="auto"/>
                <w:szCs w:val="21"/>
              </w:rPr>
              <w:t>崇左市人民医院2026年度残疾人劳务派遣服务</w:t>
            </w:r>
          </w:p>
        </w:tc>
        <w:tc>
          <w:tcPr>
            <w:tcW w:w="398" w:type="pct"/>
            <w:tcBorders>
              <w:top w:val="single" w:color="auto" w:sz="4" w:space="0"/>
              <w:left w:val="single" w:color="auto" w:sz="4" w:space="0"/>
              <w:bottom w:val="single" w:color="auto" w:sz="4" w:space="0"/>
              <w:right w:val="single" w:color="auto" w:sz="4" w:space="0"/>
            </w:tcBorders>
            <w:vAlign w:val="center"/>
          </w:tcPr>
          <w:p w14:paraId="59C9117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新宋体" w:hAnsi="新宋体" w:eastAsia="新宋体" w:cs="新宋体"/>
                <w:color w:val="auto"/>
                <w:szCs w:val="21"/>
              </w:rPr>
            </w:pPr>
            <w:r>
              <w:rPr>
                <w:rFonts w:hint="eastAsia" w:ascii="新宋体" w:hAnsi="新宋体" w:eastAsia="新宋体" w:cs="新宋体"/>
                <w:color w:val="auto"/>
                <w:szCs w:val="21"/>
              </w:rPr>
              <w:t>12人</w:t>
            </w:r>
          </w:p>
        </w:tc>
        <w:tc>
          <w:tcPr>
            <w:tcW w:w="3461" w:type="pct"/>
            <w:tcBorders>
              <w:top w:val="single" w:color="auto" w:sz="4" w:space="0"/>
              <w:left w:val="single" w:color="auto" w:sz="4" w:space="0"/>
              <w:bottom w:val="single" w:color="auto" w:sz="4" w:space="0"/>
              <w:right w:val="single" w:color="auto" w:sz="4" w:space="0"/>
            </w:tcBorders>
            <w:vAlign w:val="center"/>
          </w:tcPr>
          <w:p w14:paraId="28267C4B">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eastAsia="新宋体" w:cs="宋体"/>
                <w:color w:val="auto"/>
                <w:szCs w:val="21"/>
              </w:rPr>
            </w:pPr>
            <w:r>
              <w:rPr>
                <w:rFonts w:hint="eastAsia" w:ascii="宋体" w:hAnsi="宋体" w:eastAsia="新宋体" w:cs="宋体"/>
                <w:color w:val="auto"/>
                <w:szCs w:val="21"/>
              </w:rPr>
              <w:t>1.安置人员需持有《中华人民共和国残疾人证》，证书上需注明视力残疾、听力残疾、言语残疾、肢体残疾、精神残疾或多重残疾等情况的人员，或持有《中华人民共和国残疾军人证》（1至8级）的人员。</w:t>
            </w:r>
          </w:p>
          <w:p w14:paraId="2E01E5CA">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eastAsia="新宋体" w:cs="宋体"/>
                <w:color w:val="auto"/>
                <w:szCs w:val="21"/>
              </w:rPr>
            </w:pPr>
            <w:r>
              <w:rPr>
                <w:rFonts w:hint="eastAsia" w:ascii="宋体" w:hAnsi="宋体" w:eastAsia="新宋体" w:cs="宋体"/>
                <w:color w:val="auto"/>
                <w:szCs w:val="21"/>
              </w:rPr>
              <w:t>2.供应商能提供办公场地集中安排残疾人就业，并具有适合残疾人工作、生活的无障碍环境和设施。</w:t>
            </w:r>
          </w:p>
          <w:p w14:paraId="26F2A7AE">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新宋体" w:cs="宋体"/>
                <w:color w:val="auto"/>
                <w:szCs w:val="21"/>
              </w:rPr>
            </w:pPr>
            <w:r>
              <w:rPr>
                <w:rFonts w:hint="eastAsia" w:ascii="宋体" w:hAnsi="宋体" w:eastAsia="新宋体" w:cs="宋体"/>
                <w:color w:val="auto"/>
                <w:szCs w:val="21"/>
              </w:rPr>
              <w:t>3.供应商须在中国残疾人就业创业网络服务平台备案，并协助医院办理残疾人就业认定、申报等相关业务。</w:t>
            </w:r>
          </w:p>
          <w:p w14:paraId="7E0F7FFB">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default" w:ascii="宋体" w:hAnsi="宋体" w:eastAsia="新宋体" w:cs="宋体"/>
                <w:color w:val="auto"/>
                <w:szCs w:val="21"/>
                <w:lang w:val="en-US" w:eastAsia="zh-CN"/>
              </w:rPr>
            </w:pPr>
            <w:r>
              <w:rPr>
                <w:rFonts w:hint="eastAsia" w:ascii="宋体" w:hAnsi="宋体" w:eastAsia="新宋体" w:cs="宋体"/>
                <w:color w:val="auto"/>
                <w:szCs w:val="21"/>
                <w:lang w:val="en-US" w:eastAsia="zh-CN"/>
              </w:rPr>
              <w:t>4.人员要求：轻度残疾（3-8级）6人，重度残疾（1-2级）6人。</w:t>
            </w:r>
          </w:p>
          <w:p w14:paraId="3AEBE2A6">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eastAsia="新宋体" w:cs="宋体"/>
                <w:color w:val="auto"/>
                <w:szCs w:val="21"/>
              </w:rPr>
            </w:pPr>
            <w:r>
              <w:rPr>
                <w:rFonts w:hint="eastAsia" w:ascii="宋体" w:hAnsi="宋体"/>
                <w:color w:val="auto"/>
                <w:szCs w:val="21"/>
              </w:rPr>
              <w:t>如需进一步了解详细内容，具体详见竞争性谈判文件。</w:t>
            </w:r>
          </w:p>
        </w:tc>
      </w:tr>
    </w:tbl>
    <w:p w14:paraId="2ECC237B">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olor w:val="auto"/>
          <w:szCs w:val="21"/>
        </w:rPr>
      </w:pPr>
      <w:r>
        <w:rPr>
          <w:rFonts w:hint="eastAsia" w:ascii="宋体" w:hAnsi="宋体"/>
          <w:color w:val="auto"/>
          <w:szCs w:val="21"/>
        </w:rPr>
        <w:t>7.合同履行期限：自签订合同之日起1年。</w:t>
      </w:r>
    </w:p>
    <w:p w14:paraId="1C3F7F5E">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olor w:val="auto"/>
          <w:szCs w:val="21"/>
        </w:rPr>
      </w:pPr>
      <w:r>
        <w:rPr>
          <w:rFonts w:hint="eastAsia" w:ascii="宋体" w:hAnsi="宋体"/>
          <w:color w:val="auto"/>
          <w:szCs w:val="21"/>
        </w:rPr>
        <w:t>8.本项目是否接受联合体：不接受。</w:t>
      </w:r>
    </w:p>
    <w:p w14:paraId="37D9405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黑体" w:hAnsi="黑体" w:eastAsia="黑体"/>
          <w:color w:val="auto"/>
          <w:sz w:val="24"/>
        </w:rPr>
      </w:pPr>
      <w:bookmarkStart w:id="8" w:name="_Toc28359090"/>
      <w:bookmarkStart w:id="9" w:name="_Toc35393630"/>
      <w:bookmarkStart w:id="10" w:name="_Toc35393799"/>
      <w:bookmarkStart w:id="11" w:name="_Toc71365363"/>
      <w:bookmarkStart w:id="12" w:name="_Toc71366041"/>
      <w:bookmarkStart w:id="13" w:name="_Toc28359013"/>
      <w:r>
        <w:rPr>
          <w:rFonts w:hint="eastAsia" w:ascii="黑体" w:hAnsi="黑体" w:eastAsia="黑体"/>
          <w:color w:val="auto"/>
          <w:sz w:val="24"/>
        </w:rPr>
        <w:t>二、供应商的资格条件：</w:t>
      </w:r>
      <w:bookmarkEnd w:id="7"/>
      <w:bookmarkEnd w:id="8"/>
      <w:bookmarkEnd w:id="9"/>
      <w:bookmarkEnd w:id="10"/>
      <w:bookmarkEnd w:id="11"/>
      <w:bookmarkEnd w:id="12"/>
    </w:p>
    <w:p w14:paraId="4F7037EE">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olor w:val="auto"/>
          <w:szCs w:val="21"/>
        </w:rPr>
      </w:pPr>
      <w:bookmarkStart w:id="14" w:name="_Toc28359091"/>
      <w:bookmarkStart w:id="15" w:name="_Toc28359014"/>
      <w:r>
        <w:rPr>
          <w:rFonts w:hint="eastAsia" w:ascii="宋体" w:hAnsi="宋体"/>
          <w:color w:val="auto"/>
          <w:szCs w:val="21"/>
        </w:rPr>
        <w:t>1.满足《中华人民共和国政府采购法》第二十二条规定；</w:t>
      </w:r>
    </w:p>
    <w:p w14:paraId="06531C2F">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olor w:val="auto"/>
          <w:szCs w:val="21"/>
        </w:rPr>
      </w:pPr>
      <w:r>
        <w:rPr>
          <w:rFonts w:ascii="宋体" w:hAnsi="宋体"/>
          <w:color w:val="auto"/>
          <w:szCs w:val="21"/>
        </w:rPr>
        <w:t>2</w:t>
      </w:r>
      <w:r>
        <w:rPr>
          <w:rFonts w:hint="eastAsia" w:ascii="宋体" w:hAnsi="宋体"/>
          <w:color w:val="auto"/>
          <w:szCs w:val="21"/>
        </w:rPr>
        <w:t>.落实政府采购政策需满足的资格要求：</w:t>
      </w:r>
      <w:r>
        <w:rPr>
          <w:rFonts w:hint="eastAsia" w:ascii="宋体" w:hAnsi="宋体" w:cs="宋体"/>
          <w:bCs/>
          <w:color w:val="auto"/>
          <w:kern w:val="0"/>
          <w:szCs w:val="21"/>
        </w:rPr>
        <w:t>本项目为专门面向中小企业采购的项目，供应商应为中型企业、小型企业或微型企业或者监狱企业或者残疾人福利性单位。</w:t>
      </w:r>
    </w:p>
    <w:p w14:paraId="7FD86A5A">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olor w:val="auto"/>
          <w:szCs w:val="21"/>
        </w:rPr>
      </w:pPr>
      <w:r>
        <w:rPr>
          <w:rFonts w:hint="eastAsia" w:ascii="宋体" w:hAnsi="宋体"/>
          <w:color w:val="auto"/>
          <w:szCs w:val="21"/>
        </w:rPr>
        <w:t>3.本项目的特定资格要求</w:t>
      </w:r>
      <w:r>
        <w:rPr>
          <w:rFonts w:hint="eastAsia" w:ascii="宋体" w:hAnsi="宋体"/>
          <w:color w:val="auto"/>
          <w:szCs w:val="21"/>
        </w:rPr>
        <w:t>：</w:t>
      </w:r>
      <w:r>
        <w:rPr>
          <w:rFonts w:hint="eastAsia" w:ascii="宋体" w:hAnsi="宋体"/>
          <w:color w:val="auto"/>
          <w:szCs w:val="21"/>
          <w:lang w:eastAsia="zh-CN"/>
        </w:rPr>
        <w:t>供应商</w:t>
      </w:r>
      <w:r>
        <w:rPr>
          <w:rFonts w:hint="eastAsia" w:ascii="宋体" w:hAnsi="宋体"/>
          <w:color w:val="auto"/>
          <w:szCs w:val="21"/>
        </w:rPr>
        <w:t>具有人力资源社会保障行政部门或相关行政审批部门颁发的有效的《劳务派遣经营许可证》。</w:t>
      </w:r>
    </w:p>
    <w:p w14:paraId="3AFC4D6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黑体" w:hAnsi="黑体" w:eastAsia="黑体"/>
          <w:color w:val="auto"/>
          <w:sz w:val="24"/>
        </w:rPr>
      </w:pPr>
      <w:bookmarkStart w:id="16" w:name="_Toc35393631"/>
      <w:bookmarkStart w:id="17" w:name="_Toc71366042"/>
      <w:bookmarkStart w:id="18" w:name="_Toc35393800"/>
      <w:bookmarkStart w:id="19" w:name="_Toc71365364"/>
      <w:r>
        <w:rPr>
          <w:rFonts w:hint="eastAsia" w:ascii="黑体" w:hAnsi="黑体" w:eastAsia="黑体"/>
          <w:color w:val="auto"/>
          <w:sz w:val="24"/>
        </w:rPr>
        <w:t>三、获取竞争性谈判文件</w:t>
      </w:r>
      <w:bookmarkEnd w:id="13"/>
      <w:bookmarkEnd w:id="14"/>
      <w:bookmarkEnd w:id="15"/>
      <w:bookmarkEnd w:id="16"/>
      <w:bookmarkEnd w:id="17"/>
      <w:bookmarkEnd w:id="18"/>
    </w:p>
    <w:p w14:paraId="1DB884D8">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宋体"/>
          <w:bCs/>
          <w:color w:val="auto"/>
          <w:kern w:val="0"/>
          <w:szCs w:val="21"/>
        </w:rPr>
      </w:pPr>
      <w:r>
        <w:rPr>
          <w:rFonts w:hint="eastAsia" w:ascii="宋体" w:hAnsi="宋体" w:cs="宋体"/>
          <w:bCs/>
          <w:color w:val="auto"/>
          <w:kern w:val="0"/>
          <w:szCs w:val="21"/>
        </w:rPr>
        <w:t>时间：2026年3月</w:t>
      </w:r>
      <w:r>
        <w:rPr>
          <w:rFonts w:hint="eastAsia" w:ascii="宋体" w:hAnsi="宋体" w:cs="宋体"/>
          <w:bCs/>
          <w:color w:val="auto"/>
          <w:kern w:val="0"/>
          <w:szCs w:val="21"/>
          <w:lang w:val="en-US" w:eastAsia="zh-CN"/>
        </w:rPr>
        <w:t>30</w:t>
      </w:r>
      <w:r>
        <w:rPr>
          <w:rFonts w:hint="eastAsia" w:ascii="宋体" w:hAnsi="宋体" w:cs="宋体"/>
          <w:bCs/>
          <w:color w:val="auto"/>
          <w:kern w:val="0"/>
          <w:szCs w:val="21"/>
        </w:rPr>
        <w:t>日至2026年</w:t>
      </w:r>
      <w:r>
        <w:rPr>
          <w:rFonts w:hint="eastAsia" w:ascii="宋体" w:hAnsi="宋体" w:cs="宋体"/>
          <w:bCs/>
          <w:color w:val="auto"/>
          <w:kern w:val="0"/>
          <w:szCs w:val="21"/>
          <w:lang w:val="en-US" w:eastAsia="zh-CN"/>
        </w:rPr>
        <w:t>4</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2</w:t>
      </w:r>
      <w:r>
        <w:rPr>
          <w:rFonts w:hint="eastAsia" w:ascii="宋体" w:hAnsi="宋体" w:cs="宋体"/>
          <w:bCs/>
          <w:color w:val="auto"/>
          <w:kern w:val="0"/>
          <w:szCs w:val="21"/>
        </w:rPr>
        <w:t>日止</w:t>
      </w:r>
      <w:r>
        <w:rPr>
          <w:rFonts w:hint="eastAsia" w:ascii="新宋体" w:hAnsi="新宋体" w:eastAsia="新宋体" w:cs="新宋体"/>
          <w:color w:val="auto"/>
          <w:szCs w:val="21"/>
        </w:rPr>
        <w:t>（北京时间，双休日和法定节假日不办理业务）</w:t>
      </w:r>
      <w:r>
        <w:rPr>
          <w:rFonts w:hint="eastAsia" w:ascii="宋体" w:hAnsi="宋体" w:cs="宋体"/>
          <w:bCs/>
          <w:color w:val="auto"/>
          <w:kern w:val="0"/>
          <w:szCs w:val="21"/>
        </w:rPr>
        <w:t>，每天上午0:00至12:00，下午12:00至23:59</w:t>
      </w:r>
    </w:p>
    <w:p w14:paraId="31A48280">
      <w:pPr>
        <w:keepNext w:val="0"/>
        <w:keepLines w:val="0"/>
        <w:pageBreakBefore w:val="0"/>
        <w:kinsoku/>
        <w:wordWrap/>
        <w:overflowPunct/>
        <w:topLinePunct w:val="0"/>
        <w:autoSpaceDE/>
        <w:autoSpaceDN/>
        <w:bidi w:val="0"/>
        <w:adjustRightInd/>
        <w:snapToGrid/>
        <w:spacing w:line="440" w:lineRule="exact"/>
        <w:ind w:firstLine="540"/>
        <w:textAlignment w:val="auto"/>
        <w:rPr>
          <w:rFonts w:ascii="宋体" w:hAnsi="宋体" w:cs="宋体"/>
          <w:bCs/>
          <w:color w:val="auto"/>
          <w:kern w:val="0"/>
          <w:szCs w:val="21"/>
        </w:rPr>
      </w:pPr>
      <w:r>
        <w:rPr>
          <w:rFonts w:hint="eastAsia" w:ascii="宋体" w:hAnsi="宋体" w:cs="宋体"/>
          <w:bCs/>
          <w:color w:val="auto"/>
          <w:kern w:val="0"/>
          <w:szCs w:val="21"/>
        </w:rPr>
        <w:t>地点：广西政府采购云平台（https://www.gcy.zfcg.gxzf.gov.cn）</w:t>
      </w:r>
    </w:p>
    <w:p w14:paraId="37D98616">
      <w:pPr>
        <w:keepNext w:val="0"/>
        <w:keepLines w:val="0"/>
        <w:pageBreakBefore w:val="0"/>
        <w:kinsoku/>
        <w:wordWrap/>
        <w:overflowPunct/>
        <w:topLinePunct w:val="0"/>
        <w:autoSpaceDE/>
        <w:autoSpaceDN/>
        <w:bidi w:val="0"/>
        <w:adjustRightInd/>
        <w:snapToGrid/>
        <w:spacing w:line="440" w:lineRule="exact"/>
        <w:ind w:firstLine="540"/>
        <w:textAlignment w:val="auto"/>
        <w:rPr>
          <w:rFonts w:ascii="宋体" w:hAnsi="宋体" w:cs="宋体"/>
          <w:bCs/>
          <w:color w:val="auto"/>
          <w:kern w:val="0"/>
          <w:szCs w:val="21"/>
        </w:rPr>
      </w:pPr>
      <w:r>
        <w:rPr>
          <w:rFonts w:hint="eastAsia" w:ascii="宋体" w:hAnsi="宋体" w:cs="宋体"/>
          <w:bCs/>
          <w:color w:val="auto"/>
          <w:kern w:val="0"/>
          <w:szCs w:val="21"/>
        </w:rPr>
        <w:t>方式：供应商登录广西政府采购云平台（https://www.gcy.zfcg.gxzf.gov.cn）在线申请获取采购文件（进入“项目采购”应用，在获取采购文件菜单中选择项目，申请获取采购文件）。</w:t>
      </w:r>
    </w:p>
    <w:p w14:paraId="5BB052EE">
      <w:pPr>
        <w:keepNext w:val="0"/>
        <w:keepLines w:val="0"/>
        <w:pageBreakBefore w:val="0"/>
        <w:kinsoku/>
        <w:wordWrap/>
        <w:overflowPunct/>
        <w:topLinePunct w:val="0"/>
        <w:autoSpaceDE/>
        <w:autoSpaceDN/>
        <w:bidi w:val="0"/>
        <w:adjustRightInd/>
        <w:snapToGrid/>
        <w:spacing w:line="440" w:lineRule="exact"/>
        <w:ind w:firstLine="540"/>
        <w:textAlignment w:val="auto"/>
        <w:rPr>
          <w:rFonts w:ascii="宋体" w:hAnsi="宋体" w:cs="宋体"/>
          <w:color w:val="auto"/>
          <w:szCs w:val="21"/>
        </w:rPr>
      </w:pPr>
      <w:r>
        <w:rPr>
          <w:rFonts w:hint="eastAsia" w:ascii="宋体" w:hAnsi="宋体" w:cs="宋体"/>
          <w:bCs/>
          <w:color w:val="auto"/>
          <w:kern w:val="0"/>
          <w:szCs w:val="21"/>
        </w:rPr>
        <w:t>售价：</w:t>
      </w:r>
      <w:r>
        <w:rPr>
          <w:rFonts w:hint="eastAsia" w:ascii="宋体" w:hAnsi="宋体" w:cs="宋体"/>
          <w:iCs/>
          <w:color w:val="auto"/>
          <w:szCs w:val="21"/>
          <w:u w:val="single"/>
        </w:rPr>
        <w:t>0</w:t>
      </w:r>
      <w:r>
        <w:rPr>
          <w:rFonts w:hint="eastAsia" w:ascii="宋体" w:hAnsi="宋体" w:cs="宋体"/>
          <w:color w:val="auto"/>
          <w:szCs w:val="21"/>
        </w:rPr>
        <w:t>元</w:t>
      </w:r>
    </w:p>
    <w:p w14:paraId="34348764">
      <w:pPr>
        <w:keepNext w:val="0"/>
        <w:keepLines w:val="0"/>
        <w:pageBreakBefore w:val="0"/>
        <w:kinsoku/>
        <w:wordWrap/>
        <w:overflowPunct/>
        <w:topLinePunct w:val="0"/>
        <w:autoSpaceDE/>
        <w:autoSpaceDN/>
        <w:bidi w:val="0"/>
        <w:adjustRightInd/>
        <w:snapToGrid/>
        <w:spacing w:line="440" w:lineRule="exact"/>
        <w:ind w:firstLine="360" w:firstLineChars="150"/>
        <w:textAlignment w:val="auto"/>
        <w:rPr>
          <w:rFonts w:ascii="黑体" w:hAnsi="黑体" w:eastAsia="黑体"/>
          <w:color w:val="auto"/>
          <w:sz w:val="24"/>
        </w:rPr>
      </w:pPr>
      <w:bookmarkStart w:id="20" w:name="_Toc28359015"/>
      <w:bookmarkStart w:id="21" w:name="_Toc35393632"/>
      <w:bookmarkStart w:id="22" w:name="_Toc35393801"/>
      <w:bookmarkStart w:id="23" w:name="_Toc71365365"/>
      <w:bookmarkStart w:id="24" w:name="_Toc71366043"/>
      <w:bookmarkStart w:id="25" w:name="_Toc28359092"/>
      <w:r>
        <w:rPr>
          <w:rFonts w:hint="eastAsia" w:ascii="黑体" w:hAnsi="黑体" w:eastAsia="黑体"/>
          <w:color w:val="auto"/>
          <w:sz w:val="24"/>
        </w:rPr>
        <w:t>四、响应文件提交</w:t>
      </w:r>
      <w:bookmarkEnd w:id="19"/>
      <w:bookmarkEnd w:id="20"/>
      <w:bookmarkEnd w:id="21"/>
      <w:bookmarkEnd w:id="22"/>
      <w:bookmarkEnd w:id="23"/>
      <w:bookmarkEnd w:id="24"/>
    </w:p>
    <w:p w14:paraId="33E403F8">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bCs/>
          <w:color w:val="auto"/>
          <w:szCs w:val="21"/>
          <w:u w:val="single"/>
        </w:rPr>
      </w:pPr>
      <w:r>
        <w:rPr>
          <w:rFonts w:hint="eastAsia" w:ascii="宋体" w:hAnsi="宋体"/>
          <w:color w:val="auto"/>
          <w:szCs w:val="21"/>
        </w:rPr>
        <w:t>截止时间：</w:t>
      </w:r>
      <w:r>
        <w:rPr>
          <w:rFonts w:hint="eastAsia" w:ascii="宋体" w:hAnsi="宋体"/>
          <w:bCs/>
          <w:color w:val="auto"/>
          <w:szCs w:val="21"/>
          <w:u w:val="single"/>
        </w:rPr>
        <w:t xml:space="preserve"> 2026年</w:t>
      </w:r>
      <w:r>
        <w:rPr>
          <w:rFonts w:hint="eastAsia" w:ascii="宋体" w:hAnsi="宋体"/>
          <w:bCs/>
          <w:color w:val="auto"/>
          <w:szCs w:val="21"/>
          <w:u w:val="single"/>
          <w:lang w:val="en-US" w:eastAsia="zh-CN"/>
        </w:rPr>
        <w:t>4</w:t>
      </w:r>
      <w:r>
        <w:rPr>
          <w:rFonts w:hint="eastAsia" w:ascii="宋体" w:hAnsi="宋体"/>
          <w:bCs/>
          <w:color w:val="auto"/>
          <w:szCs w:val="21"/>
          <w:u w:val="single"/>
        </w:rPr>
        <w:t>月</w:t>
      </w:r>
      <w:r>
        <w:rPr>
          <w:rFonts w:hint="eastAsia" w:ascii="宋体" w:hAnsi="宋体"/>
          <w:bCs/>
          <w:color w:val="auto"/>
          <w:szCs w:val="21"/>
          <w:u w:val="single"/>
          <w:lang w:val="en-US" w:eastAsia="zh-CN"/>
        </w:rPr>
        <w:t>3</w:t>
      </w:r>
      <w:r>
        <w:rPr>
          <w:rFonts w:hint="eastAsia" w:ascii="宋体" w:hAnsi="宋体"/>
          <w:bCs/>
          <w:color w:val="auto"/>
          <w:szCs w:val="21"/>
          <w:u w:val="single"/>
        </w:rPr>
        <w:t>日9时00分</w:t>
      </w:r>
      <w:r>
        <w:rPr>
          <w:rFonts w:hint="eastAsia" w:ascii="宋体" w:hAnsi="宋体"/>
          <w:bCs/>
          <w:color w:val="auto"/>
          <w:szCs w:val="21"/>
        </w:rPr>
        <w:t>（北京时间）</w:t>
      </w:r>
    </w:p>
    <w:p w14:paraId="0785A98A">
      <w:pPr>
        <w:keepNext w:val="0"/>
        <w:keepLines w:val="0"/>
        <w:pageBreakBefore w:val="0"/>
        <w:kinsoku/>
        <w:wordWrap/>
        <w:overflowPunct/>
        <w:topLinePunct w:val="0"/>
        <w:autoSpaceDE/>
        <w:autoSpaceDN/>
        <w:bidi w:val="0"/>
        <w:adjustRightInd/>
        <w:snapToGrid/>
        <w:spacing w:line="440" w:lineRule="exact"/>
        <w:ind w:left="422"/>
        <w:textAlignment w:val="auto"/>
        <w:rPr>
          <w:rFonts w:ascii="宋体" w:hAnsi="宋体"/>
          <w:bCs/>
          <w:color w:val="auto"/>
          <w:szCs w:val="21"/>
          <w:u w:val="single"/>
        </w:rPr>
      </w:pPr>
      <w:r>
        <w:rPr>
          <w:rFonts w:hint="eastAsia" w:ascii="宋体" w:hAnsi="宋体"/>
          <w:color w:val="auto"/>
          <w:szCs w:val="21"/>
        </w:rPr>
        <w:t>地点：广西政府采购云平台</w:t>
      </w:r>
      <w:r>
        <w:rPr>
          <w:rFonts w:hint="eastAsia" w:ascii="宋体" w:hAnsi="宋体" w:cs="宋体"/>
          <w:bCs/>
          <w:color w:val="auto"/>
          <w:kern w:val="0"/>
          <w:szCs w:val="21"/>
        </w:rPr>
        <w:t>（https://www.gcy.zfcg.gxzf.gov.cn）</w:t>
      </w:r>
    </w:p>
    <w:p w14:paraId="0ECC3F97">
      <w:pPr>
        <w:keepNext w:val="0"/>
        <w:keepLines w:val="0"/>
        <w:pageBreakBefore w:val="0"/>
        <w:kinsoku/>
        <w:wordWrap/>
        <w:overflowPunct/>
        <w:topLinePunct w:val="0"/>
        <w:autoSpaceDE/>
        <w:autoSpaceDN/>
        <w:bidi w:val="0"/>
        <w:adjustRightInd/>
        <w:snapToGrid/>
        <w:spacing w:line="440" w:lineRule="exact"/>
        <w:ind w:firstLine="360" w:firstLineChars="150"/>
        <w:textAlignment w:val="auto"/>
        <w:rPr>
          <w:rFonts w:ascii="黑体" w:hAnsi="黑体" w:eastAsia="黑体"/>
          <w:color w:val="auto"/>
          <w:sz w:val="24"/>
        </w:rPr>
      </w:pPr>
      <w:bookmarkStart w:id="26" w:name="_Toc71366044"/>
      <w:bookmarkStart w:id="27" w:name="_Toc35393633"/>
      <w:bookmarkStart w:id="28" w:name="_Toc28359016"/>
      <w:bookmarkStart w:id="29" w:name="_Toc35393802"/>
      <w:bookmarkStart w:id="30" w:name="_Toc71365366"/>
      <w:bookmarkStart w:id="31" w:name="_Toc28359093"/>
      <w:r>
        <w:rPr>
          <w:rFonts w:hint="eastAsia" w:ascii="黑体" w:hAnsi="黑体" w:eastAsia="黑体"/>
          <w:color w:val="auto"/>
          <w:sz w:val="24"/>
        </w:rPr>
        <w:t>五、开启</w:t>
      </w:r>
      <w:bookmarkEnd w:id="25"/>
      <w:bookmarkEnd w:id="26"/>
      <w:bookmarkEnd w:id="27"/>
      <w:bookmarkEnd w:id="28"/>
      <w:bookmarkEnd w:id="29"/>
      <w:bookmarkEnd w:id="30"/>
    </w:p>
    <w:p w14:paraId="41AA6CB0">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bCs/>
          <w:color w:val="auto"/>
          <w:szCs w:val="21"/>
          <w:u w:val="single"/>
        </w:rPr>
      </w:pPr>
      <w:r>
        <w:rPr>
          <w:rFonts w:hint="eastAsia" w:ascii="宋体" w:hAnsi="宋体"/>
          <w:color w:val="auto"/>
          <w:szCs w:val="21"/>
        </w:rPr>
        <w:t>时间：</w:t>
      </w:r>
      <w:r>
        <w:rPr>
          <w:rFonts w:hint="eastAsia" w:ascii="宋体" w:hAnsi="宋体"/>
          <w:color w:val="auto"/>
          <w:szCs w:val="21"/>
          <w:u w:val="single"/>
        </w:rPr>
        <w:t xml:space="preserve"> 2026</w:t>
      </w:r>
      <w:r>
        <w:rPr>
          <w:rFonts w:hint="eastAsia" w:ascii="宋体" w:hAnsi="宋体"/>
          <w:bCs/>
          <w:color w:val="auto"/>
          <w:szCs w:val="21"/>
          <w:u w:val="single"/>
        </w:rPr>
        <w:t>年</w:t>
      </w:r>
      <w:r>
        <w:rPr>
          <w:rFonts w:hint="eastAsia" w:ascii="宋体" w:hAnsi="宋体"/>
          <w:bCs/>
          <w:color w:val="auto"/>
          <w:szCs w:val="21"/>
          <w:u w:val="single"/>
          <w:lang w:val="en-US" w:eastAsia="zh-CN"/>
        </w:rPr>
        <w:t>4</w:t>
      </w:r>
      <w:r>
        <w:rPr>
          <w:rFonts w:hint="eastAsia" w:ascii="宋体" w:hAnsi="宋体"/>
          <w:bCs/>
          <w:color w:val="auto"/>
          <w:szCs w:val="21"/>
          <w:u w:val="single"/>
        </w:rPr>
        <w:t>月</w:t>
      </w:r>
      <w:r>
        <w:rPr>
          <w:rFonts w:hint="eastAsia" w:ascii="宋体" w:hAnsi="宋体"/>
          <w:bCs/>
          <w:color w:val="auto"/>
          <w:szCs w:val="21"/>
          <w:u w:val="single"/>
          <w:lang w:val="en-US" w:eastAsia="zh-CN"/>
        </w:rPr>
        <w:t>3</w:t>
      </w:r>
      <w:r>
        <w:rPr>
          <w:rFonts w:hint="eastAsia" w:ascii="宋体" w:hAnsi="宋体"/>
          <w:bCs/>
          <w:color w:val="auto"/>
          <w:szCs w:val="21"/>
          <w:u w:val="single"/>
        </w:rPr>
        <w:t>日9时00分（北京时间）</w:t>
      </w:r>
    </w:p>
    <w:p w14:paraId="182E6E1F">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宋体"/>
          <w:bCs/>
          <w:color w:val="auto"/>
          <w:kern w:val="0"/>
          <w:szCs w:val="21"/>
        </w:rPr>
      </w:pPr>
      <w:r>
        <w:rPr>
          <w:rFonts w:hint="eastAsia" w:ascii="宋体" w:hAnsi="宋体"/>
          <w:color w:val="auto"/>
          <w:szCs w:val="21"/>
        </w:rPr>
        <w:t>地点：广西政府采购云平台</w:t>
      </w:r>
      <w:r>
        <w:rPr>
          <w:rFonts w:hint="eastAsia" w:ascii="宋体" w:hAnsi="宋体" w:cs="宋体"/>
          <w:bCs/>
          <w:color w:val="auto"/>
          <w:kern w:val="0"/>
          <w:szCs w:val="21"/>
        </w:rPr>
        <w:t>（https://www.gcy.zfcg.gxzf.gov.cn）</w:t>
      </w:r>
    </w:p>
    <w:p w14:paraId="2E45EEFD">
      <w:pPr>
        <w:keepNext w:val="0"/>
        <w:keepLines w:val="0"/>
        <w:pageBreakBefore w:val="0"/>
        <w:kinsoku/>
        <w:wordWrap/>
        <w:overflowPunct/>
        <w:topLinePunct w:val="0"/>
        <w:autoSpaceDE/>
        <w:autoSpaceDN/>
        <w:bidi w:val="0"/>
        <w:adjustRightInd/>
        <w:snapToGrid/>
        <w:spacing w:line="440" w:lineRule="exact"/>
        <w:ind w:firstLine="360" w:firstLineChars="150"/>
        <w:textAlignment w:val="auto"/>
        <w:rPr>
          <w:rFonts w:ascii="黑体" w:hAnsi="黑体" w:eastAsia="黑体"/>
          <w:color w:val="auto"/>
          <w:sz w:val="24"/>
        </w:rPr>
      </w:pPr>
      <w:bookmarkStart w:id="32" w:name="_Toc35393803"/>
      <w:bookmarkStart w:id="33" w:name="_Toc28359094"/>
      <w:bookmarkStart w:id="34" w:name="_Toc71366045"/>
      <w:bookmarkStart w:id="35" w:name="_Toc35393634"/>
      <w:bookmarkStart w:id="36" w:name="_Toc71365367"/>
      <w:bookmarkStart w:id="37" w:name="_Toc28359017"/>
      <w:r>
        <w:rPr>
          <w:rFonts w:hint="eastAsia" w:ascii="黑体" w:hAnsi="黑体" w:eastAsia="黑体"/>
          <w:color w:val="auto"/>
          <w:sz w:val="24"/>
        </w:rPr>
        <w:t>六、公告期限</w:t>
      </w:r>
      <w:bookmarkEnd w:id="31"/>
      <w:bookmarkEnd w:id="32"/>
      <w:bookmarkEnd w:id="33"/>
      <w:bookmarkEnd w:id="34"/>
      <w:bookmarkEnd w:id="35"/>
      <w:bookmarkEnd w:id="36"/>
    </w:p>
    <w:p w14:paraId="1EF50DDF">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自本公告发布之日起3个工作日。</w:t>
      </w:r>
    </w:p>
    <w:p w14:paraId="29741F78">
      <w:pPr>
        <w:keepNext w:val="0"/>
        <w:keepLines w:val="0"/>
        <w:pageBreakBefore w:val="0"/>
        <w:kinsoku/>
        <w:wordWrap/>
        <w:overflowPunct/>
        <w:topLinePunct w:val="0"/>
        <w:autoSpaceDE/>
        <w:autoSpaceDN/>
        <w:bidi w:val="0"/>
        <w:adjustRightInd/>
        <w:snapToGrid/>
        <w:spacing w:line="440" w:lineRule="exact"/>
        <w:ind w:firstLine="360" w:firstLineChars="150"/>
        <w:textAlignment w:val="auto"/>
        <w:rPr>
          <w:rFonts w:ascii="黑体" w:hAnsi="黑体" w:eastAsia="黑体"/>
          <w:color w:val="auto"/>
          <w:sz w:val="24"/>
        </w:rPr>
      </w:pPr>
      <w:bookmarkStart w:id="38" w:name="_Toc35393804"/>
      <w:bookmarkStart w:id="39" w:name="_Toc71366046"/>
      <w:bookmarkStart w:id="40" w:name="_Toc71365368"/>
      <w:bookmarkStart w:id="41" w:name="_Toc35393635"/>
      <w:r>
        <w:rPr>
          <w:rFonts w:hint="eastAsia" w:ascii="黑体" w:hAnsi="黑体" w:eastAsia="黑体"/>
          <w:color w:val="auto"/>
          <w:sz w:val="24"/>
        </w:rPr>
        <w:t>七、其他补充事宜</w:t>
      </w:r>
      <w:bookmarkEnd w:id="37"/>
      <w:bookmarkEnd w:id="38"/>
      <w:bookmarkEnd w:id="39"/>
      <w:bookmarkEnd w:id="40"/>
    </w:p>
    <w:p w14:paraId="74653723">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ascii="宋体" w:hAnsi="宋体"/>
          <w:color w:val="auto"/>
          <w:szCs w:val="21"/>
        </w:rPr>
      </w:pPr>
      <w:r>
        <w:rPr>
          <w:rFonts w:hint="eastAsia" w:ascii="宋体" w:hAnsi="宋体"/>
          <w:color w:val="auto"/>
          <w:szCs w:val="21"/>
        </w:rPr>
        <w:t>1.竞标保证金：0元。</w:t>
      </w:r>
    </w:p>
    <w:p w14:paraId="36B935EA">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2</w:t>
      </w:r>
      <w:r>
        <w:rPr>
          <w:rFonts w:ascii="宋体" w:hAnsi="宋体" w:cs="宋体"/>
          <w:color w:val="auto"/>
          <w:kern w:val="0"/>
          <w:szCs w:val="21"/>
        </w:rPr>
        <w:t>.</w:t>
      </w:r>
      <w:r>
        <w:rPr>
          <w:rFonts w:hint="eastAsia" w:ascii="宋体" w:hAnsi="宋体" w:cs="宋体"/>
          <w:color w:val="auto"/>
          <w:kern w:val="0"/>
          <w:szCs w:val="21"/>
        </w:rPr>
        <w:t>网上查询地址</w:t>
      </w:r>
    </w:p>
    <w:p w14:paraId="6FD87AAA">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www.ccgp.gov.cn（中国政府采购网）、zfcg.gxzf.gov.cn（广西壮族自治区政府采购网）</w:t>
      </w:r>
    </w:p>
    <w:p w14:paraId="65049761">
      <w:pPr>
        <w:keepNext w:val="0"/>
        <w:keepLines w:val="0"/>
        <w:pageBreakBefore w:val="0"/>
        <w:kinsoku/>
        <w:wordWrap/>
        <w:overflowPunct/>
        <w:topLinePunct w:val="0"/>
        <w:autoSpaceDE/>
        <w:autoSpaceDN/>
        <w:bidi w:val="0"/>
        <w:adjustRightInd/>
        <w:snapToGrid/>
        <w:spacing w:line="440" w:lineRule="exact"/>
        <w:ind w:firstLine="424" w:firstLineChars="202"/>
        <w:textAlignment w:val="auto"/>
        <w:rPr>
          <w:rFonts w:ascii="宋体" w:hAnsi="宋体" w:cs="宋体"/>
          <w:color w:val="auto"/>
          <w:kern w:val="0"/>
          <w:szCs w:val="21"/>
        </w:rPr>
      </w:pPr>
      <w:bookmarkStart w:id="42" w:name="_Toc28359095"/>
      <w:bookmarkStart w:id="43" w:name="_Toc35393636"/>
      <w:bookmarkStart w:id="44" w:name="_Toc71366047"/>
      <w:bookmarkStart w:id="45" w:name="_Toc71365369"/>
      <w:bookmarkStart w:id="46" w:name="_Toc35393805"/>
      <w:bookmarkStart w:id="47" w:name="_Toc28359018"/>
      <w:bookmarkStart w:id="48" w:name="_Hlk37429674"/>
      <w:r>
        <w:rPr>
          <w:rFonts w:hint="eastAsia" w:ascii="宋体" w:hAnsi="宋体"/>
          <w:color w:val="auto"/>
          <w:szCs w:val="21"/>
        </w:rPr>
        <w:t>3</w:t>
      </w:r>
      <w:r>
        <w:rPr>
          <w:rFonts w:ascii="宋体" w:hAnsi="宋体"/>
          <w:color w:val="auto"/>
          <w:szCs w:val="21"/>
        </w:rPr>
        <w:t>.</w:t>
      </w:r>
      <w:r>
        <w:rPr>
          <w:rFonts w:hint="eastAsia" w:ascii="宋体" w:hAnsi="宋体" w:cs="宋体"/>
          <w:color w:val="auto"/>
          <w:kern w:val="0"/>
          <w:szCs w:val="21"/>
        </w:rPr>
        <w:t>本项目需要落实的政府采购政策</w:t>
      </w:r>
    </w:p>
    <w:p w14:paraId="0865AEEA">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（1）政府采购促进中小企业发展。</w:t>
      </w:r>
    </w:p>
    <w:p w14:paraId="233F908E">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（2）政府采购支持采用本国产品的政策。</w:t>
      </w:r>
    </w:p>
    <w:p w14:paraId="6351368A">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14:paraId="64A6873C">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（4）政府采购促进残疾人就业政策。</w:t>
      </w:r>
    </w:p>
    <w:p w14:paraId="02AA2872">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（5）政府采购支持监狱企业发展。</w:t>
      </w:r>
    </w:p>
    <w:p w14:paraId="18828076">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ascii="宋体" w:hAnsi="宋体"/>
          <w:b/>
          <w:bCs/>
          <w:color w:val="auto"/>
          <w:szCs w:val="21"/>
        </w:rPr>
      </w:pPr>
      <w:r>
        <w:rPr>
          <w:rFonts w:hint="eastAsia" w:ascii="宋体" w:hAnsi="宋体"/>
          <w:b/>
          <w:bCs/>
          <w:color w:val="auto"/>
          <w:szCs w:val="21"/>
        </w:rPr>
        <w:t>4.本项目采用远程异地评审。崇左市的专家到广西崇左市友谊大道与城南八路交叉口东南角处（崇左建设大厦/百成财富2#楼十三层）云之龙咨询集团有限公司崇左分公司参加评审；百色市的专家到百色市右江区迎龙路70号百色建通时代广场（竹洲大桥旁）二号楼A座二十层云之龙咨询集团有限公司百色分公司参加评审。</w:t>
      </w:r>
    </w:p>
    <w:p w14:paraId="3294AFAC">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ascii="宋体" w:hAnsi="宋体"/>
          <w:color w:val="auto"/>
          <w:szCs w:val="21"/>
        </w:rPr>
      </w:pPr>
      <w:r>
        <w:rPr>
          <w:rFonts w:hint="eastAsia" w:ascii="宋体" w:hAnsi="宋体" w:cs="宋体"/>
          <w:color w:val="auto"/>
          <w:kern w:val="0"/>
          <w:szCs w:val="21"/>
        </w:rPr>
        <w:t>5.供应商</w:t>
      </w:r>
      <w:r>
        <w:rPr>
          <w:rFonts w:hint="eastAsia" w:ascii="宋体" w:hAnsi="宋体"/>
          <w:color w:val="auto"/>
          <w:szCs w:val="21"/>
        </w:rPr>
        <w:t>竞标注意事项</w:t>
      </w:r>
    </w:p>
    <w:p w14:paraId="63FFE0BF">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ascii="宋体" w:hAnsi="宋体"/>
          <w:color w:val="auto"/>
          <w:szCs w:val="21"/>
        </w:rPr>
      </w:pPr>
      <w:r>
        <w:rPr>
          <w:rFonts w:hint="eastAsia" w:ascii="宋体" w:hAnsi="宋体"/>
          <w:color w:val="auto"/>
          <w:szCs w:val="21"/>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谈判文件和广西政府采购云平台的要求编制、加密后在提交响应文件截止时间前通过网络上传至 广西政府采购云平台（加密的电子响应文件是指</w:t>
      </w:r>
      <w:r>
        <w:rPr>
          <w:rFonts w:hint="eastAsia"/>
          <w:color w:val="auto"/>
        </w:rPr>
        <w:t>后缀名为“jm</w:t>
      </w:r>
      <w:r>
        <w:rPr>
          <w:color w:val="auto"/>
        </w:rPr>
        <w:t>bs</w:t>
      </w:r>
      <w:r>
        <w:rPr>
          <w:rFonts w:hint="eastAsia"/>
          <w:color w:val="auto"/>
        </w:rPr>
        <w:t>”的文件</w:t>
      </w:r>
      <w:r>
        <w:rPr>
          <w:rFonts w:hint="eastAsia" w:ascii="宋体" w:hAnsi="宋体"/>
          <w:color w:val="auto"/>
          <w:szCs w:val="21"/>
        </w:rPr>
        <w:t>），</w:t>
      </w:r>
      <w:r>
        <w:rPr>
          <w:rFonts w:hint="eastAsia" w:ascii="宋体" w:hAnsi="宋体"/>
          <w:b/>
          <w:color w:val="auto"/>
          <w:szCs w:val="21"/>
        </w:rPr>
        <w:t>供应商在广西政府采购云平台提交电子响应文件时，请填写参加远程采购活动经办人联系方式。</w:t>
      </w:r>
      <w:r>
        <w:rPr>
          <w:rFonts w:hint="eastAsia" w:ascii="宋体" w:hAnsi="宋体"/>
          <w:color w:val="auto"/>
          <w:szCs w:val="21"/>
        </w:rPr>
        <w:t>供应商登录广西政府采购云平台，依次进入“服务中心－项目采购－操作流程－电子招投标－</w:t>
      </w:r>
      <w:r>
        <w:rPr>
          <w:color w:val="auto"/>
        </w:rPr>
        <w:t>政府采购项目电子交易管理操作指南</w:t>
      </w:r>
      <w:r>
        <w:rPr>
          <w:rFonts w:hint="eastAsia"/>
          <w:color w:val="auto"/>
        </w:rPr>
        <w:t>－</w:t>
      </w:r>
      <w:r>
        <w:rPr>
          <w:color w:val="auto"/>
        </w:rPr>
        <w:t>供应商</w:t>
      </w:r>
      <w:r>
        <w:rPr>
          <w:rFonts w:hint="eastAsia" w:ascii="宋体" w:hAnsi="宋体"/>
          <w:color w:val="auto"/>
          <w:szCs w:val="21"/>
        </w:rPr>
        <w:t>”查看电子竞标具体操作流程。</w:t>
      </w:r>
    </w:p>
    <w:p w14:paraId="4B761C6D">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ascii="宋体" w:hAnsi="宋体"/>
          <w:color w:val="auto"/>
          <w:szCs w:val="21"/>
        </w:rPr>
      </w:pPr>
      <w:r>
        <w:rPr>
          <w:rFonts w:hint="eastAsia" w:ascii="宋体" w:hAnsi="宋体"/>
          <w:color w:val="auto"/>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auto"/>
          <w:kern w:val="0"/>
          <w:szCs w:val="21"/>
        </w:rPr>
        <w:t>广西政府采购云平台，</w:t>
      </w:r>
      <w:r>
        <w:rPr>
          <w:rFonts w:hint="eastAsia" w:ascii="宋体" w:hAnsi="宋体"/>
          <w:color w:val="auto"/>
          <w:szCs w:val="21"/>
        </w:rPr>
        <w:t>依次进入“服务中心－入驻与配置”查看CA数字证书办理操作流程。</w:t>
      </w:r>
      <w:r>
        <w:rPr>
          <w:rFonts w:hint="eastAsia" w:ascii="宋体" w:hAnsi="宋体" w:cs="宋体"/>
          <w:bCs/>
          <w:color w:val="auto"/>
          <w:kern w:val="0"/>
          <w:szCs w:val="21"/>
        </w:rPr>
        <w:t>如在操作过程中遇到问题或者需要技术支持，请致电广西政府采购云平台客服热线：95763或0771-3381253</w:t>
      </w:r>
      <w:r>
        <w:rPr>
          <w:rFonts w:hint="eastAsia" w:ascii="宋体" w:hAnsi="宋体"/>
          <w:color w:val="auto"/>
          <w:szCs w:val="21"/>
        </w:rPr>
        <w:t>）。</w:t>
      </w:r>
    </w:p>
    <w:p w14:paraId="676222E0">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（3）CA证书在线解密：供应商竞标时，需凭制作响应文件时用来加密的有效数字证书（CA认证）登录广西政府采购云平台电子开标大厅现场按规定时间对加密的响应文件进行解密，</w:t>
      </w:r>
      <w:r>
        <w:rPr>
          <w:rFonts w:hint="eastAsia" w:ascii="宋体" w:hAnsi="宋体" w:cs="宋体"/>
          <w:b/>
          <w:bCs/>
          <w:color w:val="auto"/>
          <w:kern w:val="0"/>
          <w:szCs w:val="21"/>
        </w:rPr>
        <w:t>为确保投标（响应）文件顺利解密，建议供应商尽量使用PDF编辑软件调整、减小投标（响应）文件大小，加密后再上传至广西政府采购云平台，否则后果自负。</w:t>
      </w:r>
    </w:p>
    <w:p w14:paraId="21C4EB9C">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ascii="宋体" w:hAnsi="宋体"/>
          <w:bCs/>
          <w:color w:val="auto"/>
          <w:szCs w:val="21"/>
        </w:rPr>
      </w:pPr>
      <w:r>
        <w:rPr>
          <w:rFonts w:hint="eastAsia" w:ascii="宋体" w:hAnsi="宋体"/>
          <w:color w:val="auto"/>
          <w:szCs w:val="21"/>
        </w:rPr>
        <w:t>注：1）为确保网上操作的合法、有效和安全，请供应商确保在电子竞标过程中能够对相关数据电文进行加密和使用电子签章，妥善保管C</w:t>
      </w:r>
      <w:r>
        <w:rPr>
          <w:rFonts w:ascii="宋体" w:hAnsi="宋体"/>
          <w:color w:val="auto"/>
          <w:szCs w:val="21"/>
        </w:rPr>
        <w:t>A</w:t>
      </w:r>
      <w:r>
        <w:rPr>
          <w:rFonts w:hint="eastAsia" w:ascii="宋体" w:hAnsi="宋体"/>
          <w:color w:val="auto"/>
          <w:szCs w:val="21"/>
        </w:rPr>
        <w:t>数字证书并使用有效的CA数字证书参与整个采购活动。2）</w:t>
      </w:r>
      <w:r>
        <w:rPr>
          <w:rFonts w:hint="eastAsia" w:ascii="宋体" w:hAnsi="宋体"/>
          <w:bCs/>
          <w:color w:val="auto"/>
          <w:szCs w:val="21"/>
        </w:rPr>
        <w:t>供应商应当在提交响应文件截止时间前完成电子响应文件的提交（上传），在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1A8DA55C">
      <w:pPr>
        <w:keepNext w:val="0"/>
        <w:keepLines w:val="0"/>
        <w:pageBreakBefore w:val="0"/>
        <w:numPr>
          <w:ilvl w:val="0"/>
          <w:numId w:val="2"/>
        </w:numPr>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供应商需要在具备摄像头及语音功能且互联网网络状况良好的电脑登录广西政府采购云平台远程开标大厅参与本次谈判，否则后果自负。</w:t>
      </w:r>
    </w:p>
    <w:p w14:paraId="34724222">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ascii="宋体" w:hAnsi="宋体"/>
          <w:b/>
          <w:bCs/>
          <w:color w:val="auto"/>
          <w:szCs w:val="21"/>
        </w:rPr>
      </w:pPr>
      <w:r>
        <w:rPr>
          <w:rFonts w:hint="eastAsia" w:ascii="宋体" w:hAnsi="宋体"/>
          <w:b/>
          <w:bCs/>
          <w:color w:val="auto"/>
          <w:szCs w:val="21"/>
        </w:rPr>
        <w:t>6.根据《崇左市财政局关于进一步做好线上“政采贷”融资业务工作的通知》（崇财采〔2023〕10号），供应商可凭成交通知书、政府采购合同，通过中征应收账款融资服务平台向银行在线申请“政采贷”融资。（具体详见采购文件中关于“政采贷”相关信息）</w:t>
      </w:r>
    </w:p>
    <w:bookmarkEnd w:id="41"/>
    <w:p w14:paraId="2F261FBC">
      <w:pPr>
        <w:keepNext w:val="0"/>
        <w:keepLines w:val="0"/>
        <w:pageBreakBefore w:val="0"/>
        <w:kinsoku/>
        <w:wordWrap/>
        <w:overflowPunct/>
        <w:topLinePunct w:val="0"/>
        <w:autoSpaceDE/>
        <w:autoSpaceDN/>
        <w:bidi w:val="0"/>
        <w:adjustRightInd/>
        <w:snapToGrid/>
        <w:spacing w:line="440" w:lineRule="exact"/>
        <w:ind w:firstLine="360" w:firstLineChars="150"/>
        <w:textAlignment w:val="auto"/>
        <w:rPr>
          <w:rFonts w:ascii="黑体" w:hAnsi="黑体" w:eastAsia="黑体"/>
          <w:color w:val="auto"/>
          <w:sz w:val="24"/>
        </w:rPr>
      </w:pPr>
      <w:r>
        <w:rPr>
          <w:rFonts w:hint="eastAsia" w:ascii="黑体" w:hAnsi="黑体" w:eastAsia="黑体"/>
          <w:color w:val="auto"/>
          <w:sz w:val="24"/>
        </w:rPr>
        <w:t>八、凡对本次采购提出询问，请按</w:t>
      </w:r>
      <w:r>
        <w:rPr>
          <w:rFonts w:ascii="黑体" w:hAnsi="黑体" w:eastAsia="黑体"/>
          <w:color w:val="auto"/>
          <w:sz w:val="24"/>
        </w:rPr>
        <w:t>以下方式</w:t>
      </w:r>
      <w:r>
        <w:rPr>
          <w:rFonts w:hint="eastAsia" w:ascii="黑体" w:hAnsi="黑体" w:eastAsia="黑体"/>
          <w:color w:val="auto"/>
          <w:sz w:val="24"/>
        </w:rPr>
        <w:t>联系。</w:t>
      </w:r>
      <w:bookmarkEnd w:id="42"/>
      <w:bookmarkEnd w:id="43"/>
      <w:bookmarkEnd w:id="44"/>
      <w:bookmarkEnd w:id="45"/>
      <w:bookmarkEnd w:id="46"/>
      <w:bookmarkEnd w:id="47"/>
    </w:p>
    <w:bookmarkEnd w:id="48"/>
    <w:p w14:paraId="1E30C83B">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仿宋"/>
          <w:color w:val="auto"/>
        </w:rPr>
      </w:pPr>
      <w:bookmarkStart w:id="49" w:name="_Toc35393638"/>
      <w:bookmarkStart w:id="50" w:name="_Toc28359097"/>
      <w:bookmarkStart w:id="51" w:name="_Toc28359020"/>
      <w:bookmarkStart w:id="52" w:name="_Toc35393807"/>
      <w:r>
        <w:rPr>
          <w:rFonts w:ascii="宋体" w:hAnsi="宋体" w:cs="仿宋"/>
          <w:color w:val="auto"/>
        </w:rPr>
        <w:t>1. 采购人信息</w:t>
      </w:r>
    </w:p>
    <w:p w14:paraId="4F645B79">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仿宋"/>
          <w:color w:val="auto"/>
        </w:rPr>
      </w:pPr>
      <w:r>
        <w:rPr>
          <w:rFonts w:hint="eastAsia" w:ascii="宋体" w:hAnsi="宋体" w:cs="仿宋"/>
          <w:color w:val="auto"/>
        </w:rPr>
        <w:t>名称：崇左市人民医院</w:t>
      </w:r>
    </w:p>
    <w:p w14:paraId="66BE0B9B">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仿宋"/>
          <w:color w:val="auto"/>
        </w:rPr>
      </w:pPr>
      <w:r>
        <w:rPr>
          <w:rFonts w:hint="eastAsia" w:ascii="宋体" w:hAnsi="宋体" w:cs="仿宋"/>
          <w:color w:val="auto"/>
        </w:rPr>
        <w:t>地址：崇左市江州区龙峡山东路6号</w:t>
      </w:r>
    </w:p>
    <w:p w14:paraId="6862C033">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仿宋"/>
          <w:color w:val="auto"/>
        </w:rPr>
      </w:pPr>
      <w:r>
        <w:rPr>
          <w:rFonts w:hint="eastAsia" w:ascii="宋体" w:hAnsi="宋体" w:cs="仿宋"/>
          <w:color w:val="auto"/>
        </w:rPr>
        <w:t>联系人：郑娟</w:t>
      </w:r>
    </w:p>
    <w:p w14:paraId="012D08AA">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仿宋"/>
          <w:color w:val="auto"/>
        </w:rPr>
      </w:pPr>
      <w:r>
        <w:rPr>
          <w:rFonts w:hint="eastAsia" w:ascii="宋体" w:hAnsi="宋体" w:cs="仿宋"/>
          <w:color w:val="auto"/>
        </w:rPr>
        <w:t>联系电话：0771-7993193</w:t>
      </w:r>
    </w:p>
    <w:p w14:paraId="2F194246">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仿宋"/>
          <w:color w:val="auto"/>
        </w:rPr>
      </w:pPr>
      <w:r>
        <w:rPr>
          <w:rFonts w:ascii="宋体" w:hAnsi="宋体" w:cs="仿宋"/>
          <w:color w:val="auto"/>
        </w:rPr>
        <w:t>2.采购代理机构信息</w:t>
      </w:r>
    </w:p>
    <w:p w14:paraId="51BF9597">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仿宋"/>
          <w:color w:val="auto"/>
        </w:rPr>
      </w:pPr>
      <w:r>
        <w:rPr>
          <w:rFonts w:ascii="宋体" w:hAnsi="宋体" w:cs="仿宋"/>
          <w:color w:val="auto"/>
        </w:rPr>
        <w:t>名 称：云之龙咨询集团有限公司</w:t>
      </w:r>
    </w:p>
    <w:p w14:paraId="6A8D2680">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仿宋"/>
          <w:color w:val="auto"/>
        </w:rPr>
      </w:pPr>
      <w:r>
        <w:rPr>
          <w:rFonts w:ascii="宋体" w:hAnsi="宋体" w:cs="仿宋"/>
          <w:color w:val="auto"/>
        </w:rPr>
        <w:t>地址：广西崇左市友谊大道与城南八路交叉口东南角处</w:t>
      </w:r>
      <w:r>
        <w:rPr>
          <w:rFonts w:hint="eastAsia" w:ascii="宋体" w:hAnsi="宋体" w:cs="仿宋"/>
          <w:color w:val="auto"/>
        </w:rPr>
        <w:t>（崇左建设大厦/百成财富2#楼十三层）</w:t>
      </w:r>
    </w:p>
    <w:p w14:paraId="54F3EE67">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仿宋"/>
          <w:color w:val="auto"/>
        </w:rPr>
      </w:pPr>
      <w:r>
        <w:rPr>
          <w:rFonts w:ascii="宋体" w:hAnsi="宋体" w:cs="仿宋"/>
          <w:color w:val="auto"/>
        </w:rPr>
        <w:t>联系方式：0771-7833699</w:t>
      </w:r>
    </w:p>
    <w:bookmarkEnd w:id="49"/>
    <w:bookmarkEnd w:id="50"/>
    <w:bookmarkEnd w:id="51"/>
    <w:bookmarkEnd w:id="52"/>
    <w:p w14:paraId="1794F497">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仿宋"/>
          <w:color w:val="auto"/>
        </w:rPr>
      </w:pPr>
      <w:bookmarkStart w:id="53" w:name="_Toc28359098"/>
      <w:bookmarkStart w:id="54" w:name="_Toc28359021"/>
      <w:bookmarkStart w:id="55" w:name="_Toc35393808"/>
      <w:bookmarkStart w:id="56" w:name="_Toc35393639"/>
      <w:r>
        <w:rPr>
          <w:rFonts w:hint="eastAsia" w:ascii="宋体" w:hAnsi="宋体" w:cs="仿宋"/>
          <w:color w:val="auto"/>
        </w:rPr>
        <w:t>3.项目联系方式</w:t>
      </w:r>
      <w:bookmarkEnd w:id="53"/>
      <w:bookmarkEnd w:id="54"/>
      <w:bookmarkEnd w:id="55"/>
      <w:bookmarkEnd w:id="56"/>
    </w:p>
    <w:p w14:paraId="70E5FF9B">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仿宋"/>
          <w:color w:val="auto"/>
        </w:rPr>
      </w:pPr>
      <w:r>
        <w:rPr>
          <w:rFonts w:hint="eastAsia" w:ascii="宋体" w:hAnsi="宋体" w:cs="仿宋"/>
          <w:color w:val="auto"/>
        </w:rPr>
        <w:t>项目联系人：梁立宇</w:t>
      </w:r>
    </w:p>
    <w:p w14:paraId="2A39AE2D">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仿宋"/>
          <w:color w:val="auto"/>
        </w:rPr>
      </w:pPr>
      <w:r>
        <w:rPr>
          <w:rFonts w:hint="eastAsia" w:ascii="宋体" w:hAnsi="宋体" w:cs="仿宋"/>
          <w:color w:val="auto"/>
        </w:rPr>
        <w:t>电话：0771-7835598、0771-7833699    传真：0771-7835509</w:t>
      </w:r>
    </w:p>
    <w:p w14:paraId="0F2A15A5">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仿宋"/>
          <w:color w:val="auto"/>
        </w:rPr>
      </w:pPr>
      <w:r>
        <w:rPr>
          <w:rFonts w:hint="eastAsia" w:ascii="宋体" w:hAnsi="宋体" w:cs="仿宋"/>
          <w:color w:val="auto"/>
        </w:rPr>
        <w:t>财务电话：0771-7836268</w:t>
      </w:r>
    </w:p>
    <w:p w14:paraId="02A6A46B">
      <w:pPr>
        <w:pStyle w:val="9"/>
        <w:jc w:val="center"/>
        <w:rPr>
          <w:color w:val="auto"/>
        </w:rPr>
      </w:pPr>
      <w:r>
        <w:rPr>
          <w:rFonts w:ascii="Arial Unicode MS" w:hAnsi="Arial Unicode MS" w:eastAsia="Arial Unicode MS" w:cs="Arial Unicode MS"/>
          <w:bCs w:val="0"/>
          <w:color w:val="auto"/>
        </w:rPr>
        <w:br w:type="page"/>
      </w:r>
      <w:bookmarkStart w:id="57" w:name="_Toc19778"/>
      <w:r>
        <w:rPr>
          <w:rFonts w:hint="eastAsia"/>
          <w:color w:val="auto"/>
        </w:rPr>
        <w:t>第二章 供应商须知</w:t>
      </w:r>
      <w:bookmarkEnd w:id="57"/>
    </w:p>
    <w:p w14:paraId="65B1734D">
      <w:pPr>
        <w:spacing w:line="400" w:lineRule="exact"/>
        <w:jc w:val="center"/>
        <w:rPr>
          <w:rFonts w:ascii="宋体" w:hAnsi="宋体"/>
          <w:b/>
          <w:color w:val="auto"/>
          <w:sz w:val="32"/>
          <w:szCs w:val="32"/>
        </w:rPr>
      </w:pPr>
      <w:r>
        <w:rPr>
          <w:rFonts w:hint="eastAsia" w:ascii="宋体" w:hAnsi="宋体"/>
          <w:b/>
          <w:color w:val="auto"/>
          <w:sz w:val="32"/>
          <w:szCs w:val="32"/>
        </w:rPr>
        <w:t>供应商须知前附表</w:t>
      </w:r>
    </w:p>
    <w:p w14:paraId="5DCBEEDE">
      <w:pPr>
        <w:spacing w:line="400" w:lineRule="exact"/>
        <w:jc w:val="center"/>
        <w:rPr>
          <w:rFonts w:ascii="宋体" w:hAnsi="宋体"/>
          <w:b/>
          <w:color w:val="auto"/>
          <w:sz w:val="32"/>
          <w:szCs w:val="32"/>
        </w:rPr>
      </w:pPr>
    </w:p>
    <w:tbl>
      <w:tblPr>
        <w:tblStyle w:val="6"/>
        <w:tblW w:w="95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607"/>
      </w:tblGrid>
      <w:tr w14:paraId="47A7A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tcPr>
          <w:p w14:paraId="1FBE360E">
            <w:pPr>
              <w:spacing w:line="360" w:lineRule="auto"/>
              <w:jc w:val="center"/>
              <w:rPr>
                <w:rFonts w:ascii="宋体" w:hAnsi="宋体" w:cs="宋体"/>
                <w:b/>
                <w:color w:val="auto"/>
                <w:szCs w:val="21"/>
              </w:rPr>
            </w:pPr>
            <w:r>
              <w:rPr>
                <w:rFonts w:hint="eastAsia" w:ascii="宋体" w:hAnsi="宋体" w:cs="宋体"/>
                <w:b/>
                <w:color w:val="auto"/>
                <w:szCs w:val="21"/>
              </w:rPr>
              <w:t>条款号</w:t>
            </w:r>
          </w:p>
        </w:tc>
        <w:tc>
          <w:tcPr>
            <w:tcW w:w="8607" w:type="dxa"/>
            <w:tcBorders>
              <w:top w:val="single" w:color="000000" w:sz="4" w:space="0"/>
              <w:left w:val="single" w:color="000000" w:sz="4" w:space="0"/>
              <w:bottom w:val="single" w:color="000000" w:sz="4" w:space="0"/>
              <w:right w:val="single" w:color="000000" w:sz="4" w:space="0"/>
            </w:tcBorders>
          </w:tcPr>
          <w:p w14:paraId="548F490B">
            <w:pPr>
              <w:spacing w:line="360" w:lineRule="auto"/>
              <w:jc w:val="center"/>
              <w:rPr>
                <w:rFonts w:ascii="宋体" w:hAnsi="宋体" w:cs="宋体"/>
                <w:b/>
                <w:color w:val="auto"/>
                <w:szCs w:val="21"/>
              </w:rPr>
            </w:pPr>
            <w:r>
              <w:rPr>
                <w:rFonts w:hint="eastAsia" w:ascii="宋体" w:hAnsi="宋体" w:cs="宋体"/>
                <w:b/>
                <w:color w:val="auto"/>
                <w:szCs w:val="21"/>
              </w:rPr>
              <w:t>内    容</w:t>
            </w:r>
          </w:p>
        </w:tc>
      </w:tr>
      <w:tr w14:paraId="28192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514AB16A">
            <w:pPr>
              <w:spacing w:line="360" w:lineRule="auto"/>
              <w:jc w:val="center"/>
              <w:rPr>
                <w:rFonts w:ascii="宋体" w:hAnsi="宋体" w:cs="宋体"/>
                <w:color w:val="auto"/>
                <w:szCs w:val="21"/>
              </w:rPr>
            </w:pPr>
            <w:r>
              <w:rPr>
                <w:rFonts w:hint="eastAsia" w:ascii="宋体" w:hAnsi="宋体" w:cs="宋体"/>
                <w:color w:val="auto"/>
                <w:szCs w:val="21"/>
              </w:rPr>
              <w:t>3</w:t>
            </w:r>
          </w:p>
        </w:tc>
        <w:tc>
          <w:tcPr>
            <w:tcW w:w="8607" w:type="dxa"/>
            <w:tcBorders>
              <w:top w:val="single" w:color="000000" w:sz="4" w:space="0"/>
              <w:left w:val="single" w:color="000000" w:sz="4" w:space="0"/>
              <w:bottom w:val="single" w:color="000000" w:sz="4" w:space="0"/>
              <w:right w:val="single" w:color="000000" w:sz="4" w:space="0"/>
            </w:tcBorders>
            <w:vAlign w:val="center"/>
          </w:tcPr>
          <w:p w14:paraId="3C5D1D24">
            <w:pPr>
              <w:spacing w:line="360" w:lineRule="auto"/>
              <w:rPr>
                <w:rFonts w:ascii="宋体" w:hAnsi="宋体" w:cs="宋体"/>
                <w:color w:val="auto"/>
                <w:szCs w:val="21"/>
              </w:rPr>
            </w:pPr>
            <w:r>
              <w:rPr>
                <w:rFonts w:hint="eastAsia" w:ascii="宋体" w:hAnsi="宋体" w:cs="宋体"/>
                <w:color w:val="auto"/>
                <w:szCs w:val="21"/>
              </w:rPr>
              <w:t>1.供应商的资格条件：详见竞争性谈判公告</w:t>
            </w:r>
          </w:p>
          <w:p w14:paraId="26A05B47">
            <w:pPr>
              <w:spacing w:line="360" w:lineRule="auto"/>
              <w:rPr>
                <w:rFonts w:ascii="宋体" w:hAnsi="宋体" w:cs="宋体"/>
                <w:color w:val="auto"/>
                <w:szCs w:val="21"/>
              </w:rPr>
            </w:pPr>
            <w:r>
              <w:rPr>
                <w:rFonts w:hint="eastAsia" w:ascii="宋体" w:hAnsi="宋体" w:cs="宋体"/>
                <w:color w:val="auto"/>
                <w:szCs w:val="21"/>
              </w:rPr>
              <w:t>2.</w:t>
            </w:r>
            <w:r>
              <w:rPr>
                <w:rFonts w:hint="eastAsia" w:ascii="宋体" w:hAnsi="宋体" w:cs="宋体"/>
                <w:bCs/>
                <w:color w:val="auto"/>
                <w:szCs w:val="21"/>
              </w:rPr>
              <w:t>供应商</w:t>
            </w:r>
            <w:r>
              <w:rPr>
                <w:rFonts w:hint="eastAsia" w:ascii="宋体" w:hAnsi="宋体" w:cs="宋体"/>
                <w:color w:val="auto"/>
                <w:szCs w:val="21"/>
              </w:rPr>
              <w:t>出现下列情形之一的，不得参加政府采购活动：</w:t>
            </w:r>
          </w:p>
          <w:p w14:paraId="600F94D1">
            <w:pPr>
              <w:spacing w:line="360" w:lineRule="auto"/>
              <w:rPr>
                <w:rFonts w:ascii="宋体" w:hAnsi="宋体" w:cs="宋体"/>
                <w:color w:val="auto"/>
                <w:szCs w:val="21"/>
              </w:rPr>
            </w:pPr>
            <w:r>
              <w:rPr>
                <w:rFonts w:hint="eastAsia" w:ascii="宋体" w:hAnsi="宋体" w:cs="宋体"/>
                <w:color w:val="auto"/>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F9AA4DB">
            <w:pPr>
              <w:spacing w:line="360" w:lineRule="auto"/>
              <w:rPr>
                <w:rFonts w:ascii="宋体" w:hAnsi="宋体" w:cs="宋体"/>
                <w:color w:val="auto"/>
                <w:szCs w:val="21"/>
              </w:rPr>
            </w:pPr>
            <w:r>
              <w:rPr>
                <w:rFonts w:hint="eastAsia" w:ascii="宋体" w:hAnsi="宋体" w:cs="宋体"/>
                <w:color w:val="auto"/>
                <w:szCs w:val="21"/>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46F35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5F6319F4">
            <w:pPr>
              <w:spacing w:line="360" w:lineRule="auto"/>
              <w:jc w:val="center"/>
              <w:rPr>
                <w:rFonts w:ascii="宋体" w:hAnsi="宋体" w:cs="宋体"/>
                <w:color w:val="auto"/>
                <w:szCs w:val="21"/>
              </w:rPr>
            </w:pPr>
            <w:r>
              <w:rPr>
                <w:rFonts w:hint="eastAsia" w:ascii="宋体" w:hAnsi="宋体" w:cs="宋体"/>
                <w:color w:val="auto"/>
                <w:szCs w:val="21"/>
              </w:rPr>
              <w:t>5.1</w:t>
            </w:r>
          </w:p>
        </w:tc>
        <w:tc>
          <w:tcPr>
            <w:tcW w:w="8607" w:type="dxa"/>
            <w:tcBorders>
              <w:top w:val="single" w:color="000000" w:sz="4" w:space="0"/>
              <w:left w:val="single" w:color="000000" w:sz="4" w:space="0"/>
              <w:bottom w:val="single" w:color="000000" w:sz="4" w:space="0"/>
              <w:right w:val="single" w:color="000000" w:sz="4" w:space="0"/>
            </w:tcBorders>
            <w:vAlign w:val="center"/>
          </w:tcPr>
          <w:p w14:paraId="4175EC6B">
            <w:pPr>
              <w:spacing w:line="360" w:lineRule="auto"/>
              <w:rPr>
                <w:rFonts w:ascii="宋体" w:hAnsi="宋体" w:cs="宋体"/>
                <w:color w:val="auto"/>
                <w:szCs w:val="21"/>
              </w:rPr>
            </w:pPr>
            <w:r>
              <w:rPr>
                <w:rFonts w:hint="eastAsia" w:ascii="宋体" w:hAnsi="宋体" w:cs="宋体"/>
                <w:color w:val="auto"/>
                <w:szCs w:val="21"/>
              </w:rPr>
              <w:t>是否接受联合体竞标： 详见竞争性谈判公告</w:t>
            </w:r>
          </w:p>
        </w:tc>
      </w:tr>
      <w:tr w14:paraId="4A604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50C35668">
            <w:pPr>
              <w:spacing w:line="360" w:lineRule="auto"/>
              <w:jc w:val="center"/>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.2</w:t>
            </w:r>
          </w:p>
        </w:tc>
        <w:tc>
          <w:tcPr>
            <w:tcW w:w="8607" w:type="dxa"/>
            <w:tcBorders>
              <w:top w:val="single" w:color="000000" w:sz="4" w:space="0"/>
              <w:left w:val="single" w:color="000000" w:sz="4" w:space="0"/>
              <w:bottom w:val="single" w:color="000000" w:sz="4" w:space="0"/>
              <w:right w:val="single" w:color="000000" w:sz="4" w:space="0"/>
            </w:tcBorders>
            <w:vAlign w:val="center"/>
          </w:tcPr>
          <w:p w14:paraId="6647D649">
            <w:pPr>
              <w:spacing w:line="360" w:lineRule="auto"/>
              <w:rPr>
                <w:rFonts w:ascii="宋体" w:hAnsi="宋体" w:cs="宋体"/>
                <w:color w:val="auto"/>
                <w:szCs w:val="21"/>
              </w:rPr>
            </w:pPr>
            <w:r>
              <w:rPr>
                <w:rFonts w:hint="eastAsia" w:ascii="宋体" w:hAnsi="宋体"/>
                <w:color w:val="auto"/>
                <w:szCs w:val="21"/>
              </w:rPr>
              <w:t>如接受联合体竞标，联合体竞标要求如下：</w:t>
            </w:r>
          </w:p>
          <w:p w14:paraId="71E142C5">
            <w:pPr>
              <w:spacing w:line="360" w:lineRule="auto"/>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w:t>
            </w:r>
            <w:r>
              <w:rPr>
                <w:rFonts w:hint="eastAsia" w:ascii="宋体" w:hAnsi="宋体" w:cs="宋体"/>
                <w:color w:val="auto"/>
                <w:szCs w:val="21"/>
              </w:rPr>
              <w:t>两个以上供应商可以组成一个竞标联合体，以一个供应商的身份共同参加竞标。联合体竞标的，须提供《联合体竞标协议书》（格式后附）。</w:t>
            </w:r>
          </w:p>
          <w:p w14:paraId="3C463C02">
            <w:pPr>
              <w:spacing w:line="360" w:lineRule="auto"/>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以联合体形式参加竞标的，联合体各方均须具备《中华人民共和国政府采购法》第二十二条第一款规定的基本条件（涉及行政许可范围的内容，联合体各方均应具备相应资质）。本项目有特殊要求规定供应商特定条件的，联合体各方中至少有一方必须符合谈判文件规定的特定条件。</w:t>
            </w:r>
          </w:p>
          <w:p w14:paraId="139A2935">
            <w:pPr>
              <w:spacing w:line="360" w:lineRule="auto"/>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w:t>
            </w:r>
            <w:r>
              <w:rPr>
                <w:rFonts w:hint="eastAsia" w:ascii="宋体" w:hAnsi="宋体" w:cs="宋体"/>
                <w:color w:val="auto"/>
                <w:szCs w:val="21"/>
              </w:rPr>
              <w:t>联合体各方之间必须签订联合竞标协议，协议书必须明确主体方（或者牵头方）并明确约定联合体各方承担的工作和相应的责任（各方承担责任与义务的分工必须符合采购需求，</w:t>
            </w:r>
            <w:r>
              <w:rPr>
                <w:rFonts w:hint="eastAsia" w:ascii="宋体" w:hAnsi="宋体" w:cs="宋体"/>
                <w:b/>
                <w:bCs/>
                <w:color w:val="auto"/>
                <w:szCs w:val="21"/>
              </w:rPr>
              <w:t>否则，联合体竞标无效</w:t>
            </w:r>
            <w:r>
              <w:rPr>
                <w:rFonts w:hint="eastAsia" w:ascii="宋体" w:hAnsi="宋体" w:cs="宋体"/>
                <w:color w:val="auto"/>
                <w:szCs w:val="21"/>
              </w:rPr>
              <w:t>），并将联合竞标协议连同响应文件一并提交采购代理机构。联合体各方必须共同与采购人签订采购合同，就采购合同约定的事项对采购人承担连带责任。</w:t>
            </w:r>
          </w:p>
          <w:p w14:paraId="3949D21B">
            <w:pPr>
              <w:spacing w:line="360" w:lineRule="auto"/>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w:t>
            </w:r>
            <w:r>
              <w:rPr>
                <w:rFonts w:hint="eastAsia" w:ascii="宋体" w:hAnsi="宋体" w:cs="宋体"/>
                <w:color w:val="auto"/>
                <w:szCs w:val="21"/>
              </w:rPr>
              <w:t>以联合体形式参加政府采购活动的，联合体各方不得再单独参加或者与其他供应商另外组成联合体参加同一合同项下的政府采购活动。</w:t>
            </w:r>
          </w:p>
          <w:p w14:paraId="54A3D0CF">
            <w:pPr>
              <w:spacing w:line="360" w:lineRule="auto"/>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w:t>
            </w:r>
            <w:r>
              <w:rPr>
                <w:rFonts w:hint="eastAsia" w:ascii="宋体" w:hAnsi="宋体" w:cs="宋体"/>
                <w:color w:val="auto"/>
                <w:szCs w:val="21"/>
              </w:rPr>
              <w:t>联合体中有同类资质的供应商按照联合体分工承担相同工作的，应当按照资质等级较低的供应商确定资质等级。</w:t>
            </w:r>
          </w:p>
          <w:p w14:paraId="65AC775F">
            <w:pPr>
              <w:spacing w:line="360" w:lineRule="auto"/>
              <w:rPr>
                <w:rFonts w:ascii="宋体" w:hAnsi="宋体" w:cs="宋体"/>
                <w:color w:val="auto"/>
                <w:szCs w:val="21"/>
              </w:rPr>
            </w:pPr>
            <w:r>
              <w:rPr>
                <w:rFonts w:hint="eastAsia" w:ascii="宋体" w:hAnsi="宋体" w:cs="宋体"/>
                <w:color w:val="auto"/>
                <w:szCs w:val="21"/>
              </w:rPr>
              <w:t>6</w:t>
            </w:r>
            <w:r>
              <w:rPr>
                <w:rFonts w:ascii="宋体" w:hAnsi="宋体" w:cs="宋体"/>
                <w:color w:val="auto"/>
                <w:szCs w:val="21"/>
              </w:rPr>
              <w:t>.</w:t>
            </w:r>
            <w:r>
              <w:rPr>
                <w:rFonts w:hint="eastAsia" w:ascii="宋体" w:hAnsi="宋体" w:cs="宋体"/>
                <w:color w:val="auto"/>
                <w:szCs w:val="21"/>
              </w:rPr>
              <w:t>联合体竞标业绩、履约能力按照联合体各方中较高的一方认定并计算。</w:t>
            </w:r>
          </w:p>
          <w:p w14:paraId="371165E2">
            <w:pPr>
              <w:spacing w:line="360" w:lineRule="auto"/>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w:t>
            </w:r>
            <w:r>
              <w:rPr>
                <w:rFonts w:hint="eastAsia" w:ascii="宋体" w:hAnsi="宋体" w:cs="宋体"/>
                <w:color w:val="auto"/>
                <w:szCs w:val="21"/>
              </w:rPr>
              <w:t>供应商为联合体的，可以由联合体中的一方或者多方共同交纳保证金，其交纳的保证金对联合体各方均具有约束力。</w:t>
            </w:r>
          </w:p>
          <w:p w14:paraId="64A588F1">
            <w:pPr>
              <w:spacing w:line="360" w:lineRule="auto"/>
              <w:rPr>
                <w:rFonts w:ascii="宋体" w:hAnsi="宋体" w:cs="宋体"/>
                <w:color w:val="auto"/>
                <w:szCs w:val="21"/>
              </w:rPr>
            </w:pPr>
            <w:r>
              <w:rPr>
                <w:rFonts w:hint="eastAsia" w:ascii="宋体" w:hAnsi="宋体" w:cs="宋体"/>
                <w:color w:val="auto"/>
                <w:szCs w:val="21"/>
              </w:rPr>
              <w:t>8</w:t>
            </w:r>
            <w:r>
              <w:rPr>
                <w:rFonts w:ascii="宋体" w:hAnsi="宋体" w:cs="宋体"/>
                <w:color w:val="auto"/>
                <w:szCs w:val="21"/>
              </w:rPr>
              <w:t>.</w:t>
            </w:r>
            <w:r>
              <w:rPr>
                <w:rFonts w:hint="eastAsia" w:ascii="宋体" w:hAnsi="宋体" w:cs="宋体"/>
                <w:color w:val="auto"/>
                <w:szCs w:val="21"/>
              </w:rPr>
              <w:t>联合体各方均应按照谈判文件的规定分别提交资格证明文件。</w:t>
            </w:r>
          </w:p>
        </w:tc>
      </w:tr>
      <w:tr w14:paraId="5111D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2F6D3487">
            <w:pPr>
              <w:spacing w:line="360" w:lineRule="auto"/>
              <w:jc w:val="center"/>
              <w:rPr>
                <w:rFonts w:ascii="宋体" w:hAnsi="宋体" w:cs="宋体"/>
                <w:color w:val="auto"/>
                <w:szCs w:val="21"/>
              </w:rPr>
            </w:pPr>
            <w:r>
              <w:rPr>
                <w:rFonts w:hint="eastAsia" w:ascii="宋体" w:hAnsi="宋体" w:cs="宋体"/>
                <w:color w:val="auto"/>
                <w:szCs w:val="21"/>
              </w:rPr>
              <w:t>6.2</w:t>
            </w:r>
          </w:p>
        </w:tc>
        <w:tc>
          <w:tcPr>
            <w:tcW w:w="8607" w:type="dxa"/>
            <w:tcBorders>
              <w:top w:val="single" w:color="000000" w:sz="4" w:space="0"/>
              <w:left w:val="single" w:color="000000" w:sz="4" w:space="0"/>
              <w:bottom w:val="single" w:color="000000" w:sz="4" w:space="0"/>
              <w:right w:val="single" w:color="000000" w:sz="4" w:space="0"/>
            </w:tcBorders>
            <w:vAlign w:val="center"/>
          </w:tcPr>
          <w:p w14:paraId="52F80571">
            <w:pPr>
              <w:pStyle w:val="21"/>
              <w:spacing w:line="360" w:lineRule="auto"/>
              <w:rPr>
                <w:color w:val="auto"/>
              </w:rPr>
            </w:pPr>
            <w:r>
              <w:rPr>
                <w:rFonts w:hint="eastAsia"/>
                <w:color w:val="auto"/>
              </w:rPr>
              <w:t>☑不允许分包</w:t>
            </w:r>
          </w:p>
          <w:p w14:paraId="42610033">
            <w:pPr>
              <w:pStyle w:val="21"/>
              <w:spacing w:line="360" w:lineRule="auto"/>
              <w:rPr>
                <w:color w:val="auto"/>
              </w:rPr>
            </w:pPr>
            <w:r>
              <w:rPr>
                <w:rFonts w:hint="eastAsia"/>
                <w:color w:val="auto"/>
              </w:rPr>
              <w:t>□允许分包</w:t>
            </w:r>
          </w:p>
          <w:p w14:paraId="18EC39D9">
            <w:pPr>
              <w:pStyle w:val="21"/>
              <w:spacing w:line="360" w:lineRule="auto"/>
              <w:rPr>
                <w:color w:val="auto"/>
                <w:u w:val="single"/>
              </w:rPr>
            </w:pPr>
            <w:r>
              <w:rPr>
                <w:rFonts w:hint="eastAsia"/>
                <w:color w:val="auto"/>
              </w:rPr>
              <w:t>分包内容：</w:t>
            </w:r>
            <w:r>
              <w:rPr>
                <w:rFonts w:hint="eastAsia"/>
                <w:color w:val="auto"/>
                <w:u w:val="single"/>
              </w:rPr>
              <w:t xml:space="preserve">                                     。</w:t>
            </w:r>
          </w:p>
          <w:p w14:paraId="7B9F12F2">
            <w:pPr>
              <w:pStyle w:val="21"/>
              <w:spacing w:line="360" w:lineRule="auto"/>
              <w:rPr>
                <w:color w:val="auto"/>
                <w:u w:val="single"/>
              </w:rPr>
            </w:pPr>
            <w:r>
              <w:rPr>
                <w:rFonts w:hint="eastAsia"/>
                <w:color w:val="auto"/>
              </w:rPr>
              <w:t>分包金额或者比例：</w:t>
            </w:r>
            <w:r>
              <w:rPr>
                <w:rFonts w:hint="eastAsia"/>
                <w:color w:val="auto"/>
                <w:u w:val="single"/>
              </w:rPr>
              <w:t xml:space="preserve">                             。</w:t>
            </w:r>
          </w:p>
          <w:p w14:paraId="4D9D4AFE">
            <w:pPr>
              <w:pStyle w:val="21"/>
              <w:spacing w:line="360" w:lineRule="auto"/>
              <w:rPr>
                <w:color w:val="auto"/>
                <w:u w:val="single"/>
              </w:rPr>
            </w:pPr>
            <w:r>
              <w:rPr>
                <w:rFonts w:hint="eastAsia" w:ascii="宋体" w:hAnsi="宋体"/>
                <w:color w:val="auto"/>
                <w:szCs w:val="21"/>
              </w:rPr>
              <w:t>分包供应商必须具备的资质：</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w:t>
            </w:r>
          </w:p>
        </w:tc>
      </w:tr>
      <w:tr w14:paraId="07AAB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5EC78856">
            <w:pPr>
              <w:spacing w:line="360" w:lineRule="auto"/>
              <w:jc w:val="center"/>
              <w:rPr>
                <w:rFonts w:ascii="宋体" w:hAnsi="宋体" w:cs="宋体"/>
                <w:color w:val="auto"/>
                <w:szCs w:val="21"/>
              </w:rPr>
            </w:pPr>
            <w:r>
              <w:rPr>
                <w:rFonts w:hint="eastAsia" w:ascii="宋体" w:hAnsi="宋体" w:cs="宋体"/>
                <w:color w:val="auto"/>
                <w:szCs w:val="21"/>
              </w:rPr>
              <w:t>7.1</w:t>
            </w:r>
          </w:p>
        </w:tc>
        <w:tc>
          <w:tcPr>
            <w:tcW w:w="8607" w:type="dxa"/>
            <w:tcBorders>
              <w:top w:val="single" w:color="000000" w:sz="4" w:space="0"/>
              <w:left w:val="single" w:color="000000" w:sz="4" w:space="0"/>
              <w:bottom w:val="single" w:color="000000" w:sz="4" w:space="0"/>
              <w:right w:val="single" w:color="000000" w:sz="4" w:space="0"/>
            </w:tcBorders>
            <w:vAlign w:val="center"/>
          </w:tcPr>
          <w:p w14:paraId="2EBDB9DE">
            <w:pPr>
              <w:autoSpaceDE w:val="0"/>
              <w:autoSpaceDN w:val="0"/>
              <w:spacing w:line="360" w:lineRule="auto"/>
              <w:rPr>
                <w:rFonts w:ascii="宋体" w:hAnsi="宋体"/>
                <w:color w:val="auto"/>
                <w:szCs w:val="21"/>
              </w:rPr>
            </w:pPr>
            <w:r>
              <w:rPr>
                <w:rFonts w:hint="eastAsia" w:ascii="宋体" w:hAnsi="宋体"/>
                <w:color w:val="auto"/>
                <w:szCs w:val="21"/>
              </w:rPr>
              <w:t>提供相同品牌产品（非单一产品采购项目的，指核心产品）的不同供应商最后报价相同时，按照下列方式确定一个供应商获得成交供应商推荐资格：</w:t>
            </w:r>
          </w:p>
          <w:p w14:paraId="598CB84F">
            <w:pPr>
              <w:autoSpaceDE w:val="0"/>
              <w:autoSpaceDN w:val="0"/>
              <w:spacing w:line="360" w:lineRule="auto"/>
              <w:rPr>
                <w:rFonts w:ascii="宋体" w:hAnsi="宋体"/>
                <w:color w:val="auto"/>
                <w:szCs w:val="21"/>
              </w:rPr>
            </w:pPr>
            <w:r>
              <w:rPr>
                <w:rFonts w:hint="eastAsia" w:ascii="宋体" w:hAnsi="宋体"/>
                <w:color w:val="auto"/>
                <w:szCs w:val="21"/>
              </w:rPr>
              <w:t>☑随机抽取；</w:t>
            </w:r>
          </w:p>
        </w:tc>
      </w:tr>
      <w:tr w14:paraId="0328A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21EA5DA1">
            <w:pPr>
              <w:spacing w:line="360" w:lineRule="auto"/>
              <w:jc w:val="center"/>
              <w:rPr>
                <w:rFonts w:ascii="宋体" w:hAnsi="宋体" w:cs="宋体"/>
                <w:color w:val="auto"/>
                <w:szCs w:val="21"/>
              </w:rPr>
            </w:pPr>
            <w:r>
              <w:rPr>
                <w:rFonts w:hint="eastAsia" w:ascii="宋体" w:hAnsi="宋体" w:cs="宋体"/>
                <w:color w:val="auto"/>
                <w:szCs w:val="21"/>
              </w:rPr>
              <w:t>12.1</w:t>
            </w:r>
            <w:r>
              <w:rPr>
                <w:rFonts w:ascii="宋体" w:hAnsi="宋体" w:cs="宋体"/>
                <w:color w:val="auto"/>
                <w:szCs w:val="21"/>
              </w:rPr>
              <w:t>.1</w:t>
            </w:r>
          </w:p>
        </w:tc>
        <w:tc>
          <w:tcPr>
            <w:tcW w:w="8607" w:type="dxa"/>
            <w:tcBorders>
              <w:top w:val="single" w:color="000000" w:sz="4" w:space="0"/>
              <w:left w:val="single" w:color="000000" w:sz="4" w:space="0"/>
              <w:bottom w:val="single" w:color="000000" w:sz="4" w:space="0"/>
              <w:right w:val="single" w:color="000000" w:sz="4" w:space="0"/>
            </w:tcBorders>
            <w:vAlign w:val="center"/>
          </w:tcPr>
          <w:p w14:paraId="1908F6A1">
            <w:pPr>
              <w:spacing w:line="360" w:lineRule="auto"/>
              <w:jc w:val="left"/>
              <w:rPr>
                <w:rFonts w:ascii="宋体" w:hAnsi="宋体" w:cs="宋体"/>
                <w:b/>
                <w:color w:val="auto"/>
                <w:szCs w:val="21"/>
              </w:rPr>
            </w:pPr>
            <w:r>
              <w:rPr>
                <w:rFonts w:hint="eastAsia" w:ascii="宋体" w:hAnsi="宋体" w:cs="宋体"/>
                <w:b/>
                <w:color w:val="auto"/>
                <w:szCs w:val="21"/>
              </w:rPr>
              <w:t>资格证明文件</w:t>
            </w:r>
          </w:p>
          <w:p w14:paraId="2BDBAB73">
            <w:pPr>
              <w:spacing w:line="360" w:lineRule="auto"/>
              <w:contextualSpacing/>
              <w:jc w:val="left"/>
              <w:rPr>
                <w:rFonts w:ascii="宋体" w:hAnsi="宋体" w:cs="宋体"/>
                <w:color w:val="auto"/>
                <w:szCs w:val="21"/>
              </w:rPr>
            </w:pPr>
            <w:r>
              <w:rPr>
                <w:rFonts w:hint="eastAsia" w:ascii="宋体" w:hAnsi="宋体" w:cs="宋体"/>
                <w:color w:val="auto"/>
                <w:szCs w:val="21"/>
              </w:rPr>
              <w:t>1.崇左市政府采购供应商信用承诺函（格式后附，供应商应对其承诺内容的真实性、合法性、有效性负责）；（</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7751BBEC">
            <w:pPr>
              <w:spacing w:line="360" w:lineRule="auto"/>
              <w:jc w:val="left"/>
              <w:rPr>
                <w:rFonts w:ascii="宋体" w:hAnsi="宋体" w:cs="宋体"/>
                <w:color w:val="auto"/>
                <w:szCs w:val="21"/>
              </w:rPr>
            </w:pPr>
            <w:r>
              <w:rPr>
                <w:rFonts w:hint="eastAsia" w:ascii="宋体" w:hAnsi="宋体" w:cs="宋体"/>
                <w:color w:val="auto"/>
                <w:szCs w:val="21"/>
              </w:rPr>
              <w:t>2.供应商直接控股、管理关系信息表（格式后附）；（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17215F0A">
            <w:pPr>
              <w:spacing w:line="360" w:lineRule="auto"/>
              <w:jc w:val="left"/>
              <w:rPr>
                <w:rFonts w:hint="eastAsia" w:ascii="宋体" w:hAnsi="宋体" w:cs="宋体"/>
                <w:color w:val="auto"/>
                <w:szCs w:val="21"/>
              </w:rPr>
            </w:pPr>
            <w:r>
              <w:rPr>
                <w:rFonts w:hint="eastAsia" w:ascii="宋体" w:hAnsi="宋体" w:cs="宋体"/>
                <w:color w:val="auto"/>
                <w:szCs w:val="21"/>
              </w:rPr>
              <w:t>3.竞标声明（格式后附）；（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404AAFAF">
            <w:pPr>
              <w:spacing w:line="360" w:lineRule="auto"/>
              <w:jc w:val="left"/>
              <w:rPr>
                <w:color w:val="auto"/>
              </w:rPr>
            </w:pPr>
            <w:r>
              <w:rPr>
                <w:rFonts w:hint="eastAsia" w:ascii="宋体" w:hAnsi="宋体" w:cs="宋体"/>
                <w:color w:val="auto"/>
                <w:szCs w:val="21"/>
                <w:lang w:val="en-US" w:eastAsia="zh-CN"/>
              </w:rPr>
              <w:t>4.</w:t>
            </w:r>
            <w:r>
              <w:rPr>
                <w:rFonts w:hint="eastAsia" w:ascii="宋体" w:hAnsi="宋体" w:cs="宋体"/>
                <w:color w:val="auto"/>
                <w:szCs w:val="21"/>
              </w:rPr>
              <w:t>供应商提供</w:t>
            </w:r>
            <w:r>
              <w:rPr>
                <w:rFonts w:hint="eastAsia" w:ascii="宋体" w:hAnsi="宋体" w:cs="仿宋"/>
                <w:color w:val="auto"/>
                <w:szCs w:val="21"/>
              </w:rPr>
              <w:t>中小企业声明函或残疾人福利性单位声明函或供应商属于监狱企业的证明材料；</w:t>
            </w:r>
            <w:r>
              <w:rPr>
                <w:rFonts w:hint="eastAsia" w:ascii="宋体" w:hAnsi="宋体" w:cs="宋体"/>
                <w:color w:val="auto"/>
                <w:szCs w:val="21"/>
              </w:rPr>
              <w:t>（</w:t>
            </w:r>
            <w:r>
              <w:rPr>
                <w:rFonts w:hint="eastAsia" w:ascii="宋体" w:hAnsi="宋体" w:cs="宋体"/>
                <w:b/>
                <w:color w:val="auto"/>
                <w:szCs w:val="21"/>
              </w:rPr>
              <w:t>必须提供，否则按无效响应处理</w:t>
            </w:r>
            <w:r>
              <w:rPr>
                <w:rFonts w:hint="eastAsia" w:ascii="宋体" w:hAnsi="宋体" w:cs="宋体"/>
                <w:color w:val="auto"/>
                <w:szCs w:val="21"/>
              </w:rPr>
              <w:t>）</w:t>
            </w:r>
            <w:r>
              <w:rPr>
                <w:rFonts w:hint="eastAsia"/>
                <w:color w:val="auto"/>
              </w:rPr>
              <w:t>；</w:t>
            </w:r>
          </w:p>
          <w:p w14:paraId="1227EB4A">
            <w:pPr>
              <w:spacing w:line="360" w:lineRule="auto"/>
              <w:jc w:val="left"/>
              <w:rPr>
                <w:rFonts w:ascii="宋体" w:hAnsi="宋体" w:cs="宋体"/>
                <w:b/>
                <w:color w:val="auto"/>
                <w:szCs w:val="21"/>
              </w:rPr>
            </w:pPr>
            <w:r>
              <w:rPr>
                <w:rFonts w:hint="eastAsia" w:ascii="宋体" w:hAnsi="宋体" w:cs="宋体"/>
                <w:b/>
                <w:color w:val="auto"/>
                <w:szCs w:val="21"/>
              </w:rPr>
              <w:t>注：（1）竞标服务由中小企业承接的，供应商应在其响应文件中提供《中小企业声明函》并写明为中小企业；</w:t>
            </w:r>
          </w:p>
          <w:p w14:paraId="7087DDA2">
            <w:pPr>
              <w:spacing w:line="360" w:lineRule="auto"/>
              <w:jc w:val="left"/>
              <w:rPr>
                <w:rFonts w:ascii="宋体" w:hAnsi="宋体" w:cs="宋体"/>
                <w:b/>
                <w:color w:val="auto"/>
                <w:szCs w:val="21"/>
              </w:rPr>
            </w:pPr>
            <w:r>
              <w:rPr>
                <w:rFonts w:hint="eastAsia" w:ascii="宋体" w:hAnsi="宋体" w:cs="宋体"/>
                <w:b/>
                <w:color w:val="auto"/>
                <w:szCs w:val="21"/>
              </w:rPr>
              <w:t>（2）竞标服务由监狱企业承接的，供应商应在其响应文件中由省级以上监狱管理局、戒毒管理局（含新疆生产建设兵团）出具的属于监狱企业的证明文件；</w:t>
            </w:r>
          </w:p>
          <w:p w14:paraId="40BE580D">
            <w:pPr>
              <w:spacing w:line="360" w:lineRule="auto"/>
              <w:jc w:val="left"/>
              <w:rPr>
                <w:rFonts w:ascii="宋体" w:hAnsi="宋体" w:cs="宋体"/>
                <w:b/>
                <w:color w:val="auto"/>
                <w:szCs w:val="21"/>
              </w:rPr>
            </w:pPr>
            <w:r>
              <w:rPr>
                <w:rFonts w:hint="eastAsia" w:ascii="宋体" w:hAnsi="宋体" w:cs="宋体"/>
                <w:b/>
                <w:color w:val="auto"/>
                <w:szCs w:val="21"/>
              </w:rPr>
              <w:t>（3）竞标服务由残疾人福利性单位承接的，供应商应在其响应文件中提供《残疾人福利性单位声明函》。</w:t>
            </w:r>
          </w:p>
          <w:p w14:paraId="158055F2">
            <w:pPr>
              <w:spacing w:after="120"/>
              <w:rPr>
                <w:rFonts w:hint="eastAsia" w:ascii="宋体" w:hAnsi="宋体" w:cs="宋体"/>
                <w:b/>
                <w:color w:val="auto"/>
                <w:szCs w:val="21"/>
              </w:rPr>
            </w:pPr>
            <w:r>
              <w:rPr>
                <w:rFonts w:hint="eastAsia" w:ascii="宋体" w:hAnsi="宋体" w:cs="宋体"/>
                <w:b/>
                <w:color w:val="auto"/>
                <w:szCs w:val="21"/>
              </w:rPr>
              <w:t>以上3种情形，供应商必须符合其中1种。</w:t>
            </w:r>
          </w:p>
          <w:p w14:paraId="0FB9CD69">
            <w:pPr>
              <w:spacing w:line="360" w:lineRule="auto"/>
              <w:jc w:val="left"/>
              <w:rPr>
                <w:rFonts w:hint="eastAsia" w:ascii="宋体" w:hAnsi="宋体" w:cs="宋体"/>
                <w:b/>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.供应商</w:t>
            </w:r>
            <w:r>
              <w:rPr>
                <w:rFonts w:hint="eastAsia" w:ascii="宋体" w:hAnsi="宋体" w:cs="宋体"/>
                <w:color w:val="auto"/>
                <w:szCs w:val="21"/>
                <w:lang w:val="en-US" w:eastAsia="zh-CN"/>
              </w:rPr>
              <w:t>具有人力资源社会保障行政部门或相关行政审批部门颁发的有效的《劳务派遣经营许可证》；</w:t>
            </w:r>
            <w:r>
              <w:rPr>
                <w:rFonts w:hint="eastAsia" w:ascii="宋体" w:hAnsi="宋体" w:cs="宋体"/>
                <w:color w:val="auto"/>
                <w:szCs w:val="21"/>
              </w:rPr>
              <w:t>（</w:t>
            </w:r>
            <w:r>
              <w:rPr>
                <w:rFonts w:hint="eastAsia" w:ascii="宋体" w:hAnsi="宋体" w:cs="宋体"/>
                <w:b/>
                <w:color w:val="auto"/>
                <w:szCs w:val="21"/>
              </w:rPr>
              <w:t>必须提供，否则按无效响应处理</w:t>
            </w:r>
            <w:r>
              <w:rPr>
                <w:rFonts w:hint="eastAsia" w:ascii="宋体" w:hAnsi="宋体" w:cs="宋体"/>
                <w:color w:val="auto"/>
                <w:szCs w:val="21"/>
              </w:rPr>
              <w:t>）</w:t>
            </w:r>
            <w:r>
              <w:rPr>
                <w:rFonts w:hint="eastAsia"/>
                <w:color w:val="auto"/>
              </w:rPr>
              <w:t>；</w:t>
            </w:r>
          </w:p>
          <w:p w14:paraId="0DDEC7F1">
            <w:pPr>
              <w:spacing w:line="360" w:lineRule="auto"/>
              <w:jc w:val="left"/>
              <w:rPr>
                <w:rFonts w:ascii="宋体" w:hAnsi="宋体"/>
                <w:i/>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.除谈判文件规定必须提供以外，供应商认为需要提供的其他证明材料；</w:t>
            </w:r>
          </w:p>
          <w:p w14:paraId="4F295181">
            <w:pPr>
              <w:spacing w:line="360" w:lineRule="auto"/>
              <w:jc w:val="left"/>
              <w:rPr>
                <w:rFonts w:ascii="宋体" w:hAnsi="宋体" w:cs="宋体"/>
                <w:b/>
                <w:color w:val="auto"/>
                <w:szCs w:val="21"/>
              </w:rPr>
            </w:pPr>
            <w:r>
              <w:rPr>
                <w:rFonts w:hint="eastAsia" w:ascii="宋体" w:hAnsi="宋体" w:cs="宋体"/>
                <w:b/>
                <w:color w:val="auto"/>
                <w:szCs w:val="21"/>
              </w:rPr>
              <w:t>注：</w:t>
            </w:r>
          </w:p>
          <w:p w14:paraId="0AD53318">
            <w:pPr>
              <w:spacing w:line="360" w:lineRule="auto"/>
              <w:ind w:firstLine="413" w:firstLineChars="196"/>
              <w:jc w:val="left"/>
              <w:rPr>
                <w:rFonts w:ascii="宋体" w:hAnsi="宋体" w:cs="宋体"/>
                <w:b/>
                <w:color w:val="auto"/>
                <w:szCs w:val="21"/>
              </w:rPr>
            </w:pPr>
            <w:r>
              <w:rPr>
                <w:rFonts w:hint="eastAsia" w:ascii="宋体" w:hAnsi="宋体" w:cs="宋体"/>
                <w:b/>
                <w:color w:val="auto"/>
                <w:szCs w:val="21"/>
              </w:rPr>
              <w:t>1.以上标明“必须提供”的材料属于复印件的，必须加盖供应商</w:t>
            </w:r>
            <w:r>
              <w:rPr>
                <w:rFonts w:hint="eastAsia"/>
                <w:b/>
                <w:color w:val="auto"/>
              </w:rPr>
              <w:t>电子签章</w:t>
            </w:r>
            <w:r>
              <w:rPr>
                <w:rFonts w:hint="eastAsia" w:ascii="宋体" w:hAnsi="宋体" w:cs="宋体"/>
                <w:b/>
                <w:color w:val="auto"/>
                <w:szCs w:val="21"/>
              </w:rPr>
              <w:t>，否则响应文件按无效处理。</w:t>
            </w:r>
          </w:p>
        </w:tc>
      </w:tr>
      <w:tr w14:paraId="02B4B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2C023176">
            <w:pPr>
              <w:spacing w:line="360" w:lineRule="auto"/>
              <w:jc w:val="center"/>
              <w:rPr>
                <w:rFonts w:ascii="宋体" w:hAnsi="宋体" w:cs="宋体"/>
                <w:color w:val="auto"/>
                <w:szCs w:val="21"/>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rPr>
              <w:t>2</w:t>
            </w:r>
          </w:p>
        </w:tc>
        <w:tc>
          <w:tcPr>
            <w:tcW w:w="8607" w:type="dxa"/>
            <w:tcBorders>
              <w:top w:val="single" w:color="000000" w:sz="4" w:space="0"/>
              <w:left w:val="single" w:color="000000" w:sz="4" w:space="0"/>
              <w:bottom w:val="single" w:color="000000" w:sz="4" w:space="0"/>
              <w:right w:val="single" w:color="000000" w:sz="4" w:space="0"/>
            </w:tcBorders>
            <w:vAlign w:val="center"/>
          </w:tcPr>
          <w:p w14:paraId="69220D22">
            <w:pPr>
              <w:spacing w:line="360" w:lineRule="auto"/>
              <w:rPr>
                <w:rFonts w:ascii="宋体" w:hAnsi="宋体" w:cs="宋体"/>
                <w:color w:val="auto"/>
                <w:szCs w:val="21"/>
              </w:rPr>
            </w:pPr>
            <w:r>
              <w:rPr>
                <w:rFonts w:hint="eastAsia" w:ascii="宋体" w:hAnsi="宋体" w:cs="宋体"/>
                <w:color w:val="auto"/>
                <w:szCs w:val="21"/>
              </w:rPr>
              <w:t>报价商务技术文件</w:t>
            </w:r>
          </w:p>
          <w:p w14:paraId="17958CF4">
            <w:pPr>
              <w:spacing w:line="360" w:lineRule="auto"/>
              <w:rPr>
                <w:rFonts w:ascii="宋体" w:hAnsi="宋体" w:cs="宋体"/>
                <w:color w:val="auto"/>
                <w:szCs w:val="21"/>
              </w:rPr>
            </w:pPr>
            <w:r>
              <w:rPr>
                <w:rFonts w:hint="eastAsia" w:ascii="宋体" w:hAnsi="宋体" w:cs="宋体"/>
                <w:color w:val="auto"/>
                <w:szCs w:val="21"/>
              </w:rPr>
              <w:t>1.无串通竞标行为的承诺函（格式后附）；（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41882DA1">
            <w:pPr>
              <w:spacing w:line="360" w:lineRule="auto"/>
              <w:rPr>
                <w:rFonts w:hint="eastAsia" w:ascii="宋体" w:hAnsi="宋体" w:cs="宋体"/>
                <w:color w:val="auto"/>
                <w:szCs w:val="21"/>
              </w:rPr>
            </w:pPr>
            <w:r>
              <w:rPr>
                <w:rFonts w:hint="eastAsia" w:ascii="宋体" w:hAnsi="宋体" w:cs="宋体"/>
                <w:color w:val="auto"/>
                <w:szCs w:val="21"/>
              </w:rPr>
              <w:t>2.竞标报价表（格式后附）；（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0963A66C">
            <w:pPr>
              <w:spacing w:line="360" w:lineRule="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3.《关于符合本国产品标准的声明函》或者财政部会同有关部门规定的有关证明文件；（供应商根据自身响应情况出具）</w:t>
            </w:r>
          </w:p>
          <w:p w14:paraId="0AE78906">
            <w:pPr>
              <w:spacing w:line="360" w:lineRule="auto"/>
              <w:jc w:val="left"/>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.法定代表人身份证明书及法定代表人有效身份证正反面复印件（格式后附）；（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4FA1E3C2">
            <w:pPr>
              <w:spacing w:line="360" w:lineRule="auto"/>
              <w:rPr>
                <w:rFonts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.授权委托书及委托代理人有效身份证正反面复印件（格式后附）；（</w:t>
            </w:r>
            <w:r>
              <w:rPr>
                <w:rFonts w:hint="eastAsia" w:ascii="宋体" w:hAnsi="宋体" w:cs="宋体"/>
                <w:b/>
                <w:color w:val="auto"/>
                <w:szCs w:val="21"/>
              </w:rPr>
              <w:t>委托时必须提供，否则响应文件按无效处理</w:t>
            </w:r>
            <w:r>
              <w:rPr>
                <w:rFonts w:hint="eastAsia" w:ascii="宋体" w:hAnsi="宋体" w:cs="宋体"/>
                <w:color w:val="auto"/>
                <w:szCs w:val="21"/>
              </w:rPr>
              <w:t>）</w:t>
            </w:r>
          </w:p>
          <w:p w14:paraId="0D9C839E">
            <w:pPr>
              <w:spacing w:line="360" w:lineRule="auto"/>
              <w:rPr>
                <w:rFonts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.商务要求偏离表（格式后附）；（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6775D9C3">
            <w:pPr>
              <w:spacing w:line="360" w:lineRule="auto"/>
              <w:rPr>
                <w:rFonts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.售后服务承诺（格式自拟）；（</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2775337E">
            <w:pPr>
              <w:spacing w:line="360" w:lineRule="auto"/>
              <w:rPr>
                <w:rFonts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.技术要求偏离表（格式后附）；（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08735ACE">
            <w:pPr>
              <w:spacing w:line="360" w:lineRule="auto"/>
              <w:rPr>
                <w:rFonts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.对应采购需求的技术要求、商务要求提供的其他文件资料（格式自拟）；</w:t>
            </w:r>
          </w:p>
          <w:p w14:paraId="0FCB1968">
            <w:pPr>
              <w:spacing w:line="360" w:lineRule="auto"/>
              <w:jc w:val="left"/>
              <w:rPr>
                <w:rFonts w:ascii="宋体" w:hAnsi="宋体" w:cs="宋体"/>
                <w:b/>
                <w:color w:val="auto"/>
                <w:szCs w:val="21"/>
              </w:rPr>
            </w:pPr>
            <w:r>
              <w:rPr>
                <w:rFonts w:hint="eastAsia" w:ascii="宋体" w:hAnsi="宋体" w:cs="宋体"/>
                <w:color w:val="auto"/>
                <w:szCs w:val="21"/>
                <w:lang w:val="en-US" w:eastAsia="zh-CN"/>
              </w:rPr>
              <w:t>10</w:t>
            </w:r>
            <w:r>
              <w:rPr>
                <w:rFonts w:hint="eastAsia" w:ascii="宋体" w:hAnsi="宋体" w:cs="宋体"/>
                <w:color w:val="auto"/>
                <w:szCs w:val="21"/>
              </w:rPr>
              <w:t>.供应商认为需要提供的其他有关资料。</w:t>
            </w:r>
          </w:p>
          <w:p w14:paraId="74797AFC">
            <w:pPr>
              <w:spacing w:line="360" w:lineRule="auto"/>
              <w:jc w:val="left"/>
              <w:rPr>
                <w:rFonts w:ascii="宋体" w:hAnsi="宋体" w:cs="宋体"/>
                <w:b/>
                <w:color w:val="auto"/>
                <w:szCs w:val="21"/>
              </w:rPr>
            </w:pPr>
            <w:r>
              <w:rPr>
                <w:rFonts w:hint="eastAsia" w:ascii="宋体" w:hAnsi="宋体" w:cs="宋体"/>
                <w:b/>
                <w:color w:val="auto"/>
                <w:szCs w:val="21"/>
              </w:rPr>
              <w:t>注：以上标明“必须提供”的材料的复印件（扫描件），必须加盖供应商</w:t>
            </w:r>
            <w:r>
              <w:rPr>
                <w:rFonts w:hint="eastAsia" w:ascii="宋体" w:hAnsi="宋体"/>
                <w:b/>
                <w:bCs/>
                <w:color w:val="auto"/>
                <w:szCs w:val="21"/>
              </w:rPr>
              <w:t>电子签章</w:t>
            </w:r>
            <w:r>
              <w:rPr>
                <w:rFonts w:hint="eastAsia" w:ascii="宋体" w:hAnsi="宋体" w:cs="宋体"/>
                <w:b/>
                <w:color w:val="auto"/>
                <w:szCs w:val="21"/>
              </w:rPr>
              <w:t>，否则响应文件按无效处理。</w:t>
            </w:r>
          </w:p>
        </w:tc>
      </w:tr>
      <w:tr w14:paraId="5B9F5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0177C13A">
            <w:pPr>
              <w:spacing w:line="360" w:lineRule="auto"/>
              <w:jc w:val="center"/>
              <w:rPr>
                <w:rFonts w:ascii="宋体" w:hAnsi="宋体" w:cs="宋体"/>
                <w:color w:val="auto"/>
                <w:szCs w:val="21"/>
              </w:rPr>
            </w:pPr>
            <w:r>
              <w:rPr>
                <w:rFonts w:hint="eastAsia" w:ascii="宋体" w:hAnsi="宋体" w:cs="宋体"/>
                <w:color w:val="auto"/>
                <w:szCs w:val="21"/>
              </w:rPr>
              <w:t>15.2</w:t>
            </w:r>
          </w:p>
        </w:tc>
        <w:tc>
          <w:tcPr>
            <w:tcW w:w="8607" w:type="dxa"/>
            <w:tcBorders>
              <w:top w:val="single" w:color="000000" w:sz="4" w:space="0"/>
              <w:left w:val="single" w:color="000000" w:sz="4" w:space="0"/>
              <w:bottom w:val="single" w:color="000000" w:sz="4" w:space="0"/>
              <w:right w:val="single" w:color="000000" w:sz="4" w:space="0"/>
            </w:tcBorders>
            <w:vAlign w:val="center"/>
          </w:tcPr>
          <w:p w14:paraId="43696BCD">
            <w:pPr>
              <w:spacing w:line="360" w:lineRule="auto"/>
              <w:jc w:val="left"/>
              <w:rPr>
                <w:rFonts w:ascii="宋体" w:hAnsi="宋体" w:cs="宋体"/>
                <w:color w:val="auto"/>
                <w:szCs w:val="21"/>
              </w:rPr>
            </w:pPr>
            <w:r>
              <w:rPr>
                <w:rFonts w:hint="eastAsia" w:ascii="宋体" w:hAnsi="宋体" w:cs="宋体"/>
                <w:color w:val="auto"/>
                <w:szCs w:val="21"/>
              </w:rPr>
              <w:t>竞标报价为完成采购人指定内容的整体全部价格，包括但不限于以下内容：</w:t>
            </w:r>
          </w:p>
          <w:p w14:paraId="48E7C2F6">
            <w:pPr>
              <w:spacing w:line="360" w:lineRule="auto"/>
              <w:jc w:val="left"/>
              <w:rPr>
                <w:rFonts w:ascii="宋体" w:hAnsi="宋体" w:cs="宋体"/>
                <w:color w:val="auto"/>
                <w:szCs w:val="21"/>
              </w:rPr>
            </w:pPr>
            <w:r>
              <w:rPr>
                <w:rFonts w:hint="eastAsia" w:ascii="宋体" w:hAnsi="宋体" w:cs="宋体"/>
                <w:color w:val="auto"/>
                <w:szCs w:val="21"/>
              </w:rPr>
              <w:t>1.项目实施及服务人员的薪酬、社保、保险、税金及相关福利待遇等；</w:t>
            </w:r>
          </w:p>
          <w:p w14:paraId="07B98EE3">
            <w:pPr>
              <w:spacing w:line="360" w:lineRule="auto"/>
              <w:jc w:val="left"/>
              <w:rPr>
                <w:rFonts w:ascii="宋体" w:hAnsi="宋体" w:cs="宋体"/>
                <w:color w:val="auto"/>
                <w:szCs w:val="21"/>
              </w:rPr>
            </w:pPr>
            <w:r>
              <w:rPr>
                <w:rFonts w:hint="eastAsia" w:ascii="宋体" w:hAnsi="宋体" w:cs="宋体"/>
                <w:color w:val="auto"/>
                <w:szCs w:val="21"/>
              </w:rPr>
              <w:t>2.系统的技术服务、培训工作等所需的专用工具、标准附件、软件安装、调试、验收等完成上述项目内容所需的一切费用。</w:t>
            </w:r>
          </w:p>
          <w:p w14:paraId="43A3745B">
            <w:pPr>
              <w:spacing w:line="360" w:lineRule="auto"/>
              <w:jc w:val="left"/>
              <w:rPr>
                <w:rFonts w:ascii="宋体" w:hAnsi="宋体" w:cs="宋体"/>
                <w:color w:val="auto"/>
                <w:szCs w:val="21"/>
              </w:rPr>
            </w:pPr>
            <w:r>
              <w:rPr>
                <w:rFonts w:hint="eastAsia" w:ascii="宋体" w:hAnsi="宋体" w:cs="宋体"/>
                <w:color w:val="auto"/>
                <w:szCs w:val="21"/>
              </w:rPr>
              <w:t>3.采购人不再支付成交金额以外的任何费用。</w:t>
            </w:r>
          </w:p>
        </w:tc>
      </w:tr>
      <w:tr w14:paraId="7BE75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55960A28">
            <w:pPr>
              <w:spacing w:line="360" w:lineRule="auto"/>
              <w:jc w:val="center"/>
              <w:rPr>
                <w:rFonts w:ascii="宋体" w:hAnsi="宋体" w:cs="宋体"/>
                <w:color w:val="auto"/>
                <w:szCs w:val="21"/>
              </w:rPr>
            </w:pPr>
            <w:r>
              <w:rPr>
                <w:rFonts w:hint="eastAsia" w:ascii="宋体" w:hAnsi="宋体" w:cs="宋体"/>
                <w:color w:val="auto"/>
                <w:szCs w:val="21"/>
              </w:rPr>
              <w:t>16.</w:t>
            </w:r>
            <w:r>
              <w:rPr>
                <w:rFonts w:ascii="宋体" w:hAnsi="宋体" w:cs="宋体"/>
                <w:color w:val="auto"/>
                <w:szCs w:val="21"/>
              </w:rPr>
              <w:t>2</w:t>
            </w:r>
          </w:p>
        </w:tc>
        <w:tc>
          <w:tcPr>
            <w:tcW w:w="8607" w:type="dxa"/>
            <w:tcBorders>
              <w:top w:val="single" w:color="000000" w:sz="4" w:space="0"/>
              <w:left w:val="single" w:color="000000" w:sz="4" w:space="0"/>
              <w:bottom w:val="single" w:color="000000" w:sz="4" w:space="0"/>
              <w:right w:val="single" w:color="000000" w:sz="4" w:space="0"/>
            </w:tcBorders>
            <w:vAlign w:val="center"/>
          </w:tcPr>
          <w:p w14:paraId="4EC345D5">
            <w:pPr>
              <w:pStyle w:val="20"/>
              <w:widowControl w:val="0"/>
              <w:tabs>
                <w:tab w:val="clear" w:pos="454"/>
              </w:tabs>
              <w:spacing w:line="360" w:lineRule="auto"/>
              <w:ind w:left="283" w:hanging="283" w:hangingChars="135"/>
              <w:rPr>
                <w:rFonts w:ascii="宋体" w:hAnsi="宋体" w:cs="宋体"/>
                <w:color w:val="auto"/>
                <w:kern w:val="2"/>
                <w:sz w:val="21"/>
                <w:szCs w:val="21"/>
              </w:rPr>
            </w:pPr>
            <w:r>
              <w:rPr>
                <w:rFonts w:hint="eastAsia" w:ascii="宋体" w:hAnsi="宋体" w:cs="宋体"/>
                <w:color w:val="auto"/>
                <w:kern w:val="2"/>
                <w:sz w:val="21"/>
                <w:szCs w:val="21"/>
              </w:rPr>
              <w:t>竞标有效期：自首次响应文件提交截止之日起</w:t>
            </w:r>
            <w:r>
              <w:rPr>
                <w:rFonts w:ascii="宋体" w:hAnsi="宋体" w:cs="宋体"/>
                <w:color w:val="auto"/>
                <w:kern w:val="2"/>
                <w:sz w:val="21"/>
                <w:szCs w:val="21"/>
                <w:u w:val="single"/>
              </w:rPr>
              <w:t xml:space="preserve">  </w:t>
            </w:r>
            <w:r>
              <w:rPr>
                <w:rFonts w:hint="eastAsia" w:ascii="宋体" w:hAnsi="宋体" w:cs="宋体"/>
                <w:color w:val="auto"/>
                <w:kern w:val="2"/>
                <w:sz w:val="21"/>
                <w:szCs w:val="21"/>
                <w:u w:val="single"/>
              </w:rPr>
              <w:t>120</w:t>
            </w:r>
            <w:r>
              <w:rPr>
                <w:rFonts w:ascii="宋体" w:hAnsi="宋体" w:cs="宋体"/>
                <w:color w:val="auto"/>
                <w:kern w:val="2"/>
                <w:sz w:val="21"/>
                <w:szCs w:val="21"/>
                <w:u w:val="single"/>
              </w:rPr>
              <w:t xml:space="preserve"> </w:t>
            </w:r>
            <w:r>
              <w:rPr>
                <w:rFonts w:hint="eastAsia" w:ascii="宋体" w:hAnsi="宋体" w:cs="宋体"/>
                <w:color w:val="auto"/>
                <w:kern w:val="2"/>
                <w:sz w:val="21"/>
                <w:szCs w:val="21"/>
              </w:rPr>
              <w:t>日。</w:t>
            </w:r>
          </w:p>
        </w:tc>
      </w:tr>
      <w:tr w14:paraId="1383B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517828F4">
            <w:pPr>
              <w:spacing w:line="360" w:lineRule="auto"/>
              <w:jc w:val="center"/>
              <w:rPr>
                <w:rFonts w:ascii="宋体" w:hAnsi="宋体" w:cs="宋体"/>
                <w:color w:val="auto"/>
                <w:szCs w:val="21"/>
              </w:rPr>
            </w:pPr>
            <w:r>
              <w:rPr>
                <w:rFonts w:hint="eastAsia" w:ascii="宋体" w:hAnsi="宋体" w:cs="宋体"/>
                <w:color w:val="auto"/>
                <w:szCs w:val="21"/>
              </w:rPr>
              <w:t>17.1</w:t>
            </w:r>
          </w:p>
        </w:tc>
        <w:tc>
          <w:tcPr>
            <w:tcW w:w="8607" w:type="dxa"/>
            <w:tcBorders>
              <w:top w:val="single" w:color="000000" w:sz="4" w:space="0"/>
              <w:left w:val="single" w:color="000000" w:sz="4" w:space="0"/>
              <w:bottom w:val="single" w:color="000000" w:sz="4" w:space="0"/>
              <w:right w:val="single" w:color="000000" w:sz="4" w:space="0"/>
            </w:tcBorders>
            <w:vAlign w:val="center"/>
          </w:tcPr>
          <w:p w14:paraId="065F09D8">
            <w:pPr>
              <w:autoSpaceDE w:val="0"/>
              <w:autoSpaceDN w:val="0"/>
              <w:spacing w:line="360" w:lineRule="auto"/>
              <w:rPr>
                <w:rFonts w:ascii="宋体" w:hAnsi="宋体"/>
                <w:color w:val="auto"/>
                <w:szCs w:val="21"/>
              </w:rPr>
            </w:pPr>
            <w:r>
              <w:rPr>
                <w:rFonts w:hint="eastAsia" w:ascii="宋体" w:hAnsi="宋体"/>
                <w:color w:val="auto"/>
                <w:szCs w:val="21"/>
              </w:rPr>
              <w:t>☑本项目不收取竞标保证金。</w:t>
            </w:r>
          </w:p>
          <w:p w14:paraId="018794B5">
            <w:pPr>
              <w:spacing w:line="400" w:lineRule="exact"/>
              <w:rPr>
                <w:rFonts w:ascii="宋体" w:hAnsi="宋体"/>
                <w:color w:val="auto"/>
                <w:szCs w:val="21"/>
              </w:rPr>
            </w:pPr>
            <w:r>
              <w:rPr>
                <w:rFonts w:hint="eastAsia" w:ascii="宋体" w:hAnsi="宋体"/>
                <w:color w:val="auto"/>
                <w:szCs w:val="21"/>
              </w:rPr>
              <w:t>□本项目收取磋商保证金，具体规定如下：</w:t>
            </w:r>
          </w:p>
          <w:p w14:paraId="3FB6F950">
            <w:pPr>
              <w:spacing w:line="400" w:lineRule="exact"/>
              <w:rPr>
                <w:rFonts w:ascii="宋体" w:hAnsi="宋体" w:cs="宋体"/>
                <w:color w:val="auto"/>
                <w:kern w:val="0"/>
                <w:szCs w:val="21"/>
              </w:rPr>
            </w:pPr>
            <w:r>
              <w:rPr>
                <w:rFonts w:hint="eastAsia" w:ascii="宋体" w:hAnsi="宋体" w:cs="宋体"/>
                <w:color w:val="auto"/>
                <w:kern w:val="0"/>
                <w:szCs w:val="21"/>
              </w:rPr>
              <w:t>磋商保证金人民币</w:t>
            </w:r>
            <w:r>
              <w:rPr>
                <w:rFonts w:hint="eastAsia" w:ascii="宋体" w:hAnsi="宋体" w:cs="宋体"/>
                <w:color w:val="auto"/>
                <w:kern w:val="0"/>
                <w:szCs w:val="21"/>
                <w:u w:val="single"/>
              </w:rPr>
              <w:t xml:space="preserve">    元。</w:t>
            </w:r>
          </w:p>
          <w:p w14:paraId="6C0E09D8">
            <w:pPr>
              <w:spacing w:line="400" w:lineRule="exact"/>
              <w:rPr>
                <w:rFonts w:ascii="宋体" w:hAnsi="宋体" w:cs="宋体"/>
                <w:color w:val="auto"/>
                <w:szCs w:val="21"/>
              </w:rPr>
            </w:pPr>
            <w:r>
              <w:rPr>
                <w:rFonts w:hint="eastAsia" w:ascii="宋体" w:hAnsi="宋体" w:cs="宋体"/>
                <w:color w:val="auto"/>
                <w:szCs w:val="21"/>
              </w:rPr>
              <w:t>磋商保证金交纳方式：银行转账、支票、汇票、本票、金融机构、担保机构出具的保函等非现金形式提交。禁止采用现钞方式。采用银行转账方式的，在首次响应文件提交截止时间前交至采购代理机构指定账户并且到账</w:t>
            </w:r>
            <w:r>
              <w:rPr>
                <w:rFonts w:hint="eastAsia" w:ascii="宋体" w:hAnsi="宋体" w:cs="宋体"/>
                <w:b/>
                <w:bCs/>
                <w:color w:val="auto"/>
                <w:szCs w:val="21"/>
                <w:u w:val="single"/>
              </w:rPr>
              <w:t>【开户名称：云之龙咨询集团有限公司崇左分公司，账号：8113001013900075153，开户行：中信银行南宁东葛支行</w:t>
            </w:r>
            <w:r>
              <w:rPr>
                <w:rFonts w:hint="eastAsia" w:ascii="宋体" w:hAnsi="宋体" w:cs="宋体"/>
                <w:color w:val="auto"/>
                <w:szCs w:val="21"/>
              </w:rPr>
              <w:t>】；采用支票、汇票、本票或者金融机构、担保机构出具的保函等方式的，在首次响应文件提交截止时间前，供应商应当提交单独密封的支票、汇票、本票或者保函、保险单原件。否则视为无效磋商保证金。</w:t>
            </w:r>
          </w:p>
          <w:p w14:paraId="7BE84456">
            <w:pPr>
              <w:spacing w:line="400" w:lineRule="exact"/>
              <w:rPr>
                <w:rFonts w:ascii="宋体" w:hAnsi="宋体" w:cs="宋体"/>
                <w:color w:val="auto"/>
                <w:szCs w:val="21"/>
              </w:rPr>
            </w:pPr>
            <w:r>
              <w:rPr>
                <w:rFonts w:hint="eastAsia" w:ascii="宋体" w:hAnsi="宋体" w:cs="宋体"/>
                <w:color w:val="auto"/>
                <w:szCs w:val="21"/>
              </w:rPr>
              <w:t>相关要求：</w:t>
            </w:r>
          </w:p>
          <w:p w14:paraId="5656CCC2">
            <w:pPr>
              <w:spacing w:line="400" w:lineRule="exact"/>
              <w:rPr>
                <w:rFonts w:ascii="宋体" w:hAnsi="宋体" w:cs="宋体"/>
                <w:color w:val="auto"/>
                <w:szCs w:val="21"/>
              </w:rPr>
            </w:pPr>
            <w:r>
              <w:rPr>
                <w:rFonts w:hint="eastAsia" w:ascii="宋体" w:hAnsi="宋体" w:cs="宋体"/>
                <w:color w:val="auto"/>
                <w:szCs w:val="21"/>
              </w:rPr>
              <w:t>1.磋商保证金采用银行转账交纳方式的，在响应文件提交截止时间前交至指定账户并且到账，供应商应将银行转账底单的复印件作为磋商保证金提交凭证，放置于商务技术文件中，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cs="宋体"/>
                <w:b/>
                <w:color w:val="auto"/>
                <w:szCs w:val="21"/>
              </w:rPr>
              <w:t>否则响应文件按无效响应处理</w:t>
            </w:r>
            <w:r>
              <w:rPr>
                <w:rFonts w:hint="eastAsia" w:ascii="宋体" w:hAnsi="宋体" w:cs="宋体"/>
                <w:color w:val="auto"/>
                <w:szCs w:val="21"/>
              </w:rPr>
              <w:t>。</w:t>
            </w:r>
          </w:p>
          <w:p w14:paraId="57564530">
            <w:pPr>
              <w:spacing w:line="400" w:lineRule="exact"/>
              <w:rPr>
                <w:rFonts w:ascii="宋体" w:hAnsi="宋体"/>
                <w:color w:val="auto"/>
                <w:szCs w:val="21"/>
              </w:rPr>
            </w:pPr>
            <w:r>
              <w:rPr>
                <w:rFonts w:hint="eastAsia" w:ascii="宋体" w:hAnsi="宋体"/>
                <w:color w:val="auto"/>
                <w:szCs w:val="21"/>
              </w:rPr>
              <w:t>2.磋商保证金采用支票、汇票、本票或者</w:t>
            </w:r>
            <w:r>
              <w:rPr>
                <w:rFonts w:hint="eastAsia" w:ascii="宋体" w:hAnsi="宋体" w:cs="宋体"/>
                <w:color w:val="auto"/>
                <w:szCs w:val="21"/>
              </w:rPr>
              <w:t>金融机构、担保机构出具的</w:t>
            </w:r>
            <w:r>
              <w:rPr>
                <w:rFonts w:hint="eastAsia" w:ascii="宋体" w:hAnsi="宋体"/>
                <w:color w:val="auto"/>
                <w:szCs w:val="21"/>
              </w:rPr>
              <w:t>保函交纳方式的，供应商应将支票、汇票、本票或者</w:t>
            </w:r>
            <w:r>
              <w:rPr>
                <w:rFonts w:hint="eastAsia" w:ascii="宋体" w:hAnsi="宋体" w:cs="宋体"/>
                <w:color w:val="auto"/>
                <w:szCs w:val="21"/>
              </w:rPr>
              <w:t>金融机构、担保机构出具的保函</w:t>
            </w:r>
            <w:r>
              <w:rPr>
                <w:rFonts w:hint="eastAsia" w:ascii="宋体" w:hAnsi="宋体"/>
                <w:color w:val="auto"/>
                <w:szCs w:val="21"/>
              </w:rPr>
              <w:t>的复印件作为磋商保证金提交凭证，放置于</w:t>
            </w:r>
            <w:r>
              <w:rPr>
                <w:rFonts w:hint="eastAsia" w:ascii="宋体" w:hAnsi="宋体" w:cs="宋体"/>
                <w:color w:val="auto"/>
                <w:szCs w:val="21"/>
              </w:rPr>
              <w:t>商务技术文件</w:t>
            </w:r>
            <w:r>
              <w:rPr>
                <w:rFonts w:hint="eastAsia" w:ascii="宋体" w:hAnsi="宋体"/>
                <w:color w:val="auto"/>
                <w:szCs w:val="21"/>
              </w:rPr>
              <w:t>中，</w:t>
            </w:r>
            <w:r>
              <w:rPr>
                <w:rFonts w:hint="eastAsia" w:ascii="宋体" w:hAnsi="宋体" w:cs="宋体"/>
                <w:b/>
                <w:color w:val="auto"/>
                <w:szCs w:val="21"/>
              </w:rPr>
              <w:t>否则响应文件按无效处理</w:t>
            </w:r>
            <w:r>
              <w:rPr>
                <w:rFonts w:hint="eastAsia" w:ascii="宋体" w:hAnsi="宋体"/>
                <w:color w:val="auto"/>
                <w:szCs w:val="21"/>
              </w:rPr>
              <w:t>。</w:t>
            </w:r>
          </w:p>
          <w:p w14:paraId="13681C2B">
            <w:pPr>
              <w:spacing w:line="400" w:lineRule="exact"/>
              <w:rPr>
                <w:rFonts w:ascii="宋体" w:hAnsi="宋体" w:cs="宋体"/>
                <w:b/>
                <w:color w:val="auto"/>
                <w:szCs w:val="21"/>
              </w:rPr>
            </w:pPr>
            <w:r>
              <w:rPr>
                <w:rFonts w:hint="eastAsia" w:ascii="宋体" w:hAnsi="宋体" w:cs="宋体"/>
                <w:color w:val="auto"/>
                <w:szCs w:val="21"/>
              </w:rPr>
              <w:t>3.供应商为联合体的，可以由联合体中的一方或者多方共同交纳磋商保证金，其交纳的保证金对联合体各方均具有约束力。</w:t>
            </w:r>
          </w:p>
          <w:p w14:paraId="3AC9E22B">
            <w:pPr>
              <w:spacing w:line="400" w:lineRule="exact"/>
              <w:rPr>
                <w:rFonts w:ascii="宋体" w:hAnsi="宋体" w:cs="宋体"/>
                <w:b/>
                <w:color w:val="auto"/>
                <w:szCs w:val="21"/>
              </w:rPr>
            </w:pPr>
            <w:r>
              <w:rPr>
                <w:rFonts w:hint="eastAsia" w:ascii="宋体" w:hAnsi="宋体" w:cs="宋体"/>
                <w:b/>
                <w:color w:val="auto"/>
                <w:szCs w:val="21"/>
              </w:rPr>
              <w:t xml:space="preserve">备注： </w:t>
            </w:r>
          </w:p>
          <w:p w14:paraId="00905D6E">
            <w:pPr>
              <w:spacing w:line="400" w:lineRule="exact"/>
              <w:rPr>
                <w:rFonts w:ascii="宋体" w:hAnsi="宋体" w:cs="宋体"/>
                <w:b/>
                <w:color w:val="auto"/>
                <w:szCs w:val="21"/>
              </w:rPr>
            </w:pPr>
            <w:r>
              <w:rPr>
                <w:rFonts w:hint="eastAsia" w:ascii="宋体" w:hAnsi="宋体" w:cs="宋体"/>
                <w:b/>
                <w:color w:val="auto"/>
                <w:szCs w:val="21"/>
              </w:rPr>
              <w:t>1.磋商保证金在响应文件提交截止时间后提交的，或者不按规定交纳方式交纳的，或者未足额交纳的（包含保函额度不足的），视为无效磋商保证金。</w:t>
            </w:r>
          </w:p>
          <w:p w14:paraId="3307D162">
            <w:pPr>
              <w:spacing w:line="400" w:lineRule="exact"/>
              <w:rPr>
                <w:rFonts w:ascii="宋体" w:hAnsi="宋体" w:cs="宋体"/>
                <w:b/>
                <w:color w:val="auto"/>
                <w:szCs w:val="21"/>
              </w:rPr>
            </w:pPr>
            <w:r>
              <w:rPr>
                <w:rFonts w:hint="eastAsia" w:ascii="宋体" w:hAnsi="宋体" w:cs="宋体"/>
                <w:b/>
                <w:color w:val="auto"/>
                <w:szCs w:val="21"/>
              </w:rPr>
              <w:t>2.供应商采用现钞方式或者从个人账户（自然人竞标除外）转出的磋商保证金，视为无效磋商保证金。</w:t>
            </w:r>
          </w:p>
          <w:p w14:paraId="34A33D0E">
            <w:pPr>
              <w:spacing w:line="400" w:lineRule="exact"/>
              <w:rPr>
                <w:rFonts w:ascii="宋体" w:hAnsi="宋体" w:cs="宋体"/>
                <w:b/>
                <w:color w:val="auto"/>
                <w:szCs w:val="21"/>
              </w:rPr>
            </w:pPr>
            <w:r>
              <w:rPr>
                <w:rFonts w:hint="eastAsia" w:ascii="宋体" w:hAnsi="宋体" w:cs="宋体"/>
                <w:b/>
                <w:color w:val="auto"/>
                <w:szCs w:val="21"/>
              </w:rPr>
              <w:t>3.支票、汇票或者本票出现无效或者背书情形的，视为无效磋商保证金。</w:t>
            </w:r>
          </w:p>
          <w:p w14:paraId="0BF2FAF3">
            <w:pPr>
              <w:spacing w:line="400" w:lineRule="exact"/>
              <w:rPr>
                <w:rFonts w:ascii="宋体" w:hAnsi="宋体" w:cs="宋体"/>
                <w:b/>
                <w:color w:val="auto"/>
                <w:szCs w:val="21"/>
              </w:rPr>
            </w:pPr>
            <w:r>
              <w:rPr>
                <w:rFonts w:hint="eastAsia" w:ascii="宋体" w:hAnsi="宋体" w:cs="宋体"/>
                <w:b/>
                <w:color w:val="auto"/>
                <w:szCs w:val="21"/>
              </w:rPr>
              <w:t>4.保函有效期低于竞标有效期的，视为无效磋商保证金。</w:t>
            </w:r>
          </w:p>
          <w:p w14:paraId="1CCB02F3">
            <w:pPr>
              <w:spacing w:line="400" w:lineRule="exact"/>
              <w:rPr>
                <w:rFonts w:ascii="宋体" w:hAnsi="宋体" w:cs="宋体"/>
                <w:b/>
                <w:color w:val="auto"/>
                <w:szCs w:val="21"/>
              </w:rPr>
            </w:pPr>
            <w:r>
              <w:rPr>
                <w:rFonts w:hint="eastAsia" w:ascii="宋体" w:hAnsi="宋体" w:cs="宋体"/>
                <w:b/>
                <w:color w:val="auto"/>
                <w:szCs w:val="21"/>
              </w:rPr>
              <w:t>5.采用金融机构、担保机构出具保函的，必须为无条件保函，否则视为无效磋商保证金。</w:t>
            </w:r>
          </w:p>
          <w:p w14:paraId="038E0DB2">
            <w:pPr>
              <w:autoSpaceDE w:val="0"/>
              <w:autoSpaceDN w:val="0"/>
              <w:spacing w:line="360" w:lineRule="auto"/>
              <w:rPr>
                <w:rFonts w:ascii="宋体" w:hAnsi="宋体"/>
                <w:color w:val="auto"/>
                <w:szCs w:val="21"/>
              </w:rPr>
            </w:pPr>
            <w:r>
              <w:rPr>
                <w:rFonts w:hint="eastAsia" w:hAnsi="Courier New"/>
                <w:color w:val="auto"/>
              </w:rPr>
              <w:t>【</w:t>
            </w:r>
            <w:r>
              <w:rPr>
                <w:rFonts w:hint="eastAsia" w:hAnsi="Courier New"/>
                <w:b/>
                <w:color w:val="auto"/>
              </w:rPr>
              <w:t>财务咨询电话：0771-7836268</w:t>
            </w:r>
            <w:r>
              <w:rPr>
                <w:rFonts w:hint="eastAsia" w:hAnsi="Courier New"/>
                <w:color w:val="auto"/>
              </w:rPr>
              <w:t>】</w:t>
            </w:r>
          </w:p>
        </w:tc>
      </w:tr>
      <w:tr w14:paraId="5ED59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66926EF8">
            <w:pPr>
              <w:spacing w:line="360" w:lineRule="auto"/>
              <w:jc w:val="center"/>
              <w:rPr>
                <w:rFonts w:ascii="宋体" w:hAnsi="宋体" w:cs="宋体"/>
                <w:color w:val="auto"/>
                <w:szCs w:val="21"/>
              </w:rPr>
            </w:pPr>
            <w:r>
              <w:rPr>
                <w:rFonts w:hint="eastAsia" w:ascii="宋体" w:hAnsi="宋体" w:cs="宋体"/>
                <w:color w:val="auto"/>
                <w:szCs w:val="21"/>
              </w:rPr>
              <w:t>19</w:t>
            </w:r>
          </w:p>
        </w:tc>
        <w:tc>
          <w:tcPr>
            <w:tcW w:w="8607" w:type="dxa"/>
            <w:tcBorders>
              <w:top w:val="single" w:color="000000" w:sz="4" w:space="0"/>
              <w:left w:val="single" w:color="000000" w:sz="4" w:space="0"/>
              <w:bottom w:val="single" w:color="000000" w:sz="4" w:space="0"/>
              <w:right w:val="single" w:color="000000" w:sz="4" w:space="0"/>
            </w:tcBorders>
            <w:vAlign w:val="center"/>
          </w:tcPr>
          <w:p w14:paraId="39C73823">
            <w:pPr>
              <w:autoSpaceDE w:val="0"/>
              <w:autoSpaceDN w:val="0"/>
              <w:spacing w:line="360" w:lineRule="auto"/>
              <w:rPr>
                <w:color w:val="auto"/>
              </w:rPr>
            </w:pPr>
            <w:r>
              <w:rPr>
                <w:rFonts w:hint="eastAsia"/>
                <w:color w:val="auto"/>
              </w:rPr>
              <w:t>本项目</w:t>
            </w:r>
            <w:r>
              <w:rPr>
                <w:rFonts w:hint="eastAsia"/>
                <w:color w:val="auto"/>
                <w:lang w:eastAsia="zh-CN"/>
              </w:rPr>
              <w:t>接收</w:t>
            </w:r>
            <w:r>
              <w:rPr>
                <w:rFonts w:hint="eastAsia"/>
                <w:color w:val="auto"/>
              </w:rPr>
              <w:t>电子备份响应文件。</w:t>
            </w:r>
          </w:p>
          <w:p w14:paraId="4CED80AE">
            <w:pPr>
              <w:autoSpaceDE w:val="0"/>
              <w:autoSpaceDN w:val="0"/>
              <w:spacing w:line="360" w:lineRule="auto"/>
              <w:rPr>
                <w:color w:val="auto"/>
              </w:rPr>
            </w:pPr>
            <w:r>
              <w:rPr>
                <w:rFonts w:hint="eastAsia"/>
                <w:color w:val="auto"/>
              </w:rPr>
              <w:t>电子备份响应文件提交方式：供应商可以在响应文件提交截止时间前采用以下方式向采购代理机构提交电子备份响应文件，并确保采购代理机构在截标前收到该文件（通过“广西政府采购云平台电子投标客户端”在线编制生成且后缀名为“bfbs”的文件）：</w:t>
            </w:r>
          </w:p>
          <w:p w14:paraId="7CE9CC07">
            <w:pPr>
              <w:autoSpaceDE w:val="0"/>
              <w:autoSpaceDN w:val="0"/>
              <w:spacing w:line="360" w:lineRule="auto"/>
              <w:rPr>
                <w:color w:val="auto"/>
              </w:rPr>
            </w:pPr>
            <w:r>
              <w:rPr>
                <w:rFonts w:hint="eastAsia"/>
                <w:color w:val="auto"/>
              </w:rPr>
              <w:t>（1）现场提交方式，应采用U盘进行存储，提交地址：广西崇左市友谊大道与城南八路交叉口东南角处（崇左建设大厦/百成财富2#楼十三层）云之龙咨询集团有限公司招标部；外包装上注明供应商名称、项目名称及项目编号（外包装不作密封要求）。</w:t>
            </w:r>
          </w:p>
          <w:p w14:paraId="7272045B">
            <w:pPr>
              <w:autoSpaceDE w:val="0"/>
              <w:autoSpaceDN w:val="0"/>
              <w:spacing w:line="360" w:lineRule="auto"/>
              <w:rPr>
                <w:color w:val="auto"/>
              </w:rPr>
            </w:pPr>
            <w:r>
              <w:rPr>
                <w:rFonts w:hint="eastAsia"/>
                <w:color w:val="auto"/>
              </w:rPr>
              <w:t>（2）电子邮件方式，接收电子备份响应文件的电子邮箱为：yunlongcz@163.com；</w:t>
            </w:r>
          </w:p>
          <w:p w14:paraId="05C436B1">
            <w:pPr>
              <w:autoSpaceDE w:val="0"/>
              <w:autoSpaceDN w:val="0"/>
              <w:spacing w:line="360" w:lineRule="auto"/>
              <w:ind w:firstLine="420" w:firstLineChars="200"/>
              <w:rPr>
                <w:rFonts w:ascii="宋体" w:hAnsi="宋体"/>
                <w:color w:val="auto"/>
                <w:szCs w:val="21"/>
              </w:rPr>
            </w:pPr>
            <w:r>
              <w:rPr>
                <w:rFonts w:hint="eastAsia"/>
                <w:color w:val="auto"/>
              </w:rPr>
              <w:t>供应商未按上述规定提交的电子备份响应文件，采购代理机构不予接收或承认。若电子加密响应文件解密成功，电子备份响应文件自动失效。若供应商无法在规定的时间内解密响应文件或者解密失败的，采购代理机构将电子备份响应文件按照“政府采购云平台”操作规范上传至“政府采购云平台”，电子备份响应文件上传成功后，供应商原上传的电子加密响应文件自动失效。</w:t>
            </w:r>
            <w:r>
              <w:rPr>
                <w:rFonts w:hint="eastAsia"/>
                <w:b/>
                <w:bCs/>
                <w:color w:val="auto"/>
              </w:rPr>
              <w:t>若供应商在规定时间内无法解密或解密失败且未提供电子备份响应文件的（包含提供的电子备份响应文件无效或无法解读的情况），供应商的响应文件作无效处理。</w:t>
            </w:r>
          </w:p>
        </w:tc>
      </w:tr>
      <w:tr w14:paraId="61ADC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63A1AAE4">
            <w:pPr>
              <w:spacing w:line="360" w:lineRule="auto"/>
              <w:jc w:val="center"/>
              <w:rPr>
                <w:rFonts w:ascii="宋体" w:hAnsi="宋体" w:cs="宋体"/>
                <w:color w:val="auto"/>
                <w:szCs w:val="21"/>
              </w:rPr>
            </w:pPr>
            <w:r>
              <w:rPr>
                <w:rFonts w:hint="eastAsia" w:ascii="宋体" w:hAnsi="宋体" w:cs="宋体"/>
                <w:color w:val="auto"/>
                <w:szCs w:val="21"/>
              </w:rPr>
              <w:t>20.1</w:t>
            </w:r>
          </w:p>
        </w:tc>
        <w:tc>
          <w:tcPr>
            <w:tcW w:w="8607" w:type="dxa"/>
            <w:tcBorders>
              <w:top w:val="single" w:color="000000" w:sz="4" w:space="0"/>
              <w:left w:val="single" w:color="000000" w:sz="4" w:space="0"/>
              <w:bottom w:val="single" w:color="000000" w:sz="4" w:space="0"/>
              <w:right w:val="single" w:color="000000" w:sz="4" w:space="0"/>
            </w:tcBorders>
            <w:vAlign w:val="center"/>
          </w:tcPr>
          <w:p w14:paraId="35301F63">
            <w:pPr>
              <w:spacing w:line="360" w:lineRule="auto"/>
              <w:contextualSpacing/>
              <w:jc w:val="left"/>
              <w:rPr>
                <w:color w:val="auto"/>
              </w:rPr>
            </w:pPr>
            <w:r>
              <w:rPr>
                <w:rFonts w:hint="eastAsia"/>
                <w:color w:val="auto"/>
              </w:rPr>
              <w:t>响应文件提交截止时间：详见竞争性谈判公告。</w:t>
            </w:r>
          </w:p>
          <w:p w14:paraId="79E9D5A8">
            <w:pPr>
              <w:spacing w:line="360" w:lineRule="auto"/>
              <w:contextualSpacing/>
              <w:jc w:val="left"/>
              <w:rPr>
                <w:color w:val="auto"/>
              </w:rPr>
            </w:pPr>
            <w:r>
              <w:rPr>
                <w:rFonts w:hint="eastAsia"/>
                <w:color w:val="auto"/>
              </w:rPr>
              <w:t>响应文件提交地点：详见竞争性谈判公告。</w:t>
            </w:r>
          </w:p>
        </w:tc>
      </w:tr>
      <w:tr w14:paraId="24195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0BB70071">
            <w:pPr>
              <w:spacing w:line="360" w:lineRule="auto"/>
              <w:jc w:val="center"/>
              <w:rPr>
                <w:rFonts w:ascii="宋体" w:hAnsi="宋体" w:cs="宋体"/>
                <w:color w:val="auto"/>
                <w:szCs w:val="21"/>
              </w:rPr>
            </w:pPr>
            <w:r>
              <w:rPr>
                <w:rFonts w:hint="eastAsia" w:ascii="宋体" w:hAnsi="宋体" w:cs="宋体"/>
                <w:color w:val="auto"/>
                <w:szCs w:val="21"/>
              </w:rPr>
              <w:t>24.1</w:t>
            </w:r>
          </w:p>
        </w:tc>
        <w:tc>
          <w:tcPr>
            <w:tcW w:w="8607" w:type="dxa"/>
            <w:tcBorders>
              <w:top w:val="single" w:color="000000" w:sz="4" w:space="0"/>
              <w:left w:val="single" w:color="000000" w:sz="4" w:space="0"/>
              <w:bottom w:val="single" w:color="000000" w:sz="4" w:space="0"/>
              <w:right w:val="single" w:color="000000" w:sz="4" w:space="0"/>
            </w:tcBorders>
            <w:vAlign w:val="center"/>
          </w:tcPr>
          <w:p w14:paraId="222632D3">
            <w:pPr>
              <w:spacing w:line="360" w:lineRule="auto"/>
              <w:jc w:val="left"/>
              <w:rPr>
                <w:rFonts w:ascii="宋体" w:hAnsi="宋体" w:cs="宋体"/>
                <w:color w:val="auto"/>
                <w:szCs w:val="21"/>
                <w:u w:val="single"/>
              </w:rPr>
            </w:pPr>
            <w:r>
              <w:rPr>
                <w:rFonts w:hint="eastAsia" w:ascii="宋体" w:hAnsi="宋体" w:cs="宋体"/>
                <w:color w:val="auto"/>
                <w:szCs w:val="21"/>
              </w:rPr>
              <w:t>谈判小组的人数：</w:t>
            </w:r>
            <w:r>
              <w:rPr>
                <w:rFonts w:hint="eastAsia" w:ascii="宋体" w:hAnsi="宋体" w:cs="宋体"/>
                <w:color w:val="auto"/>
                <w:szCs w:val="21"/>
                <w:u w:val="single"/>
              </w:rPr>
              <w:t xml:space="preserve">  3  </w:t>
            </w:r>
            <w:r>
              <w:rPr>
                <w:rFonts w:hint="eastAsia" w:ascii="宋体" w:hAnsi="宋体" w:cs="宋体"/>
                <w:color w:val="auto"/>
                <w:szCs w:val="21"/>
              </w:rPr>
              <w:t>人。</w:t>
            </w:r>
          </w:p>
        </w:tc>
      </w:tr>
      <w:tr w14:paraId="33A1E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39C0B94C">
            <w:pPr>
              <w:spacing w:line="360" w:lineRule="auto"/>
              <w:jc w:val="center"/>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5</w:t>
            </w:r>
          </w:p>
        </w:tc>
        <w:tc>
          <w:tcPr>
            <w:tcW w:w="8607" w:type="dxa"/>
            <w:tcBorders>
              <w:top w:val="single" w:color="000000" w:sz="4" w:space="0"/>
              <w:left w:val="single" w:color="000000" w:sz="4" w:space="0"/>
              <w:bottom w:val="single" w:color="000000" w:sz="4" w:space="0"/>
              <w:right w:val="single" w:color="000000" w:sz="4" w:space="0"/>
            </w:tcBorders>
            <w:vAlign w:val="center"/>
          </w:tcPr>
          <w:p w14:paraId="468A1ADC">
            <w:pPr>
              <w:spacing w:line="360" w:lineRule="auto"/>
              <w:jc w:val="left"/>
              <w:rPr>
                <w:color w:val="auto"/>
              </w:rPr>
            </w:pPr>
            <w:r>
              <w:rPr>
                <w:rFonts w:hint="eastAsia"/>
                <w:color w:val="auto"/>
              </w:rPr>
              <w:t>首次响应文件开启时间详见“竞争性谈判公告”</w:t>
            </w:r>
          </w:p>
          <w:p w14:paraId="7328DEB8">
            <w:pPr>
              <w:spacing w:line="360" w:lineRule="auto"/>
              <w:jc w:val="left"/>
              <w:rPr>
                <w:color w:val="auto"/>
              </w:rPr>
            </w:pPr>
            <w:r>
              <w:rPr>
                <w:rFonts w:hint="eastAsia"/>
                <w:color w:val="auto"/>
              </w:rPr>
              <w:t>首次响应文件解密时间：</w:t>
            </w:r>
            <w:r>
              <w:rPr>
                <w:color w:val="auto"/>
              </w:rPr>
              <w:t xml:space="preserve"> </w:t>
            </w:r>
            <w:r>
              <w:rPr>
                <w:rFonts w:hint="eastAsia"/>
                <w:color w:val="auto"/>
              </w:rPr>
              <w:t>30</w:t>
            </w:r>
            <w:r>
              <w:rPr>
                <w:color w:val="auto"/>
              </w:rPr>
              <w:t xml:space="preserve"> </w:t>
            </w:r>
            <w:r>
              <w:rPr>
                <w:rFonts w:hint="eastAsia"/>
                <w:color w:val="auto"/>
              </w:rPr>
              <w:t>分钟</w:t>
            </w:r>
          </w:p>
          <w:p w14:paraId="065E002F">
            <w:pPr>
              <w:spacing w:line="360" w:lineRule="auto"/>
              <w:ind w:firstLine="422" w:firstLineChars="200"/>
              <w:jc w:val="left"/>
              <w:rPr>
                <w:color w:val="auto"/>
              </w:rPr>
            </w:pPr>
            <w:r>
              <w:rPr>
                <w:rFonts w:hint="eastAsia" w:ascii="宋体" w:hAnsi="宋体" w:cs="宋体"/>
                <w:b/>
                <w:color w:val="auto"/>
                <w:szCs w:val="21"/>
              </w:rPr>
              <w:t>本项目采用远程异地评审。崇左市的专家到广西崇左市友谊大道与城南八路交叉口东南角处（崇左建设大厦/百成财富2#楼十三层）云之龙咨询集团有限公司崇左分公司参加评审；百色市的专家到百色市右江区迎龙路70号百色建通时代广场（竹洲大桥旁）二号楼A座二十层云之龙咨询集团有限公司百色分公司参加评审。</w:t>
            </w:r>
          </w:p>
        </w:tc>
      </w:tr>
      <w:tr w14:paraId="5D515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tcBorders>
              <w:top w:val="single" w:color="000000" w:sz="4" w:space="0"/>
              <w:left w:val="single" w:color="000000" w:sz="4" w:space="0"/>
              <w:bottom w:val="single" w:color="000000" w:sz="4" w:space="0"/>
              <w:right w:val="single" w:color="000000" w:sz="4" w:space="0"/>
            </w:tcBorders>
            <w:vAlign w:val="center"/>
          </w:tcPr>
          <w:p w14:paraId="44D28C0F">
            <w:pPr>
              <w:spacing w:line="360" w:lineRule="auto"/>
              <w:jc w:val="center"/>
              <w:rPr>
                <w:rFonts w:ascii="宋体" w:hAnsi="宋体" w:cs="宋体"/>
                <w:color w:val="auto"/>
                <w:szCs w:val="21"/>
              </w:rPr>
            </w:pPr>
            <w:r>
              <w:rPr>
                <w:rFonts w:ascii="宋体" w:hAnsi="宋体" w:cs="宋体"/>
                <w:color w:val="auto"/>
                <w:szCs w:val="21"/>
              </w:rPr>
              <w:t>26</w:t>
            </w:r>
          </w:p>
        </w:tc>
        <w:tc>
          <w:tcPr>
            <w:tcW w:w="8607" w:type="dxa"/>
            <w:tcBorders>
              <w:top w:val="single" w:color="000000" w:sz="4" w:space="0"/>
              <w:left w:val="single" w:color="000000" w:sz="4" w:space="0"/>
              <w:bottom w:val="single" w:color="000000" w:sz="4" w:space="0"/>
              <w:right w:val="single" w:color="000000" w:sz="4" w:space="0"/>
            </w:tcBorders>
            <w:vAlign w:val="center"/>
          </w:tcPr>
          <w:p w14:paraId="04FA5EC5">
            <w:pPr>
              <w:spacing w:line="360" w:lineRule="auto"/>
              <w:contextualSpacing/>
              <w:rPr>
                <w:rFonts w:ascii="宋体" w:hAnsi="宋体" w:cs="宋体"/>
                <w:color w:val="auto"/>
                <w:szCs w:val="21"/>
              </w:rPr>
            </w:pPr>
            <w:r>
              <w:rPr>
                <w:rFonts w:hint="eastAsia" w:ascii="宋体" w:hAnsi="宋体" w:cs="宋体"/>
                <w:color w:val="auto"/>
                <w:szCs w:val="21"/>
              </w:rPr>
              <w:t>评审价相同时，按照最后报价由低到高顺序依次推荐；最后报价相同时，按节能、环保产品累计金额由高到低顺序依次推荐；节能、环保产品累计金额也相同时，按以下原则确定成交候选人的顺序：</w:t>
            </w:r>
          </w:p>
          <w:p w14:paraId="71423617">
            <w:pPr>
              <w:spacing w:line="360" w:lineRule="auto"/>
              <w:contextualSpacing/>
              <w:rPr>
                <w:rFonts w:ascii="宋体" w:hAnsi="宋体" w:cs="宋体"/>
                <w:color w:val="auto"/>
                <w:szCs w:val="21"/>
              </w:rPr>
            </w:pPr>
            <w:r>
              <w:rPr>
                <w:rFonts w:hint="eastAsia" w:ascii="宋体" w:hAnsi="宋体" w:cs="宋体"/>
                <w:color w:val="auto"/>
                <w:szCs w:val="21"/>
              </w:rPr>
              <w:t>☑带“▲”的实质性要求正偏离项数多的优先、均无正偏离或者正偏离项数一致时负偏离项数少的优先、保修期长优先、交货期短优先、故障响应时间短优先的顺序推荐。</w:t>
            </w:r>
          </w:p>
          <w:p w14:paraId="6D3D1851">
            <w:pPr>
              <w:spacing w:line="360" w:lineRule="auto"/>
              <w:rPr>
                <w:rFonts w:ascii="宋体" w:hAnsi="宋体" w:cs="宋体"/>
                <w:color w:val="auto"/>
                <w:szCs w:val="21"/>
              </w:rPr>
            </w:pPr>
            <w:r>
              <w:rPr>
                <w:rFonts w:hint="eastAsia" w:ascii="宋体" w:hAnsi="宋体" w:cs="宋体"/>
                <w:color w:val="auto"/>
                <w:szCs w:val="21"/>
              </w:rPr>
              <w:t>□由谈判小组推荐代表随机抽取。</w:t>
            </w:r>
          </w:p>
        </w:tc>
      </w:tr>
      <w:tr w14:paraId="7DF16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039E4A66">
            <w:pPr>
              <w:spacing w:line="360" w:lineRule="auto"/>
              <w:jc w:val="center"/>
              <w:rPr>
                <w:rFonts w:ascii="宋体" w:hAnsi="宋体" w:cs="宋体"/>
                <w:color w:val="auto"/>
                <w:szCs w:val="21"/>
              </w:rPr>
            </w:pPr>
          </w:p>
        </w:tc>
        <w:tc>
          <w:tcPr>
            <w:tcW w:w="8607" w:type="dxa"/>
            <w:tcBorders>
              <w:top w:val="single" w:color="000000" w:sz="4" w:space="0"/>
              <w:left w:val="single" w:color="000000" w:sz="4" w:space="0"/>
              <w:bottom w:val="single" w:color="000000" w:sz="4" w:space="0"/>
              <w:right w:val="single" w:color="000000" w:sz="4" w:space="0"/>
            </w:tcBorders>
            <w:vAlign w:val="center"/>
          </w:tcPr>
          <w:p w14:paraId="3CE57F4F">
            <w:pPr>
              <w:spacing w:line="360" w:lineRule="auto"/>
              <w:rPr>
                <w:rFonts w:ascii="宋体" w:hAnsi="宋体" w:cs="宋体"/>
                <w:color w:val="auto"/>
                <w:szCs w:val="21"/>
              </w:rPr>
            </w:pPr>
            <w:r>
              <w:rPr>
                <w:rFonts w:hint="eastAsia" w:ascii="宋体" w:hAnsi="宋体" w:cs="宋体"/>
                <w:color w:val="auto"/>
                <w:szCs w:val="21"/>
              </w:rPr>
              <w:t>商务要求评审中允许负偏离的条款数为</w:t>
            </w:r>
            <w:r>
              <w:rPr>
                <w:rFonts w:hint="eastAsia" w:ascii="宋体" w:hAnsi="宋体" w:cs="宋体"/>
                <w:color w:val="auto"/>
                <w:szCs w:val="21"/>
                <w:u w:val="single"/>
              </w:rPr>
              <w:t xml:space="preserve"> 0 </w:t>
            </w:r>
            <w:r>
              <w:rPr>
                <w:rFonts w:hint="eastAsia" w:ascii="宋体" w:hAnsi="宋体" w:cs="宋体"/>
                <w:color w:val="auto"/>
                <w:szCs w:val="21"/>
              </w:rPr>
              <w:t>项。</w:t>
            </w:r>
          </w:p>
          <w:p w14:paraId="35629C9C">
            <w:pPr>
              <w:spacing w:line="360" w:lineRule="auto"/>
              <w:rPr>
                <w:rFonts w:ascii="宋体" w:hAnsi="宋体" w:cs="宋体"/>
                <w:color w:val="auto"/>
                <w:szCs w:val="21"/>
              </w:rPr>
            </w:pPr>
            <w:r>
              <w:rPr>
                <w:rFonts w:hint="eastAsia" w:ascii="宋体" w:hAnsi="宋体" w:cs="宋体"/>
                <w:b/>
                <w:bCs/>
                <w:color w:val="auto"/>
                <w:szCs w:val="21"/>
              </w:rPr>
              <w:t>技术要求评审中允许负偏离的条款数为</w:t>
            </w:r>
            <w:r>
              <w:rPr>
                <w:rFonts w:hint="eastAsia" w:ascii="宋体" w:hAnsi="宋体" w:cs="宋体"/>
                <w:b/>
                <w:bCs/>
                <w:color w:val="auto"/>
                <w:szCs w:val="21"/>
                <w:u w:val="single"/>
              </w:rPr>
              <w:t xml:space="preserve"> 0 </w:t>
            </w:r>
            <w:r>
              <w:rPr>
                <w:rFonts w:hint="eastAsia" w:ascii="宋体" w:hAnsi="宋体" w:cs="宋体"/>
                <w:b/>
                <w:bCs/>
                <w:color w:val="auto"/>
                <w:szCs w:val="21"/>
              </w:rPr>
              <w:t>项。</w:t>
            </w:r>
          </w:p>
        </w:tc>
      </w:tr>
      <w:tr w14:paraId="56DF4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27E9B7A5">
            <w:pPr>
              <w:spacing w:line="360" w:lineRule="auto"/>
              <w:jc w:val="center"/>
              <w:rPr>
                <w:rFonts w:ascii="宋体" w:hAnsi="宋体" w:cs="宋体"/>
                <w:color w:val="auto"/>
                <w:szCs w:val="21"/>
              </w:rPr>
            </w:pPr>
            <w:r>
              <w:rPr>
                <w:rFonts w:ascii="宋体" w:hAnsi="宋体" w:cs="宋体"/>
                <w:color w:val="auto"/>
                <w:szCs w:val="21"/>
              </w:rPr>
              <w:t>28.1</w:t>
            </w:r>
          </w:p>
        </w:tc>
        <w:tc>
          <w:tcPr>
            <w:tcW w:w="8607" w:type="dxa"/>
            <w:tcBorders>
              <w:top w:val="single" w:color="000000" w:sz="4" w:space="0"/>
              <w:left w:val="single" w:color="000000" w:sz="4" w:space="0"/>
              <w:bottom w:val="single" w:color="000000" w:sz="4" w:space="0"/>
              <w:right w:val="single" w:color="000000" w:sz="4" w:space="0"/>
            </w:tcBorders>
            <w:vAlign w:val="center"/>
          </w:tcPr>
          <w:p w14:paraId="35430D9E">
            <w:pPr>
              <w:autoSpaceDE w:val="0"/>
              <w:autoSpaceDN w:val="0"/>
              <w:spacing w:line="360" w:lineRule="auto"/>
              <w:rPr>
                <w:rFonts w:ascii="宋体" w:hAnsi="宋体" w:cs="宋体"/>
                <w:color w:val="auto"/>
                <w:szCs w:val="21"/>
              </w:rPr>
            </w:pPr>
            <w:r>
              <w:rPr>
                <w:rFonts w:hint="eastAsia" w:ascii="宋体" w:hAnsi="宋体"/>
                <w:color w:val="auto"/>
                <w:szCs w:val="21"/>
              </w:rPr>
              <w:t>☑本项目不收取履约保证金。</w:t>
            </w:r>
          </w:p>
        </w:tc>
      </w:tr>
      <w:tr w14:paraId="6DE31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49464B30">
            <w:pPr>
              <w:spacing w:line="360" w:lineRule="auto"/>
              <w:jc w:val="center"/>
              <w:rPr>
                <w:rFonts w:ascii="宋体" w:hAnsi="宋体" w:cs="宋体"/>
                <w:color w:val="auto"/>
                <w:szCs w:val="21"/>
              </w:rPr>
            </w:pPr>
            <w:r>
              <w:rPr>
                <w:rFonts w:ascii="宋体" w:hAnsi="宋体" w:cs="宋体"/>
                <w:color w:val="auto"/>
                <w:szCs w:val="21"/>
              </w:rPr>
              <w:t>29</w:t>
            </w:r>
            <w:r>
              <w:rPr>
                <w:rFonts w:hint="eastAsia" w:ascii="宋体" w:hAnsi="宋体" w:cs="宋体"/>
                <w:color w:val="auto"/>
                <w:szCs w:val="21"/>
              </w:rPr>
              <w:t>.1</w:t>
            </w:r>
          </w:p>
        </w:tc>
        <w:tc>
          <w:tcPr>
            <w:tcW w:w="8607" w:type="dxa"/>
            <w:tcBorders>
              <w:top w:val="single" w:color="000000" w:sz="4" w:space="0"/>
              <w:left w:val="single" w:color="000000" w:sz="4" w:space="0"/>
              <w:bottom w:val="single" w:color="000000" w:sz="4" w:space="0"/>
              <w:right w:val="single" w:color="000000" w:sz="4" w:space="0"/>
            </w:tcBorders>
            <w:vAlign w:val="center"/>
          </w:tcPr>
          <w:p w14:paraId="383EFCF9">
            <w:pPr>
              <w:autoSpaceDE w:val="0"/>
              <w:autoSpaceDN w:val="0"/>
              <w:spacing w:line="360" w:lineRule="auto"/>
              <w:rPr>
                <w:rFonts w:ascii="宋体" w:hAnsi="宋体"/>
                <w:color w:val="auto"/>
                <w:szCs w:val="21"/>
              </w:rPr>
            </w:pPr>
            <w:r>
              <w:rPr>
                <w:rFonts w:hint="eastAsia" w:ascii="宋体" w:hAnsi="宋体"/>
                <w:color w:val="auto"/>
                <w:szCs w:val="21"/>
              </w:rPr>
              <w:t xml:space="preserve">签订合同携带的证明材料： </w:t>
            </w:r>
          </w:p>
          <w:p w14:paraId="58129B72">
            <w:pPr>
              <w:autoSpaceDE w:val="0"/>
              <w:autoSpaceDN w:val="0"/>
              <w:spacing w:line="360" w:lineRule="auto"/>
              <w:rPr>
                <w:rFonts w:ascii="宋体" w:hAnsi="宋体"/>
                <w:color w:val="auto"/>
                <w:szCs w:val="21"/>
              </w:rPr>
            </w:pPr>
            <w:r>
              <w:rPr>
                <w:rFonts w:hint="eastAsia" w:ascii="宋体" w:hAnsi="宋体"/>
                <w:color w:val="auto"/>
                <w:szCs w:val="21"/>
              </w:rPr>
              <w:t>委托代理人负责签订合同的，须携带授权委托书及委托代理人身份证原件等其他资格证件。</w:t>
            </w:r>
          </w:p>
          <w:p w14:paraId="1E7BEEDB">
            <w:pPr>
              <w:spacing w:line="360" w:lineRule="auto"/>
              <w:rPr>
                <w:rFonts w:ascii="宋体" w:hAnsi="宋体" w:cs="宋体"/>
                <w:color w:val="auto"/>
                <w:szCs w:val="21"/>
              </w:rPr>
            </w:pPr>
            <w:r>
              <w:rPr>
                <w:rFonts w:hint="eastAsia" w:ascii="宋体" w:hAnsi="宋体"/>
                <w:color w:val="auto"/>
                <w:szCs w:val="21"/>
              </w:rPr>
              <w:t>法定代表人负责签订合同的，须携带法定代表人</w:t>
            </w:r>
            <w:r>
              <w:rPr>
                <w:rFonts w:ascii="宋体" w:hAnsi="宋体"/>
                <w:color w:val="auto"/>
                <w:szCs w:val="21"/>
              </w:rPr>
              <w:t>身份证明原件</w:t>
            </w:r>
            <w:r>
              <w:rPr>
                <w:rFonts w:hint="eastAsia" w:ascii="宋体" w:hAnsi="宋体"/>
                <w:color w:val="auto"/>
                <w:szCs w:val="21"/>
              </w:rPr>
              <w:t>及</w:t>
            </w:r>
            <w:r>
              <w:rPr>
                <w:rFonts w:ascii="宋体" w:hAnsi="宋体"/>
                <w:color w:val="auto"/>
                <w:szCs w:val="21"/>
              </w:rPr>
              <w:t>身份证原件</w:t>
            </w:r>
            <w:r>
              <w:rPr>
                <w:rFonts w:hint="eastAsia" w:ascii="宋体" w:hAnsi="宋体"/>
                <w:color w:val="auto"/>
                <w:szCs w:val="21"/>
              </w:rPr>
              <w:t>等其他证明材料。</w:t>
            </w:r>
          </w:p>
        </w:tc>
      </w:tr>
      <w:tr w14:paraId="10CF7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4EAB804B">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1.2</w:t>
            </w:r>
          </w:p>
        </w:tc>
        <w:tc>
          <w:tcPr>
            <w:tcW w:w="8607" w:type="dxa"/>
            <w:tcBorders>
              <w:top w:val="single" w:color="000000" w:sz="4" w:space="0"/>
              <w:left w:val="single" w:color="000000" w:sz="4" w:space="0"/>
              <w:bottom w:val="single" w:color="000000" w:sz="4" w:space="0"/>
              <w:right w:val="single" w:color="000000" w:sz="4" w:space="0"/>
            </w:tcBorders>
            <w:vAlign w:val="center"/>
          </w:tcPr>
          <w:p w14:paraId="5ED3550B">
            <w:pPr>
              <w:spacing w:line="360" w:lineRule="auto"/>
              <w:rPr>
                <w:rFonts w:ascii="宋体" w:hAnsi="宋体" w:cs="宋体"/>
                <w:color w:val="auto"/>
                <w:szCs w:val="21"/>
              </w:rPr>
            </w:pPr>
            <w:r>
              <w:rPr>
                <w:rFonts w:hint="eastAsia" w:ascii="宋体" w:hAnsi="宋体" w:cs="宋体"/>
                <w:color w:val="auto"/>
                <w:szCs w:val="21"/>
              </w:rPr>
              <w:t>接收质疑函方式：以书面形式。</w:t>
            </w:r>
          </w:p>
          <w:p w14:paraId="79032D1D">
            <w:pPr>
              <w:pStyle w:val="31"/>
              <w:spacing w:line="360" w:lineRule="auto"/>
              <w:rPr>
                <w:rFonts w:hAnsi="宋体" w:cs="宋体"/>
                <w:color w:val="auto"/>
                <w:kern w:val="2"/>
                <w:sz w:val="21"/>
              </w:rPr>
            </w:pPr>
            <w:r>
              <w:rPr>
                <w:rFonts w:hint="eastAsia" w:hAnsi="宋体" w:cs="宋体"/>
                <w:color w:val="auto"/>
                <w:kern w:val="2"/>
                <w:sz w:val="21"/>
              </w:rPr>
              <w:t>质疑联系部门及联系方式：</w:t>
            </w:r>
            <w:r>
              <w:rPr>
                <w:rFonts w:hint="eastAsia" w:hAnsi="宋体" w:cs="宋体"/>
                <w:color w:val="auto"/>
                <w:kern w:val="2"/>
                <w:sz w:val="21"/>
                <w:u w:val="single"/>
              </w:rPr>
              <w:t>云之龙咨询集团有限公司</w:t>
            </w:r>
            <w:r>
              <w:rPr>
                <w:rFonts w:hint="eastAsia" w:hAnsi="宋体" w:cs="宋体"/>
                <w:color w:val="auto"/>
                <w:kern w:val="2"/>
                <w:sz w:val="21"/>
              </w:rPr>
              <w:t>，联系电话：0771-7835598、0771-7833699，通讯地址：广西崇左市友谊大道与城南八路交叉口东南角处（崇左建设大厦/百成财富2#楼十三层）云之龙咨询集团有限公司。</w:t>
            </w:r>
          </w:p>
          <w:p w14:paraId="4FA681E1">
            <w:pPr>
              <w:pStyle w:val="31"/>
              <w:spacing w:line="360" w:lineRule="auto"/>
              <w:rPr>
                <w:rFonts w:hAnsi="宋体" w:cs="宋体"/>
                <w:color w:val="auto"/>
                <w:kern w:val="2"/>
                <w:sz w:val="21"/>
              </w:rPr>
            </w:pPr>
            <w:r>
              <w:rPr>
                <w:rFonts w:hint="eastAsia" w:hAnsi="宋体" w:cs="宋体"/>
                <w:color w:val="auto"/>
                <w:kern w:val="2"/>
                <w:sz w:val="21"/>
              </w:rPr>
              <w:t>业务时间：工作日每天上午8时00分到12时00分，下午3时00分到6时 00分。</w:t>
            </w:r>
          </w:p>
        </w:tc>
      </w:tr>
      <w:tr w14:paraId="10936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46964C3A">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2</w:t>
            </w:r>
            <w:r>
              <w:rPr>
                <w:rFonts w:hint="eastAsia" w:ascii="宋体" w:hAnsi="宋体" w:cs="宋体"/>
                <w:color w:val="auto"/>
                <w:szCs w:val="21"/>
              </w:rPr>
              <w:t>.1</w:t>
            </w:r>
          </w:p>
        </w:tc>
        <w:tc>
          <w:tcPr>
            <w:tcW w:w="8607" w:type="dxa"/>
            <w:tcBorders>
              <w:top w:val="single" w:color="000000" w:sz="4" w:space="0"/>
              <w:left w:val="single" w:color="000000" w:sz="4" w:space="0"/>
              <w:bottom w:val="single" w:color="000000" w:sz="4" w:space="0"/>
              <w:right w:val="single" w:color="000000" w:sz="4" w:space="0"/>
            </w:tcBorders>
            <w:vAlign w:val="center"/>
          </w:tcPr>
          <w:p w14:paraId="22E7F6BA">
            <w:pPr>
              <w:pStyle w:val="31"/>
              <w:spacing w:line="360" w:lineRule="auto"/>
              <w:rPr>
                <w:rFonts w:hAnsi="宋体" w:cs="宋体"/>
                <w:color w:val="auto"/>
                <w:sz w:val="21"/>
              </w:rPr>
            </w:pPr>
            <w:r>
              <w:rPr>
                <w:rFonts w:hint="eastAsia" w:hAnsi="宋体" w:cs="宋体"/>
                <w:color w:val="auto"/>
                <w:sz w:val="21"/>
              </w:rPr>
              <w:t>1.采购代理</w:t>
            </w:r>
            <w:r>
              <w:rPr>
                <w:rFonts w:hint="eastAsia"/>
                <w:color w:val="auto"/>
              </w:rPr>
              <w:t>服务</w:t>
            </w:r>
            <w:r>
              <w:rPr>
                <w:rFonts w:hint="eastAsia" w:hAnsi="宋体" w:cs="宋体"/>
                <w:color w:val="auto"/>
                <w:sz w:val="21"/>
              </w:rPr>
              <w:t>费及支付方式：</w:t>
            </w:r>
          </w:p>
          <w:p w14:paraId="0F66F212">
            <w:pPr>
              <w:spacing w:line="400" w:lineRule="exact"/>
              <w:rPr>
                <w:color w:val="auto"/>
              </w:rPr>
            </w:pPr>
            <w:r>
              <w:rPr>
                <w:rFonts w:hint="eastAsia"/>
                <w:color w:val="auto"/>
              </w:rPr>
              <w:t>采购代理服务费：本项目采购代理服务费参照桂价费〔2011〕55号文件（服务类）标准执行（若采购代理服务费不足5000元，按5000元计收），方式为成交供应商向采购代理机构支付。采购代理服务费转至以下账号：</w:t>
            </w:r>
          </w:p>
          <w:p w14:paraId="32DC6AE0">
            <w:pPr>
              <w:spacing w:line="400" w:lineRule="exact"/>
              <w:rPr>
                <w:b/>
                <w:bCs/>
                <w:color w:val="auto"/>
                <w:u w:val="single"/>
              </w:rPr>
            </w:pPr>
            <w:r>
              <w:rPr>
                <w:rFonts w:hint="eastAsia"/>
                <w:b/>
                <w:bCs/>
                <w:color w:val="auto"/>
                <w:u w:val="single"/>
              </w:rPr>
              <w:t>公司名称：云之龙咨询集团有限公司崇左分公司</w:t>
            </w:r>
          </w:p>
          <w:p w14:paraId="57B8A5C3">
            <w:pPr>
              <w:spacing w:line="400" w:lineRule="exact"/>
              <w:rPr>
                <w:b/>
                <w:bCs/>
                <w:color w:val="auto"/>
                <w:u w:val="single"/>
              </w:rPr>
            </w:pPr>
            <w:r>
              <w:rPr>
                <w:rFonts w:hint="eastAsia"/>
                <w:b/>
                <w:bCs/>
                <w:color w:val="auto"/>
                <w:u w:val="single"/>
              </w:rPr>
              <w:t>账号：8113001013000157995</w:t>
            </w:r>
          </w:p>
          <w:p w14:paraId="6083D6D1">
            <w:pPr>
              <w:spacing w:line="400" w:lineRule="exact"/>
              <w:rPr>
                <w:rFonts w:hAnsi="宋体" w:cs="宋体"/>
                <w:color w:val="auto"/>
                <w:u w:val="single"/>
              </w:rPr>
            </w:pPr>
            <w:r>
              <w:rPr>
                <w:rFonts w:hint="eastAsia"/>
                <w:b/>
                <w:bCs/>
                <w:color w:val="auto"/>
                <w:u w:val="single"/>
              </w:rPr>
              <w:t>开户行：中信银行南宁东葛支行</w:t>
            </w:r>
          </w:p>
        </w:tc>
      </w:tr>
      <w:tr w14:paraId="31B2C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11CD6081">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3.1</w:t>
            </w:r>
          </w:p>
        </w:tc>
        <w:tc>
          <w:tcPr>
            <w:tcW w:w="8607" w:type="dxa"/>
            <w:tcBorders>
              <w:top w:val="single" w:color="000000" w:sz="4" w:space="0"/>
              <w:left w:val="single" w:color="000000" w:sz="4" w:space="0"/>
              <w:bottom w:val="single" w:color="000000" w:sz="4" w:space="0"/>
              <w:right w:val="single" w:color="000000" w:sz="4" w:space="0"/>
            </w:tcBorders>
            <w:vAlign w:val="center"/>
          </w:tcPr>
          <w:p w14:paraId="0BB52E60">
            <w:pPr>
              <w:pStyle w:val="31"/>
              <w:spacing w:line="360" w:lineRule="auto"/>
              <w:rPr>
                <w:rFonts w:hAnsi="宋体" w:cs="宋体"/>
                <w:color w:val="auto"/>
                <w:sz w:val="21"/>
              </w:rPr>
            </w:pPr>
            <w:r>
              <w:rPr>
                <w:rFonts w:hint="eastAsia" w:hAnsi="宋体" w:cs="宋体"/>
                <w:color w:val="auto"/>
                <w:sz w:val="21"/>
              </w:rPr>
              <w:t>解释：</w:t>
            </w:r>
            <w:r>
              <w:rPr>
                <w:rFonts w:hAnsi="宋体" w:cs="宋体"/>
                <w:color w:val="auto"/>
                <w:sz w:val="21"/>
              </w:rPr>
              <w:t>构成本</w:t>
            </w:r>
            <w:r>
              <w:rPr>
                <w:rFonts w:hint="eastAsia" w:hAnsi="宋体" w:cs="宋体"/>
                <w:color w:val="auto"/>
                <w:sz w:val="21"/>
              </w:rPr>
              <w:t>谈判文件</w:t>
            </w:r>
            <w:r>
              <w:rPr>
                <w:rFonts w:hAnsi="宋体" w:cs="宋体"/>
                <w:color w:val="auto"/>
                <w:sz w:val="21"/>
              </w:rPr>
              <w:t>的各个组成文件应互为解释，互为说明；除</w:t>
            </w:r>
            <w:r>
              <w:rPr>
                <w:rFonts w:hint="eastAsia" w:hAnsi="宋体" w:cs="宋体"/>
                <w:color w:val="auto"/>
                <w:sz w:val="21"/>
              </w:rPr>
              <w:t>谈判文件</w:t>
            </w:r>
            <w:r>
              <w:rPr>
                <w:rFonts w:hAnsi="宋体" w:cs="宋体"/>
                <w:color w:val="auto"/>
                <w:sz w:val="21"/>
              </w:rPr>
              <w:t>中有特别规定外，仅适用于</w:t>
            </w:r>
            <w:r>
              <w:rPr>
                <w:rFonts w:hint="eastAsia" w:hAnsi="宋体" w:cs="宋体"/>
                <w:color w:val="auto"/>
                <w:sz w:val="21"/>
              </w:rPr>
              <w:t>竞标</w:t>
            </w:r>
            <w:r>
              <w:rPr>
                <w:rFonts w:hAnsi="宋体" w:cs="宋体"/>
                <w:color w:val="auto"/>
                <w:sz w:val="21"/>
              </w:rPr>
              <w:t>阶段的规定，</w:t>
            </w:r>
            <w:r>
              <w:rPr>
                <w:rFonts w:hint="eastAsia" w:hAnsi="宋体" w:cs="宋体"/>
                <w:color w:val="auto"/>
                <w:sz w:val="21"/>
              </w:rPr>
              <w:t>按照更正公告（澄清公告）</w:t>
            </w:r>
            <w:r>
              <w:rPr>
                <w:rFonts w:hAnsi="宋体" w:cs="宋体"/>
                <w:color w:val="auto"/>
                <w:sz w:val="21"/>
              </w:rPr>
              <w:t>、</w:t>
            </w:r>
            <w:r>
              <w:rPr>
                <w:rFonts w:hint="eastAsia" w:hAnsi="宋体" w:cs="宋体"/>
                <w:color w:val="auto"/>
                <w:sz w:val="21"/>
              </w:rPr>
              <w:t>竞争性谈判</w:t>
            </w:r>
            <w:r>
              <w:rPr>
                <w:rFonts w:hAnsi="宋体" w:cs="宋体"/>
                <w:color w:val="auto"/>
                <w:sz w:val="21"/>
              </w:rPr>
              <w:t>公告、</w:t>
            </w:r>
            <w:r>
              <w:rPr>
                <w:rFonts w:hint="eastAsia" w:hAnsi="宋体" w:cs="宋体"/>
                <w:color w:val="auto"/>
                <w:sz w:val="21"/>
              </w:rPr>
              <w:t>供应商</w:t>
            </w:r>
            <w:r>
              <w:rPr>
                <w:rFonts w:hAnsi="宋体" w:cs="宋体"/>
                <w:color w:val="auto"/>
                <w:sz w:val="21"/>
              </w:rPr>
              <w:t>须知</w:t>
            </w:r>
            <w:r>
              <w:rPr>
                <w:rFonts w:hint="eastAsia" w:hAnsi="宋体" w:cs="宋体"/>
                <w:color w:val="auto"/>
                <w:sz w:val="21"/>
              </w:rPr>
              <w:t>、采购需求</w:t>
            </w:r>
            <w:r>
              <w:rPr>
                <w:rFonts w:hAnsi="宋体" w:cs="宋体"/>
                <w:color w:val="auto"/>
                <w:sz w:val="21"/>
              </w:rPr>
              <w:t>、</w:t>
            </w:r>
            <w:r>
              <w:rPr>
                <w:rFonts w:hint="eastAsia" w:hAnsi="宋体" w:cs="宋体"/>
                <w:color w:val="auto"/>
                <w:sz w:val="21"/>
              </w:rPr>
              <w:t>评审程序和评定成交的标准</w:t>
            </w:r>
            <w:r>
              <w:rPr>
                <w:rFonts w:hAnsi="宋体" w:cs="宋体"/>
                <w:color w:val="auto"/>
                <w:sz w:val="21"/>
              </w:rPr>
              <w:t>、</w:t>
            </w:r>
            <w:r>
              <w:rPr>
                <w:rFonts w:hint="eastAsia" w:hAnsi="宋体" w:cs="宋体"/>
                <w:color w:val="auto"/>
                <w:sz w:val="21"/>
              </w:rPr>
              <w:t>响应</w:t>
            </w:r>
            <w:r>
              <w:rPr>
                <w:rFonts w:hAnsi="宋体" w:cs="宋体"/>
                <w:color w:val="auto"/>
                <w:sz w:val="21"/>
              </w:rPr>
              <w:t>文件格式</w:t>
            </w:r>
            <w:r>
              <w:rPr>
                <w:rFonts w:hint="eastAsia" w:hAnsi="宋体" w:cs="宋体"/>
                <w:color w:val="auto"/>
                <w:sz w:val="21"/>
              </w:rPr>
              <w:t>、合同文本</w:t>
            </w:r>
            <w:r>
              <w:rPr>
                <w:rFonts w:hAnsi="宋体" w:cs="宋体"/>
                <w:color w:val="auto"/>
                <w:sz w:val="21"/>
              </w:rPr>
              <w:t>的先后顺序解释；同一组成文件中就同一事项的规定或约定不一致的，以编排顺序在后者为准；同一组成文件不同版本之间有不一致的，以形成时间在后者为准；</w:t>
            </w:r>
            <w:r>
              <w:rPr>
                <w:rFonts w:hint="eastAsia" w:hAnsi="宋体" w:cs="宋体"/>
                <w:color w:val="auto"/>
                <w:sz w:val="21"/>
              </w:rPr>
              <w:t>更正公告（澄清公告）</w:t>
            </w:r>
            <w:r>
              <w:rPr>
                <w:rFonts w:hAnsi="宋体" w:cs="宋体"/>
                <w:color w:val="auto"/>
                <w:sz w:val="21"/>
              </w:rPr>
              <w:t>与同步更新的</w:t>
            </w:r>
            <w:r>
              <w:rPr>
                <w:rFonts w:hint="eastAsia" w:hAnsi="宋体" w:cs="宋体"/>
                <w:color w:val="auto"/>
                <w:sz w:val="21"/>
              </w:rPr>
              <w:t>谈判文件</w:t>
            </w:r>
            <w:r>
              <w:rPr>
                <w:rFonts w:hAnsi="宋体" w:cs="宋体"/>
                <w:color w:val="auto"/>
                <w:sz w:val="21"/>
              </w:rPr>
              <w:t>不一致时以</w:t>
            </w:r>
            <w:r>
              <w:rPr>
                <w:rFonts w:hint="eastAsia" w:hAnsi="宋体" w:cs="宋体"/>
                <w:color w:val="auto"/>
                <w:sz w:val="21"/>
              </w:rPr>
              <w:t>更正公告（澄清公告）</w:t>
            </w:r>
            <w:r>
              <w:rPr>
                <w:rFonts w:hAnsi="宋体" w:cs="宋体"/>
                <w:color w:val="auto"/>
                <w:sz w:val="21"/>
              </w:rPr>
              <w:t>为准。按本款前述规定仍不能形成结论的，由</w:t>
            </w:r>
            <w:r>
              <w:rPr>
                <w:rFonts w:hint="eastAsia" w:hAnsi="宋体" w:cs="宋体"/>
                <w:color w:val="auto"/>
                <w:sz w:val="21"/>
              </w:rPr>
              <w:t>采购</w:t>
            </w:r>
            <w:r>
              <w:rPr>
                <w:rFonts w:hAnsi="宋体" w:cs="宋体"/>
                <w:color w:val="auto"/>
                <w:sz w:val="21"/>
              </w:rPr>
              <w:t>人</w:t>
            </w:r>
            <w:r>
              <w:rPr>
                <w:rFonts w:hint="eastAsia" w:hAnsi="宋体" w:cs="宋体"/>
                <w:color w:val="auto"/>
                <w:sz w:val="21"/>
              </w:rPr>
              <w:t>或者采购代理机构</w:t>
            </w:r>
            <w:r>
              <w:rPr>
                <w:rFonts w:hAnsi="宋体" w:cs="宋体"/>
                <w:color w:val="auto"/>
                <w:sz w:val="21"/>
              </w:rPr>
              <w:t>负责解释。</w:t>
            </w:r>
          </w:p>
        </w:tc>
      </w:tr>
      <w:tr w14:paraId="079CE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1A049B32">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3.2</w:t>
            </w:r>
          </w:p>
        </w:tc>
        <w:tc>
          <w:tcPr>
            <w:tcW w:w="8607" w:type="dxa"/>
            <w:tcBorders>
              <w:top w:val="single" w:color="000000" w:sz="4" w:space="0"/>
              <w:left w:val="single" w:color="000000" w:sz="4" w:space="0"/>
              <w:bottom w:val="single" w:color="000000" w:sz="4" w:space="0"/>
              <w:right w:val="single" w:color="000000" w:sz="4" w:space="0"/>
            </w:tcBorders>
            <w:vAlign w:val="center"/>
          </w:tcPr>
          <w:p w14:paraId="241E85B0">
            <w:pPr>
              <w:pStyle w:val="31"/>
              <w:spacing w:line="360" w:lineRule="auto"/>
              <w:rPr>
                <w:rFonts w:hAnsi="宋体" w:cs="宋体"/>
                <w:color w:val="auto"/>
                <w:sz w:val="21"/>
              </w:rPr>
            </w:pPr>
            <w:r>
              <w:rPr>
                <w:rFonts w:hint="eastAsia" w:hAnsi="宋体" w:cs="宋体"/>
                <w:color w:val="auto"/>
                <w:sz w:val="21"/>
              </w:rPr>
              <w:t>1.本谈判文件中描述供应商的“公章”是指根据我国对公章的管理规定，使用供应商法定主体行为名称制作的印章，除本谈判文件有特殊规定外，供应商的财务章、部门章、分公司章、工会章、合同章、竞标专用章、业务专用章及银行的转账章、现金收讫章、现金付讫章等其他形式印章均不能代替公章。</w:t>
            </w:r>
          </w:p>
          <w:p w14:paraId="0F47F323">
            <w:pPr>
              <w:pStyle w:val="31"/>
              <w:spacing w:line="360" w:lineRule="auto"/>
              <w:rPr>
                <w:rFonts w:hAnsi="宋体" w:cs="宋体"/>
                <w:bCs/>
                <w:color w:val="auto"/>
                <w:sz w:val="21"/>
              </w:rPr>
            </w:pPr>
            <w:r>
              <w:rPr>
                <w:rFonts w:hint="eastAsia" w:hAnsi="宋体" w:cs="宋体"/>
                <w:bCs/>
                <w:color w:val="auto"/>
                <w:sz w:val="21"/>
              </w:rPr>
              <w:t>2.本谈判文件所称的“</w:t>
            </w:r>
            <w:r>
              <w:rPr>
                <w:rFonts w:hint="eastAsia" w:hAnsi="宋体"/>
                <w:color w:val="auto"/>
                <w:sz w:val="21"/>
              </w:rPr>
              <w:t>电子签章”“</w:t>
            </w:r>
            <w:r>
              <w:rPr>
                <w:rFonts w:hint="eastAsia" w:hAnsi="宋体" w:cs="宋体"/>
                <w:bCs/>
                <w:color w:val="auto"/>
                <w:sz w:val="21"/>
              </w:rPr>
              <w:t>电子签名”</w:t>
            </w:r>
            <w:r>
              <w:rPr>
                <w:rFonts w:hint="eastAsia" w:hAnsi="宋体"/>
                <w:color w:val="auto"/>
                <w:sz w:val="21"/>
              </w:rPr>
              <w:t>，是指经广西政府采购云平台认可的CA认证的电子签名数据为表现形式的印章，可用于签署电子响应文件，电子印章与实物印章具有同等法律效力，不因其采用电子化表现形式而否定其法律效力。</w:t>
            </w:r>
          </w:p>
          <w:p w14:paraId="3E9BB1B3">
            <w:pPr>
              <w:pStyle w:val="31"/>
              <w:spacing w:line="360" w:lineRule="auto"/>
              <w:rPr>
                <w:rFonts w:hAnsi="宋体" w:cs="宋体"/>
                <w:bCs/>
                <w:color w:val="auto"/>
                <w:sz w:val="21"/>
              </w:rPr>
            </w:pPr>
            <w:r>
              <w:rPr>
                <w:rFonts w:hint="eastAsia" w:hAnsi="宋体" w:cs="宋体"/>
                <w:color w:val="auto"/>
                <w:sz w:val="21"/>
              </w:rPr>
              <w:t>3.供应商为其他组织或者自然人时，本谈判文件规定的法定代表人指负责人或者自然人。本谈判文件所称负责人是指参加竞标的其他组织</w:t>
            </w:r>
            <w:r>
              <w:rPr>
                <w:rFonts w:hint="eastAsia" w:hAnsi="宋体" w:cs="宋体"/>
                <w:bCs/>
                <w:color w:val="auto"/>
                <w:sz w:val="21"/>
              </w:rPr>
              <w:t>营业执照或者执业许可证等证照上</w:t>
            </w:r>
            <w:r>
              <w:rPr>
                <w:rFonts w:hint="eastAsia" w:hAnsi="宋体" w:cs="宋体"/>
                <w:color w:val="auto"/>
                <w:sz w:val="21"/>
              </w:rPr>
              <w:t>的负责人，本谈判文件所称自然人指参与竞标的自然人本人，</w:t>
            </w:r>
            <w:r>
              <w:rPr>
                <w:rFonts w:hint="eastAsia" w:hAnsi="宋体" w:cs="宋体"/>
                <w:bCs/>
                <w:color w:val="auto"/>
                <w:sz w:val="21"/>
              </w:rPr>
              <w:t>且应具备独立承担民事责任能力，自然人应当为年满18岁以上成年人（十六周岁以上的未成年人，以自己的劳动收入为主要生活来源的，视为完全民事行为能力人）。</w:t>
            </w:r>
          </w:p>
          <w:p w14:paraId="1326BF5A">
            <w:pPr>
              <w:pStyle w:val="31"/>
              <w:spacing w:line="360" w:lineRule="auto"/>
              <w:rPr>
                <w:rFonts w:hAnsi="宋体" w:cs="宋体"/>
                <w:color w:val="auto"/>
                <w:sz w:val="21"/>
              </w:rPr>
            </w:pPr>
            <w:r>
              <w:rPr>
                <w:rFonts w:hint="eastAsia" w:hAnsi="宋体" w:cs="宋体"/>
                <w:color w:val="auto"/>
                <w:sz w:val="21"/>
              </w:rPr>
              <w:t>4.本谈判文件中描述供应商的“签字”是指供应商的法定代表人或者委托代理人亲自在文件规定签署处亲笔写上个人的名字的行为，私章、签字章、印鉴、影印等其他形式均不能代替亲笔签字。</w:t>
            </w:r>
          </w:p>
          <w:p w14:paraId="10FEFF3A">
            <w:pPr>
              <w:pStyle w:val="31"/>
              <w:spacing w:line="360" w:lineRule="auto"/>
              <w:rPr>
                <w:rFonts w:hAnsi="宋体" w:cs="宋体"/>
                <w:color w:val="auto"/>
                <w:sz w:val="21"/>
              </w:rPr>
            </w:pPr>
            <w:r>
              <w:rPr>
                <w:rFonts w:hAnsi="宋体" w:cs="宋体"/>
                <w:color w:val="auto"/>
                <w:sz w:val="21"/>
              </w:rPr>
              <w:t>5.</w:t>
            </w:r>
            <w:r>
              <w:rPr>
                <w:rFonts w:hint="eastAsia" w:hAnsi="宋体" w:cs="宋体"/>
                <w:color w:val="auto"/>
                <w:sz w:val="21"/>
              </w:rPr>
              <w:t>本谈判文件所称的“以上”“以下”“以内”“届满”，包括本数；所称的“不满”“超过”“以外”，不包括本数。</w:t>
            </w:r>
          </w:p>
        </w:tc>
      </w:tr>
      <w:tr w14:paraId="0E17D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6ACF791F">
            <w:pPr>
              <w:spacing w:line="360" w:lineRule="auto"/>
              <w:jc w:val="center"/>
              <w:rPr>
                <w:rFonts w:ascii="宋体" w:hAnsi="宋体" w:cs="宋体"/>
                <w:color w:val="auto"/>
                <w:szCs w:val="21"/>
              </w:rPr>
            </w:pPr>
          </w:p>
        </w:tc>
        <w:tc>
          <w:tcPr>
            <w:tcW w:w="8607" w:type="dxa"/>
            <w:tcBorders>
              <w:top w:val="single" w:color="000000" w:sz="4" w:space="0"/>
              <w:left w:val="single" w:color="000000" w:sz="4" w:space="0"/>
              <w:bottom w:val="single" w:color="000000" w:sz="4" w:space="0"/>
              <w:right w:val="single" w:color="000000" w:sz="4" w:space="0"/>
            </w:tcBorders>
            <w:vAlign w:val="center"/>
          </w:tcPr>
          <w:p w14:paraId="7628AAC2">
            <w:pPr>
              <w:pStyle w:val="31"/>
              <w:spacing w:line="360" w:lineRule="auto"/>
              <w:rPr>
                <w:rFonts w:hAnsi="宋体" w:cs="宋体"/>
                <w:color w:val="auto"/>
                <w:sz w:val="21"/>
              </w:rPr>
            </w:pPr>
            <w:r>
              <w:rPr>
                <w:rFonts w:hint="eastAsia" w:hAnsi="宋体" w:cs="宋体"/>
                <w:b/>
                <w:bCs/>
                <w:color w:val="auto"/>
                <w:sz w:val="24"/>
                <w:szCs w:val="24"/>
              </w:rPr>
              <w:t>根据《崇左市财政局关于进一步做好线上“政采贷”融资业务工作的通知》（崇财采〔2023〕10号），供应商可凭成交通知书、政府采购合同，通过中征应收账款融资服务平台向银行在线申请“政采贷”融资。（具体详见采购文件中关于“政采贷”相关信息）</w:t>
            </w:r>
          </w:p>
        </w:tc>
      </w:tr>
    </w:tbl>
    <w:p w14:paraId="4A734BC4">
      <w:pPr>
        <w:spacing w:line="400" w:lineRule="exact"/>
        <w:jc w:val="center"/>
        <w:rPr>
          <w:rFonts w:ascii="宋体" w:hAnsi="宋体"/>
          <w:b/>
          <w:color w:val="auto"/>
          <w:sz w:val="32"/>
          <w:szCs w:val="32"/>
        </w:rPr>
      </w:pPr>
      <w:r>
        <w:rPr>
          <w:rFonts w:ascii="宋体" w:hAnsi="宋体"/>
          <w:b/>
          <w:color w:val="auto"/>
          <w:sz w:val="32"/>
          <w:szCs w:val="32"/>
        </w:rPr>
        <w:br w:type="page"/>
      </w:r>
      <w:r>
        <w:rPr>
          <w:rFonts w:hint="eastAsia" w:ascii="宋体" w:hAnsi="宋体"/>
          <w:b/>
          <w:color w:val="auto"/>
          <w:sz w:val="32"/>
          <w:szCs w:val="32"/>
        </w:rPr>
        <w:t>供应商须知正文</w:t>
      </w:r>
    </w:p>
    <w:p w14:paraId="3F3999BA">
      <w:pPr>
        <w:spacing w:line="400" w:lineRule="exact"/>
        <w:jc w:val="center"/>
        <w:rPr>
          <w:rFonts w:ascii="宋体" w:hAnsi="宋体"/>
          <w:b/>
          <w:color w:val="auto"/>
          <w:sz w:val="32"/>
          <w:szCs w:val="32"/>
        </w:rPr>
      </w:pPr>
    </w:p>
    <w:p w14:paraId="004D9927">
      <w:pPr>
        <w:spacing w:line="400" w:lineRule="exact"/>
        <w:jc w:val="center"/>
        <w:rPr>
          <w:rFonts w:ascii="宋体" w:hAnsi="宋体"/>
          <w:b/>
          <w:color w:val="auto"/>
          <w:sz w:val="32"/>
          <w:szCs w:val="32"/>
        </w:rPr>
      </w:pPr>
      <w:r>
        <w:rPr>
          <w:rFonts w:hint="eastAsia" w:ascii="宋体" w:hAnsi="宋体"/>
          <w:b/>
          <w:color w:val="auto"/>
          <w:sz w:val="32"/>
          <w:szCs w:val="32"/>
        </w:rPr>
        <w:t>一、总则</w:t>
      </w:r>
    </w:p>
    <w:p w14:paraId="3299124D">
      <w:pPr>
        <w:spacing w:line="400" w:lineRule="exact"/>
        <w:rPr>
          <w:rFonts w:ascii="宋体" w:hAnsi="宋体"/>
          <w:color w:val="auto"/>
          <w:szCs w:val="21"/>
        </w:rPr>
      </w:pPr>
    </w:p>
    <w:p w14:paraId="5B2B4124">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 适用范围</w:t>
      </w:r>
    </w:p>
    <w:p w14:paraId="67DCB22C">
      <w:pPr>
        <w:spacing w:line="360" w:lineRule="auto"/>
        <w:ind w:firstLine="420" w:firstLineChars="200"/>
        <w:rPr>
          <w:rFonts w:ascii="宋体" w:hAnsi="宋体" w:cs="宋体"/>
          <w:color w:val="auto"/>
          <w:szCs w:val="21"/>
        </w:rPr>
      </w:pPr>
      <w:r>
        <w:rPr>
          <w:rFonts w:hint="eastAsia" w:ascii="宋体" w:hAnsi="宋体" w:cs="宋体"/>
          <w:color w:val="auto"/>
          <w:szCs w:val="21"/>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660CBF46">
      <w:pPr>
        <w:spacing w:line="360" w:lineRule="auto"/>
        <w:ind w:firstLine="420" w:firstLineChars="200"/>
        <w:rPr>
          <w:rFonts w:ascii="宋体" w:hAnsi="宋体" w:cs="宋体"/>
          <w:color w:val="auto"/>
          <w:szCs w:val="21"/>
        </w:rPr>
      </w:pPr>
      <w:r>
        <w:rPr>
          <w:rFonts w:hint="eastAsia" w:ascii="宋体" w:hAnsi="宋体" w:cs="宋体"/>
          <w:color w:val="auto"/>
          <w:szCs w:val="21"/>
        </w:rPr>
        <w:t>1.2</w:t>
      </w:r>
      <w:r>
        <w:rPr>
          <w:rFonts w:hint="eastAsia" w:ascii="宋体" w:hAnsi="宋体" w:cs="宋体"/>
          <w:color w:val="auto"/>
          <w:spacing w:val="-6"/>
          <w:szCs w:val="21"/>
        </w:rPr>
        <w:t>本竞争性谈判文件（以下简称谈判文件）适用于本项目的所有采购程序和环节（法律法规另有规定的，从其规定）。</w:t>
      </w:r>
    </w:p>
    <w:p w14:paraId="6072095B">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 定义</w:t>
      </w:r>
    </w:p>
    <w:p w14:paraId="0F097469">
      <w:pPr>
        <w:spacing w:line="360" w:lineRule="auto"/>
        <w:ind w:firstLine="420" w:firstLineChars="200"/>
        <w:rPr>
          <w:rFonts w:ascii="宋体" w:hAnsi="宋体" w:cs="宋体"/>
          <w:color w:val="auto"/>
          <w:szCs w:val="21"/>
        </w:rPr>
      </w:pPr>
      <w:r>
        <w:rPr>
          <w:rFonts w:hint="eastAsia" w:ascii="宋体" w:hAnsi="宋体" w:cs="宋体"/>
          <w:color w:val="auto"/>
          <w:szCs w:val="21"/>
        </w:rPr>
        <w:t>2.1“采购人”是指依法进行采购的国家机关、事业单位、团体组织。</w:t>
      </w:r>
    </w:p>
    <w:p w14:paraId="5089EDAD">
      <w:pPr>
        <w:spacing w:line="360" w:lineRule="auto"/>
        <w:ind w:firstLine="420" w:firstLineChars="200"/>
        <w:rPr>
          <w:rFonts w:ascii="宋体" w:hAnsi="宋体"/>
          <w:b/>
          <w:color w:val="auto"/>
          <w:szCs w:val="21"/>
        </w:rPr>
      </w:pPr>
      <w:r>
        <w:rPr>
          <w:rFonts w:hint="eastAsia" w:ascii="宋体" w:hAnsi="宋体" w:cs="宋体"/>
          <w:color w:val="auto"/>
          <w:szCs w:val="21"/>
        </w:rPr>
        <w:t>2.2“采购代理机构”</w:t>
      </w:r>
      <w:r>
        <w:rPr>
          <w:rFonts w:hint="eastAsia" w:ascii="宋体" w:hAnsi="宋体"/>
          <w:b/>
          <w:color w:val="auto"/>
          <w:szCs w:val="21"/>
        </w:rPr>
        <w:t>是指政府采购集中采购机构和集中采购机构以外的采购代理机构。</w:t>
      </w:r>
    </w:p>
    <w:p w14:paraId="67FA44A8">
      <w:pPr>
        <w:spacing w:line="360" w:lineRule="auto"/>
        <w:ind w:firstLine="420" w:firstLineChars="200"/>
        <w:rPr>
          <w:rFonts w:ascii="宋体" w:hAnsi="宋体" w:cs="宋体"/>
          <w:color w:val="auto"/>
          <w:szCs w:val="21"/>
        </w:rPr>
      </w:pPr>
      <w:r>
        <w:rPr>
          <w:rFonts w:hint="eastAsia" w:ascii="宋体" w:hAnsi="宋体" w:cs="宋体"/>
          <w:color w:val="auto"/>
          <w:szCs w:val="21"/>
        </w:rPr>
        <w:t>2.3“供应商”是指向采购人提供货物、工程或者服务的法人、其他组织或者自然人。</w:t>
      </w:r>
    </w:p>
    <w:p w14:paraId="4870B180">
      <w:pPr>
        <w:spacing w:line="360" w:lineRule="auto"/>
        <w:ind w:firstLine="420" w:firstLineChars="200"/>
        <w:rPr>
          <w:rFonts w:ascii="宋体" w:hAnsi="宋体" w:cs="宋体"/>
          <w:color w:val="auto"/>
          <w:szCs w:val="21"/>
        </w:rPr>
      </w:pPr>
      <w:r>
        <w:rPr>
          <w:rFonts w:hint="eastAsia" w:ascii="宋体" w:hAnsi="宋体" w:cs="宋体"/>
          <w:color w:val="auto"/>
          <w:szCs w:val="21"/>
        </w:rPr>
        <w:t>2.4“服务”是指除货物和工程以外的其他政府采购对象。</w:t>
      </w:r>
    </w:p>
    <w:p w14:paraId="702D8F1E">
      <w:pPr>
        <w:spacing w:line="360" w:lineRule="auto"/>
        <w:ind w:firstLine="420" w:firstLineChars="200"/>
        <w:rPr>
          <w:rFonts w:ascii="宋体" w:hAnsi="宋体" w:cs="宋体"/>
          <w:color w:val="auto"/>
          <w:szCs w:val="21"/>
        </w:rPr>
      </w:pPr>
      <w:r>
        <w:rPr>
          <w:rFonts w:hint="eastAsia" w:ascii="宋体" w:hAnsi="宋体" w:cs="宋体"/>
          <w:color w:val="auto"/>
          <w:szCs w:val="21"/>
        </w:rPr>
        <w:t>2.5“竞标”是指按照本项目竞争性谈判公告规定的方式供应商获取谈判文件、提交响应文件并希望获得标的的行为。</w:t>
      </w:r>
    </w:p>
    <w:p w14:paraId="7485C572">
      <w:pPr>
        <w:spacing w:line="360" w:lineRule="auto"/>
        <w:ind w:firstLine="420" w:firstLineChars="200"/>
        <w:rPr>
          <w:rFonts w:ascii="宋体" w:hAnsi="宋体" w:cs="宋体"/>
          <w:color w:val="auto"/>
          <w:szCs w:val="21"/>
        </w:rPr>
      </w:pPr>
      <w:r>
        <w:rPr>
          <w:rFonts w:hint="eastAsia" w:ascii="宋体" w:hAnsi="宋体" w:cs="宋体"/>
          <w:color w:val="auto"/>
          <w:szCs w:val="21"/>
        </w:rPr>
        <w:t>2.6“售后服务” 是指包含但不限于供应商须承担的备品备件、包装、运输、装卸、保险、货到就位以及安装、调试、培训、保修和其他类似的义务。</w:t>
      </w:r>
    </w:p>
    <w:p w14:paraId="25204096">
      <w:pPr>
        <w:spacing w:line="360" w:lineRule="auto"/>
        <w:ind w:firstLine="420" w:firstLineChars="200"/>
        <w:rPr>
          <w:rFonts w:ascii="宋体" w:hAnsi="宋体" w:cs="宋体"/>
          <w:color w:val="auto"/>
          <w:szCs w:val="21"/>
        </w:rPr>
      </w:pPr>
      <w:r>
        <w:rPr>
          <w:rFonts w:hint="eastAsia" w:ascii="宋体" w:hAnsi="宋体" w:cs="宋体"/>
          <w:color w:val="auto"/>
          <w:szCs w:val="21"/>
        </w:rPr>
        <w:t>2.7“书面形式”是指合同书、信件和数据电文（包括电报、电传、传真、电子数据交换和电子邮件）等可以有形地表现所载内容的形式。</w:t>
      </w:r>
    </w:p>
    <w:p w14:paraId="5E7126F2">
      <w:pPr>
        <w:spacing w:line="360" w:lineRule="auto"/>
        <w:ind w:firstLine="420" w:firstLineChars="200"/>
        <w:rPr>
          <w:rFonts w:ascii="宋体" w:hAnsi="宋体" w:cs="宋体"/>
          <w:color w:val="auto"/>
          <w:szCs w:val="21"/>
        </w:rPr>
      </w:pPr>
      <w:r>
        <w:rPr>
          <w:rFonts w:hint="eastAsia" w:ascii="宋体" w:hAnsi="宋体" w:cs="宋体"/>
          <w:color w:val="auto"/>
          <w:szCs w:val="21"/>
        </w:rPr>
        <w:t>2.8“响应文件”</w:t>
      </w:r>
      <w:r>
        <w:rPr>
          <w:rFonts w:hint="eastAsia" w:ascii="宋体" w:hAnsi="宋体" w:cs="宋体"/>
          <w:color w:val="auto"/>
          <w:spacing w:val="-6"/>
          <w:szCs w:val="21"/>
        </w:rPr>
        <w:t>是指：供应商根据本谈判文件要求，编制包含报价、技术和服务等所有内容的文件。</w:t>
      </w:r>
    </w:p>
    <w:p w14:paraId="044B8DF2">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2.9 “实质性要求”是指采购需求中带“▲”的条款或者不能负偏离的条款或者已经指明不满足响应文件按无效处理的条款。</w:t>
      </w:r>
    </w:p>
    <w:p w14:paraId="02FEABF4">
      <w:pPr>
        <w:spacing w:line="360" w:lineRule="auto"/>
        <w:ind w:firstLine="420" w:firstLineChars="200"/>
        <w:rPr>
          <w:rFonts w:ascii="宋体" w:hAnsi="宋体" w:cs="宋体"/>
          <w:color w:val="auto"/>
          <w:szCs w:val="21"/>
        </w:rPr>
      </w:pPr>
      <w:r>
        <w:rPr>
          <w:rFonts w:hint="eastAsia" w:ascii="宋体" w:hAnsi="宋体" w:cs="宋体"/>
          <w:color w:val="auto"/>
          <w:szCs w:val="21"/>
        </w:rPr>
        <w:t>2.10“正偏离”，是指响应文件对谈判文件“采购需求”中有关条款作出优于条款要求并有利于采购人的响应情形；</w:t>
      </w:r>
    </w:p>
    <w:p w14:paraId="587E5B64">
      <w:pPr>
        <w:spacing w:line="360" w:lineRule="auto"/>
        <w:ind w:firstLine="420" w:firstLineChars="200"/>
        <w:rPr>
          <w:rFonts w:ascii="宋体" w:hAnsi="宋体" w:cs="宋体"/>
          <w:color w:val="auto"/>
          <w:szCs w:val="21"/>
        </w:rPr>
      </w:pPr>
      <w:r>
        <w:rPr>
          <w:rFonts w:hint="eastAsia" w:ascii="宋体" w:hAnsi="宋体" w:cs="宋体"/>
          <w:color w:val="auto"/>
          <w:szCs w:val="21"/>
        </w:rPr>
        <w:t>2.11“负偏离”，是指响应文件对谈判文件“采购需求”中有关条款作出的响应不满足条款要求，导致采购人要求不能得到满足的情形。</w:t>
      </w:r>
    </w:p>
    <w:p w14:paraId="215D6AC4">
      <w:pPr>
        <w:spacing w:line="360" w:lineRule="auto"/>
        <w:ind w:firstLine="420" w:firstLineChars="200"/>
        <w:rPr>
          <w:rFonts w:ascii="宋体" w:hAnsi="宋体" w:cs="宋体"/>
          <w:color w:val="auto"/>
          <w:szCs w:val="21"/>
        </w:rPr>
      </w:pPr>
      <w:r>
        <w:rPr>
          <w:rFonts w:hint="eastAsia" w:ascii="宋体" w:hAnsi="宋体" w:cs="宋体"/>
          <w:color w:val="auto"/>
          <w:szCs w:val="21"/>
        </w:rPr>
        <w:t>2.12“允许负偏离的条款”是指采购需求中的不属于“实质性要求”的条款。</w:t>
      </w:r>
    </w:p>
    <w:p w14:paraId="17A4C563">
      <w:pPr>
        <w:spacing w:line="360" w:lineRule="auto"/>
        <w:ind w:firstLine="420" w:firstLineChars="200"/>
        <w:rPr>
          <w:rFonts w:ascii="宋体" w:hAnsi="宋体" w:cs="宋体"/>
          <w:color w:val="auto"/>
          <w:szCs w:val="21"/>
        </w:rPr>
      </w:pPr>
      <w:r>
        <w:rPr>
          <w:rFonts w:hint="eastAsia" w:ascii="宋体" w:hAnsi="宋体" w:cs="宋体"/>
          <w:color w:val="auto"/>
          <w:szCs w:val="21"/>
        </w:rPr>
        <w:t>2.13“首次报价”是指供应商提交的首次响应文件中的竞标报价。</w:t>
      </w:r>
    </w:p>
    <w:p w14:paraId="1CCD61FB">
      <w:pPr>
        <w:spacing w:line="360" w:lineRule="auto"/>
        <w:ind w:firstLine="482" w:firstLineChars="200"/>
        <w:contextualSpacing/>
        <w:rPr>
          <w:rFonts w:ascii="黑体" w:hAnsi="黑体" w:eastAsia="黑体" w:cs="宋体"/>
          <w:b/>
          <w:bCs/>
          <w:color w:val="auto"/>
          <w:sz w:val="24"/>
        </w:rPr>
      </w:pPr>
      <w:r>
        <w:rPr>
          <w:rFonts w:hint="eastAsia" w:ascii="黑体" w:hAnsi="黑体" w:eastAsia="黑体" w:cs="宋体"/>
          <w:b/>
          <w:bCs/>
          <w:color w:val="auto"/>
          <w:sz w:val="24"/>
        </w:rPr>
        <w:t>3. 供应商的资格条件</w:t>
      </w:r>
    </w:p>
    <w:p w14:paraId="01064812">
      <w:pPr>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供应商的资格条件详见“供应商须知前附表”。</w:t>
      </w:r>
    </w:p>
    <w:p w14:paraId="4D612D01">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4. 竞标费用</w:t>
      </w:r>
    </w:p>
    <w:p w14:paraId="6D07A0AB">
      <w:pPr>
        <w:spacing w:line="360" w:lineRule="auto"/>
        <w:ind w:firstLine="420" w:firstLineChars="200"/>
        <w:rPr>
          <w:rFonts w:ascii="宋体" w:hAnsi="宋体" w:cs="宋体"/>
          <w:color w:val="auto"/>
          <w:szCs w:val="21"/>
        </w:rPr>
      </w:pPr>
      <w:r>
        <w:rPr>
          <w:rFonts w:hint="eastAsia" w:ascii="宋体" w:hAnsi="宋体" w:cs="宋体"/>
          <w:color w:val="auto"/>
          <w:szCs w:val="21"/>
        </w:rPr>
        <w:t>竞标费用：供应商应承担参与本次采购活动有关的所有费用，包括但不限于获取谈判文件、勘查现场、编制和提交响应文件、参加谈判与应答、签订合同等，不论竞标结果如何，均应自行承担。</w:t>
      </w:r>
    </w:p>
    <w:p w14:paraId="7BA10BB1">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5.联合体竞标</w:t>
      </w:r>
    </w:p>
    <w:p w14:paraId="1D7FE193">
      <w:pPr>
        <w:spacing w:line="360" w:lineRule="auto"/>
        <w:ind w:firstLine="420" w:firstLineChars="200"/>
        <w:rPr>
          <w:rFonts w:ascii="宋体" w:hAnsi="宋体" w:cs="宋体"/>
          <w:color w:val="auto"/>
          <w:szCs w:val="21"/>
        </w:rPr>
      </w:pPr>
      <w:r>
        <w:rPr>
          <w:rFonts w:hint="eastAsia" w:ascii="宋体" w:hAnsi="宋体" w:cs="宋体"/>
          <w:color w:val="auto"/>
          <w:szCs w:val="21"/>
        </w:rPr>
        <w:t>5.1本项目是否接受联合体竞标，详见“供应商须知前附表”。</w:t>
      </w:r>
    </w:p>
    <w:p w14:paraId="0FFF7C78">
      <w:pPr>
        <w:spacing w:line="360" w:lineRule="auto"/>
        <w:ind w:firstLine="420" w:firstLineChars="200"/>
        <w:rPr>
          <w:rFonts w:ascii="宋体" w:hAnsi="宋体" w:cs="宋体"/>
          <w:color w:val="auto"/>
          <w:szCs w:val="21"/>
        </w:rPr>
      </w:pPr>
      <w:r>
        <w:rPr>
          <w:rFonts w:hint="eastAsia" w:ascii="宋体" w:hAnsi="宋体" w:cs="宋体"/>
          <w:color w:val="auto"/>
          <w:szCs w:val="21"/>
        </w:rPr>
        <w:t>5.2</w:t>
      </w:r>
      <w:r>
        <w:rPr>
          <w:rFonts w:hint="eastAsia" w:ascii="宋体" w:hAnsi="宋体"/>
          <w:bCs/>
          <w:color w:val="auto"/>
          <w:szCs w:val="21"/>
        </w:rPr>
        <w:t>如接受联合体竞标，</w:t>
      </w:r>
      <w:r>
        <w:rPr>
          <w:rFonts w:hint="eastAsia" w:ascii="宋体" w:hAnsi="宋体" w:cs="宋体"/>
          <w:color w:val="auto"/>
          <w:szCs w:val="21"/>
        </w:rPr>
        <w:t>联合体竞标要求详见“供应商须知前附表”。</w:t>
      </w:r>
    </w:p>
    <w:p w14:paraId="3447EB35">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 xml:space="preserve">6.转包与分包             </w:t>
      </w:r>
    </w:p>
    <w:p w14:paraId="18199878">
      <w:pPr>
        <w:pStyle w:val="13"/>
        <w:keepNext w:val="0"/>
        <w:keepLines w:val="0"/>
        <w:spacing w:before="0" w:after="0" w:line="360" w:lineRule="auto"/>
        <w:ind w:left="420" w:leftChars="200"/>
        <w:rPr>
          <w:rFonts w:ascii="宋体" w:hAnsi="宋体"/>
          <w:b w:val="0"/>
          <w:color w:val="auto"/>
          <w:sz w:val="21"/>
          <w:szCs w:val="21"/>
        </w:rPr>
      </w:pPr>
      <w:bookmarkStart w:id="58" w:name="_Toc254970532"/>
      <w:bookmarkStart w:id="59" w:name="_Toc254970673"/>
      <w:r>
        <w:rPr>
          <w:rFonts w:hint="eastAsia" w:ascii="宋体" w:hAnsi="宋体"/>
          <w:b w:val="0"/>
          <w:color w:val="auto"/>
          <w:sz w:val="21"/>
          <w:szCs w:val="21"/>
        </w:rPr>
        <w:t>6.1本项目不允许转包。</w:t>
      </w:r>
    </w:p>
    <w:p w14:paraId="5AF99F44">
      <w:pPr>
        <w:pStyle w:val="13"/>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的行政许可。</w:t>
      </w:r>
    </w:p>
    <w:p w14:paraId="328EDDBA">
      <w:pPr>
        <w:pStyle w:val="13"/>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6.3供应商根据谈判文件的规定和采购项目的实际情况，拟在成交后将成交项目的非主体、非关键性工作分包的，应当在响应文件中载明分包承担主体，分包承担主体应当具备相应资质条件且不得再次分包。</w:t>
      </w:r>
    </w:p>
    <w:p w14:paraId="0A6FD4E6">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7.特别说明</w:t>
      </w:r>
      <w:bookmarkEnd w:id="58"/>
      <w:bookmarkEnd w:id="59"/>
    </w:p>
    <w:p w14:paraId="53AD6685">
      <w:pPr>
        <w:spacing w:line="360" w:lineRule="auto"/>
        <w:ind w:firstLine="420" w:firstLineChars="200"/>
        <w:rPr>
          <w:rFonts w:ascii="宋体" w:hAnsi="宋体" w:cs="宋体"/>
          <w:color w:val="auto"/>
          <w:szCs w:val="21"/>
        </w:rPr>
      </w:pPr>
      <w:bookmarkStart w:id="60" w:name="_8.1提供相同品牌产品且通过资格审查、符合性审查的不同投标人参加同一合"/>
      <w:bookmarkEnd w:id="60"/>
      <w:r>
        <w:rPr>
          <w:rFonts w:hint="eastAsia" w:ascii="宋体" w:hAnsi="宋体" w:cs="宋体"/>
          <w:color w:val="auto"/>
          <w:szCs w:val="21"/>
        </w:rPr>
        <w:fldChar w:fldCharType="begin"/>
      </w:r>
      <w:r>
        <w:rPr>
          <w:rFonts w:hint="eastAsia" w:ascii="宋体" w:hAnsi="宋体" w:cs="宋体"/>
          <w:color w:val="auto"/>
          <w:szCs w:val="21"/>
        </w:rPr>
        <w:instrText xml:space="preserve"> HYPERLINK  \l "_8.1" </w:instrText>
      </w:r>
      <w:r>
        <w:rPr>
          <w:rFonts w:hint="eastAsia" w:ascii="宋体" w:hAnsi="宋体" w:cs="宋体"/>
          <w:color w:val="auto"/>
          <w:szCs w:val="21"/>
        </w:rPr>
        <w:fldChar w:fldCharType="separate"/>
      </w:r>
      <w:r>
        <w:rPr>
          <w:rFonts w:hint="eastAsia" w:ascii="宋体" w:hAnsi="宋体" w:cs="宋体"/>
          <w:color w:val="auto"/>
          <w:szCs w:val="21"/>
        </w:rPr>
        <w:t>7.1</w:t>
      </w:r>
      <w:r>
        <w:rPr>
          <w:rFonts w:hint="eastAsia" w:ascii="宋体" w:hAnsi="宋体" w:cs="宋体"/>
          <w:color w:val="auto"/>
          <w:szCs w:val="21"/>
        </w:rPr>
        <w:fldChar w:fldCharType="end"/>
      </w:r>
      <w:r>
        <w:rPr>
          <w:rFonts w:hint="eastAsia" w:ascii="宋体" w:hAnsi="宋体" w:cs="宋体"/>
          <w:color w:val="auto"/>
          <w:szCs w:val="21"/>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供应商推荐资格，</w:t>
      </w:r>
      <w:r>
        <w:rPr>
          <w:rFonts w:hint="eastAsia" w:ascii="宋体" w:hAnsi="宋体" w:cs="宋体"/>
          <w:b/>
          <w:bCs/>
          <w:color w:val="auto"/>
          <w:szCs w:val="21"/>
        </w:rPr>
        <w:t>其他响应文件按无效处理。</w:t>
      </w:r>
    </w:p>
    <w:p w14:paraId="70935638">
      <w:pPr>
        <w:spacing w:line="360" w:lineRule="auto"/>
        <w:ind w:firstLine="420" w:firstLineChars="200"/>
        <w:rPr>
          <w:rFonts w:ascii="宋体" w:hAnsi="宋体" w:cs="宋体"/>
          <w:color w:val="auto"/>
          <w:szCs w:val="21"/>
        </w:rPr>
      </w:pPr>
      <w:r>
        <w:rPr>
          <w:rFonts w:hint="eastAsia" w:ascii="宋体" w:hAnsi="宋体" w:cs="宋体"/>
          <w:color w:val="auto"/>
          <w:szCs w:val="21"/>
        </w:rPr>
        <w:t>非单一产品采购项目，多家供应商提供的核心产品品牌相同的，按前款规定处理。</w:t>
      </w:r>
    </w:p>
    <w:p w14:paraId="63255F30">
      <w:pPr>
        <w:spacing w:line="360" w:lineRule="auto"/>
        <w:ind w:firstLine="420" w:firstLineChars="200"/>
        <w:rPr>
          <w:rFonts w:ascii="宋体" w:hAnsi="宋体" w:cs="宋体"/>
          <w:color w:val="auto"/>
          <w:szCs w:val="21"/>
        </w:rPr>
      </w:pPr>
      <w:r>
        <w:rPr>
          <w:rFonts w:hint="eastAsia" w:ascii="宋体" w:hAnsi="宋体" w:cs="宋体"/>
          <w:color w:val="auto"/>
          <w:szCs w:val="21"/>
        </w:rPr>
        <w:t>7.2</w:t>
      </w:r>
      <w:r>
        <w:rPr>
          <w:rFonts w:hint="eastAsia" w:ascii="宋体" w:hAnsi="宋体"/>
          <w:color w:val="auto"/>
          <w:szCs w:val="21"/>
        </w:rPr>
        <w:t xml:space="preserve">如果本谈判文件要求提供供应商或制造商的资格、信誉、荣誉、业绩与企业认证等材料的，资格、信誉、荣誉、业绩与企业认证等必须为供应商或者制造商所拥有或自身获得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rPr>
        <w:t>。</w:t>
      </w:r>
    </w:p>
    <w:p w14:paraId="18762EE1">
      <w:pPr>
        <w:spacing w:line="360" w:lineRule="auto"/>
        <w:ind w:firstLine="420" w:firstLineChars="200"/>
        <w:rPr>
          <w:rFonts w:ascii="宋体" w:hAnsi="宋体" w:cs="宋体"/>
          <w:color w:val="auto"/>
          <w:szCs w:val="21"/>
        </w:rPr>
      </w:pPr>
      <w:r>
        <w:rPr>
          <w:rFonts w:hint="eastAsia" w:ascii="宋体" w:hAnsi="宋体" w:cs="宋体"/>
          <w:color w:val="auto"/>
          <w:szCs w:val="21"/>
        </w:rPr>
        <w:t>7.3供应商应仔细阅读谈判文件的所有内容，按照谈判文件的要求提交响应文件，并对所提供的全部资料的真实性承担法律责任。</w:t>
      </w:r>
    </w:p>
    <w:p w14:paraId="69D5FB3A">
      <w:pPr>
        <w:spacing w:line="360" w:lineRule="auto"/>
        <w:ind w:firstLine="420" w:firstLineChars="200"/>
        <w:rPr>
          <w:rFonts w:ascii="宋体" w:hAnsi="宋体" w:cs="宋体"/>
          <w:color w:val="auto"/>
          <w:szCs w:val="21"/>
        </w:rPr>
      </w:pPr>
      <w:r>
        <w:rPr>
          <w:rFonts w:hint="eastAsia" w:ascii="宋体" w:hAnsi="宋体" w:cs="宋体"/>
          <w:color w:val="auto"/>
          <w:szCs w:val="21"/>
        </w:rPr>
        <w:t>7.4</w:t>
      </w:r>
      <w:r>
        <w:rPr>
          <w:rFonts w:hint="eastAsia" w:ascii="宋体" w:hAnsi="宋体" w:cs="宋体"/>
          <w:b/>
          <w:bCs/>
          <w:color w:val="auto"/>
          <w:szCs w:val="21"/>
        </w:rPr>
        <w:t>供应商在竞标活动中提供任何虚假材料，其响应文件按无效处理，</w:t>
      </w:r>
      <w:r>
        <w:rPr>
          <w:rFonts w:hint="eastAsia" w:ascii="宋体" w:hAnsi="宋体" w:cs="宋体"/>
          <w:color w:val="auto"/>
          <w:szCs w:val="21"/>
        </w:rPr>
        <w:t>并报监管部门查处；签订合同后发现的，成交供应商须依照《中华人民共和国消费者权益保护法》的规定赔偿采购人，且民事赔偿并不免除违法供应商的行政与刑事责任。</w:t>
      </w:r>
    </w:p>
    <w:p w14:paraId="1065D7B6">
      <w:pPr>
        <w:spacing w:line="360" w:lineRule="auto"/>
        <w:ind w:firstLine="420" w:firstLineChars="200"/>
        <w:rPr>
          <w:rFonts w:ascii="宋体" w:hAnsi="宋体" w:cs="宋体"/>
          <w:color w:val="auto"/>
          <w:szCs w:val="21"/>
        </w:rPr>
      </w:pPr>
      <w:r>
        <w:rPr>
          <w:rFonts w:hint="eastAsia" w:ascii="宋体" w:hAnsi="宋体" w:cs="宋体"/>
          <w:color w:val="auto"/>
          <w:szCs w:val="21"/>
        </w:rPr>
        <w:t>7.5在政府采购活动中，采购人员及相关人员与供应商有下列利害关系之一的，应当回避：</w:t>
      </w:r>
    </w:p>
    <w:p w14:paraId="41BCFA61">
      <w:pPr>
        <w:spacing w:line="360" w:lineRule="auto"/>
        <w:ind w:firstLine="420" w:firstLineChars="200"/>
        <w:rPr>
          <w:rFonts w:ascii="宋体" w:hAnsi="宋体" w:cs="宋体"/>
          <w:color w:val="auto"/>
          <w:szCs w:val="21"/>
        </w:rPr>
      </w:pPr>
      <w:r>
        <w:rPr>
          <w:rFonts w:hint="eastAsia" w:ascii="宋体" w:hAnsi="宋体" w:cs="宋体"/>
          <w:color w:val="auto"/>
          <w:szCs w:val="21"/>
        </w:rPr>
        <w:t>（1）参加采购活动前3年内与供应商存在劳动关系；</w:t>
      </w:r>
    </w:p>
    <w:p w14:paraId="3ED4C4A7">
      <w:pPr>
        <w:spacing w:line="360" w:lineRule="auto"/>
        <w:ind w:firstLine="420" w:firstLineChars="200"/>
        <w:rPr>
          <w:rFonts w:ascii="宋体" w:hAnsi="宋体" w:cs="宋体"/>
          <w:color w:val="auto"/>
          <w:szCs w:val="21"/>
        </w:rPr>
      </w:pPr>
      <w:r>
        <w:rPr>
          <w:rFonts w:hint="eastAsia" w:ascii="宋体" w:hAnsi="宋体" w:cs="宋体"/>
          <w:color w:val="auto"/>
          <w:szCs w:val="21"/>
        </w:rPr>
        <w:t>（2）参加采购活动前3年内担任供应商的董事、监事；</w:t>
      </w:r>
    </w:p>
    <w:p w14:paraId="288DCD76">
      <w:pPr>
        <w:spacing w:line="360" w:lineRule="auto"/>
        <w:ind w:firstLine="420" w:firstLineChars="200"/>
        <w:rPr>
          <w:rFonts w:ascii="宋体" w:hAnsi="宋体" w:cs="宋体"/>
          <w:color w:val="auto"/>
          <w:szCs w:val="21"/>
        </w:rPr>
      </w:pPr>
      <w:r>
        <w:rPr>
          <w:rFonts w:hint="eastAsia" w:ascii="宋体" w:hAnsi="宋体" w:cs="宋体"/>
          <w:color w:val="auto"/>
          <w:szCs w:val="21"/>
        </w:rPr>
        <w:t>（3）参加采购活动前3年内是供应商的控股股东或者实际控制人；</w:t>
      </w:r>
    </w:p>
    <w:p w14:paraId="74FB0847">
      <w:pPr>
        <w:spacing w:line="360" w:lineRule="auto"/>
        <w:ind w:firstLine="420" w:firstLineChars="200"/>
        <w:rPr>
          <w:rFonts w:ascii="宋体" w:hAnsi="宋体" w:cs="宋体"/>
          <w:color w:val="auto"/>
          <w:szCs w:val="21"/>
        </w:rPr>
      </w:pPr>
      <w:r>
        <w:rPr>
          <w:rFonts w:hint="eastAsia" w:ascii="宋体" w:hAnsi="宋体" w:cs="宋体"/>
          <w:color w:val="auto"/>
          <w:szCs w:val="21"/>
        </w:rPr>
        <w:t>（4）与供应商的法定代表人或者负责人有夫妻、直系血亲、三代以内旁系血亲或者近姻亲关系；</w:t>
      </w:r>
    </w:p>
    <w:p w14:paraId="3F1C5F48">
      <w:pPr>
        <w:spacing w:line="360" w:lineRule="auto"/>
        <w:ind w:firstLine="420" w:firstLineChars="200"/>
        <w:rPr>
          <w:rFonts w:ascii="宋体" w:hAnsi="宋体" w:cs="宋体"/>
          <w:color w:val="auto"/>
          <w:szCs w:val="21"/>
        </w:rPr>
      </w:pPr>
      <w:r>
        <w:rPr>
          <w:rFonts w:hint="eastAsia" w:ascii="宋体" w:hAnsi="宋体" w:cs="宋体"/>
          <w:color w:val="auto"/>
          <w:szCs w:val="21"/>
        </w:rPr>
        <w:t>（5）与供应商有其他可能影响政府采购活动公平、公正进行的关系。</w:t>
      </w:r>
    </w:p>
    <w:p w14:paraId="655F408A">
      <w:pPr>
        <w:spacing w:line="360" w:lineRule="auto"/>
        <w:ind w:firstLine="420" w:firstLineChars="200"/>
        <w:rPr>
          <w:rFonts w:ascii="宋体" w:hAnsi="宋体" w:cs="宋体"/>
          <w:color w:val="auto"/>
          <w:szCs w:val="21"/>
        </w:rPr>
      </w:pPr>
      <w:r>
        <w:rPr>
          <w:rFonts w:hint="eastAsia" w:ascii="宋体" w:hAnsi="宋体" w:cs="宋体"/>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0C2EB0E">
      <w:pPr>
        <w:spacing w:line="360" w:lineRule="auto"/>
        <w:ind w:firstLine="420" w:firstLineChars="200"/>
        <w:rPr>
          <w:rFonts w:ascii="宋体" w:hAnsi="宋体" w:cs="宋体"/>
          <w:color w:val="auto"/>
          <w:szCs w:val="21"/>
        </w:rPr>
      </w:pPr>
      <w:r>
        <w:rPr>
          <w:rFonts w:hint="eastAsia" w:ascii="宋体" w:hAnsi="宋体" w:cs="宋体"/>
          <w:color w:val="auto"/>
          <w:szCs w:val="21"/>
        </w:rPr>
        <w:t>7.6有下列情形之一的视为供应商相互串通竞标，</w:t>
      </w:r>
      <w:r>
        <w:rPr>
          <w:rFonts w:hint="eastAsia" w:ascii="宋体" w:hAnsi="宋体" w:cs="宋体"/>
          <w:b/>
          <w:bCs/>
          <w:color w:val="auto"/>
          <w:szCs w:val="21"/>
        </w:rPr>
        <w:t>响应文件将被视为无效：</w:t>
      </w:r>
    </w:p>
    <w:p w14:paraId="77A19C74">
      <w:pPr>
        <w:spacing w:line="360" w:lineRule="auto"/>
        <w:ind w:firstLine="420" w:firstLineChars="200"/>
        <w:rPr>
          <w:rFonts w:ascii="宋体" w:hAnsi="宋体" w:cs="宋体"/>
          <w:color w:val="auto"/>
          <w:szCs w:val="21"/>
        </w:rPr>
      </w:pPr>
      <w:r>
        <w:rPr>
          <w:rFonts w:hint="eastAsia" w:ascii="宋体" w:hAnsi="宋体" w:cs="宋体"/>
          <w:color w:val="auto"/>
          <w:szCs w:val="21"/>
        </w:rPr>
        <w:t>（1）不同供应商的响应文件由同一单位或者个人编制；</w:t>
      </w:r>
    </w:p>
    <w:p w14:paraId="6E427BD7">
      <w:pPr>
        <w:spacing w:line="360" w:lineRule="auto"/>
        <w:ind w:firstLine="420" w:firstLineChars="200"/>
        <w:rPr>
          <w:rFonts w:ascii="宋体" w:hAnsi="宋体" w:cs="宋体"/>
          <w:color w:val="auto"/>
          <w:szCs w:val="21"/>
        </w:rPr>
      </w:pPr>
      <w:r>
        <w:rPr>
          <w:rFonts w:hint="eastAsia" w:ascii="宋体" w:hAnsi="宋体" w:cs="宋体"/>
          <w:color w:val="auto"/>
          <w:szCs w:val="21"/>
        </w:rPr>
        <w:t>（2）不同供应商委托同一单位或者个人办理竞标事宜；</w:t>
      </w:r>
    </w:p>
    <w:p w14:paraId="39C2E460">
      <w:pPr>
        <w:spacing w:line="360" w:lineRule="auto"/>
        <w:ind w:firstLine="420" w:firstLineChars="200"/>
        <w:rPr>
          <w:rFonts w:ascii="宋体" w:hAnsi="宋体" w:cs="宋体"/>
          <w:color w:val="auto"/>
          <w:szCs w:val="21"/>
        </w:rPr>
      </w:pPr>
      <w:r>
        <w:rPr>
          <w:rFonts w:hint="eastAsia" w:ascii="宋体" w:hAnsi="宋体" w:cs="宋体"/>
          <w:color w:val="auto"/>
          <w:szCs w:val="21"/>
        </w:rPr>
        <w:t>（3）不同的供应商的响应文件载明的项目管理员为同一个人；</w:t>
      </w:r>
    </w:p>
    <w:p w14:paraId="2225DE28">
      <w:pPr>
        <w:spacing w:line="360" w:lineRule="auto"/>
        <w:ind w:firstLine="420" w:firstLineChars="200"/>
        <w:rPr>
          <w:rFonts w:ascii="宋体" w:hAnsi="宋体" w:cs="宋体"/>
          <w:color w:val="auto"/>
          <w:szCs w:val="21"/>
        </w:rPr>
      </w:pPr>
      <w:r>
        <w:rPr>
          <w:rFonts w:hint="eastAsia" w:ascii="宋体" w:hAnsi="宋体" w:cs="宋体"/>
          <w:color w:val="auto"/>
          <w:szCs w:val="21"/>
        </w:rPr>
        <w:t>（4）不同供应商的响应文件异常一致或者报价呈规律性差异；</w:t>
      </w:r>
    </w:p>
    <w:p w14:paraId="6DBD21C2">
      <w:pPr>
        <w:spacing w:line="360" w:lineRule="auto"/>
        <w:ind w:firstLine="420" w:firstLineChars="200"/>
        <w:rPr>
          <w:rFonts w:ascii="宋体" w:hAnsi="宋体" w:cs="宋体"/>
          <w:color w:val="auto"/>
          <w:szCs w:val="21"/>
        </w:rPr>
      </w:pPr>
      <w:r>
        <w:rPr>
          <w:rFonts w:hint="eastAsia" w:ascii="宋体" w:hAnsi="宋体" w:cs="宋体"/>
          <w:color w:val="auto"/>
          <w:szCs w:val="21"/>
        </w:rPr>
        <w:t>（5）不同供应商的响应文件相互混装；</w:t>
      </w:r>
    </w:p>
    <w:p w14:paraId="02113136">
      <w:pPr>
        <w:spacing w:line="360" w:lineRule="auto"/>
        <w:ind w:firstLine="420" w:firstLineChars="200"/>
        <w:rPr>
          <w:rFonts w:ascii="宋体" w:hAnsi="宋体" w:cs="宋体"/>
          <w:color w:val="auto"/>
          <w:szCs w:val="21"/>
        </w:rPr>
      </w:pPr>
      <w:r>
        <w:rPr>
          <w:rFonts w:hint="eastAsia" w:ascii="宋体" w:hAnsi="宋体" w:cs="宋体"/>
          <w:color w:val="auto"/>
          <w:szCs w:val="21"/>
        </w:rPr>
        <w:t>（6）不同供应商的竞标保证金从同一单位或者个人账户转出。</w:t>
      </w:r>
    </w:p>
    <w:p w14:paraId="1743E6F5">
      <w:pPr>
        <w:spacing w:line="360" w:lineRule="auto"/>
        <w:ind w:firstLine="420" w:firstLineChars="200"/>
        <w:rPr>
          <w:rFonts w:ascii="宋体" w:hAnsi="宋体" w:cs="宋体"/>
          <w:color w:val="auto"/>
          <w:szCs w:val="21"/>
        </w:rPr>
      </w:pPr>
      <w:r>
        <w:rPr>
          <w:rFonts w:hint="eastAsia" w:ascii="宋体" w:hAnsi="宋体" w:cs="宋体"/>
          <w:color w:val="auto"/>
          <w:szCs w:val="21"/>
        </w:rPr>
        <w:t>7.7供应商有下列情形之一的，属于恶意串通行为，将报同级监督管理部门：</w:t>
      </w:r>
    </w:p>
    <w:p w14:paraId="0F373ACE">
      <w:pPr>
        <w:spacing w:line="360" w:lineRule="auto"/>
        <w:ind w:firstLine="420" w:firstLineChars="200"/>
        <w:rPr>
          <w:rFonts w:ascii="宋体" w:hAnsi="宋体" w:cs="宋体"/>
          <w:color w:val="auto"/>
          <w:szCs w:val="21"/>
        </w:rPr>
      </w:pPr>
      <w:r>
        <w:rPr>
          <w:rFonts w:hint="eastAsia" w:ascii="宋体" w:hAnsi="宋体" w:cs="宋体"/>
          <w:color w:val="auto"/>
          <w:szCs w:val="21"/>
        </w:rPr>
        <w:t>（1）供应商直接或者间接从采购人或者采购代理机构处获得其他供应商的相关信息并修改其响应文件；</w:t>
      </w:r>
    </w:p>
    <w:p w14:paraId="7649A69B">
      <w:pPr>
        <w:spacing w:line="360" w:lineRule="auto"/>
        <w:ind w:firstLine="420" w:firstLineChars="200"/>
        <w:rPr>
          <w:rFonts w:ascii="宋体" w:hAnsi="宋体" w:cs="宋体"/>
          <w:color w:val="auto"/>
          <w:szCs w:val="21"/>
        </w:rPr>
      </w:pPr>
      <w:r>
        <w:rPr>
          <w:rFonts w:hint="eastAsia" w:ascii="宋体" w:hAnsi="宋体" w:cs="宋体"/>
          <w:color w:val="auto"/>
          <w:szCs w:val="21"/>
        </w:rPr>
        <w:t>（2）供应商按照采购人或者采购代理机构的授意撤换、修改响应文件；</w:t>
      </w:r>
    </w:p>
    <w:p w14:paraId="5F529D93">
      <w:pPr>
        <w:spacing w:line="360" w:lineRule="auto"/>
        <w:ind w:firstLine="420" w:firstLineChars="200"/>
        <w:rPr>
          <w:rFonts w:ascii="宋体" w:hAnsi="宋体" w:cs="宋体"/>
          <w:color w:val="auto"/>
          <w:szCs w:val="21"/>
        </w:rPr>
      </w:pPr>
      <w:r>
        <w:rPr>
          <w:rFonts w:hint="eastAsia" w:ascii="宋体" w:hAnsi="宋体" w:cs="宋体"/>
          <w:color w:val="auto"/>
          <w:szCs w:val="21"/>
        </w:rPr>
        <w:t>（3）供应商之间协商报价、技术方案等响应文件或者响应文件的实质性内容；</w:t>
      </w:r>
    </w:p>
    <w:p w14:paraId="337FF0B7">
      <w:pPr>
        <w:spacing w:line="360" w:lineRule="auto"/>
        <w:ind w:firstLine="420" w:firstLineChars="200"/>
        <w:rPr>
          <w:rFonts w:ascii="宋体" w:hAnsi="宋体" w:cs="宋体"/>
          <w:color w:val="auto"/>
          <w:szCs w:val="21"/>
        </w:rPr>
      </w:pPr>
      <w:r>
        <w:rPr>
          <w:rFonts w:hint="eastAsia" w:ascii="宋体" w:hAnsi="宋体" w:cs="宋体"/>
          <w:color w:val="auto"/>
          <w:szCs w:val="21"/>
        </w:rPr>
        <w:t>（4）属于同一集团、协会、商会等组织成员的供应商按照该组织要求协同参加政府采购活动；</w:t>
      </w:r>
    </w:p>
    <w:p w14:paraId="14FAA0E4">
      <w:pPr>
        <w:spacing w:line="360" w:lineRule="auto"/>
        <w:ind w:firstLine="420" w:firstLineChars="200"/>
        <w:rPr>
          <w:rFonts w:ascii="宋体" w:hAnsi="宋体" w:cs="宋体"/>
          <w:color w:val="auto"/>
          <w:szCs w:val="21"/>
        </w:rPr>
      </w:pPr>
      <w:r>
        <w:rPr>
          <w:rFonts w:hint="eastAsia" w:ascii="宋体" w:hAnsi="宋体" w:cs="宋体"/>
          <w:color w:val="auto"/>
          <w:szCs w:val="21"/>
        </w:rPr>
        <w:t>（5）供应商之间事先约定一致抬高或者压低报价，或者在政府采购活动中事先约定轮流以高价位或者低价位成交，或者事先约定由某一特定供应商成交，然后再参加竞标；</w:t>
      </w:r>
    </w:p>
    <w:p w14:paraId="37A180B1">
      <w:pPr>
        <w:spacing w:line="360" w:lineRule="auto"/>
        <w:ind w:firstLine="420" w:firstLineChars="200"/>
        <w:rPr>
          <w:rFonts w:ascii="宋体" w:hAnsi="宋体" w:cs="宋体"/>
          <w:color w:val="auto"/>
          <w:szCs w:val="21"/>
        </w:rPr>
      </w:pPr>
      <w:r>
        <w:rPr>
          <w:rFonts w:hint="eastAsia" w:ascii="宋体" w:hAnsi="宋体" w:cs="宋体"/>
          <w:color w:val="auto"/>
          <w:szCs w:val="21"/>
        </w:rPr>
        <w:t>（6）供应商之间商定部分供应商放弃参加政府采购活动或者放弃成交；</w:t>
      </w:r>
    </w:p>
    <w:p w14:paraId="0F54735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（7）供应商与采购人或者采购代理机构之间、供应商相互之间，为谋求特定供应商成交或者排斥其他供应商的其他串通行为。</w:t>
      </w:r>
    </w:p>
    <w:p w14:paraId="106A3B9E">
      <w:pPr>
        <w:pStyle w:val="2"/>
        <w:spacing w:line="360" w:lineRule="auto"/>
        <w:rPr>
          <w:rFonts w:ascii="宋体" w:hAnsi="宋体"/>
          <w:color w:val="auto"/>
        </w:rPr>
      </w:pPr>
      <w:r>
        <w:rPr>
          <w:rFonts w:ascii="宋体" w:hAnsi="宋体"/>
          <w:color w:val="auto"/>
        </w:rPr>
        <w:t>7.8</w:t>
      </w:r>
      <w:r>
        <w:rPr>
          <w:rFonts w:hint="eastAsia" w:ascii="宋体" w:hAnsi="宋体"/>
          <w:color w:val="auto"/>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5CDB55E">
      <w:pPr>
        <w:pStyle w:val="2"/>
        <w:spacing w:line="360" w:lineRule="auto"/>
        <w:rPr>
          <w:rFonts w:ascii="宋体" w:hAnsi="宋体"/>
          <w:color w:val="auto"/>
        </w:rPr>
      </w:pPr>
      <w:r>
        <w:rPr>
          <w:rFonts w:hint="eastAsia" w:ascii="宋体" w:hAnsi="宋体"/>
          <w:color w:val="auto"/>
        </w:rPr>
        <w:t>产品在中国境内生产的组件成本占比应当达到规定比例，计算公式为：</w:t>
      </w:r>
    </w:p>
    <w:p w14:paraId="62C96A41">
      <w:pPr>
        <w:widowControl/>
        <w:shd w:val="clear" w:color="auto" w:fill="FFFFFF"/>
        <w:spacing w:before="30" w:after="30" w:line="360" w:lineRule="auto"/>
        <w:jc w:val="center"/>
        <w:rPr>
          <w:rFonts w:hint="eastAsia" w:ascii="宋体" w:hAnsi="宋体" w:cs="宋体"/>
          <w:color w:val="auto"/>
          <w:kern w:val="0"/>
          <w:sz w:val="24"/>
        </w:rPr>
      </w:pPr>
      <w:r>
        <w:rPr>
          <w:rFonts w:ascii="宋体" w:hAnsi="宋体" w:cs="宋体"/>
          <w:color w:val="auto"/>
          <w:kern w:val="0"/>
          <w:sz w:val="24"/>
        </w:rPr>
        <w:fldChar w:fldCharType="begin"/>
      </w:r>
      <w:r>
        <w:rPr>
          <w:rFonts w:ascii="宋体" w:hAnsi="宋体" w:cs="宋体"/>
          <w:color w:val="auto"/>
          <w:kern w:val="0"/>
          <w:sz w:val="24"/>
        </w:rPr>
        <w:instrText xml:space="preserve"> INCLUDEPICTURE "https://www.gov.cn/zhengce/content/202509/W020250930645245947614.png" \* MERGEFORMATINET </w:instrText>
      </w:r>
      <w:r>
        <w:rPr>
          <w:rFonts w:ascii="宋体" w:hAnsi="宋体" w:cs="宋体"/>
          <w:color w:val="auto"/>
          <w:kern w:val="0"/>
          <w:sz w:val="24"/>
        </w:rPr>
        <w:fldChar w:fldCharType="separate"/>
      </w:r>
      <w:r>
        <w:rPr>
          <w:rFonts w:ascii="宋体" w:hAnsi="宋体" w:cs="宋体"/>
          <w:color w:val="auto"/>
          <w:kern w:val="0"/>
          <w:sz w:val="24"/>
        </w:rPr>
        <w:pict>
          <v:shape id="_x0000_i1025" o:spt="75" type="#_x0000_t75" style="height:60.05pt;width:380.15pt;" filled="f" stroked="f" coordsize="21600,21600">
            <v:path/>
            <v:fill on="f" focussize="0,0"/>
            <v:stroke on="f"/>
            <v:imagedata r:id="rId7" r:href="rId8" o:title=""/>
            <o:lock v:ext="edit" aspectratio="t"/>
            <w10:wrap type="none"/>
            <w10:anchorlock/>
          </v:shape>
        </w:pict>
      </w:r>
      <w:r>
        <w:rPr>
          <w:rFonts w:ascii="宋体" w:hAnsi="宋体" w:cs="宋体"/>
          <w:color w:val="auto"/>
          <w:kern w:val="0"/>
          <w:sz w:val="24"/>
        </w:rPr>
        <w:fldChar w:fldCharType="end"/>
      </w:r>
    </w:p>
    <w:p w14:paraId="3144CC06">
      <w:pPr>
        <w:pStyle w:val="2"/>
        <w:spacing w:line="360" w:lineRule="auto"/>
        <w:rPr>
          <w:rFonts w:hint="eastAsia" w:ascii="宋体" w:hAnsi="宋体"/>
          <w:color w:val="auto"/>
        </w:rPr>
      </w:pPr>
      <w:r>
        <w:rPr>
          <w:rFonts w:hint="eastAsia" w:ascii="宋体" w:hAnsi="宋体"/>
          <w:color w:val="auto"/>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5E9289A9">
      <w:pPr>
        <w:pStyle w:val="2"/>
        <w:spacing w:line="360" w:lineRule="auto"/>
        <w:rPr>
          <w:rFonts w:ascii="宋体" w:hAnsi="宋体"/>
          <w:color w:val="auto"/>
        </w:rPr>
      </w:pPr>
      <w:r>
        <w:rPr>
          <w:rFonts w:hint="eastAsia" w:ascii="宋体" w:hAnsi="宋体"/>
          <w:color w:val="auto"/>
        </w:rPr>
        <w:t>政府采购活动中既有本国产品又有非本国产品参与竞争的，依法对本国产品给予价格评审优惠，对本国产品的报价给予20%的价格扣除，用扣除后的价格参与评审。</w:t>
      </w:r>
    </w:p>
    <w:p w14:paraId="5B6B619E">
      <w:pPr>
        <w:spacing w:line="360" w:lineRule="auto"/>
        <w:ind w:firstLine="420" w:firstLineChars="200"/>
        <w:rPr>
          <w:rFonts w:hint="eastAsia" w:ascii="宋体" w:hAnsi="宋体"/>
          <w:color w:val="auto"/>
        </w:rPr>
      </w:pPr>
      <w:r>
        <w:rPr>
          <w:rFonts w:hint="eastAsia" w:ascii="宋体" w:hAnsi="宋体"/>
          <w:color w:val="auto"/>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E4A6450">
      <w:pPr>
        <w:spacing w:line="360" w:lineRule="auto"/>
        <w:ind w:left="1" w:firstLine="417" w:firstLineChars="199"/>
        <w:jc w:val="center"/>
        <w:rPr>
          <w:rFonts w:ascii="宋体" w:hAnsi="宋体"/>
          <w:color w:val="auto"/>
        </w:rPr>
      </w:pPr>
    </w:p>
    <w:p w14:paraId="4977CD51">
      <w:pPr>
        <w:spacing w:line="360" w:lineRule="auto"/>
        <w:jc w:val="center"/>
        <w:rPr>
          <w:rFonts w:ascii="宋体" w:hAnsi="宋体"/>
          <w:b/>
          <w:color w:val="auto"/>
          <w:sz w:val="32"/>
          <w:szCs w:val="32"/>
        </w:rPr>
      </w:pPr>
      <w:r>
        <w:rPr>
          <w:rFonts w:hint="eastAsia" w:ascii="宋体" w:hAnsi="宋体"/>
          <w:b/>
          <w:color w:val="auto"/>
          <w:sz w:val="32"/>
          <w:szCs w:val="32"/>
        </w:rPr>
        <w:t>二、谈判文件</w:t>
      </w:r>
    </w:p>
    <w:p w14:paraId="4A14495F">
      <w:pPr>
        <w:spacing w:line="360" w:lineRule="auto"/>
        <w:jc w:val="center"/>
        <w:rPr>
          <w:rFonts w:ascii="宋体" w:hAnsi="宋体"/>
          <w:color w:val="auto"/>
          <w:szCs w:val="21"/>
        </w:rPr>
      </w:pPr>
    </w:p>
    <w:p w14:paraId="22B9CB49">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8.谈判文件的构成</w:t>
      </w:r>
    </w:p>
    <w:p w14:paraId="17372F1D">
      <w:pPr>
        <w:spacing w:line="360" w:lineRule="auto"/>
        <w:ind w:firstLine="420" w:firstLineChars="200"/>
        <w:jc w:val="left"/>
        <w:rPr>
          <w:rFonts w:ascii="宋体" w:hAnsi="宋体"/>
          <w:color w:val="auto"/>
          <w:szCs w:val="21"/>
        </w:rPr>
      </w:pPr>
      <w:r>
        <w:rPr>
          <w:rFonts w:hint="eastAsia" w:ascii="宋体" w:hAnsi="宋体"/>
          <w:color w:val="auto"/>
          <w:szCs w:val="21"/>
        </w:rPr>
        <w:t>（1）竞争性谈判公告；</w:t>
      </w:r>
    </w:p>
    <w:p w14:paraId="41A3AB06">
      <w:pPr>
        <w:spacing w:line="360" w:lineRule="auto"/>
        <w:ind w:firstLine="420" w:firstLineChars="200"/>
        <w:jc w:val="left"/>
        <w:rPr>
          <w:rFonts w:ascii="宋体" w:hAnsi="宋体"/>
          <w:color w:val="auto"/>
          <w:szCs w:val="21"/>
        </w:rPr>
      </w:pPr>
      <w:r>
        <w:rPr>
          <w:rFonts w:hint="eastAsia" w:ascii="宋体" w:hAnsi="宋体"/>
          <w:color w:val="auto"/>
          <w:szCs w:val="21"/>
        </w:rPr>
        <w:t xml:space="preserve">（2）供应商须知； </w:t>
      </w:r>
    </w:p>
    <w:p w14:paraId="721D44B7">
      <w:pPr>
        <w:spacing w:line="360" w:lineRule="auto"/>
        <w:ind w:firstLine="420" w:firstLineChars="200"/>
        <w:jc w:val="left"/>
        <w:rPr>
          <w:rFonts w:ascii="宋体" w:hAnsi="宋体"/>
          <w:color w:val="auto"/>
          <w:szCs w:val="21"/>
        </w:rPr>
      </w:pPr>
      <w:r>
        <w:rPr>
          <w:rFonts w:hint="eastAsia" w:ascii="宋体" w:hAnsi="宋体"/>
          <w:color w:val="auto"/>
          <w:szCs w:val="21"/>
        </w:rPr>
        <w:t>（3）采购需求；</w:t>
      </w:r>
    </w:p>
    <w:p w14:paraId="2B10F0C2">
      <w:pPr>
        <w:spacing w:line="360" w:lineRule="auto"/>
        <w:ind w:firstLine="420" w:firstLineChars="200"/>
        <w:jc w:val="left"/>
        <w:rPr>
          <w:rFonts w:ascii="宋体" w:hAnsi="宋体"/>
          <w:color w:val="auto"/>
          <w:szCs w:val="21"/>
        </w:rPr>
      </w:pPr>
      <w:r>
        <w:rPr>
          <w:rFonts w:hint="eastAsia" w:ascii="宋体" w:hAnsi="宋体"/>
          <w:color w:val="auto"/>
          <w:szCs w:val="21"/>
        </w:rPr>
        <w:t>（4）响应文件格式</w:t>
      </w:r>
    </w:p>
    <w:p w14:paraId="56DFFAFC">
      <w:pPr>
        <w:spacing w:line="360" w:lineRule="auto"/>
        <w:ind w:firstLine="420" w:firstLineChars="200"/>
        <w:jc w:val="left"/>
        <w:rPr>
          <w:rFonts w:ascii="宋体" w:hAnsi="宋体"/>
          <w:color w:val="auto"/>
          <w:szCs w:val="21"/>
        </w:rPr>
      </w:pPr>
      <w:r>
        <w:rPr>
          <w:rFonts w:hint="eastAsia" w:ascii="宋体" w:hAnsi="宋体"/>
          <w:color w:val="auto"/>
          <w:szCs w:val="21"/>
        </w:rPr>
        <w:t>（5）合同文本；</w:t>
      </w:r>
    </w:p>
    <w:p w14:paraId="64CA5D22">
      <w:pPr>
        <w:spacing w:line="360" w:lineRule="auto"/>
        <w:ind w:firstLine="420" w:firstLineChars="200"/>
        <w:jc w:val="left"/>
        <w:rPr>
          <w:rFonts w:ascii="宋体" w:hAnsi="宋体"/>
          <w:color w:val="auto"/>
          <w:szCs w:val="21"/>
        </w:rPr>
      </w:pPr>
      <w:r>
        <w:rPr>
          <w:rFonts w:hint="eastAsia" w:ascii="宋体" w:hAnsi="宋体"/>
          <w:color w:val="auto"/>
          <w:szCs w:val="21"/>
        </w:rPr>
        <w:t>（6）评审程序和评定成交的标准；</w:t>
      </w:r>
    </w:p>
    <w:p w14:paraId="7FCDAC3C">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9.供应商的询问</w:t>
      </w:r>
    </w:p>
    <w:p w14:paraId="206E5BB7">
      <w:pPr>
        <w:spacing w:line="360" w:lineRule="auto"/>
        <w:ind w:firstLine="420" w:firstLineChars="200"/>
        <w:rPr>
          <w:rFonts w:ascii="宋体" w:hAnsi="宋体"/>
          <w:color w:val="auto"/>
          <w:szCs w:val="21"/>
        </w:rPr>
      </w:pPr>
      <w:r>
        <w:rPr>
          <w:rFonts w:hint="eastAsia" w:ascii="宋体" w:hAnsi="宋体"/>
          <w:color w:val="auto"/>
          <w:szCs w:val="21"/>
        </w:rPr>
        <w:t>供应商应认真阅读谈判文件的采购需求，如供应商对谈判文件有疑问的，如要求采购人作出澄清或者修改的，供应商尽可能在</w:t>
      </w:r>
      <w:r>
        <w:rPr>
          <w:rFonts w:ascii="宋体" w:hAnsi="宋体"/>
          <w:color w:val="auto"/>
          <w:szCs w:val="21"/>
        </w:rPr>
        <w:t>提交首次响应文件截止之日前</w:t>
      </w:r>
      <w:r>
        <w:rPr>
          <w:rFonts w:hint="eastAsia" w:ascii="宋体" w:hAnsi="宋体"/>
          <w:color w:val="auto"/>
          <w:szCs w:val="21"/>
        </w:rPr>
        <w:t>，以书面形式向</w:t>
      </w:r>
      <w:r>
        <w:rPr>
          <w:rFonts w:ascii="宋体" w:hAnsi="宋体"/>
          <w:color w:val="auto"/>
          <w:szCs w:val="21"/>
        </w:rPr>
        <w:t>采购人、采购代理机构</w:t>
      </w:r>
      <w:r>
        <w:rPr>
          <w:rFonts w:hint="eastAsia" w:ascii="宋体" w:hAnsi="宋体"/>
          <w:color w:val="auto"/>
          <w:szCs w:val="21"/>
        </w:rPr>
        <w:t>提出。</w:t>
      </w:r>
    </w:p>
    <w:p w14:paraId="05499823">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10.谈判文件的澄清和修改</w:t>
      </w:r>
    </w:p>
    <w:p w14:paraId="5A89A292">
      <w:pPr>
        <w:spacing w:line="360" w:lineRule="auto"/>
        <w:ind w:firstLine="420" w:firstLineChars="200"/>
        <w:rPr>
          <w:rFonts w:ascii="宋体" w:hAnsi="宋体"/>
          <w:color w:val="auto"/>
          <w:szCs w:val="21"/>
        </w:rPr>
      </w:pPr>
      <w:r>
        <w:rPr>
          <w:rFonts w:ascii="宋体" w:hAnsi="宋体"/>
          <w:color w:val="auto"/>
          <w:szCs w:val="21"/>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295260E2">
      <w:pPr>
        <w:spacing w:line="360" w:lineRule="auto"/>
        <w:rPr>
          <w:rFonts w:ascii="宋体" w:hAnsi="宋体"/>
          <w:color w:val="auto"/>
          <w:szCs w:val="21"/>
        </w:rPr>
      </w:pPr>
    </w:p>
    <w:p w14:paraId="5C918B9A">
      <w:pPr>
        <w:spacing w:line="360" w:lineRule="auto"/>
        <w:jc w:val="center"/>
        <w:rPr>
          <w:rFonts w:ascii="宋体" w:hAnsi="宋体"/>
          <w:b/>
          <w:color w:val="auto"/>
          <w:szCs w:val="21"/>
        </w:rPr>
      </w:pPr>
      <w:r>
        <w:rPr>
          <w:rFonts w:hint="eastAsia" w:ascii="宋体" w:hAnsi="宋体"/>
          <w:b/>
          <w:color w:val="auto"/>
          <w:sz w:val="32"/>
          <w:szCs w:val="32"/>
        </w:rPr>
        <w:t>三、响应文件的编制</w:t>
      </w:r>
    </w:p>
    <w:p w14:paraId="10BFAD01">
      <w:pPr>
        <w:spacing w:line="360" w:lineRule="auto"/>
        <w:rPr>
          <w:rFonts w:ascii="宋体" w:hAnsi="宋体"/>
          <w:color w:val="auto"/>
          <w:szCs w:val="21"/>
        </w:rPr>
      </w:pPr>
    </w:p>
    <w:p w14:paraId="424369A9">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11.响应文件的编制原则</w:t>
      </w:r>
    </w:p>
    <w:p w14:paraId="1E48F883">
      <w:pPr>
        <w:spacing w:line="360" w:lineRule="auto"/>
        <w:ind w:firstLine="420" w:firstLineChars="200"/>
        <w:rPr>
          <w:rFonts w:ascii="宋体" w:hAnsi="宋体" w:cs="宋体"/>
          <w:color w:val="auto"/>
          <w:szCs w:val="21"/>
        </w:rPr>
      </w:pPr>
      <w:r>
        <w:rPr>
          <w:rFonts w:hint="eastAsia" w:ascii="宋体" w:hAnsi="宋体" w:cs="宋体"/>
          <w:color w:val="auto"/>
          <w:szCs w:val="21"/>
        </w:rPr>
        <w:t>供应商必须按照谈判文件的要求编制响应文件，并对其提交的响应文件的真实性、合法性承担法律责任。响应文件必须对谈判文件作出实质性响应。</w:t>
      </w:r>
    </w:p>
    <w:p w14:paraId="53FC6722">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12.响应文件的组成</w:t>
      </w:r>
    </w:p>
    <w:p w14:paraId="7B338202">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2.1</w:t>
      </w:r>
      <w:r>
        <w:rPr>
          <w:rFonts w:hint="eastAsia" w:ascii="宋体" w:hAnsi="宋体" w:cs="宋体"/>
          <w:color w:val="auto"/>
          <w:szCs w:val="21"/>
        </w:rPr>
        <w:t>响应文件由资格证明文件、报价商务技术文件两部分组成。</w:t>
      </w:r>
    </w:p>
    <w:p w14:paraId="1C87301A">
      <w:pPr>
        <w:spacing w:line="360" w:lineRule="auto"/>
        <w:ind w:left="840" w:leftChars="200" w:hanging="420" w:hangingChars="200"/>
        <w:rPr>
          <w:rFonts w:ascii="宋体" w:hAnsi="宋体" w:cs="宋体"/>
          <w:color w:val="auto"/>
          <w:szCs w:val="21"/>
        </w:rPr>
      </w:pPr>
      <w:r>
        <w:rPr>
          <w:rFonts w:hint="eastAsia" w:ascii="宋体" w:hAnsi="宋体" w:cs="宋体"/>
          <w:color w:val="auto"/>
          <w:szCs w:val="21"/>
        </w:rPr>
        <w:t>12.1</w:t>
      </w:r>
      <w:r>
        <w:rPr>
          <w:rFonts w:ascii="宋体" w:hAnsi="宋体" w:cs="宋体"/>
          <w:color w:val="auto"/>
          <w:szCs w:val="21"/>
        </w:rPr>
        <w:t>.1</w:t>
      </w:r>
      <w:r>
        <w:rPr>
          <w:rFonts w:hint="eastAsia" w:ascii="宋体" w:hAnsi="宋体" w:cs="宋体"/>
          <w:color w:val="auto"/>
          <w:szCs w:val="21"/>
        </w:rPr>
        <w:t>资格证明文件：详见“供应商须知前附表”</w:t>
      </w:r>
    </w:p>
    <w:p w14:paraId="1E5E849C">
      <w:pPr>
        <w:spacing w:line="360" w:lineRule="auto"/>
        <w:ind w:left="840" w:leftChars="200" w:hanging="420" w:hangingChars="200"/>
        <w:rPr>
          <w:rFonts w:ascii="宋体" w:hAnsi="宋体" w:cs="宋体"/>
          <w:color w:val="auto"/>
          <w:szCs w:val="21"/>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rPr>
        <w:t>2报价商务技术文件：详见“供应商须知前附表”</w:t>
      </w:r>
    </w:p>
    <w:p w14:paraId="06D51B31">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13.计量单位</w:t>
      </w:r>
    </w:p>
    <w:p w14:paraId="6C83159D">
      <w:pPr>
        <w:spacing w:line="360" w:lineRule="auto"/>
        <w:ind w:firstLine="420" w:firstLineChars="200"/>
        <w:rPr>
          <w:rFonts w:ascii="宋体" w:hAnsi="宋体" w:cs="宋体"/>
          <w:color w:val="auto"/>
          <w:szCs w:val="21"/>
        </w:rPr>
      </w:pPr>
      <w:r>
        <w:rPr>
          <w:rFonts w:hint="eastAsia" w:ascii="宋体" w:hAnsi="宋体" w:cs="宋体"/>
          <w:color w:val="auto"/>
          <w:szCs w:val="21"/>
        </w:rPr>
        <w:t>谈判文件已有明确规定的，使用谈判文件规定的计量单位；谈判文件没有规定的，应采用中华人民共和国法定计量单位，货币种类为人民币，</w:t>
      </w:r>
      <w:r>
        <w:rPr>
          <w:rFonts w:hint="eastAsia" w:ascii="宋体" w:hAnsi="宋体" w:cs="宋体"/>
          <w:b/>
          <w:bCs/>
          <w:color w:val="auto"/>
          <w:szCs w:val="21"/>
        </w:rPr>
        <w:t>否则视同未响应。</w:t>
      </w:r>
    </w:p>
    <w:p w14:paraId="0FEC1842">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14.竞标的风险</w:t>
      </w:r>
    </w:p>
    <w:p w14:paraId="409C836B">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供应商没有按照谈判文件要求提供全部资料，或者供应商没有对谈判文件在各方面作出实质性响应可能导致其响应文件按无效处理，是供应商应当考虑的风险。</w:t>
      </w:r>
    </w:p>
    <w:p w14:paraId="741FEC9B">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15.竞标报价</w:t>
      </w:r>
    </w:p>
    <w:p w14:paraId="0D1BC624">
      <w:pPr>
        <w:spacing w:line="360" w:lineRule="auto"/>
        <w:ind w:firstLine="420" w:firstLineChars="200"/>
        <w:rPr>
          <w:rFonts w:ascii="宋体" w:hAnsi="宋体" w:cs="宋体"/>
          <w:color w:val="auto"/>
          <w:szCs w:val="21"/>
        </w:rPr>
      </w:pPr>
      <w:r>
        <w:rPr>
          <w:rFonts w:hint="eastAsia" w:ascii="宋体" w:hAnsi="宋体" w:cs="宋体"/>
          <w:color w:val="auto"/>
          <w:szCs w:val="21"/>
        </w:rPr>
        <w:t>15.1竞标报价应按谈判文件中“竞标报价表”格式填写。</w:t>
      </w:r>
    </w:p>
    <w:p w14:paraId="5B67FDDD">
      <w:pPr>
        <w:tabs>
          <w:tab w:val="left" w:pos="2492"/>
        </w:tabs>
        <w:spacing w:line="360" w:lineRule="auto"/>
        <w:ind w:firstLine="420" w:firstLineChars="200"/>
        <w:rPr>
          <w:rFonts w:ascii="宋体" w:hAnsi="宋体" w:cs="宋体"/>
          <w:color w:val="auto"/>
          <w:szCs w:val="21"/>
        </w:rPr>
      </w:pPr>
      <w:r>
        <w:rPr>
          <w:rFonts w:hint="eastAsia" w:ascii="宋体" w:hAnsi="宋体" w:cs="宋体"/>
          <w:color w:val="auto"/>
          <w:szCs w:val="21"/>
        </w:rPr>
        <w:t>15.2竞标报价的内容详见“供应商须知前附表”。</w:t>
      </w:r>
    </w:p>
    <w:p w14:paraId="771BDE42">
      <w:pPr>
        <w:spacing w:line="360" w:lineRule="auto"/>
        <w:ind w:left="426" w:leftChars="203"/>
        <w:rPr>
          <w:rFonts w:ascii="宋体" w:hAnsi="宋体" w:cs="宋体"/>
          <w:color w:val="auto"/>
          <w:szCs w:val="21"/>
        </w:rPr>
      </w:pPr>
      <w:r>
        <w:rPr>
          <w:rFonts w:hint="eastAsia" w:ascii="宋体" w:hAnsi="宋体" w:cs="宋体"/>
          <w:color w:val="auto"/>
          <w:szCs w:val="21"/>
        </w:rPr>
        <w:t>15.3竞标报价要求</w:t>
      </w:r>
    </w:p>
    <w:p w14:paraId="6107FDCE">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1</w:t>
      </w:r>
      <w:r>
        <w:rPr>
          <w:rFonts w:ascii="宋体" w:hAnsi="宋体" w:cs="宋体"/>
          <w:b/>
          <w:bCs/>
          <w:color w:val="auto"/>
          <w:szCs w:val="21"/>
        </w:rPr>
        <w:t>5.3.1</w:t>
      </w:r>
      <w:r>
        <w:rPr>
          <w:rFonts w:hint="eastAsia" w:ascii="宋体" w:hAnsi="宋体" w:cs="宋体"/>
          <w:b/>
          <w:bCs/>
          <w:color w:val="auto"/>
          <w:szCs w:val="21"/>
        </w:rPr>
        <w:t>供应商的竞标报价应符合以下要求，否则响应文件按无效响应处理：</w:t>
      </w:r>
    </w:p>
    <w:p w14:paraId="2D8933F6">
      <w:pPr>
        <w:spacing w:line="360" w:lineRule="auto"/>
        <w:ind w:left="420" w:leftChars="200"/>
        <w:rPr>
          <w:rFonts w:ascii="宋体" w:hAnsi="宋体" w:cs="宋体"/>
          <w:b/>
          <w:bCs/>
          <w:color w:val="auto"/>
          <w:szCs w:val="21"/>
        </w:rPr>
      </w:pPr>
      <w:r>
        <w:rPr>
          <w:rFonts w:hint="eastAsia" w:ascii="宋体" w:hAnsi="宋体" w:cs="宋体"/>
          <w:b/>
          <w:bCs/>
          <w:color w:val="auto"/>
          <w:szCs w:val="21"/>
        </w:rPr>
        <w:t>（1）供应商必须就“采购需求”中所竞标的每个分标的全部内容分别作完整唯一总价报价，</w:t>
      </w:r>
    </w:p>
    <w:p w14:paraId="2D967F15">
      <w:pPr>
        <w:spacing w:line="360" w:lineRule="auto"/>
        <w:rPr>
          <w:rFonts w:ascii="宋体" w:hAnsi="宋体" w:cs="宋体"/>
          <w:b/>
          <w:bCs/>
          <w:color w:val="auto"/>
          <w:szCs w:val="21"/>
        </w:rPr>
      </w:pPr>
      <w:r>
        <w:rPr>
          <w:rFonts w:hint="eastAsia" w:ascii="宋体" w:hAnsi="宋体" w:cs="宋体"/>
          <w:b/>
          <w:bCs/>
          <w:color w:val="auto"/>
          <w:szCs w:val="21"/>
        </w:rPr>
        <w:t>不得存在漏项报价；</w:t>
      </w:r>
    </w:p>
    <w:p w14:paraId="73B3E639">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w:t>
      </w:r>
      <w:r>
        <w:rPr>
          <w:rFonts w:ascii="宋体" w:hAnsi="宋体" w:cs="宋体"/>
          <w:b/>
          <w:bCs/>
          <w:color w:val="auto"/>
          <w:szCs w:val="21"/>
        </w:rPr>
        <w:t>2</w:t>
      </w:r>
      <w:r>
        <w:rPr>
          <w:rFonts w:hint="eastAsia" w:ascii="宋体" w:hAnsi="宋体" w:cs="宋体"/>
          <w:b/>
          <w:bCs/>
          <w:color w:val="auto"/>
          <w:szCs w:val="21"/>
        </w:rPr>
        <w:t>）供应商必须就所竞标的分标的单项内容作唯一报价。</w:t>
      </w:r>
    </w:p>
    <w:p w14:paraId="5A39D21A">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15.3.</w:t>
      </w:r>
      <w:r>
        <w:rPr>
          <w:rFonts w:ascii="宋体" w:hAnsi="宋体" w:cs="宋体"/>
          <w:b/>
          <w:bCs/>
          <w:color w:val="auto"/>
          <w:szCs w:val="21"/>
        </w:rPr>
        <w:t>2</w:t>
      </w:r>
      <w:r>
        <w:rPr>
          <w:rFonts w:hint="eastAsia" w:ascii="宋体" w:hAnsi="宋体" w:cs="宋体"/>
          <w:b/>
          <w:bCs/>
          <w:color w:val="auto"/>
          <w:szCs w:val="21"/>
        </w:rPr>
        <w:t>竞标报价（包含首次报价、最后报价）超过所竞标分标规定的采购预算金额或者最高限价的，其响应文件将按无效处理。</w:t>
      </w:r>
    </w:p>
    <w:p w14:paraId="490AA2DF">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15.3.</w:t>
      </w:r>
      <w:r>
        <w:rPr>
          <w:rFonts w:ascii="宋体" w:hAnsi="宋体" w:cs="宋体"/>
          <w:b/>
          <w:bCs/>
          <w:color w:val="auto"/>
          <w:szCs w:val="21"/>
        </w:rPr>
        <w:t>3</w:t>
      </w:r>
      <w:r>
        <w:rPr>
          <w:rFonts w:hint="eastAsia" w:ascii="宋体" w:hAnsi="宋体" w:cs="宋体"/>
          <w:b/>
          <w:bCs/>
          <w:color w:val="auto"/>
          <w:szCs w:val="21"/>
        </w:rPr>
        <w:t>竞标报价（包含首次报价、最后报价）超过分项采购预算金额或者最高限价的，其响应文件将按无效处理。</w:t>
      </w:r>
    </w:p>
    <w:p w14:paraId="02EBEE28">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16.竞标有效期</w:t>
      </w:r>
    </w:p>
    <w:p w14:paraId="1787F157">
      <w:pPr>
        <w:spacing w:line="360" w:lineRule="auto"/>
        <w:ind w:firstLine="420" w:firstLineChars="200"/>
        <w:rPr>
          <w:rFonts w:ascii="宋体" w:hAnsi="宋体" w:cs="宋体"/>
          <w:color w:val="auto"/>
          <w:szCs w:val="21"/>
        </w:rPr>
      </w:pPr>
      <w:r>
        <w:rPr>
          <w:rFonts w:hint="eastAsia" w:ascii="宋体" w:hAnsi="宋体" w:cs="宋体"/>
          <w:color w:val="auto"/>
          <w:szCs w:val="21"/>
        </w:rPr>
        <w:t>16.1竞标有效期是指为保证采购人有足够的时间在提交响应文件后完成评审、确定成交供应商、合同签订等工作而要求供应商提交的响应文件在一定时间内保持有效的期限。</w:t>
      </w:r>
    </w:p>
    <w:p w14:paraId="06CCD37A">
      <w:pPr>
        <w:spacing w:line="360" w:lineRule="auto"/>
        <w:ind w:firstLine="420" w:firstLineChars="200"/>
        <w:rPr>
          <w:rFonts w:ascii="宋体" w:hAnsi="宋体" w:cs="宋体"/>
          <w:color w:val="auto"/>
          <w:szCs w:val="21"/>
        </w:rPr>
      </w:pPr>
      <w:r>
        <w:rPr>
          <w:rFonts w:hint="eastAsia" w:ascii="宋体" w:hAnsi="宋体" w:cs="宋体"/>
          <w:color w:val="auto"/>
          <w:szCs w:val="21"/>
        </w:rPr>
        <w:t>16.2 竞标有效期应由供应商按“供应商须知前附表”规定的期限作出响应。</w:t>
      </w:r>
    </w:p>
    <w:p w14:paraId="018F4F06">
      <w:pPr>
        <w:spacing w:line="360" w:lineRule="auto"/>
        <w:ind w:firstLine="420" w:firstLineChars="200"/>
        <w:rPr>
          <w:rFonts w:ascii="宋体" w:hAnsi="宋体" w:cs="宋体"/>
          <w:color w:val="auto"/>
          <w:szCs w:val="21"/>
        </w:rPr>
      </w:pPr>
      <w:r>
        <w:rPr>
          <w:rFonts w:hint="eastAsia" w:ascii="宋体" w:hAnsi="宋体" w:cs="宋体"/>
          <w:color w:val="auto"/>
          <w:szCs w:val="21"/>
        </w:rPr>
        <w:t>16.3供应商的响应文件在竞标有效期内均保持有效。</w:t>
      </w:r>
    </w:p>
    <w:p w14:paraId="76FE31A3">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17.竞标保证金</w:t>
      </w:r>
    </w:p>
    <w:p w14:paraId="133E4EEB">
      <w:pPr>
        <w:spacing w:line="360" w:lineRule="auto"/>
        <w:ind w:left="420" w:leftChars="200"/>
        <w:rPr>
          <w:rFonts w:ascii="宋体" w:hAnsi="宋体" w:cs="宋体"/>
          <w:color w:val="auto"/>
          <w:szCs w:val="21"/>
        </w:rPr>
      </w:pPr>
      <w:r>
        <w:rPr>
          <w:rFonts w:hint="eastAsia" w:ascii="宋体" w:hAnsi="宋体" w:cs="宋体"/>
          <w:color w:val="auto"/>
          <w:szCs w:val="21"/>
        </w:rPr>
        <w:t>17.1供应商须按“供应商须知前附表”的规定提交竞标保证金。</w:t>
      </w:r>
    </w:p>
    <w:p w14:paraId="4DF365F8">
      <w:pPr>
        <w:spacing w:line="360" w:lineRule="auto"/>
        <w:ind w:left="420" w:leftChars="200"/>
        <w:rPr>
          <w:rFonts w:ascii="宋体" w:hAnsi="宋体" w:cs="宋体"/>
          <w:color w:val="auto"/>
          <w:szCs w:val="21"/>
        </w:rPr>
      </w:pPr>
      <w:r>
        <w:rPr>
          <w:rFonts w:hint="eastAsia" w:ascii="宋体" w:hAnsi="宋体" w:cs="宋体"/>
          <w:color w:val="auto"/>
          <w:szCs w:val="21"/>
        </w:rPr>
        <w:t>17.2竞标保证金的退还</w:t>
      </w:r>
    </w:p>
    <w:p w14:paraId="740DE833">
      <w:pPr>
        <w:spacing w:line="360" w:lineRule="auto"/>
        <w:ind w:firstLine="420" w:firstLineChars="200"/>
        <w:rPr>
          <w:rFonts w:ascii="宋体" w:hAnsi="宋体" w:cs="宋体"/>
          <w:color w:val="auto"/>
          <w:szCs w:val="21"/>
        </w:rPr>
      </w:pPr>
      <w:r>
        <w:rPr>
          <w:rFonts w:hint="eastAsia" w:ascii="宋体" w:hAnsi="宋体" w:cs="宋体"/>
          <w:color w:val="auto"/>
          <w:szCs w:val="21"/>
        </w:rPr>
        <w:t>未</w:t>
      </w:r>
      <w:r>
        <w:rPr>
          <w:rFonts w:hint="eastAsia" w:ascii="宋体" w:hAnsi="宋体" w:cs="宋体"/>
          <w:color w:val="auto"/>
          <w:spacing w:val="-6"/>
          <w:szCs w:val="21"/>
        </w:rPr>
        <w:t>成交供应商的竞标保证金自成交通知书发出之日起5个工作日内退还</w:t>
      </w:r>
      <w:r>
        <w:rPr>
          <w:rFonts w:hint="eastAsia" w:ascii="宋体" w:hAnsi="宋体"/>
          <w:color w:val="auto"/>
          <w:szCs w:val="21"/>
        </w:rPr>
        <w:t>；</w:t>
      </w:r>
      <w:r>
        <w:rPr>
          <w:rFonts w:hint="eastAsia" w:ascii="宋体" w:hAnsi="宋体" w:cs="宋体"/>
          <w:color w:val="auto"/>
          <w:szCs w:val="21"/>
        </w:rPr>
        <w:t xml:space="preserve">成交供应商的竞标保证金自签订合同之日起5个工作日内退还。 </w:t>
      </w:r>
    </w:p>
    <w:p w14:paraId="6950499E">
      <w:pPr>
        <w:spacing w:line="360" w:lineRule="auto"/>
        <w:ind w:left="420" w:leftChars="200"/>
        <w:rPr>
          <w:rFonts w:ascii="宋体" w:hAnsi="宋体" w:cs="宋体"/>
          <w:color w:val="auto"/>
          <w:szCs w:val="21"/>
        </w:rPr>
      </w:pPr>
      <w:r>
        <w:rPr>
          <w:rFonts w:hint="eastAsia" w:ascii="宋体" w:hAnsi="宋体" w:cs="宋体"/>
          <w:color w:val="auto"/>
          <w:szCs w:val="21"/>
        </w:rPr>
        <w:t>17.3竞标保证金不计息。</w:t>
      </w:r>
    </w:p>
    <w:p w14:paraId="08A5ABD7">
      <w:pPr>
        <w:spacing w:line="360" w:lineRule="auto"/>
        <w:ind w:left="420" w:leftChars="200"/>
        <w:rPr>
          <w:rFonts w:ascii="宋体" w:hAnsi="宋体" w:cs="宋体"/>
          <w:color w:val="auto"/>
          <w:szCs w:val="21"/>
        </w:rPr>
      </w:pPr>
      <w:r>
        <w:rPr>
          <w:rFonts w:hint="eastAsia" w:ascii="宋体" w:hAnsi="宋体" w:cs="宋体"/>
          <w:color w:val="auto"/>
          <w:szCs w:val="21"/>
        </w:rPr>
        <w:t xml:space="preserve">17.4供应商有下列情形之一的，竞标保证金将不予退还： </w:t>
      </w:r>
    </w:p>
    <w:p w14:paraId="0FE22A0C">
      <w:pPr>
        <w:spacing w:line="360" w:lineRule="auto"/>
        <w:ind w:left="420" w:leftChars="200"/>
        <w:rPr>
          <w:rFonts w:ascii="宋体" w:hAnsi="宋体" w:cs="宋体"/>
          <w:color w:val="auto"/>
          <w:szCs w:val="21"/>
        </w:rPr>
      </w:pPr>
      <w:r>
        <w:rPr>
          <w:rFonts w:hint="eastAsia" w:ascii="宋体" w:hAnsi="宋体" w:cs="宋体"/>
          <w:color w:val="auto"/>
          <w:szCs w:val="21"/>
        </w:rPr>
        <w:t>（1）供应商在提交响应文件截止时间后撤回响应文件的；</w:t>
      </w:r>
    </w:p>
    <w:p w14:paraId="59857952">
      <w:pPr>
        <w:spacing w:line="360" w:lineRule="auto"/>
        <w:ind w:left="420" w:leftChars="200"/>
        <w:rPr>
          <w:rFonts w:ascii="宋体" w:hAnsi="宋体" w:cs="宋体"/>
          <w:color w:val="auto"/>
          <w:szCs w:val="21"/>
        </w:rPr>
      </w:pPr>
      <w:r>
        <w:rPr>
          <w:rFonts w:hint="eastAsia" w:ascii="宋体" w:hAnsi="宋体"/>
          <w:color w:val="auto"/>
          <w:szCs w:val="21"/>
        </w:rPr>
        <w:t>（2）未按规定提交履约保证金的；</w:t>
      </w:r>
    </w:p>
    <w:p w14:paraId="16D24F11">
      <w:pPr>
        <w:spacing w:line="360" w:lineRule="auto"/>
        <w:ind w:left="420" w:leftChars="200"/>
        <w:rPr>
          <w:rFonts w:ascii="宋体" w:hAnsi="宋体" w:cs="宋体"/>
          <w:color w:val="auto"/>
          <w:szCs w:val="21"/>
        </w:rPr>
      </w:pPr>
      <w:r>
        <w:rPr>
          <w:rFonts w:hint="eastAsia" w:ascii="宋体" w:hAnsi="宋体" w:cs="宋体"/>
          <w:color w:val="auto"/>
          <w:szCs w:val="21"/>
        </w:rPr>
        <w:t>（3）供应商在响应文件中提供虚假材料的；</w:t>
      </w:r>
    </w:p>
    <w:p w14:paraId="1E20191A">
      <w:pPr>
        <w:spacing w:line="360" w:lineRule="auto"/>
        <w:ind w:firstLine="420" w:firstLineChars="200"/>
        <w:rPr>
          <w:rFonts w:ascii="宋体" w:hAnsi="宋体" w:cs="宋体"/>
          <w:color w:val="auto"/>
          <w:szCs w:val="21"/>
        </w:rPr>
      </w:pPr>
      <w:r>
        <w:rPr>
          <w:rFonts w:hint="eastAsia" w:ascii="宋体" w:hAnsi="宋体" w:cs="宋体"/>
          <w:color w:val="auto"/>
          <w:szCs w:val="21"/>
        </w:rPr>
        <w:t>（4）除因不可抗力或者谈判文件认可的情形以外，成交供应商不与采购人签订合同的；</w:t>
      </w:r>
    </w:p>
    <w:p w14:paraId="3D3CF085">
      <w:pPr>
        <w:spacing w:line="360" w:lineRule="auto"/>
        <w:ind w:left="420" w:leftChars="200"/>
        <w:rPr>
          <w:rFonts w:ascii="宋体" w:hAnsi="宋体" w:cs="宋体"/>
          <w:color w:val="auto"/>
          <w:szCs w:val="21"/>
        </w:rPr>
      </w:pPr>
      <w:r>
        <w:rPr>
          <w:rFonts w:hint="eastAsia" w:ascii="宋体" w:hAnsi="宋体" w:cs="宋体"/>
          <w:color w:val="auto"/>
          <w:szCs w:val="21"/>
        </w:rPr>
        <w:t>（5）供应商与采购人、其他供应商或者采购代理机构恶意串通的；</w:t>
      </w:r>
    </w:p>
    <w:p w14:paraId="4ABB4DB6">
      <w:pPr>
        <w:spacing w:line="360" w:lineRule="auto"/>
        <w:ind w:left="420" w:leftChars="200"/>
        <w:rPr>
          <w:rFonts w:ascii="宋体" w:hAnsi="宋体" w:cs="宋体"/>
          <w:color w:val="auto"/>
          <w:szCs w:val="21"/>
        </w:rPr>
      </w:pPr>
      <w:r>
        <w:rPr>
          <w:rFonts w:hint="eastAsia" w:ascii="宋体" w:hAnsi="宋体" w:cs="宋体"/>
          <w:color w:val="auto"/>
          <w:szCs w:val="21"/>
        </w:rPr>
        <w:t>（6）法律法规规定的其他情形。</w:t>
      </w:r>
    </w:p>
    <w:p w14:paraId="26488155">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18. 响应文件编制的要求</w:t>
      </w:r>
    </w:p>
    <w:p w14:paraId="18F73FFA">
      <w:pPr>
        <w:spacing w:line="360" w:lineRule="auto"/>
        <w:ind w:firstLine="420" w:firstLineChars="200"/>
        <w:rPr>
          <w:rFonts w:ascii="宋体" w:hAnsi="宋体" w:cs="宋体"/>
          <w:color w:val="auto"/>
          <w:szCs w:val="21"/>
        </w:rPr>
      </w:pPr>
      <w:r>
        <w:rPr>
          <w:rFonts w:hint="eastAsia" w:ascii="宋体" w:hAnsi="宋体" w:cs="宋体"/>
          <w:color w:val="auto"/>
          <w:szCs w:val="21"/>
        </w:rPr>
        <w:t>18.1供应商应先安装“广西政府采购云平台电子交易客户端”（请自行前往广西政府采购云平台进行下载），并按照本项目谈判文件规定的格式和顺序和广西政府采购云平台的要求编制并加密。响应文件内容不完整、编排混乱导致响应文件被误读、漏读或者查找不到相关内容的，由此引发的后果由供应商承担。</w:t>
      </w:r>
    </w:p>
    <w:p w14:paraId="4C85422F">
      <w:pPr>
        <w:spacing w:line="360" w:lineRule="auto"/>
        <w:ind w:firstLine="420" w:firstLineChars="200"/>
        <w:rPr>
          <w:rFonts w:ascii="宋体" w:hAnsi="宋体" w:cs="宋体"/>
          <w:color w:val="auto"/>
          <w:szCs w:val="21"/>
        </w:rPr>
      </w:pPr>
      <w:r>
        <w:rPr>
          <w:rFonts w:hint="eastAsia" w:ascii="宋体" w:hAnsi="宋体" w:cs="宋体"/>
          <w:color w:val="auto"/>
          <w:szCs w:val="21"/>
        </w:rPr>
        <w:t>18.2为确保网上操作的合法、有效和安全，供应商应当在提交响应文件截止时间前完成在广西政府采购云平台的身份认证，确保在电子竞标过程中能够对相关数据电文进行加密和使用电子签章。</w:t>
      </w:r>
    </w:p>
    <w:p w14:paraId="7AD469A9">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18.3响应文件须由供应商在规定位置签字、盖章（具体以供应商须知前附表或响应文件格式规定为准），否则按无效响应处理。</w:t>
      </w:r>
    </w:p>
    <w:p w14:paraId="09F434AA">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4053F3D0">
      <w:pPr>
        <w:spacing w:line="360" w:lineRule="auto"/>
        <w:ind w:firstLine="420" w:firstLineChars="200"/>
        <w:rPr>
          <w:rFonts w:ascii="宋体" w:hAnsi="宋体" w:cs="宋体"/>
          <w:color w:val="auto"/>
          <w:szCs w:val="21"/>
        </w:rPr>
      </w:pPr>
      <w:r>
        <w:rPr>
          <w:rFonts w:hint="eastAsia" w:ascii="宋体" w:hAnsi="宋体" w:cs="宋体"/>
          <w:color w:val="auto"/>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5C366101">
      <w:pPr>
        <w:spacing w:line="360" w:lineRule="auto"/>
        <w:ind w:firstLine="482" w:firstLineChars="200"/>
        <w:rPr>
          <w:rFonts w:ascii="黑体" w:hAnsi="黑体" w:eastAsia="黑体"/>
          <w:color w:val="auto"/>
          <w:sz w:val="24"/>
        </w:rPr>
      </w:pPr>
      <w:r>
        <w:rPr>
          <w:rFonts w:hint="eastAsia" w:ascii="黑体" w:hAnsi="黑体" w:eastAsia="黑体" w:cs="宋体"/>
          <w:b/>
          <w:bCs/>
          <w:color w:val="auto"/>
          <w:sz w:val="24"/>
        </w:rPr>
        <w:t>19.电子</w:t>
      </w:r>
      <w:r>
        <w:rPr>
          <w:rFonts w:hint="eastAsia" w:ascii="黑体" w:hAnsi="黑体" w:eastAsia="黑体"/>
          <w:b/>
          <w:color w:val="auto"/>
          <w:sz w:val="24"/>
        </w:rPr>
        <w:t>备份响应文件</w:t>
      </w:r>
    </w:p>
    <w:p w14:paraId="66863C71">
      <w:pPr>
        <w:spacing w:line="360" w:lineRule="auto"/>
        <w:ind w:firstLine="420" w:firstLineChars="200"/>
        <w:rPr>
          <w:rFonts w:ascii="黑体" w:hAnsi="黑体" w:eastAsia="黑体"/>
          <w:color w:val="auto"/>
          <w:sz w:val="24"/>
        </w:rPr>
      </w:pPr>
      <w:r>
        <w:rPr>
          <w:rFonts w:hint="eastAsia"/>
          <w:color w:val="auto"/>
        </w:rPr>
        <w:t>电子备份响应文件是指通过“广西政府采购云平台电子投标客户端”在线编制生成且后缀名为“</w:t>
      </w:r>
      <w:r>
        <w:rPr>
          <w:color w:val="auto"/>
        </w:rPr>
        <w:t>bfbs</w:t>
      </w:r>
      <w:r>
        <w:rPr>
          <w:rFonts w:hint="eastAsia"/>
          <w:color w:val="auto"/>
        </w:rPr>
        <w:t>”的文件，是否接受电子备份响应文件详见</w:t>
      </w:r>
      <w:r>
        <w:rPr>
          <w:rFonts w:hint="eastAsia" w:hAnsi="宋体"/>
          <w:bCs/>
          <w:color w:val="auto"/>
          <w:szCs w:val="21"/>
        </w:rPr>
        <w:t>“供应商须知前附表”。</w:t>
      </w:r>
    </w:p>
    <w:p w14:paraId="05130D91">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20.响应文件的提交</w:t>
      </w:r>
    </w:p>
    <w:p w14:paraId="79DDB01D">
      <w:pPr>
        <w:spacing w:line="360" w:lineRule="auto"/>
        <w:ind w:firstLine="420" w:firstLineChars="200"/>
        <w:rPr>
          <w:rFonts w:hAnsi="宋体"/>
          <w:b/>
          <w:color w:val="auto"/>
        </w:rPr>
      </w:pPr>
      <w:r>
        <w:rPr>
          <w:rFonts w:hint="eastAsia" w:hAnsi="宋体"/>
          <w:bCs/>
          <w:color w:val="auto"/>
          <w:szCs w:val="21"/>
        </w:rPr>
        <w:t>20.1供应商必须按“供应商须知前附表”规定的</w:t>
      </w:r>
      <w:r>
        <w:rPr>
          <w:rFonts w:hint="eastAsia" w:ascii="宋体" w:hAnsi="宋体" w:cs="宋体"/>
          <w:color w:val="auto"/>
          <w:szCs w:val="21"/>
        </w:rPr>
        <w:t>时间</w:t>
      </w:r>
      <w:r>
        <w:rPr>
          <w:rFonts w:hint="eastAsia" w:ascii="宋体" w:hAnsi="宋体"/>
          <w:color w:val="auto"/>
          <w:szCs w:val="21"/>
        </w:rPr>
        <w:t>及</w:t>
      </w:r>
      <w:r>
        <w:rPr>
          <w:rFonts w:hint="eastAsia" w:hAnsi="宋体"/>
          <w:bCs/>
          <w:color w:val="auto"/>
          <w:szCs w:val="21"/>
        </w:rPr>
        <w:t>地点提交响应文件。电子响应文件应在制作完成后，</w:t>
      </w:r>
      <w:r>
        <w:rPr>
          <w:rFonts w:hAnsi="宋体"/>
          <w:bCs/>
          <w:color w:val="auto"/>
          <w:szCs w:val="21"/>
        </w:rPr>
        <w:t>在</w:t>
      </w:r>
      <w:r>
        <w:rPr>
          <w:rFonts w:hint="eastAsia" w:hAnsi="宋体"/>
          <w:bCs/>
          <w:color w:val="auto"/>
          <w:szCs w:val="21"/>
        </w:rPr>
        <w:t>提交响应文件截止</w:t>
      </w:r>
      <w:r>
        <w:rPr>
          <w:rFonts w:hAnsi="宋体"/>
          <w:bCs/>
          <w:color w:val="auto"/>
          <w:szCs w:val="21"/>
        </w:rPr>
        <w:t>时间前</w:t>
      </w:r>
      <w:r>
        <w:rPr>
          <w:rFonts w:hint="eastAsia" w:hAnsi="宋体"/>
          <w:bCs/>
          <w:color w:val="auto"/>
          <w:szCs w:val="21"/>
        </w:rPr>
        <w:t>通过有效数字证书（CA认证锁）进行电子签章、加密，然后通过网络将加密的电子响应文件提交至</w:t>
      </w:r>
      <w:r>
        <w:rPr>
          <w:rFonts w:hint="eastAsia" w:ascii="宋体" w:hAnsi="宋体"/>
          <w:color w:val="auto"/>
          <w:szCs w:val="21"/>
        </w:rPr>
        <w:t>广西政府采购云平台</w:t>
      </w:r>
      <w:r>
        <w:rPr>
          <w:rFonts w:hint="eastAsia" w:hAnsi="宋体"/>
          <w:bCs/>
          <w:color w:val="auto"/>
          <w:szCs w:val="21"/>
        </w:rPr>
        <w:t xml:space="preserve">。 </w:t>
      </w:r>
      <w:r>
        <w:rPr>
          <w:rFonts w:hint="eastAsia" w:hAnsi="宋体"/>
          <w:b/>
          <w:color w:val="auto"/>
        </w:rPr>
        <w:t xml:space="preserve"> </w:t>
      </w:r>
    </w:p>
    <w:p w14:paraId="4DD23122">
      <w:pPr>
        <w:spacing w:line="360" w:lineRule="auto"/>
        <w:ind w:firstLine="422" w:firstLineChars="200"/>
        <w:rPr>
          <w:rFonts w:ascii="宋体" w:hAnsi="宋体"/>
          <w:b/>
          <w:color w:val="auto"/>
          <w:szCs w:val="20"/>
        </w:rPr>
      </w:pPr>
      <w:r>
        <w:rPr>
          <w:rFonts w:hint="eastAsia" w:ascii="宋体" w:hAnsi="宋体"/>
          <w:b/>
          <w:color w:val="auto"/>
          <w:szCs w:val="21"/>
        </w:rPr>
        <w:t>20.</w:t>
      </w:r>
      <w:r>
        <w:rPr>
          <w:rFonts w:ascii="宋体" w:hAnsi="宋体"/>
          <w:b/>
          <w:color w:val="auto"/>
          <w:szCs w:val="21"/>
        </w:rPr>
        <w:t>2</w:t>
      </w:r>
      <w:r>
        <w:rPr>
          <w:rFonts w:hint="eastAsia" w:ascii="宋体" w:hAnsi="宋体"/>
          <w:b/>
          <w:color w:val="auto"/>
          <w:szCs w:val="21"/>
        </w:rPr>
        <w:t>未在规定时间内提交或者未按照谈判文件要求加密的电子响应文件，广西政府采购云平台将拒收。</w:t>
      </w:r>
    </w:p>
    <w:p w14:paraId="13B33F5F">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21.首次响应文件的补充、修改与撤回</w:t>
      </w:r>
    </w:p>
    <w:p w14:paraId="5D495B63">
      <w:pPr>
        <w:spacing w:line="360" w:lineRule="auto"/>
        <w:ind w:firstLine="420"/>
        <w:jc w:val="left"/>
        <w:rPr>
          <w:rFonts w:ascii="宋体" w:hAnsi="宋体"/>
          <w:color w:val="auto"/>
          <w:szCs w:val="21"/>
        </w:rPr>
      </w:pPr>
      <w:r>
        <w:rPr>
          <w:rFonts w:ascii="宋体" w:hAnsi="宋体" w:cs="宋体"/>
          <w:color w:val="auto"/>
          <w:szCs w:val="21"/>
        </w:rPr>
        <w:t>2</w:t>
      </w:r>
      <w:r>
        <w:rPr>
          <w:rFonts w:hint="eastAsia" w:ascii="宋体" w:hAnsi="宋体" w:cs="宋体"/>
          <w:color w:val="auto"/>
          <w:szCs w:val="21"/>
        </w:rPr>
        <w:t>1.1</w:t>
      </w:r>
      <w:r>
        <w:rPr>
          <w:rFonts w:hint="eastAsia" w:ascii="宋体" w:hAnsi="宋体"/>
          <w:bCs/>
          <w:color w:val="auto"/>
          <w:szCs w:val="21"/>
        </w:rPr>
        <w:t>供应商应当在</w:t>
      </w:r>
      <w:r>
        <w:rPr>
          <w:rFonts w:hint="eastAsia" w:hAnsi="宋体"/>
          <w:bCs/>
          <w:color w:val="auto"/>
          <w:szCs w:val="21"/>
        </w:rPr>
        <w:t>提交响应文件截止</w:t>
      </w:r>
      <w:r>
        <w:rPr>
          <w:rFonts w:hAnsi="宋体"/>
          <w:bCs/>
          <w:color w:val="auto"/>
          <w:szCs w:val="21"/>
        </w:rPr>
        <w:t>时间</w:t>
      </w:r>
      <w:r>
        <w:rPr>
          <w:rFonts w:hint="eastAsia" w:ascii="宋体" w:hAnsi="宋体"/>
          <w:bCs/>
          <w:color w:val="auto"/>
          <w:szCs w:val="21"/>
        </w:rPr>
        <w:t>前完成电子响应文件的提交（上传），在</w:t>
      </w:r>
      <w:r>
        <w:rPr>
          <w:rFonts w:hint="eastAsia" w:hAnsi="宋体"/>
          <w:bCs/>
          <w:color w:val="auto"/>
          <w:szCs w:val="21"/>
        </w:rPr>
        <w:t>提交响应文件截止</w:t>
      </w:r>
      <w:r>
        <w:rPr>
          <w:rFonts w:hAnsi="宋体"/>
          <w:bCs/>
          <w:color w:val="auto"/>
          <w:szCs w:val="21"/>
        </w:rPr>
        <w:t>时间</w:t>
      </w:r>
      <w:r>
        <w:rPr>
          <w:rFonts w:hint="eastAsia" w:hAnsi="宋体"/>
          <w:bCs/>
          <w:color w:val="auto"/>
          <w:szCs w:val="21"/>
        </w:rPr>
        <w:t>前</w:t>
      </w:r>
      <w:r>
        <w:rPr>
          <w:rFonts w:hint="eastAsia" w:ascii="宋体" w:hAnsi="宋体"/>
          <w:bCs/>
          <w:color w:val="auto"/>
          <w:szCs w:val="21"/>
        </w:rPr>
        <w:t>可以补充、修改或者撤回响应文件。补充或者修改响应文件的，应当先行撤回原响应文件，补充、修改后重新提交（上传），</w:t>
      </w:r>
      <w:r>
        <w:rPr>
          <w:rFonts w:hint="eastAsia" w:hAnsi="宋体"/>
          <w:bCs/>
          <w:color w:val="auto"/>
          <w:szCs w:val="21"/>
        </w:rPr>
        <w:t>提交响应文件截止</w:t>
      </w:r>
      <w:r>
        <w:rPr>
          <w:rFonts w:hAnsi="宋体"/>
          <w:bCs/>
          <w:color w:val="auto"/>
          <w:szCs w:val="21"/>
        </w:rPr>
        <w:t>时间</w:t>
      </w:r>
      <w:r>
        <w:rPr>
          <w:rFonts w:hint="eastAsia" w:hAnsi="宋体"/>
          <w:bCs/>
          <w:color w:val="auto"/>
          <w:szCs w:val="21"/>
        </w:rPr>
        <w:t>前</w:t>
      </w:r>
      <w:r>
        <w:rPr>
          <w:rFonts w:hint="eastAsia" w:ascii="宋体" w:hAnsi="宋体"/>
          <w:bCs/>
          <w:color w:val="auto"/>
          <w:szCs w:val="21"/>
        </w:rPr>
        <w:t>未完成提交（上传）的，视为撤回响应文件。</w:t>
      </w:r>
      <w:r>
        <w:rPr>
          <w:rFonts w:hint="eastAsia" w:hAnsi="宋体"/>
          <w:bCs/>
          <w:color w:val="auto"/>
          <w:szCs w:val="21"/>
        </w:rPr>
        <w:t>提交响应文件截止</w:t>
      </w:r>
      <w:r>
        <w:rPr>
          <w:rFonts w:hAnsi="宋体"/>
          <w:bCs/>
          <w:color w:val="auto"/>
          <w:szCs w:val="21"/>
        </w:rPr>
        <w:t>时间</w:t>
      </w:r>
      <w:r>
        <w:rPr>
          <w:rFonts w:hint="eastAsia" w:ascii="宋体" w:hAnsi="宋体"/>
          <w:bCs/>
          <w:color w:val="auto"/>
          <w:szCs w:val="21"/>
        </w:rPr>
        <w:t>以后提交（上传）的响应文件，广西政府采购云平台将予以拒收。</w:t>
      </w:r>
      <w:r>
        <w:rPr>
          <w:rFonts w:hint="eastAsia" w:ascii="宋体" w:hAnsi="宋体" w:cs="宋体"/>
          <w:color w:val="auto"/>
          <w:szCs w:val="21"/>
        </w:rPr>
        <w:t>（补充、修改或者撤回方式可</w:t>
      </w:r>
      <w:r>
        <w:rPr>
          <w:rFonts w:hint="eastAsia" w:ascii="宋体" w:hAnsi="宋体"/>
          <w:color w:val="auto"/>
          <w:szCs w:val="21"/>
        </w:rPr>
        <w:t>登录</w:t>
      </w:r>
      <w:r>
        <w:rPr>
          <w:rFonts w:hint="eastAsia" w:ascii="宋体" w:hAnsi="宋体" w:cs="宋体"/>
          <w:color w:val="auto"/>
          <w:kern w:val="0"/>
          <w:szCs w:val="21"/>
        </w:rPr>
        <w:t>广西政府采购云平台，</w:t>
      </w:r>
      <w:r>
        <w:rPr>
          <w:rFonts w:hint="eastAsia" w:ascii="宋体" w:hAnsi="宋体"/>
          <w:color w:val="auto"/>
          <w:szCs w:val="21"/>
        </w:rPr>
        <w:t>进入“服务中心”中查看</w:t>
      </w:r>
      <w:r>
        <w:rPr>
          <w:rFonts w:hint="eastAsia" w:ascii="宋体" w:hAnsi="宋体" w:cs="宋体"/>
          <w:color w:val="auto"/>
          <w:szCs w:val="21"/>
        </w:rPr>
        <w:t xml:space="preserve"> “电子投标文件制作与投送教程”）</w:t>
      </w:r>
    </w:p>
    <w:p w14:paraId="09441326">
      <w:pPr>
        <w:pStyle w:val="75"/>
        <w:spacing w:before="0"/>
        <w:ind w:firstLine="420"/>
        <w:rPr>
          <w:rFonts w:ascii="宋体" w:hAnsi="宋体" w:cs="宋体"/>
          <w:color w:val="auto"/>
          <w:sz w:val="21"/>
          <w:szCs w:val="21"/>
        </w:rPr>
      </w:pPr>
      <w:r>
        <w:rPr>
          <w:rFonts w:ascii="宋体" w:hAnsi="宋体" w:cs="宋体"/>
          <w:color w:val="auto"/>
          <w:sz w:val="21"/>
          <w:szCs w:val="21"/>
        </w:rPr>
        <w:t>2</w:t>
      </w:r>
      <w:r>
        <w:rPr>
          <w:rFonts w:hint="eastAsia" w:ascii="宋体" w:hAnsi="宋体" w:cs="宋体"/>
          <w:color w:val="auto"/>
          <w:sz w:val="21"/>
          <w:szCs w:val="21"/>
        </w:rPr>
        <w:t>1</w:t>
      </w:r>
      <w:r>
        <w:rPr>
          <w:rFonts w:ascii="宋体" w:hAnsi="宋体" w:cs="宋体"/>
          <w:color w:val="auto"/>
          <w:sz w:val="21"/>
          <w:szCs w:val="21"/>
        </w:rPr>
        <w:t>.</w:t>
      </w:r>
      <w:r>
        <w:rPr>
          <w:rFonts w:hint="eastAsia" w:ascii="宋体" w:hAnsi="宋体" w:cs="宋体"/>
          <w:color w:val="auto"/>
          <w:sz w:val="21"/>
          <w:szCs w:val="21"/>
        </w:rPr>
        <w:t>2在提交响应文件截止时间前，除供应商补充、修改或者撤回响应文件外，任何单位和个人不得解密或提取响应文件。</w:t>
      </w:r>
    </w:p>
    <w:p w14:paraId="1798E6FD">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22.响应文件的退回</w:t>
      </w:r>
    </w:p>
    <w:p w14:paraId="60F8E6A5">
      <w:pPr>
        <w:spacing w:line="360" w:lineRule="auto"/>
        <w:ind w:firstLine="420" w:firstLineChars="200"/>
        <w:rPr>
          <w:rFonts w:ascii="宋体" w:hAnsi="宋体" w:cs="宋体"/>
          <w:color w:val="auto"/>
          <w:szCs w:val="21"/>
        </w:rPr>
      </w:pPr>
      <w:r>
        <w:rPr>
          <w:rFonts w:hint="eastAsia" w:ascii="宋体" w:hAnsi="宋体" w:cs="宋体"/>
          <w:color w:val="auto"/>
          <w:szCs w:val="21"/>
        </w:rPr>
        <w:t>采购人和采购代理机构对已提交的响应文件概不退回。</w:t>
      </w:r>
    </w:p>
    <w:p w14:paraId="04457BA9">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23.截止时间后的撤回</w:t>
      </w:r>
    </w:p>
    <w:p w14:paraId="0420FC24">
      <w:pPr>
        <w:spacing w:line="360" w:lineRule="auto"/>
        <w:ind w:firstLine="420" w:firstLineChars="200"/>
        <w:rPr>
          <w:rFonts w:ascii="宋体" w:hAnsi="宋体"/>
          <w:color w:val="auto"/>
          <w:szCs w:val="21"/>
        </w:rPr>
      </w:pPr>
      <w:r>
        <w:rPr>
          <w:rFonts w:hint="eastAsia" w:ascii="宋体" w:hAnsi="宋体" w:cs="宋体"/>
          <w:color w:val="auto"/>
          <w:szCs w:val="21"/>
        </w:rPr>
        <w:t>供应商在响应文件提交截止时间后向采购人、采购代理机构书面申请撤回响应文件的，将根据本须知正文第17.4条的规定不予退还其竞标保证金。</w:t>
      </w:r>
    </w:p>
    <w:p w14:paraId="73835B3A">
      <w:pPr>
        <w:spacing w:line="360" w:lineRule="auto"/>
        <w:jc w:val="center"/>
        <w:rPr>
          <w:rFonts w:ascii="宋体" w:hAnsi="宋体"/>
          <w:b/>
          <w:color w:val="auto"/>
          <w:sz w:val="32"/>
          <w:szCs w:val="32"/>
        </w:rPr>
      </w:pPr>
      <w:r>
        <w:rPr>
          <w:rFonts w:hint="eastAsia" w:ascii="宋体" w:hAnsi="宋体"/>
          <w:b/>
          <w:color w:val="auto"/>
          <w:sz w:val="32"/>
          <w:szCs w:val="32"/>
        </w:rPr>
        <w:t>四、评审及谈判</w:t>
      </w:r>
    </w:p>
    <w:p w14:paraId="6559D47F">
      <w:pPr>
        <w:spacing w:line="360" w:lineRule="auto"/>
        <w:ind w:left="420" w:firstLine="420"/>
        <w:rPr>
          <w:rFonts w:ascii="宋体" w:hAnsi="宋体"/>
          <w:color w:val="auto"/>
          <w:szCs w:val="21"/>
        </w:rPr>
      </w:pPr>
    </w:p>
    <w:p w14:paraId="64229EAF">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24.谈判小组成立</w:t>
      </w:r>
    </w:p>
    <w:p w14:paraId="4B147DF3">
      <w:pPr>
        <w:spacing w:line="360" w:lineRule="auto"/>
        <w:ind w:firstLine="420" w:firstLineChars="200"/>
        <w:rPr>
          <w:rFonts w:ascii="宋体" w:hAnsi="宋体" w:cs="宋体"/>
          <w:color w:val="auto"/>
          <w:szCs w:val="21"/>
        </w:rPr>
      </w:pPr>
      <w:r>
        <w:rPr>
          <w:rFonts w:hint="eastAsia" w:ascii="宋体" w:hAnsi="宋体" w:cs="宋体"/>
          <w:color w:val="auto"/>
          <w:szCs w:val="21"/>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4CC89E0D">
      <w:pPr>
        <w:spacing w:line="360" w:lineRule="auto"/>
        <w:ind w:firstLine="420" w:firstLineChars="200"/>
        <w:rPr>
          <w:rFonts w:ascii="宋体" w:hAnsi="宋体" w:cs="宋体"/>
          <w:color w:val="auto"/>
          <w:szCs w:val="21"/>
        </w:rPr>
      </w:pPr>
      <w:r>
        <w:rPr>
          <w:rFonts w:hint="eastAsia" w:ascii="宋体" w:hAnsi="宋体" w:cs="宋体"/>
          <w:color w:val="auto"/>
          <w:szCs w:val="21"/>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19C6C5BD">
      <w:pPr>
        <w:spacing w:line="360" w:lineRule="auto"/>
        <w:ind w:firstLine="420" w:firstLineChars="200"/>
        <w:rPr>
          <w:rFonts w:ascii="宋体" w:hAnsi="宋体" w:cs="宋体"/>
          <w:color w:val="auto"/>
          <w:szCs w:val="21"/>
        </w:rPr>
      </w:pPr>
      <w:r>
        <w:rPr>
          <w:rFonts w:hint="eastAsia" w:ascii="宋体" w:hAnsi="宋体" w:cs="宋体"/>
          <w:color w:val="auto"/>
          <w:szCs w:val="21"/>
        </w:rPr>
        <w:t>24.3</w:t>
      </w:r>
      <w:r>
        <w:rPr>
          <w:rFonts w:hint="eastAsia" w:hAnsi="宋体"/>
          <w:bCs/>
          <w:color w:val="auto"/>
          <w:szCs w:val="21"/>
        </w:rPr>
        <w:t>采购代理机构</w:t>
      </w:r>
      <w:r>
        <w:rPr>
          <w:rFonts w:hint="eastAsia" w:hAnsi="宋体"/>
          <w:bCs/>
          <w:color w:val="auto"/>
        </w:rPr>
        <w:t>应当</w:t>
      </w:r>
      <w:r>
        <w:rPr>
          <w:rFonts w:hint="eastAsia" w:hAnsi="宋体"/>
          <w:bCs/>
          <w:color w:val="auto"/>
          <w:szCs w:val="21"/>
        </w:rPr>
        <w:t>基于广西政府采购云平台</w:t>
      </w:r>
      <w:r>
        <w:rPr>
          <w:rFonts w:hint="eastAsia" w:hAnsi="宋体"/>
          <w:bCs/>
          <w:color w:val="auto"/>
        </w:rPr>
        <w:t>抽（选）取</w:t>
      </w:r>
      <w:r>
        <w:rPr>
          <w:rFonts w:hint="eastAsia" w:hAnsi="宋体"/>
          <w:bCs/>
          <w:color w:val="auto"/>
          <w:szCs w:val="21"/>
        </w:rPr>
        <w:t>评审专家。</w:t>
      </w:r>
    </w:p>
    <w:p w14:paraId="5AAD5DCC">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25.</w:t>
      </w:r>
      <w:r>
        <w:rPr>
          <w:rFonts w:hint="eastAsia" w:ascii="黑体" w:hAnsi="黑体" w:eastAsia="黑体" w:cs="宋体"/>
          <w:b/>
          <w:bCs/>
          <w:color w:val="auto"/>
          <w:sz w:val="24"/>
        </w:rPr>
        <w:t xml:space="preserve"> 首次响应文件的开启和解密</w:t>
      </w:r>
    </w:p>
    <w:p w14:paraId="1561733A">
      <w:pPr>
        <w:spacing w:line="360" w:lineRule="auto"/>
        <w:ind w:firstLine="420"/>
        <w:rPr>
          <w:b/>
          <w:color w:val="auto"/>
        </w:rPr>
      </w:pPr>
      <w:r>
        <w:rPr>
          <w:rFonts w:hint="eastAsia" w:hAnsi="宋体"/>
          <w:bCs/>
          <w:color w:val="auto"/>
        </w:rPr>
        <w:t>25.1采购代理机构将在“供应商须知前附表”规定的时</w:t>
      </w:r>
      <w:r>
        <w:rPr>
          <w:rFonts w:hint="eastAsia" w:hAnsi="宋体"/>
          <w:color w:val="auto"/>
        </w:rPr>
        <w:t>间通过电子交易平台组织响应文件开启，供应商的法定代表人或其委托代理人须携带加密时所用的CA锁，按平台提示和谈判文件的规定登录到广西政府采购云平台电子开标大厅签到，</w:t>
      </w:r>
      <w:r>
        <w:rPr>
          <w:rFonts w:hint="eastAsia"/>
          <w:color w:val="auto"/>
        </w:rPr>
        <w:t>采购代理机构依托广西政府采购云平台向各供应商发出电子加密响应文件【开始解密】通知，由供应商按</w:t>
      </w:r>
      <w:r>
        <w:rPr>
          <w:rFonts w:hint="eastAsia" w:hAnsi="宋体"/>
          <w:bCs/>
          <w:color w:val="auto"/>
          <w:szCs w:val="21"/>
        </w:rPr>
        <w:t>“供应商须知前附表”</w:t>
      </w:r>
      <w:r>
        <w:rPr>
          <w:rFonts w:hint="eastAsia"/>
          <w:color w:val="auto"/>
        </w:rPr>
        <w:t>规定的时间内自行进行响应文件解密</w:t>
      </w:r>
      <w:r>
        <w:rPr>
          <w:rFonts w:hint="eastAsia" w:hAnsi="宋体"/>
          <w:color w:val="auto"/>
        </w:rPr>
        <w:t>。</w:t>
      </w:r>
      <w:r>
        <w:rPr>
          <w:rFonts w:hint="eastAsia"/>
          <w:b/>
          <w:color w:val="auto"/>
        </w:rPr>
        <w:t>供应商未在</w:t>
      </w:r>
      <w:r>
        <w:rPr>
          <w:b/>
          <w:color w:val="auto"/>
        </w:rPr>
        <w:t>规定的时间内解密</w:t>
      </w:r>
      <w:r>
        <w:rPr>
          <w:rFonts w:hint="eastAsia"/>
          <w:b/>
          <w:color w:val="auto"/>
        </w:rPr>
        <w:t>响应文件</w:t>
      </w:r>
      <w:r>
        <w:rPr>
          <w:b/>
          <w:color w:val="auto"/>
        </w:rPr>
        <w:t>或</w:t>
      </w:r>
      <w:r>
        <w:rPr>
          <w:rFonts w:hint="eastAsia"/>
          <w:b/>
          <w:color w:val="auto"/>
        </w:rPr>
        <w:t>者</w:t>
      </w:r>
      <w:r>
        <w:rPr>
          <w:b/>
          <w:color w:val="auto"/>
        </w:rPr>
        <w:t>解密失败的</w:t>
      </w:r>
      <w:r>
        <w:rPr>
          <w:rFonts w:hint="eastAsia"/>
          <w:b/>
          <w:color w:val="auto"/>
        </w:rPr>
        <w:t>，供应商</w:t>
      </w:r>
      <w:r>
        <w:rPr>
          <w:rFonts w:hint="eastAsia" w:ascii="宋体" w:hAnsi="宋体"/>
          <w:b/>
          <w:color w:val="auto"/>
          <w:szCs w:val="21"/>
        </w:rPr>
        <w:t>的响应文件作无效处理</w:t>
      </w:r>
      <w:r>
        <w:rPr>
          <w:b/>
          <w:color w:val="auto"/>
        </w:rPr>
        <w:t>。</w:t>
      </w:r>
    </w:p>
    <w:p w14:paraId="29944B23">
      <w:pPr>
        <w:spacing w:line="360" w:lineRule="auto"/>
        <w:ind w:firstLine="420"/>
        <w:rPr>
          <w:b/>
          <w:color w:val="auto"/>
        </w:rPr>
      </w:pPr>
      <w:r>
        <w:rPr>
          <w:rFonts w:hint="eastAsia"/>
          <w:b/>
          <w:color w:val="auto"/>
        </w:rPr>
        <w:t>25.2本项目采用远程异地评审。崇左市的专家到广西崇左市友谊大道与城南八路交叉口东南角处（崇左建设大厦/百成财富2#楼十三层）云之龙咨询集团有限公司崇左分公司参加评审；百色市的专家到百色市右江区迎龙路70号百色建通时代广场（竹洲大桥旁）二号楼A座二十层云之龙咨询集团有限公司百色分公司参加评审。</w:t>
      </w:r>
    </w:p>
    <w:p w14:paraId="5D7E73CD">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26</w:t>
      </w:r>
      <w:r>
        <w:rPr>
          <w:rFonts w:hint="eastAsia" w:ascii="黑体" w:hAnsi="黑体" w:eastAsia="黑体" w:cs="宋体"/>
          <w:b/>
          <w:bCs/>
          <w:color w:val="auto"/>
          <w:sz w:val="24"/>
        </w:rPr>
        <w:t>. 评审程序和评定成交的标准</w:t>
      </w:r>
    </w:p>
    <w:p w14:paraId="5A0B2FAA">
      <w:pPr>
        <w:spacing w:line="360" w:lineRule="auto"/>
        <w:ind w:firstLine="420" w:firstLineChars="200"/>
        <w:rPr>
          <w:color w:val="auto"/>
        </w:rPr>
      </w:pPr>
      <w:r>
        <w:rPr>
          <w:rFonts w:hint="eastAsia"/>
          <w:color w:val="auto"/>
        </w:rPr>
        <w:t>26.1谈判小组按照“第四章  评审程序和评定成交的标准”规定的评审程序对响应文件进行评审，并按照评定成交的标准推荐成交候选供应商。评审价相同时，成交候选供应商推荐顺序见</w:t>
      </w:r>
      <w:r>
        <w:rPr>
          <w:rFonts w:hint="eastAsia" w:ascii="宋体" w:hAnsi="宋体"/>
          <w:color w:val="auto"/>
          <w:szCs w:val="21"/>
        </w:rPr>
        <w:t>“供应商须知前附表”。</w:t>
      </w:r>
    </w:p>
    <w:p w14:paraId="66F9095A">
      <w:pPr>
        <w:spacing w:line="360" w:lineRule="auto"/>
        <w:ind w:firstLine="420" w:firstLineChars="200"/>
        <w:rPr>
          <w:rFonts w:ascii="宋体" w:hAnsi="宋体"/>
          <w:color w:val="auto"/>
          <w:szCs w:val="21"/>
        </w:rPr>
      </w:pPr>
      <w:r>
        <w:rPr>
          <w:rFonts w:hint="eastAsia" w:ascii="宋体" w:hAnsi="宋体"/>
          <w:color w:val="auto"/>
          <w:szCs w:val="21"/>
        </w:rPr>
        <w:t>2</w:t>
      </w:r>
      <w:r>
        <w:rPr>
          <w:rFonts w:ascii="宋体" w:hAnsi="宋体"/>
          <w:color w:val="auto"/>
          <w:szCs w:val="21"/>
        </w:rPr>
        <w:t xml:space="preserve">6.2 </w:t>
      </w:r>
      <w:r>
        <w:rPr>
          <w:rFonts w:hint="eastAsia" w:ascii="宋体" w:hAnsi="宋体"/>
          <w:color w:val="auto"/>
          <w:szCs w:val="21"/>
        </w:rPr>
        <w:t>商务/技术要求允许负偏离的条款数详见“供应商须知前附表”。</w:t>
      </w:r>
    </w:p>
    <w:p w14:paraId="72BC520E">
      <w:pPr>
        <w:spacing w:line="360" w:lineRule="auto"/>
        <w:ind w:firstLine="420" w:firstLineChars="200"/>
        <w:rPr>
          <w:rFonts w:ascii="宋体" w:hAnsi="宋体"/>
          <w:color w:val="auto"/>
          <w:szCs w:val="21"/>
        </w:rPr>
      </w:pPr>
      <w:r>
        <w:rPr>
          <w:rFonts w:hint="eastAsia" w:ascii="宋体" w:hAnsi="宋体" w:cs="宋体"/>
          <w:color w:val="auto"/>
        </w:rPr>
        <w:t>26.3谈判小组成员要依法独立评审，并对评审意见承担个人责任。谈判小组成员对需要共同认定的事项存在争议的，按照少数服从多数的原则作出结论。持不同意见的谈判小组成员应当在评审报告上签署不同意见并说明理由，否则视为同意。</w:t>
      </w:r>
    </w:p>
    <w:p w14:paraId="4882F4AD">
      <w:pPr>
        <w:spacing w:line="360" w:lineRule="auto"/>
        <w:ind w:firstLine="420" w:firstLineChars="200"/>
        <w:rPr>
          <w:rFonts w:hAnsi="宋体"/>
          <w:color w:val="auto"/>
        </w:rPr>
      </w:pPr>
      <w:r>
        <w:rPr>
          <w:rFonts w:hint="eastAsia" w:ascii="宋体" w:hAnsi="宋体"/>
          <w:color w:val="auto"/>
        </w:rPr>
        <w:t>2</w:t>
      </w:r>
      <w:r>
        <w:rPr>
          <w:rFonts w:ascii="宋体" w:hAnsi="宋体"/>
          <w:color w:val="auto"/>
        </w:rPr>
        <w:t>6.</w:t>
      </w:r>
      <w:r>
        <w:rPr>
          <w:rFonts w:hint="eastAsia" w:ascii="宋体" w:hAnsi="宋体"/>
          <w:color w:val="auto"/>
        </w:rPr>
        <w:t>4</w:t>
      </w:r>
      <w:r>
        <w:rPr>
          <w:rFonts w:hint="eastAsia" w:hAnsi="宋体"/>
          <w:color w:val="auto"/>
        </w:rPr>
        <w:t>电子交易活动的中止。采购过程中出现以下情形，导致电子交易平台无法正常运行，或者无法保证电子交易的公平、公正和安全时，采购机构可中止电子交易活动：</w:t>
      </w:r>
    </w:p>
    <w:p w14:paraId="2107F003">
      <w:pPr>
        <w:spacing w:line="360" w:lineRule="auto"/>
        <w:ind w:firstLine="420" w:firstLineChars="200"/>
        <w:rPr>
          <w:rFonts w:hAnsi="宋体"/>
          <w:color w:val="auto"/>
        </w:rPr>
      </w:pPr>
      <w:r>
        <w:rPr>
          <w:rFonts w:hint="eastAsia" w:hAnsi="宋体"/>
          <w:color w:val="auto"/>
        </w:rPr>
        <w:t xml:space="preserve">（1）电子交易平台发生故障而无法登录访问的； </w:t>
      </w:r>
    </w:p>
    <w:p w14:paraId="2CBAFF1A">
      <w:pPr>
        <w:spacing w:line="360" w:lineRule="auto"/>
        <w:ind w:firstLine="420" w:firstLineChars="200"/>
        <w:rPr>
          <w:rFonts w:hAnsi="宋体"/>
          <w:color w:val="auto"/>
        </w:rPr>
      </w:pPr>
      <w:r>
        <w:rPr>
          <w:rFonts w:hint="eastAsia" w:hAnsi="宋体"/>
          <w:color w:val="auto"/>
        </w:rPr>
        <w:t>（2）电子交易平台应用或数据库出现错误，不能进行正常操作的；</w:t>
      </w:r>
    </w:p>
    <w:p w14:paraId="7F054744">
      <w:pPr>
        <w:spacing w:line="360" w:lineRule="auto"/>
        <w:ind w:firstLine="420" w:firstLineChars="200"/>
        <w:rPr>
          <w:rFonts w:hAnsi="宋体"/>
          <w:color w:val="auto"/>
        </w:rPr>
      </w:pPr>
      <w:r>
        <w:rPr>
          <w:rFonts w:hint="eastAsia" w:hAnsi="宋体"/>
          <w:color w:val="auto"/>
        </w:rPr>
        <w:t>（3）电子交易平台发现严重安全漏洞，有潜在泄密危险的；</w:t>
      </w:r>
    </w:p>
    <w:p w14:paraId="19D64383">
      <w:pPr>
        <w:spacing w:line="360" w:lineRule="auto"/>
        <w:ind w:firstLine="420" w:firstLineChars="200"/>
        <w:rPr>
          <w:rFonts w:hAnsi="宋体"/>
          <w:color w:val="auto"/>
        </w:rPr>
      </w:pPr>
      <w:r>
        <w:rPr>
          <w:rFonts w:hint="eastAsia" w:hAnsi="宋体"/>
          <w:color w:val="auto"/>
        </w:rPr>
        <w:t xml:space="preserve">（4）病毒发作导致不能进行正常操作的； </w:t>
      </w:r>
    </w:p>
    <w:p w14:paraId="28960C76">
      <w:pPr>
        <w:spacing w:line="360" w:lineRule="auto"/>
        <w:ind w:firstLine="420" w:firstLineChars="200"/>
        <w:rPr>
          <w:rFonts w:hAnsi="宋体"/>
          <w:color w:val="auto"/>
        </w:rPr>
      </w:pPr>
      <w:r>
        <w:rPr>
          <w:rFonts w:hint="eastAsia" w:hAnsi="宋体"/>
          <w:color w:val="auto"/>
        </w:rPr>
        <w:t>（5）其他无法保证电子交易的公平、公正和安全的情况。</w:t>
      </w:r>
    </w:p>
    <w:p w14:paraId="200DCBCE">
      <w:pPr>
        <w:spacing w:line="360" w:lineRule="auto"/>
        <w:ind w:firstLine="420" w:firstLineChars="200"/>
        <w:rPr>
          <w:rFonts w:hAnsi="宋体"/>
          <w:color w:val="auto"/>
        </w:rPr>
      </w:pPr>
      <w:r>
        <w:rPr>
          <w:rFonts w:hint="eastAsia" w:ascii="宋体" w:hAnsi="宋体"/>
          <w:color w:val="auto"/>
        </w:rPr>
        <w:t>26.</w:t>
      </w:r>
      <w:r>
        <w:rPr>
          <w:rFonts w:ascii="宋体" w:hAnsi="宋体"/>
          <w:color w:val="auto"/>
        </w:rPr>
        <w:t>5</w:t>
      </w:r>
      <w:r>
        <w:rPr>
          <w:rFonts w:hint="eastAsia" w:hAnsi="宋体"/>
          <w:color w:val="auto"/>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做出妥善保密处理，并报财政部门备案。</w:t>
      </w:r>
    </w:p>
    <w:p w14:paraId="5154373C">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27</w:t>
      </w:r>
      <w:r>
        <w:rPr>
          <w:rFonts w:hint="eastAsia" w:ascii="黑体" w:hAnsi="黑体" w:eastAsia="黑体" w:cs="宋体"/>
          <w:b/>
          <w:bCs/>
          <w:color w:val="auto"/>
          <w:sz w:val="24"/>
        </w:rPr>
        <w:t>.确定成交供应商及结果公告</w:t>
      </w:r>
    </w:p>
    <w:p w14:paraId="333C2EEF">
      <w:pPr>
        <w:spacing w:line="360" w:lineRule="auto"/>
        <w:ind w:firstLine="420" w:firstLineChars="200"/>
        <w:rPr>
          <w:rFonts w:ascii="宋体" w:hAnsi="宋体" w:cs="宋体"/>
          <w:color w:val="auto"/>
          <w:szCs w:val="21"/>
        </w:rPr>
      </w:pPr>
      <w:r>
        <w:rPr>
          <w:rFonts w:ascii="宋体" w:hAnsi="宋体" w:cs="宋体"/>
          <w:color w:val="auto"/>
          <w:szCs w:val="21"/>
        </w:rPr>
        <w:t>27</w:t>
      </w:r>
      <w:r>
        <w:rPr>
          <w:rFonts w:hint="eastAsia" w:ascii="宋体" w:hAnsi="宋体" w:cs="宋体"/>
          <w:color w:val="auto"/>
          <w:szCs w:val="21"/>
        </w:rPr>
        <w:t>.1</w:t>
      </w:r>
      <w:r>
        <w:rPr>
          <w:rFonts w:hint="eastAsia" w:ascii="宋体" w:hAnsi="宋体" w:cs="宋体"/>
          <w:color w:val="auto"/>
          <w:kern w:val="0"/>
          <w:szCs w:val="21"/>
        </w:rPr>
        <w:t xml:space="preserve"> 采购</w:t>
      </w:r>
      <w:r>
        <w:rPr>
          <w:rFonts w:hint="eastAsia" w:ascii="宋体" w:hAnsi="宋体" w:cs="宋体"/>
          <w:color w:val="auto"/>
          <w:szCs w:val="21"/>
        </w:rPr>
        <w:t>代理</w:t>
      </w:r>
      <w:r>
        <w:rPr>
          <w:rFonts w:hint="eastAsia" w:ascii="宋体" w:hAnsi="宋体" w:cs="宋体"/>
          <w:color w:val="auto"/>
          <w:kern w:val="0"/>
          <w:szCs w:val="21"/>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7E55DA08">
      <w:pPr>
        <w:pStyle w:val="21"/>
        <w:spacing w:line="360" w:lineRule="auto"/>
        <w:ind w:firstLine="420" w:firstLineChars="200"/>
        <w:rPr>
          <w:rFonts w:hint="eastAsia" w:ascii="宋体" w:hAnsi="宋体" w:cs="Courier New"/>
          <w:color w:val="auto"/>
          <w:szCs w:val="21"/>
        </w:rPr>
      </w:pPr>
      <w:r>
        <w:rPr>
          <w:rFonts w:ascii="宋体" w:hAnsi="宋体" w:cs="宋体"/>
          <w:color w:val="auto"/>
          <w:kern w:val="0"/>
          <w:szCs w:val="21"/>
        </w:rPr>
        <w:t>27</w:t>
      </w:r>
      <w:r>
        <w:rPr>
          <w:rFonts w:hint="eastAsia" w:ascii="宋体" w:hAnsi="宋体" w:cs="宋体"/>
          <w:color w:val="auto"/>
          <w:kern w:val="0"/>
          <w:szCs w:val="21"/>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s="Courier New"/>
          <w:color w:val="auto"/>
          <w:szCs w:val="21"/>
        </w:rPr>
        <w:t>成交供应商享受《政府采购促进中小企业发展管理办法》（财库〔2020〕46号）规定的中小企业扶持政策的，采购人、采购代理机构应当随成交结果公开成交供应商的《中小企业声明函》。</w:t>
      </w:r>
    </w:p>
    <w:p w14:paraId="04F4C300">
      <w:pPr>
        <w:spacing w:line="360" w:lineRule="auto"/>
        <w:ind w:firstLine="420" w:firstLineChars="200"/>
        <w:contextualSpacing/>
        <w:rPr>
          <w:rFonts w:hint="eastAsia" w:ascii="宋体" w:hAnsi="宋体" w:cs="Courier New"/>
          <w:color w:val="auto"/>
          <w:szCs w:val="21"/>
        </w:rPr>
      </w:pPr>
      <w:r>
        <w:rPr>
          <w:rFonts w:ascii="宋体" w:hAnsi="宋体" w:cs="Courier New"/>
          <w:color w:val="auto"/>
          <w:szCs w:val="21"/>
        </w:rPr>
        <w:t>27</w:t>
      </w:r>
      <w:r>
        <w:rPr>
          <w:rFonts w:hint="eastAsia" w:ascii="宋体" w:hAnsi="宋体" w:cs="Courier New"/>
          <w:color w:val="auto"/>
          <w:szCs w:val="21"/>
        </w:rPr>
        <w:t>.3 采购人、采购代理机构应当随成交结果公开成交供应商的《关于符合本国产品标准的声明函》或有关证明文件。</w:t>
      </w:r>
    </w:p>
    <w:p w14:paraId="3B1FADEA">
      <w:pPr>
        <w:pStyle w:val="3"/>
        <w:spacing w:line="360" w:lineRule="auto"/>
        <w:ind w:firstLine="420" w:firstLineChars="200"/>
        <w:rPr>
          <w:rFonts w:ascii="宋体" w:hAnsi="宋体"/>
          <w:bCs/>
          <w:color w:val="auto"/>
          <w:szCs w:val="21"/>
        </w:rPr>
      </w:pPr>
      <w:r>
        <w:rPr>
          <w:rFonts w:hint="eastAsia" w:ascii="宋体" w:hAnsi="宋体" w:cs="Courier New"/>
          <w:color w:val="auto"/>
          <w:szCs w:val="21"/>
        </w:rPr>
        <w:t>27.</w:t>
      </w:r>
      <w:r>
        <w:rPr>
          <w:rFonts w:ascii="宋体" w:hAnsi="宋体" w:cs="Courier New"/>
          <w:color w:val="auto"/>
          <w:szCs w:val="21"/>
        </w:rPr>
        <w:t>4</w:t>
      </w:r>
      <w:r>
        <w:rPr>
          <w:rFonts w:hint="eastAsia" w:ascii="宋体" w:hAnsi="宋体"/>
          <w:bCs/>
          <w:color w:val="auto"/>
          <w:szCs w:val="21"/>
        </w:rPr>
        <w:t>出现下列情形之一的，采购人或者采购代理机构应当终止竞争性谈判采购活动，发布项目终止公告并说明原因，重新开展采购活动：</w:t>
      </w:r>
    </w:p>
    <w:p w14:paraId="2E8F4663">
      <w:pPr>
        <w:pStyle w:val="3"/>
        <w:spacing w:line="360" w:lineRule="auto"/>
        <w:ind w:firstLine="420" w:firstLineChars="200"/>
        <w:rPr>
          <w:rFonts w:hint="eastAsia" w:ascii="宋体" w:hAnsi="宋体"/>
          <w:bCs/>
          <w:color w:val="auto"/>
          <w:szCs w:val="21"/>
        </w:rPr>
      </w:pPr>
      <w:r>
        <w:rPr>
          <w:rFonts w:hint="eastAsia" w:ascii="宋体" w:hAnsi="宋体"/>
          <w:bCs/>
          <w:color w:val="auto"/>
          <w:szCs w:val="21"/>
        </w:rPr>
        <w:t>（1）因情况变化，不再符合规定的竞争性谈判采购方式适用情形的；</w:t>
      </w:r>
    </w:p>
    <w:p w14:paraId="1FA97853">
      <w:pPr>
        <w:pStyle w:val="3"/>
        <w:spacing w:line="360" w:lineRule="auto"/>
        <w:ind w:firstLine="420" w:firstLineChars="200"/>
        <w:rPr>
          <w:rFonts w:hint="eastAsia" w:ascii="宋体" w:hAnsi="宋体"/>
          <w:bCs/>
          <w:color w:val="auto"/>
          <w:szCs w:val="21"/>
        </w:rPr>
      </w:pPr>
      <w:r>
        <w:rPr>
          <w:rFonts w:hint="eastAsia" w:ascii="宋体" w:hAnsi="宋体"/>
          <w:bCs/>
          <w:color w:val="auto"/>
          <w:szCs w:val="21"/>
        </w:rPr>
        <w:t>（2）出现影响采购公正的违法、违规行为的；</w:t>
      </w:r>
    </w:p>
    <w:p w14:paraId="21197196">
      <w:pPr>
        <w:pStyle w:val="3"/>
        <w:spacing w:line="360" w:lineRule="auto"/>
        <w:ind w:firstLine="420" w:firstLineChars="200"/>
        <w:rPr>
          <w:rFonts w:hint="eastAsia" w:ascii="宋体" w:hAnsi="宋体"/>
          <w:bCs/>
          <w:color w:val="auto"/>
          <w:szCs w:val="21"/>
        </w:rPr>
      </w:pPr>
      <w:r>
        <w:rPr>
          <w:rFonts w:hint="eastAsia" w:ascii="宋体" w:hAnsi="宋体"/>
          <w:bCs/>
          <w:color w:val="auto"/>
          <w:szCs w:val="21"/>
        </w:rPr>
        <w:t>（3）在采购过程中符合竞争要求的供应商或者报价未超过采购预算的供应商不足3家的，但“第四章 评审程序和评定成交的标准”第3.7条规定的情形除外。</w:t>
      </w:r>
    </w:p>
    <w:p w14:paraId="5C352941">
      <w:pPr>
        <w:pStyle w:val="3"/>
        <w:spacing w:line="360" w:lineRule="auto"/>
        <w:ind w:firstLine="420" w:firstLineChars="200"/>
        <w:rPr>
          <w:rFonts w:ascii="宋体" w:hAnsi="宋体"/>
          <w:bCs/>
          <w:color w:val="auto"/>
          <w:szCs w:val="21"/>
        </w:rPr>
      </w:pPr>
      <w:r>
        <w:rPr>
          <w:rFonts w:hint="eastAsia" w:ascii="宋体" w:hAnsi="宋体"/>
          <w:bCs/>
          <w:color w:val="auto"/>
          <w:szCs w:val="21"/>
        </w:rPr>
        <w:t>27.</w:t>
      </w:r>
      <w:r>
        <w:rPr>
          <w:rFonts w:ascii="宋体" w:hAnsi="宋体"/>
          <w:bCs/>
          <w:color w:val="auto"/>
          <w:szCs w:val="21"/>
        </w:rPr>
        <w:t>5</w:t>
      </w:r>
      <w:r>
        <w:rPr>
          <w:rFonts w:hint="eastAsia" w:ascii="宋体" w:hAnsi="宋体"/>
          <w:bCs/>
          <w:color w:val="auto"/>
          <w:szCs w:val="21"/>
        </w:rPr>
        <w:t>在采购活动中因重大变故，采购任务取消的，采购人或者采购代理机构应当终止采购活动，通知所有参加采购活动的供应商，并将项目实施情况和采购任务取消原因报送本级财政部门。</w:t>
      </w:r>
    </w:p>
    <w:p w14:paraId="628A1F10">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28</w:t>
      </w:r>
      <w:r>
        <w:rPr>
          <w:rFonts w:hint="eastAsia" w:ascii="黑体" w:hAnsi="黑体" w:eastAsia="黑体" w:cs="宋体"/>
          <w:b/>
          <w:bCs/>
          <w:color w:val="auto"/>
          <w:sz w:val="24"/>
        </w:rPr>
        <w:t>.履约保证金</w:t>
      </w:r>
    </w:p>
    <w:p w14:paraId="38D0CF22">
      <w:pPr>
        <w:pStyle w:val="21"/>
        <w:spacing w:line="360" w:lineRule="auto"/>
        <w:ind w:firstLine="420" w:firstLineChars="200"/>
        <w:rPr>
          <w:color w:val="auto"/>
        </w:rPr>
      </w:pPr>
      <w:r>
        <w:rPr>
          <w:rFonts w:ascii="宋体" w:hAnsi="宋体" w:cs="宋体"/>
          <w:color w:val="auto"/>
          <w:szCs w:val="21"/>
        </w:rPr>
        <w:t>28</w:t>
      </w:r>
      <w:r>
        <w:rPr>
          <w:rFonts w:hint="eastAsia" w:ascii="宋体" w:hAnsi="宋体" w:cs="宋体"/>
          <w:color w:val="auto"/>
          <w:szCs w:val="21"/>
        </w:rPr>
        <w:t>.1履约保证金的金额、提交方式、退付的时间和条件详见 “供应商须知前附表”。成交供应商未按规定提交履约保证金的，视为拒绝</w:t>
      </w:r>
      <w:r>
        <w:rPr>
          <w:color w:val="auto"/>
        </w:rPr>
        <w:t>与采购人</w:t>
      </w:r>
      <w:r>
        <w:rPr>
          <w:rFonts w:hint="eastAsia" w:ascii="宋体" w:hAnsi="宋体" w:cs="宋体"/>
          <w:color w:val="auto"/>
          <w:szCs w:val="21"/>
        </w:rPr>
        <w:t>签订合同。</w:t>
      </w:r>
    </w:p>
    <w:p w14:paraId="5FBEB12D">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.2在履约保证金退还日期前，若成交供应商的开户名称、开户银行、账号有变动的，请以书面形式通知履约保证金收取单位，否则由此产生的后果由成交供应商自负。</w:t>
      </w:r>
    </w:p>
    <w:p w14:paraId="088BCE08">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29</w:t>
      </w:r>
      <w:r>
        <w:rPr>
          <w:rFonts w:hint="eastAsia" w:ascii="黑体" w:hAnsi="黑体" w:eastAsia="黑体" w:cs="宋体"/>
          <w:b/>
          <w:bCs/>
          <w:color w:val="auto"/>
          <w:sz w:val="24"/>
        </w:rPr>
        <w:t>.签订合同</w:t>
      </w:r>
    </w:p>
    <w:p w14:paraId="42A9850B">
      <w:pPr>
        <w:spacing w:line="360" w:lineRule="auto"/>
        <w:ind w:firstLine="424" w:firstLineChars="202"/>
        <w:rPr>
          <w:rFonts w:ascii="宋体" w:hAnsi="宋体" w:cs="宋体"/>
          <w:color w:val="auto"/>
          <w:szCs w:val="21"/>
        </w:rPr>
      </w:pPr>
      <w:r>
        <w:rPr>
          <w:rFonts w:hint="eastAsia" w:ascii="宋体" w:hAnsi="宋体" w:cs="宋体"/>
          <w:color w:val="auto"/>
          <w:szCs w:val="21"/>
        </w:rPr>
        <w:t>29.1签订电子采购合同：成交供应商领取电子成交通知书后，在</w:t>
      </w:r>
      <w:r>
        <w:rPr>
          <w:rFonts w:hint="eastAsia" w:ascii="宋体" w:hAnsi="宋体" w:cs="宋体"/>
          <w:color w:val="auto"/>
          <w:szCs w:val="21"/>
          <w:lang w:val="zh-CN"/>
        </w:rPr>
        <w:t>规定的日期、时间、地点，由法定代表人或其授权代表与采购人代表签订电子采购合同。如成交供应商为联合体的，由联合体成员各方法定代表人或其授权代表与采购人代表签订合同。</w:t>
      </w:r>
    </w:p>
    <w:p w14:paraId="00C1015D">
      <w:pPr>
        <w:spacing w:line="360" w:lineRule="auto"/>
        <w:ind w:firstLine="424" w:firstLineChars="202"/>
        <w:rPr>
          <w:rFonts w:ascii="宋体" w:hAnsi="宋体" w:cs="宋体"/>
          <w:color w:val="auto"/>
          <w:szCs w:val="21"/>
        </w:rPr>
      </w:pPr>
      <w:r>
        <w:rPr>
          <w:rFonts w:hint="eastAsia" w:ascii="宋体" w:hAnsi="宋体" w:cs="宋体"/>
          <w:color w:val="auto"/>
          <w:szCs w:val="21"/>
        </w:rPr>
        <w:t>线下签订纸质合同：供应商领取成交通知书后，按“供应商须知前附表”规定向采购人出示相关证明材料，经采购人核验合格后方可签订合同。</w:t>
      </w:r>
    </w:p>
    <w:p w14:paraId="53D7DBDD">
      <w:pPr>
        <w:spacing w:line="360" w:lineRule="auto"/>
        <w:ind w:firstLine="424" w:firstLineChars="202"/>
        <w:rPr>
          <w:rFonts w:ascii="宋体" w:hAnsi="宋体" w:cs="宋体"/>
          <w:color w:val="auto"/>
          <w:szCs w:val="21"/>
        </w:rPr>
      </w:pPr>
      <w:r>
        <w:rPr>
          <w:rFonts w:hint="eastAsia" w:ascii="宋体" w:hAnsi="宋体" w:cs="宋体"/>
          <w:color w:val="auto"/>
          <w:szCs w:val="21"/>
        </w:rPr>
        <w:t>29.2签订合同时间：按成交通知书规定的时间与采购人签订合同。</w:t>
      </w:r>
    </w:p>
    <w:p w14:paraId="7A1A271B">
      <w:pPr>
        <w:spacing w:line="360" w:lineRule="auto"/>
        <w:ind w:firstLine="424" w:firstLineChars="202"/>
        <w:rPr>
          <w:rFonts w:ascii="宋体" w:hAnsi="宋体" w:cs="宋体"/>
          <w:color w:val="auto"/>
          <w:szCs w:val="21"/>
        </w:rPr>
      </w:pPr>
      <w:r>
        <w:rPr>
          <w:rFonts w:hint="eastAsia" w:ascii="宋体" w:hAnsi="宋体" w:cs="宋体"/>
          <w:color w:val="auto"/>
          <w:szCs w:val="21"/>
        </w:rPr>
        <w:t>29.</w:t>
      </w:r>
      <w:r>
        <w:rPr>
          <w:rFonts w:ascii="宋体" w:hAnsi="宋体" w:cs="宋体"/>
          <w:color w:val="auto"/>
          <w:szCs w:val="21"/>
        </w:rPr>
        <w:t>3</w:t>
      </w:r>
      <w:r>
        <w:rPr>
          <w:rFonts w:hint="eastAsia" w:ascii="宋体" w:hAnsi="宋体" w:cs="宋体"/>
          <w:color w:val="auto"/>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以追究采购人承担相应的法律责任。</w:t>
      </w:r>
    </w:p>
    <w:p w14:paraId="325A01A8">
      <w:pPr>
        <w:spacing w:line="360" w:lineRule="auto"/>
        <w:ind w:firstLine="424" w:firstLineChars="202"/>
        <w:rPr>
          <w:rFonts w:ascii="宋体" w:hAnsi="宋体" w:cs="宋体"/>
          <w:color w:val="auto"/>
          <w:szCs w:val="21"/>
        </w:rPr>
      </w:pPr>
      <w:r>
        <w:rPr>
          <w:rFonts w:hint="eastAsia" w:ascii="宋体" w:hAnsi="宋体" w:cs="宋体"/>
          <w:color w:val="auto"/>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31877B7">
      <w:pPr>
        <w:spacing w:line="360" w:lineRule="auto"/>
        <w:ind w:firstLine="424" w:firstLineChars="202"/>
        <w:rPr>
          <w:rFonts w:ascii="宋体" w:hAnsi="宋体" w:cs="宋体"/>
          <w:color w:val="auto"/>
          <w:szCs w:val="21"/>
        </w:rPr>
      </w:pPr>
      <w:r>
        <w:rPr>
          <w:rFonts w:hint="eastAsia" w:ascii="宋体" w:hAnsi="宋体" w:cs="宋体"/>
          <w:color w:val="auto"/>
          <w:szCs w:val="21"/>
        </w:rPr>
        <w:t>29.5采购人或成交供应商不得单方面向合同另一方提出任何谈判文件没有约定的条件或不合理的要求，作为签订合同的条件；也不得协商另行订立背离谈判文件和合同实质性内容的协议。</w:t>
      </w:r>
    </w:p>
    <w:p w14:paraId="62FC135A">
      <w:pPr>
        <w:spacing w:line="360" w:lineRule="auto"/>
        <w:ind w:firstLine="424" w:firstLineChars="202"/>
        <w:rPr>
          <w:rFonts w:ascii="宋体" w:hAnsi="宋体" w:cs="宋体"/>
          <w:color w:val="auto"/>
          <w:szCs w:val="21"/>
        </w:rPr>
      </w:pPr>
      <w:r>
        <w:rPr>
          <w:rFonts w:hint="eastAsia" w:ascii="宋体" w:hAnsi="宋体" w:cs="宋体"/>
          <w:color w:val="auto"/>
          <w:szCs w:val="21"/>
        </w:rPr>
        <w:t>29.6如签订合同并生效后，供应商无故拒绝或延期，除按照合同条款处理外，将承担相应的法律责任。</w:t>
      </w:r>
    </w:p>
    <w:p w14:paraId="27A65F8C">
      <w:pPr>
        <w:spacing w:line="360" w:lineRule="auto"/>
        <w:ind w:firstLine="424" w:firstLineChars="202"/>
        <w:rPr>
          <w:rFonts w:ascii="宋体" w:hAnsi="宋体" w:cs="宋体"/>
          <w:color w:val="auto"/>
          <w:szCs w:val="21"/>
        </w:rPr>
      </w:pPr>
      <w:r>
        <w:rPr>
          <w:rFonts w:hint="eastAsia" w:ascii="宋体" w:hAnsi="宋体" w:cs="宋体"/>
          <w:color w:val="auto"/>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5CD05DE9">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30</w:t>
      </w:r>
      <w:r>
        <w:rPr>
          <w:rFonts w:hint="eastAsia" w:ascii="黑体" w:hAnsi="黑体" w:eastAsia="黑体" w:cs="宋体"/>
          <w:b/>
          <w:bCs/>
          <w:color w:val="auto"/>
          <w:sz w:val="24"/>
        </w:rPr>
        <w:t>.政府采购合同公告</w:t>
      </w:r>
    </w:p>
    <w:p w14:paraId="4B731F6A">
      <w:pPr>
        <w:spacing w:line="360" w:lineRule="auto"/>
        <w:ind w:firstLine="420" w:firstLineChars="200"/>
        <w:rPr>
          <w:rFonts w:ascii="宋体" w:hAnsi="宋体" w:cs="宋体"/>
          <w:color w:val="auto"/>
          <w:szCs w:val="21"/>
        </w:rPr>
      </w:pPr>
      <w:r>
        <w:rPr>
          <w:rFonts w:hint="eastAsia" w:ascii="宋体" w:hAnsi="宋体" w:cs="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0DFF808">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31</w:t>
      </w:r>
      <w:r>
        <w:rPr>
          <w:rFonts w:hint="eastAsia" w:ascii="黑体" w:hAnsi="黑体" w:eastAsia="黑体" w:cs="宋体"/>
          <w:b/>
          <w:bCs/>
          <w:color w:val="auto"/>
          <w:sz w:val="24"/>
        </w:rPr>
        <w:t>. 询问、质疑和投诉</w:t>
      </w:r>
    </w:p>
    <w:p w14:paraId="2353EEA8">
      <w:pPr>
        <w:pStyle w:val="14"/>
        <w:spacing w:after="120" w:line="360" w:lineRule="auto"/>
        <w:rPr>
          <w:rFonts w:ascii="宋体" w:hAnsi="宋体"/>
          <w:color w:val="auto"/>
          <w:szCs w:val="21"/>
        </w:rPr>
      </w:pPr>
      <w:r>
        <w:rPr>
          <w:rFonts w:ascii="宋体" w:hAnsi="宋体" w:cs="宋体"/>
          <w:color w:val="auto"/>
        </w:rPr>
        <w:t>31</w:t>
      </w:r>
      <w:r>
        <w:rPr>
          <w:rFonts w:hint="eastAsia" w:ascii="宋体" w:hAnsi="宋体" w:cs="宋体"/>
          <w:color w:val="auto"/>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rPr>
        <w:t>但答复的内容不得涉及商业秘密。</w:t>
      </w:r>
    </w:p>
    <w:p w14:paraId="0BBD58CA">
      <w:pPr>
        <w:spacing w:line="360" w:lineRule="auto"/>
        <w:ind w:firstLine="420" w:firstLineChars="200"/>
        <w:rPr>
          <w:rFonts w:ascii="宋体" w:hAnsi="宋体" w:cs="宋体"/>
          <w:color w:val="auto"/>
        </w:rPr>
      </w:pPr>
      <w:r>
        <w:rPr>
          <w:rFonts w:ascii="宋体" w:hAnsi="宋体" w:cs="宋体"/>
          <w:color w:val="auto"/>
        </w:rPr>
        <w:t>31</w:t>
      </w:r>
      <w:r>
        <w:rPr>
          <w:rFonts w:hint="eastAsia" w:ascii="宋体" w:hAnsi="宋体" w:cs="宋体"/>
          <w:color w:val="auto"/>
        </w:rPr>
        <w:t>.2供应商认为谈判文件、采购过程或者成交结果使自己的合法权益受到损害的，应当在知道或者应知其权益受到损害之日起7个工作日内，以书面形式向采购人、采购代理机构提出质疑，</w:t>
      </w:r>
      <w:r>
        <w:rPr>
          <w:rFonts w:ascii="Arial" w:hAnsi="Arial" w:cs="Arial"/>
          <w:color w:val="auto"/>
          <w:shd w:val="clear" w:color="auto" w:fill="FFFFFF"/>
        </w:rPr>
        <w:t>接收质疑函的方式、联系部门、联系电话和通讯地址等信息</w:t>
      </w:r>
      <w:r>
        <w:rPr>
          <w:rFonts w:hint="eastAsia" w:ascii="宋体" w:hAnsi="宋体" w:cs="宋体"/>
          <w:color w:val="auto"/>
          <w:szCs w:val="21"/>
        </w:rPr>
        <w:t>详见“供应商须知前附表”</w:t>
      </w:r>
      <w:r>
        <w:rPr>
          <w:rFonts w:hint="eastAsia" w:ascii="宋体" w:hAnsi="宋体" w:cs="宋体"/>
          <w:color w:val="auto"/>
        </w:rPr>
        <w:t>。具体质疑起算时间如下：</w:t>
      </w:r>
    </w:p>
    <w:p w14:paraId="4030CFED">
      <w:pPr>
        <w:spacing w:line="360" w:lineRule="auto"/>
        <w:ind w:firstLine="420" w:firstLineChars="200"/>
        <w:rPr>
          <w:rFonts w:ascii="宋体" w:hAnsi="宋体" w:cs="宋体"/>
          <w:color w:val="auto"/>
        </w:rPr>
      </w:pPr>
      <w:r>
        <w:rPr>
          <w:rFonts w:hint="eastAsia" w:ascii="宋体" w:hAnsi="宋体" w:cs="宋体"/>
          <w:color w:val="auto"/>
        </w:rPr>
        <w:t>（1）对可以质疑的谈判文件提出质疑的，为获取谈判文件之日；</w:t>
      </w:r>
    </w:p>
    <w:p w14:paraId="005464C5">
      <w:pPr>
        <w:spacing w:line="360" w:lineRule="auto"/>
        <w:ind w:firstLine="420" w:firstLineChars="200"/>
        <w:rPr>
          <w:rFonts w:ascii="宋体" w:hAnsi="宋体" w:cs="宋体"/>
          <w:color w:val="auto"/>
        </w:rPr>
      </w:pPr>
      <w:r>
        <w:rPr>
          <w:rFonts w:hint="eastAsia" w:ascii="宋体" w:hAnsi="宋体" w:cs="宋体"/>
          <w:color w:val="auto"/>
        </w:rPr>
        <w:t>（2）对采购过程提出质疑的，为各采购程序环节结束之日；</w:t>
      </w:r>
    </w:p>
    <w:p w14:paraId="16354E24">
      <w:pPr>
        <w:spacing w:line="360" w:lineRule="auto"/>
        <w:ind w:firstLine="420" w:firstLineChars="200"/>
        <w:rPr>
          <w:rFonts w:ascii="宋体" w:hAnsi="宋体" w:cs="宋体"/>
          <w:color w:val="auto"/>
        </w:rPr>
      </w:pPr>
      <w:r>
        <w:rPr>
          <w:rFonts w:hint="eastAsia" w:ascii="宋体" w:hAnsi="宋体" w:cs="宋体"/>
          <w:color w:val="auto"/>
        </w:rPr>
        <w:t>（3）对成交结果提出质疑的，为成交结果公告期限届满之日。</w:t>
      </w:r>
    </w:p>
    <w:p w14:paraId="311D8383">
      <w:pPr>
        <w:spacing w:line="360" w:lineRule="auto"/>
        <w:ind w:firstLine="420" w:firstLineChars="200"/>
        <w:rPr>
          <w:rFonts w:ascii="宋体" w:hAnsi="宋体" w:cs="宋体"/>
          <w:color w:val="auto"/>
        </w:rPr>
      </w:pPr>
      <w:r>
        <w:rPr>
          <w:rFonts w:ascii="宋体" w:hAnsi="宋体" w:cs="宋体"/>
          <w:color w:val="auto"/>
        </w:rPr>
        <w:t>31</w:t>
      </w:r>
      <w:r>
        <w:rPr>
          <w:rFonts w:hint="eastAsia" w:ascii="宋体" w:hAnsi="宋体" w:cs="宋体"/>
          <w:color w:val="auto"/>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4DECD8AE">
      <w:pPr>
        <w:spacing w:line="360" w:lineRule="auto"/>
        <w:ind w:firstLine="420" w:firstLineChars="200"/>
        <w:rPr>
          <w:rFonts w:ascii="宋体" w:hAnsi="宋体" w:cs="宋体"/>
          <w:color w:val="auto"/>
        </w:rPr>
      </w:pPr>
      <w:r>
        <w:rPr>
          <w:rFonts w:ascii="宋体" w:hAnsi="宋体" w:cs="宋体"/>
          <w:color w:val="auto"/>
        </w:rPr>
        <w:t>31</w:t>
      </w:r>
      <w:r>
        <w:rPr>
          <w:rFonts w:hint="eastAsia" w:ascii="宋体" w:hAnsi="宋体" w:cs="宋体"/>
          <w:color w:val="auto"/>
        </w:rPr>
        <w:t>.4供应商提出质疑应当提交质疑函和必要的证明材料，针对同一采购程序环节的质疑必须在法定质疑期内一次性提出。质疑函应当包括下列内容</w:t>
      </w:r>
      <w:r>
        <w:rPr>
          <w:rFonts w:hint="eastAsia" w:hAnsi="宋体"/>
          <w:bCs/>
          <w:color w:val="auto"/>
        </w:rPr>
        <w:t>（质疑函格式后附）</w:t>
      </w:r>
      <w:r>
        <w:rPr>
          <w:rFonts w:hint="eastAsia" w:ascii="宋体" w:hAnsi="宋体" w:cs="宋体"/>
          <w:color w:val="auto"/>
        </w:rPr>
        <w:t>：</w:t>
      </w:r>
    </w:p>
    <w:p w14:paraId="40012F25">
      <w:pPr>
        <w:spacing w:line="360" w:lineRule="auto"/>
        <w:ind w:firstLine="420" w:firstLineChars="200"/>
        <w:rPr>
          <w:rFonts w:ascii="宋体" w:hAnsi="宋体" w:cs="宋体"/>
          <w:color w:val="auto"/>
        </w:rPr>
      </w:pPr>
      <w:r>
        <w:rPr>
          <w:rFonts w:hint="eastAsia" w:ascii="宋体" w:hAnsi="宋体" w:cs="宋体"/>
          <w:color w:val="auto"/>
        </w:rPr>
        <w:t>（1）供应商的姓名或者名称、地址、邮编、联系人及联系电话；</w:t>
      </w:r>
    </w:p>
    <w:p w14:paraId="645396C0">
      <w:pPr>
        <w:spacing w:line="360" w:lineRule="auto"/>
        <w:ind w:firstLine="420" w:firstLineChars="200"/>
        <w:rPr>
          <w:rFonts w:ascii="宋体" w:hAnsi="宋体" w:cs="宋体"/>
          <w:color w:val="auto"/>
        </w:rPr>
      </w:pPr>
      <w:r>
        <w:rPr>
          <w:rFonts w:hint="eastAsia" w:ascii="宋体" w:hAnsi="宋体" w:cs="宋体"/>
          <w:color w:val="auto"/>
        </w:rPr>
        <w:t>（2）质疑项目的名称、编号；</w:t>
      </w:r>
    </w:p>
    <w:p w14:paraId="39F0A48F">
      <w:pPr>
        <w:spacing w:line="360" w:lineRule="auto"/>
        <w:ind w:firstLine="420" w:firstLineChars="200"/>
        <w:rPr>
          <w:rFonts w:ascii="宋体" w:hAnsi="宋体" w:cs="宋体"/>
          <w:color w:val="auto"/>
        </w:rPr>
      </w:pPr>
      <w:r>
        <w:rPr>
          <w:rFonts w:hint="eastAsia" w:ascii="宋体" w:hAnsi="宋体" w:cs="宋体"/>
          <w:color w:val="auto"/>
        </w:rPr>
        <w:t>（3）具体、明确的质疑事项和与质疑事项相关的请求；</w:t>
      </w:r>
    </w:p>
    <w:p w14:paraId="7F0B2256">
      <w:pPr>
        <w:spacing w:line="360" w:lineRule="auto"/>
        <w:ind w:firstLine="420" w:firstLineChars="200"/>
        <w:rPr>
          <w:rFonts w:ascii="宋体" w:hAnsi="宋体" w:cs="宋体"/>
          <w:color w:val="auto"/>
        </w:rPr>
      </w:pPr>
      <w:r>
        <w:rPr>
          <w:rFonts w:hint="eastAsia" w:ascii="宋体" w:hAnsi="宋体" w:cs="宋体"/>
          <w:color w:val="auto"/>
        </w:rPr>
        <w:t>（4）事实依据；</w:t>
      </w:r>
    </w:p>
    <w:p w14:paraId="6537F57F">
      <w:pPr>
        <w:spacing w:line="360" w:lineRule="auto"/>
        <w:ind w:firstLine="420" w:firstLineChars="200"/>
        <w:rPr>
          <w:rFonts w:ascii="宋体" w:hAnsi="宋体" w:cs="宋体"/>
          <w:color w:val="auto"/>
        </w:rPr>
      </w:pPr>
      <w:r>
        <w:rPr>
          <w:rFonts w:hint="eastAsia" w:ascii="宋体" w:hAnsi="宋体" w:cs="宋体"/>
          <w:color w:val="auto"/>
        </w:rPr>
        <w:t>（5）必要的法律依据；</w:t>
      </w:r>
    </w:p>
    <w:p w14:paraId="27539E54">
      <w:pPr>
        <w:spacing w:line="360" w:lineRule="auto"/>
        <w:ind w:firstLine="420" w:firstLineChars="200"/>
        <w:rPr>
          <w:rFonts w:ascii="宋体" w:hAnsi="宋体" w:cs="宋体"/>
          <w:color w:val="auto"/>
        </w:rPr>
      </w:pPr>
      <w:r>
        <w:rPr>
          <w:rFonts w:hint="eastAsia" w:ascii="宋体" w:hAnsi="宋体" w:cs="宋体"/>
          <w:color w:val="auto"/>
        </w:rPr>
        <w:t>（6）提出质疑的日期。</w:t>
      </w:r>
    </w:p>
    <w:p w14:paraId="6E68765C">
      <w:pPr>
        <w:spacing w:line="360" w:lineRule="auto"/>
        <w:ind w:firstLine="420" w:firstLineChars="200"/>
        <w:rPr>
          <w:rFonts w:ascii="宋体" w:hAnsi="宋体" w:cs="宋体"/>
          <w:color w:val="auto"/>
        </w:rPr>
      </w:pPr>
      <w:r>
        <w:rPr>
          <w:rFonts w:hint="eastAsia" w:ascii="宋体" w:hAnsi="宋体" w:cs="宋体"/>
          <w:color w:val="auto"/>
        </w:rPr>
        <w:t>供应商为自然人的，应当由本人签字；供应商为法人或者其他组织的，应当由法定代表人、主要负责人，或者其委托代理人签字或者盖章，并加盖公章。</w:t>
      </w:r>
    </w:p>
    <w:p w14:paraId="24384F7F">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1.5</w:t>
      </w:r>
      <w:r>
        <w:rPr>
          <w:rFonts w:hint="eastAsia" w:ascii="宋体" w:hAnsi="宋体" w:cs="宋体"/>
          <w:color w:val="auto"/>
        </w:rPr>
        <w:t>采购人、采购代理机构认为供应商质疑不成立，或者成立但未对成交结果构成影响的，继续开展采购活动；认为供应商质疑成立且影响或者可能影响成交结果的，按照下列情况处理：</w:t>
      </w:r>
    </w:p>
    <w:p w14:paraId="2CB0FA76">
      <w:pPr>
        <w:spacing w:line="360" w:lineRule="auto"/>
        <w:ind w:firstLine="420" w:firstLineChars="200"/>
        <w:rPr>
          <w:rFonts w:ascii="宋体" w:hAnsi="宋体" w:cs="宋体"/>
          <w:color w:val="auto"/>
        </w:rPr>
      </w:pPr>
      <w:r>
        <w:rPr>
          <w:rFonts w:hint="eastAsia" w:ascii="宋体" w:hAnsi="宋体" w:cs="宋体"/>
          <w:color w:val="auto"/>
        </w:rPr>
        <w:t>（一）对采购文件提出的质疑，依法通过澄清或者修改可以继续开展采购活动的，澄清或者修改采购文件后继续开展采购活动；否则应当修改采购文件后重新开展采购活动。</w:t>
      </w:r>
    </w:p>
    <w:p w14:paraId="1991A962">
      <w:pPr>
        <w:spacing w:line="360" w:lineRule="auto"/>
        <w:ind w:firstLine="420" w:firstLineChars="200"/>
        <w:rPr>
          <w:rFonts w:ascii="宋体" w:hAnsi="宋体" w:cs="宋体"/>
          <w:color w:val="auto"/>
        </w:rPr>
      </w:pPr>
      <w:r>
        <w:rPr>
          <w:rFonts w:hint="eastAsia" w:ascii="宋体" w:hAnsi="宋体" w:cs="宋体"/>
          <w:color w:val="auto"/>
        </w:rPr>
        <w:t>（二）对采购过程或者成交结果提出的质疑，合格供应商符合法定数量时，可以从合格的成交候选人中另行确定成交供应商的，应当依法另行确定成交供应商；否则应当重新开展采购活动。</w:t>
      </w:r>
    </w:p>
    <w:p w14:paraId="5A52C8A6">
      <w:pPr>
        <w:spacing w:line="360" w:lineRule="auto"/>
        <w:ind w:firstLine="420" w:firstLineChars="200"/>
        <w:rPr>
          <w:rFonts w:ascii="宋体" w:hAnsi="宋体" w:cs="宋体"/>
          <w:color w:val="auto"/>
        </w:rPr>
      </w:pPr>
      <w:r>
        <w:rPr>
          <w:rFonts w:hint="eastAsia" w:ascii="宋体" w:hAnsi="宋体" w:cs="宋体"/>
          <w:color w:val="auto"/>
        </w:rPr>
        <w:t>质疑答复导致成交结果改变的，采购人或者采购代理机构应当将有关情况书面报告本级财政部门。</w:t>
      </w:r>
    </w:p>
    <w:p w14:paraId="3FFDFAFB">
      <w:pPr>
        <w:spacing w:line="360" w:lineRule="auto"/>
        <w:ind w:firstLine="420" w:firstLineChars="200"/>
        <w:rPr>
          <w:rFonts w:ascii="宋体" w:hAnsi="宋体" w:cs="宋体"/>
          <w:b/>
          <w:bCs/>
          <w:color w:val="auto"/>
          <w:szCs w:val="21"/>
        </w:rPr>
      </w:pPr>
      <w:r>
        <w:rPr>
          <w:rFonts w:ascii="宋体" w:hAnsi="宋体" w:cs="宋体"/>
          <w:color w:val="auto"/>
        </w:rPr>
        <w:t>31</w:t>
      </w:r>
      <w:r>
        <w:rPr>
          <w:rFonts w:hint="eastAsia" w:ascii="宋体" w:hAnsi="宋体" w:cs="宋体"/>
          <w:color w:val="auto"/>
        </w:rPr>
        <w:t>.</w:t>
      </w:r>
      <w:r>
        <w:rPr>
          <w:rFonts w:ascii="宋体" w:hAnsi="宋体" w:cs="宋体"/>
          <w:color w:val="auto"/>
        </w:rPr>
        <w:t>6</w:t>
      </w:r>
      <w:r>
        <w:rPr>
          <w:rFonts w:hint="eastAsia" w:ascii="宋体" w:hAnsi="宋体" w:cs="宋体"/>
          <w:color w:val="auto"/>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6CE7D5E">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3</w:t>
      </w:r>
      <w:r>
        <w:rPr>
          <w:rFonts w:ascii="黑体" w:hAnsi="黑体" w:eastAsia="黑体" w:cs="宋体"/>
          <w:b/>
          <w:bCs/>
          <w:color w:val="auto"/>
          <w:sz w:val="24"/>
        </w:rPr>
        <w:t>2.</w:t>
      </w:r>
      <w:r>
        <w:rPr>
          <w:rFonts w:hint="eastAsia" w:ascii="黑体" w:hAnsi="黑体" w:eastAsia="黑体" w:cs="宋体"/>
          <w:b/>
          <w:bCs/>
          <w:color w:val="auto"/>
          <w:sz w:val="24"/>
        </w:rPr>
        <w:t>其他内容</w:t>
      </w:r>
    </w:p>
    <w:p w14:paraId="0441B84E">
      <w:pPr>
        <w:tabs>
          <w:tab w:val="left" w:pos="2835"/>
        </w:tabs>
        <w:spacing w:line="360" w:lineRule="auto"/>
        <w:ind w:firstLine="420" w:firstLineChars="200"/>
        <w:rPr>
          <w:rFonts w:ascii="宋体" w:hAnsi="宋体" w:cs="宋体"/>
          <w:color w:val="auto"/>
          <w:szCs w:val="21"/>
        </w:rPr>
      </w:pPr>
      <w:r>
        <w:rPr>
          <w:rFonts w:ascii="宋体" w:hAnsi="宋体" w:cs="宋体"/>
          <w:color w:val="auto"/>
          <w:szCs w:val="21"/>
        </w:rPr>
        <w:t>32</w:t>
      </w:r>
      <w:r>
        <w:rPr>
          <w:rFonts w:hint="eastAsia" w:ascii="宋体" w:hAnsi="宋体" w:cs="宋体"/>
          <w:color w:val="auto"/>
          <w:szCs w:val="21"/>
        </w:rPr>
        <w:t>.1代理服务费收取标准详见“供应商须知前附表”，供应商为联合体的，可以由联合体中的一方或者多方共同交纳代理服务费：</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1A1A8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5E46704B">
            <w:pPr>
              <w:spacing w:line="360" w:lineRule="auto"/>
              <w:rPr>
                <w:rFonts w:ascii="宋体" w:hAnsi="宋体" w:cs="宋体"/>
                <w:color w:val="auto"/>
                <w:szCs w:val="21"/>
              </w:rPr>
            </w:pPr>
            <w:r>
              <w:rPr>
                <w:rFonts w:hint="eastAsia" w:ascii="宋体" w:hAnsi="宋体" w:cs="宋体"/>
                <w:color w:val="auto"/>
                <w:szCs w:val="21"/>
              </w:rPr>
              <w:t xml:space="preserve">               费率</w:t>
            </w:r>
          </w:p>
          <w:p w14:paraId="41054F99">
            <w:pPr>
              <w:spacing w:line="360" w:lineRule="auto"/>
              <w:rPr>
                <w:rFonts w:ascii="宋体" w:hAnsi="宋体" w:cs="宋体"/>
                <w:color w:val="auto"/>
                <w:szCs w:val="21"/>
              </w:rPr>
            </w:pPr>
            <w:r>
              <w:rPr>
                <w:rFonts w:hint="eastAsia" w:ascii="宋体" w:hAnsi="宋体" w:cs="宋体"/>
                <w:color w:val="auto"/>
                <w:szCs w:val="21"/>
              </w:rPr>
              <w:t>金额</w:t>
            </w:r>
          </w:p>
        </w:tc>
        <w:tc>
          <w:tcPr>
            <w:tcW w:w="1659" w:type="dxa"/>
            <w:tcBorders>
              <w:top w:val="single" w:color="auto" w:sz="4" w:space="0"/>
              <w:left w:val="single" w:color="auto" w:sz="4" w:space="0"/>
              <w:bottom w:val="single" w:color="auto" w:sz="4" w:space="0"/>
              <w:right w:val="single" w:color="auto" w:sz="4" w:space="0"/>
            </w:tcBorders>
            <w:vAlign w:val="center"/>
          </w:tcPr>
          <w:p w14:paraId="421EC24A">
            <w:pPr>
              <w:spacing w:line="360" w:lineRule="auto"/>
              <w:ind w:firstLine="105" w:firstLineChars="50"/>
              <w:jc w:val="center"/>
              <w:rPr>
                <w:rFonts w:ascii="宋体" w:hAnsi="宋体" w:cs="宋体"/>
                <w:color w:val="auto"/>
                <w:szCs w:val="21"/>
              </w:rPr>
            </w:pPr>
            <w:r>
              <w:rPr>
                <w:rFonts w:hint="eastAsia" w:ascii="宋体" w:hAnsi="宋体" w:cs="宋体"/>
                <w:color w:val="auto"/>
                <w:szCs w:val="21"/>
              </w:rPr>
              <w:t>货物类</w:t>
            </w:r>
          </w:p>
        </w:tc>
        <w:tc>
          <w:tcPr>
            <w:tcW w:w="1532" w:type="dxa"/>
            <w:tcBorders>
              <w:top w:val="single" w:color="auto" w:sz="4" w:space="0"/>
              <w:left w:val="single" w:color="auto" w:sz="4" w:space="0"/>
              <w:bottom w:val="single" w:color="auto" w:sz="4" w:space="0"/>
              <w:right w:val="single" w:color="auto" w:sz="4" w:space="0"/>
            </w:tcBorders>
            <w:vAlign w:val="center"/>
          </w:tcPr>
          <w:p w14:paraId="440BC035">
            <w:pPr>
              <w:spacing w:line="360" w:lineRule="auto"/>
              <w:jc w:val="center"/>
              <w:rPr>
                <w:rFonts w:ascii="宋体" w:hAnsi="宋体" w:cs="宋体"/>
                <w:color w:val="auto"/>
                <w:szCs w:val="21"/>
              </w:rPr>
            </w:pPr>
            <w:r>
              <w:rPr>
                <w:rFonts w:hint="eastAsia" w:ascii="宋体" w:hAnsi="宋体" w:cs="宋体"/>
                <w:color w:val="auto"/>
                <w:szCs w:val="21"/>
              </w:rPr>
              <w:t>服务类</w:t>
            </w:r>
          </w:p>
        </w:tc>
        <w:tc>
          <w:tcPr>
            <w:tcW w:w="1546" w:type="dxa"/>
            <w:tcBorders>
              <w:top w:val="single" w:color="auto" w:sz="4" w:space="0"/>
              <w:left w:val="single" w:color="auto" w:sz="4" w:space="0"/>
              <w:bottom w:val="single" w:color="auto" w:sz="4" w:space="0"/>
              <w:right w:val="single" w:color="auto" w:sz="4" w:space="0"/>
            </w:tcBorders>
            <w:vAlign w:val="center"/>
          </w:tcPr>
          <w:p w14:paraId="06D6CEE1">
            <w:pPr>
              <w:spacing w:line="360" w:lineRule="auto"/>
              <w:jc w:val="center"/>
              <w:rPr>
                <w:rFonts w:ascii="宋体" w:hAnsi="宋体" w:cs="宋体"/>
                <w:color w:val="auto"/>
                <w:szCs w:val="21"/>
              </w:rPr>
            </w:pPr>
            <w:r>
              <w:rPr>
                <w:rFonts w:hint="eastAsia" w:ascii="宋体" w:hAnsi="宋体" w:cs="宋体"/>
                <w:color w:val="auto"/>
                <w:szCs w:val="21"/>
              </w:rPr>
              <w:t>工程类</w:t>
            </w:r>
          </w:p>
        </w:tc>
      </w:tr>
      <w:tr w14:paraId="21DA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2E803D61">
            <w:pPr>
              <w:spacing w:line="360" w:lineRule="auto"/>
              <w:rPr>
                <w:rFonts w:ascii="宋体" w:hAnsi="宋体" w:cs="宋体"/>
                <w:color w:val="auto"/>
                <w:szCs w:val="21"/>
              </w:rPr>
            </w:pPr>
            <w:r>
              <w:rPr>
                <w:rFonts w:hint="eastAsia" w:ascii="宋体" w:hAnsi="宋体" w:cs="宋体"/>
                <w:color w:val="auto"/>
                <w:szCs w:val="21"/>
              </w:rPr>
              <w:t>100万元以下</w:t>
            </w:r>
          </w:p>
        </w:tc>
        <w:tc>
          <w:tcPr>
            <w:tcW w:w="1659" w:type="dxa"/>
            <w:tcBorders>
              <w:top w:val="single" w:color="auto" w:sz="4" w:space="0"/>
              <w:left w:val="single" w:color="auto" w:sz="4" w:space="0"/>
              <w:bottom w:val="single" w:color="auto" w:sz="4" w:space="0"/>
              <w:right w:val="single" w:color="auto" w:sz="4" w:space="0"/>
            </w:tcBorders>
          </w:tcPr>
          <w:p w14:paraId="7087A211">
            <w:pPr>
              <w:spacing w:line="360" w:lineRule="auto"/>
              <w:rPr>
                <w:rFonts w:ascii="宋体" w:hAnsi="宋体" w:cs="宋体"/>
                <w:color w:val="auto"/>
                <w:szCs w:val="21"/>
              </w:rPr>
            </w:pPr>
            <w:r>
              <w:rPr>
                <w:rFonts w:hint="eastAsia" w:ascii="宋体" w:hAnsi="宋体" w:cs="宋体"/>
                <w:color w:val="auto"/>
                <w:kern w:val="0"/>
                <w:szCs w:val="21"/>
              </w:rPr>
              <w:t xml:space="preserve">  1.5%                </w:t>
            </w:r>
          </w:p>
        </w:tc>
        <w:tc>
          <w:tcPr>
            <w:tcW w:w="1532" w:type="dxa"/>
            <w:tcBorders>
              <w:top w:val="single" w:color="auto" w:sz="4" w:space="0"/>
              <w:left w:val="single" w:color="auto" w:sz="4" w:space="0"/>
              <w:bottom w:val="single" w:color="auto" w:sz="4" w:space="0"/>
              <w:right w:val="single" w:color="auto" w:sz="4" w:space="0"/>
            </w:tcBorders>
          </w:tcPr>
          <w:p w14:paraId="76F81AE1">
            <w:pPr>
              <w:spacing w:line="360" w:lineRule="auto"/>
              <w:ind w:firstLine="210" w:firstLineChars="100"/>
              <w:rPr>
                <w:rFonts w:ascii="宋体" w:hAnsi="宋体" w:cs="宋体"/>
                <w:color w:val="auto"/>
                <w:szCs w:val="21"/>
              </w:rPr>
            </w:pPr>
            <w:r>
              <w:rPr>
                <w:rFonts w:hint="eastAsia" w:ascii="宋体" w:hAnsi="宋体" w:cs="宋体"/>
                <w:color w:val="auto"/>
                <w:kern w:val="0"/>
                <w:szCs w:val="21"/>
              </w:rPr>
              <w:t>1.5%</w:t>
            </w:r>
          </w:p>
        </w:tc>
        <w:tc>
          <w:tcPr>
            <w:tcW w:w="1546" w:type="dxa"/>
            <w:tcBorders>
              <w:top w:val="single" w:color="auto" w:sz="4" w:space="0"/>
              <w:left w:val="single" w:color="auto" w:sz="4" w:space="0"/>
              <w:bottom w:val="single" w:color="auto" w:sz="4" w:space="0"/>
              <w:right w:val="single" w:color="auto" w:sz="4" w:space="0"/>
            </w:tcBorders>
          </w:tcPr>
          <w:p w14:paraId="0B261913">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1.0% </w:t>
            </w:r>
          </w:p>
        </w:tc>
      </w:tr>
      <w:tr w14:paraId="6AF87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636BFD48">
            <w:pPr>
              <w:spacing w:line="360" w:lineRule="auto"/>
              <w:rPr>
                <w:rFonts w:ascii="宋体" w:hAnsi="宋体" w:cs="宋体"/>
                <w:color w:val="auto"/>
                <w:szCs w:val="21"/>
              </w:rPr>
            </w:pPr>
            <w:r>
              <w:rPr>
                <w:rFonts w:hint="eastAsia" w:ascii="宋体" w:hAnsi="宋体" w:cs="宋体"/>
                <w:color w:val="auto"/>
                <w:szCs w:val="21"/>
              </w:rPr>
              <w:t>100万～500万元</w:t>
            </w:r>
          </w:p>
        </w:tc>
        <w:tc>
          <w:tcPr>
            <w:tcW w:w="1659" w:type="dxa"/>
            <w:tcBorders>
              <w:top w:val="single" w:color="auto" w:sz="4" w:space="0"/>
              <w:left w:val="single" w:color="auto" w:sz="4" w:space="0"/>
              <w:bottom w:val="single" w:color="auto" w:sz="4" w:space="0"/>
              <w:right w:val="single" w:color="auto" w:sz="4" w:space="0"/>
            </w:tcBorders>
          </w:tcPr>
          <w:p w14:paraId="07EE2AED">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1.1%                 </w:t>
            </w:r>
          </w:p>
        </w:tc>
        <w:tc>
          <w:tcPr>
            <w:tcW w:w="1532" w:type="dxa"/>
            <w:tcBorders>
              <w:top w:val="single" w:color="auto" w:sz="4" w:space="0"/>
              <w:left w:val="single" w:color="auto" w:sz="4" w:space="0"/>
              <w:bottom w:val="single" w:color="auto" w:sz="4" w:space="0"/>
              <w:right w:val="single" w:color="auto" w:sz="4" w:space="0"/>
            </w:tcBorders>
          </w:tcPr>
          <w:p w14:paraId="6CE0E464">
            <w:pPr>
              <w:spacing w:line="360" w:lineRule="auto"/>
              <w:ind w:firstLine="210" w:firstLineChars="100"/>
              <w:rPr>
                <w:rFonts w:ascii="宋体" w:hAnsi="宋体" w:cs="宋体"/>
                <w:color w:val="auto"/>
                <w:szCs w:val="21"/>
              </w:rPr>
            </w:pPr>
            <w:r>
              <w:rPr>
                <w:rFonts w:hint="eastAsia" w:ascii="宋体" w:hAnsi="宋体" w:cs="宋体"/>
                <w:color w:val="auto"/>
                <w:kern w:val="0"/>
                <w:szCs w:val="21"/>
              </w:rPr>
              <w:t>0.8%</w:t>
            </w:r>
          </w:p>
        </w:tc>
        <w:tc>
          <w:tcPr>
            <w:tcW w:w="1546" w:type="dxa"/>
            <w:tcBorders>
              <w:top w:val="single" w:color="auto" w:sz="4" w:space="0"/>
              <w:left w:val="single" w:color="auto" w:sz="4" w:space="0"/>
              <w:bottom w:val="single" w:color="auto" w:sz="4" w:space="0"/>
              <w:right w:val="single" w:color="auto" w:sz="4" w:space="0"/>
            </w:tcBorders>
          </w:tcPr>
          <w:p w14:paraId="65F6A64C">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0.7% </w:t>
            </w:r>
          </w:p>
        </w:tc>
      </w:tr>
      <w:tr w14:paraId="3030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4DA07B06">
            <w:pPr>
              <w:spacing w:line="360" w:lineRule="auto"/>
              <w:rPr>
                <w:rFonts w:ascii="宋体" w:hAnsi="宋体" w:cs="宋体"/>
                <w:color w:val="auto"/>
                <w:szCs w:val="21"/>
              </w:rPr>
            </w:pPr>
            <w:r>
              <w:rPr>
                <w:rFonts w:hint="eastAsia" w:ascii="宋体" w:hAnsi="宋体" w:cs="宋体"/>
                <w:color w:val="auto"/>
                <w:szCs w:val="21"/>
              </w:rPr>
              <w:t>500万～1000万元</w:t>
            </w:r>
          </w:p>
        </w:tc>
        <w:tc>
          <w:tcPr>
            <w:tcW w:w="1659" w:type="dxa"/>
            <w:tcBorders>
              <w:top w:val="single" w:color="auto" w:sz="4" w:space="0"/>
              <w:left w:val="single" w:color="auto" w:sz="4" w:space="0"/>
              <w:bottom w:val="single" w:color="auto" w:sz="4" w:space="0"/>
              <w:right w:val="single" w:color="auto" w:sz="4" w:space="0"/>
            </w:tcBorders>
          </w:tcPr>
          <w:p w14:paraId="0E77B569">
            <w:pPr>
              <w:spacing w:line="360" w:lineRule="auto"/>
              <w:rPr>
                <w:rFonts w:ascii="宋体" w:hAnsi="宋体" w:cs="宋体"/>
                <w:color w:val="auto"/>
                <w:szCs w:val="21"/>
              </w:rPr>
            </w:pPr>
            <w:r>
              <w:rPr>
                <w:rFonts w:hint="eastAsia" w:ascii="宋体" w:hAnsi="宋体" w:cs="宋体"/>
                <w:color w:val="auto"/>
                <w:kern w:val="0"/>
                <w:szCs w:val="21"/>
              </w:rPr>
              <w:t xml:space="preserve">  0.8%                </w:t>
            </w:r>
          </w:p>
        </w:tc>
        <w:tc>
          <w:tcPr>
            <w:tcW w:w="1532" w:type="dxa"/>
            <w:tcBorders>
              <w:top w:val="single" w:color="auto" w:sz="4" w:space="0"/>
              <w:left w:val="single" w:color="auto" w:sz="4" w:space="0"/>
              <w:bottom w:val="single" w:color="auto" w:sz="4" w:space="0"/>
              <w:right w:val="single" w:color="auto" w:sz="4" w:space="0"/>
            </w:tcBorders>
          </w:tcPr>
          <w:p w14:paraId="114B9CED">
            <w:pPr>
              <w:spacing w:line="360" w:lineRule="auto"/>
              <w:ind w:firstLine="210" w:firstLineChars="100"/>
              <w:rPr>
                <w:rFonts w:ascii="宋体" w:hAnsi="宋体" w:cs="宋体"/>
                <w:color w:val="auto"/>
                <w:szCs w:val="21"/>
              </w:rPr>
            </w:pPr>
            <w:r>
              <w:rPr>
                <w:rFonts w:hint="eastAsia" w:ascii="宋体" w:hAnsi="宋体" w:cs="宋体"/>
                <w:color w:val="auto"/>
                <w:kern w:val="0"/>
                <w:szCs w:val="21"/>
              </w:rPr>
              <w:t>0.45%</w:t>
            </w:r>
          </w:p>
        </w:tc>
        <w:tc>
          <w:tcPr>
            <w:tcW w:w="1546" w:type="dxa"/>
            <w:tcBorders>
              <w:top w:val="single" w:color="auto" w:sz="4" w:space="0"/>
              <w:left w:val="single" w:color="auto" w:sz="4" w:space="0"/>
              <w:bottom w:val="single" w:color="auto" w:sz="4" w:space="0"/>
              <w:right w:val="single" w:color="auto" w:sz="4" w:space="0"/>
            </w:tcBorders>
          </w:tcPr>
          <w:p w14:paraId="237E00E8">
            <w:pPr>
              <w:spacing w:line="360" w:lineRule="auto"/>
              <w:ind w:firstLine="210" w:firstLineChars="100"/>
              <w:rPr>
                <w:rFonts w:ascii="宋体" w:hAnsi="宋体" w:cs="宋体"/>
                <w:color w:val="auto"/>
                <w:szCs w:val="21"/>
              </w:rPr>
            </w:pPr>
            <w:r>
              <w:rPr>
                <w:rFonts w:hint="eastAsia" w:ascii="宋体" w:hAnsi="宋体" w:cs="宋体"/>
                <w:color w:val="auto"/>
                <w:kern w:val="0"/>
                <w:szCs w:val="21"/>
              </w:rPr>
              <w:t>0.55%</w:t>
            </w:r>
          </w:p>
        </w:tc>
      </w:tr>
      <w:tr w14:paraId="5FE67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63F534CB">
            <w:pPr>
              <w:spacing w:line="360" w:lineRule="auto"/>
              <w:rPr>
                <w:rFonts w:ascii="宋体" w:hAnsi="宋体" w:cs="宋体"/>
                <w:color w:val="auto"/>
                <w:szCs w:val="21"/>
              </w:rPr>
            </w:pPr>
            <w:r>
              <w:rPr>
                <w:rFonts w:hint="eastAsia" w:ascii="宋体" w:hAnsi="宋体" w:cs="宋体"/>
                <w:color w:val="auto"/>
                <w:szCs w:val="21"/>
              </w:rPr>
              <w:t>1000万～5000万元</w:t>
            </w:r>
          </w:p>
        </w:tc>
        <w:tc>
          <w:tcPr>
            <w:tcW w:w="1659" w:type="dxa"/>
            <w:tcBorders>
              <w:top w:val="single" w:color="auto" w:sz="4" w:space="0"/>
              <w:left w:val="single" w:color="auto" w:sz="4" w:space="0"/>
              <w:bottom w:val="single" w:color="auto" w:sz="4" w:space="0"/>
              <w:right w:val="single" w:color="auto" w:sz="4" w:space="0"/>
            </w:tcBorders>
          </w:tcPr>
          <w:p w14:paraId="4BB549A2">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0.5%                </w:t>
            </w:r>
          </w:p>
        </w:tc>
        <w:tc>
          <w:tcPr>
            <w:tcW w:w="1532" w:type="dxa"/>
            <w:tcBorders>
              <w:top w:val="single" w:color="auto" w:sz="4" w:space="0"/>
              <w:left w:val="single" w:color="auto" w:sz="4" w:space="0"/>
              <w:bottom w:val="single" w:color="auto" w:sz="4" w:space="0"/>
              <w:right w:val="single" w:color="auto" w:sz="4" w:space="0"/>
            </w:tcBorders>
          </w:tcPr>
          <w:p w14:paraId="04614EF8">
            <w:pPr>
              <w:spacing w:line="360" w:lineRule="auto"/>
              <w:ind w:firstLine="210" w:firstLineChars="100"/>
              <w:rPr>
                <w:rFonts w:ascii="宋体" w:hAnsi="宋体" w:cs="宋体"/>
                <w:color w:val="auto"/>
                <w:szCs w:val="21"/>
              </w:rPr>
            </w:pPr>
            <w:r>
              <w:rPr>
                <w:rFonts w:hint="eastAsia" w:ascii="宋体" w:hAnsi="宋体" w:cs="宋体"/>
                <w:color w:val="auto"/>
                <w:kern w:val="0"/>
                <w:szCs w:val="21"/>
              </w:rPr>
              <w:t>0.25%</w:t>
            </w:r>
          </w:p>
        </w:tc>
        <w:tc>
          <w:tcPr>
            <w:tcW w:w="1546" w:type="dxa"/>
            <w:tcBorders>
              <w:top w:val="single" w:color="auto" w:sz="4" w:space="0"/>
              <w:left w:val="single" w:color="auto" w:sz="4" w:space="0"/>
              <w:bottom w:val="single" w:color="auto" w:sz="4" w:space="0"/>
              <w:right w:val="single" w:color="auto" w:sz="4" w:space="0"/>
            </w:tcBorders>
          </w:tcPr>
          <w:p w14:paraId="11FFCAAA">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0.35% </w:t>
            </w:r>
          </w:p>
        </w:tc>
      </w:tr>
      <w:tr w14:paraId="6361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2A3071E7">
            <w:pPr>
              <w:spacing w:line="360" w:lineRule="auto"/>
              <w:rPr>
                <w:rFonts w:ascii="宋体" w:hAnsi="宋体" w:cs="宋体"/>
                <w:color w:val="auto"/>
                <w:szCs w:val="21"/>
              </w:rPr>
            </w:pPr>
            <w:r>
              <w:rPr>
                <w:rFonts w:hint="eastAsia" w:ascii="宋体" w:hAnsi="宋体" w:cs="宋体"/>
                <w:color w:val="auto"/>
                <w:szCs w:val="21"/>
              </w:rPr>
              <w:t>5000万元～1亿元</w:t>
            </w:r>
          </w:p>
        </w:tc>
        <w:tc>
          <w:tcPr>
            <w:tcW w:w="1659" w:type="dxa"/>
            <w:tcBorders>
              <w:top w:val="single" w:color="auto" w:sz="4" w:space="0"/>
              <w:left w:val="single" w:color="auto" w:sz="4" w:space="0"/>
              <w:bottom w:val="single" w:color="auto" w:sz="4" w:space="0"/>
              <w:right w:val="single" w:color="auto" w:sz="4" w:space="0"/>
            </w:tcBorders>
          </w:tcPr>
          <w:p w14:paraId="338663B3">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0.25%                 </w:t>
            </w:r>
          </w:p>
        </w:tc>
        <w:tc>
          <w:tcPr>
            <w:tcW w:w="1532" w:type="dxa"/>
            <w:tcBorders>
              <w:top w:val="single" w:color="auto" w:sz="4" w:space="0"/>
              <w:left w:val="single" w:color="auto" w:sz="4" w:space="0"/>
              <w:bottom w:val="single" w:color="auto" w:sz="4" w:space="0"/>
              <w:right w:val="single" w:color="auto" w:sz="4" w:space="0"/>
            </w:tcBorders>
          </w:tcPr>
          <w:p w14:paraId="3CACE852">
            <w:pPr>
              <w:spacing w:line="360" w:lineRule="auto"/>
              <w:ind w:firstLine="210" w:firstLineChars="100"/>
              <w:rPr>
                <w:rFonts w:ascii="宋体" w:hAnsi="宋体" w:cs="宋体"/>
                <w:color w:val="auto"/>
                <w:szCs w:val="21"/>
              </w:rPr>
            </w:pPr>
            <w:r>
              <w:rPr>
                <w:rFonts w:hint="eastAsia" w:ascii="宋体" w:hAnsi="宋体" w:cs="宋体"/>
                <w:color w:val="auto"/>
                <w:kern w:val="0"/>
                <w:szCs w:val="21"/>
              </w:rPr>
              <w:t>0.1%</w:t>
            </w:r>
          </w:p>
        </w:tc>
        <w:tc>
          <w:tcPr>
            <w:tcW w:w="1546" w:type="dxa"/>
            <w:tcBorders>
              <w:top w:val="single" w:color="auto" w:sz="4" w:space="0"/>
              <w:left w:val="single" w:color="auto" w:sz="4" w:space="0"/>
              <w:bottom w:val="single" w:color="auto" w:sz="4" w:space="0"/>
              <w:right w:val="single" w:color="auto" w:sz="4" w:space="0"/>
            </w:tcBorders>
          </w:tcPr>
          <w:p w14:paraId="560556D9">
            <w:pPr>
              <w:spacing w:line="360" w:lineRule="auto"/>
              <w:ind w:firstLine="210" w:firstLineChars="100"/>
              <w:rPr>
                <w:rFonts w:ascii="宋体" w:hAnsi="宋体" w:cs="宋体"/>
                <w:color w:val="auto"/>
                <w:szCs w:val="21"/>
              </w:rPr>
            </w:pPr>
            <w:r>
              <w:rPr>
                <w:rFonts w:hint="eastAsia" w:ascii="宋体" w:hAnsi="宋体" w:cs="宋体"/>
                <w:color w:val="auto"/>
                <w:kern w:val="0"/>
                <w:szCs w:val="21"/>
              </w:rPr>
              <w:t>0.2%</w:t>
            </w:r>
          </w:p>
        </w:tc>
      </w:tr>
      <w:tr w14:paraId="08CAF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13F1404B">
            <w:pPr>
              <w:spacing w:line="360" w:lineRule="auto"/>
              <w:rPr>
                <w:rFonts w:ascii="宋体" w:hAnsi="宋体" w:cs="宋体"/>
                <w:color w:val="auto"/>
                <w:szCs w:val="21"/>
              </w:rPr>
            </w:pPr>
            <w:r>
              <w:rPr>
                <w:rFonts w:hint="eastAsia" w:ascii="宋体" w:hAnsi="宋体" w:cs="宋体"/>
                <w:color w:val="auto"/>
                <w:szCs w:val="21"/>
              </w:rPr>
              <w:t>1亿～5亿元</w:t>
            </w:r>
          </w:p>
        </w:tc>
        <w:tc>
          <w:tcPr>
            <w:tcW w:w="1659" w:type="dxa"/>
            <w:tcBorders>
              <w:top w:val="single" w:color="auto" w:sz="4" w:space="0"/>
              <w:left w:val="single" w:color="auto" w:sz="4" w:space="0"/>
              <w:bottom w:val="single" w:color="auto" w:sz="4" w:space="0"/>
              <w:right w:val="single" w:color="auto" w:sz="4" w:space="0"/>
            </w:tcBorders>
          </w:tcPr>
          <w:p w14:paraId="33E824D7">
            <w:pPr>
              <w:spacing w:line="360" w:lineRule="auto"/>
              <w:ind w:firstLine="210" w:firstLineChars="100"/>
              <w:rPr>
                <w:rFonts w:ascii="宋体" w:hAnsi="宋体" w:cs="宋体"/>
                <w:color w:val="auto"/>
                <w:szCs w:val="21"/>
              </w:rPr>
            </w:pPr>
            <w:r>
              <w:rPr>
                <w:rFonts w:hint="eastAsia" w:ascii="宋体" w:hAnsi="宋体" w:cs="宋体"/>
                <w:color w:val="auto"/>
                <w:szCs w:val="21"/>
              </w:rPr>
              <w:t>0.05%</w:t>
            </w:r>
          </w:p>
        </w:tc>
        <w:tc>
          <w:tcPr>
            <w:tcW w:w="1532" w:type="dxa"/>
            <w:tcBorders>
              <w:top w:val="single" w:color="auto" w:sz="4" w:space="0"/>
              <w:left w:val="single" w:color="auto" w:sz="4" w:space="0"/>
              <w:bottom w:val="single" w:color="auto" w:sz="4" w:space="0"/>
              <w:right w:val="single" w:color="auto" w:sz="4" w:space="0"/>
            </w:tcBorders>
          </w:tcPr>
          <w:p w14:paraId="05FCC065">
            <w:pPr>
              <w:spacing w:line="360" w:lineRule="auto"/>
              <w:rPr>
                <w:rFonts w:ascii="宋体" w:hAnsi="宋体" w:cs="宋体"/>
                <w:color w:val="auto"/>
                <w:szCs w:val="21"/>
              </w:rPr>
            </w:pPr>
            <w:r>
              <w:rPr>
                <w:rFonts w:hint="eastAsia" w:ascii="宋体" w:hAnsi="宋体" w:cs="宋体"/>
                <w:color w:val="auto"/>
                <w:szCs w:val="21"/>
              </w:rPr>
              <w:t xml:space="preserve">  0.05%</w:t>
            </w:r>
          </w:p>
        </w:tc>
        <w:tc>
          <w:tcPr>
            <w:tcW w:w="1546" w:type="dxa"/>
            <w:tcBorders>
              <w:top w:val="single" w:color="auto" w:sz="4" w:space="0"/>
              <w:left w:val="single" w:color="auto" w:sz="4" w:space="0"/>
              <w:bottom w:val="single" w:color="auto" w:sz="4" w:space="0"/>
              <w:right w:val="single" w:color="auto" w:sz="4" w:space="0"/>
            </w:tcBorders>
          </w:tcPr>
          <w:p w14:paraId="71C2AF0B">
            <w:pPr>
              <w:spacing w:line="360" w:lineRule="auto"/>
              <w:rPr>
                <w:rFonts w:ascii="宋体" w:hAnsi="宋体" w:cs="宋体"/>
                <w:color w:val="auto"/>
                <w:szCs w:val="21"/>
              </w:rPr>
            </w:pPr>
            <w:r>
              <w:rPr>
                <w:rFonts w:hint="eastAsia" w:ascii="宋体" w:hAnsi="宋体" w:cs="宋体"/>
                <w:color w:val="auto"/>
                <w:szCs w:val="21"/>
              </w:rPr>
              <w:t xml:space="preserve">  0.05%</w:t>
            </w:r>
          </w:p>
        </w:tc>
      </w:tr>
      <w:tr w14:paraId="5A636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3B73CDD1">
            <w:pPr>
              <w:spacing w:line="360" w:lineRule="auto"/>
              <w:rPr>
                <w:rFonts w:ascii="宋体" w:hAnsi="宋体" w:cs="宋体"/>
                <w:color w:val="auto"/>
                <w:szCs w:val="21"/>
              </w:rPr>
            </w:pPr>
            <w:r>
              <w:rPr>
                <w:rFonts w:hint="eastAsia" w:ascii="宋体" w:hAnsi="宋体" w:cs="宋体"/>
                <w:color w:val="auto"/>
                <w:szCs w:val="21"/>
              </w:rPr>
              <w:t>5亿～10亿元</w:t>
            </w:r>
          </w:p>
        </w:tc>
        <w:tc>
          <w:tcPr>
            <w:tcW w:w="1659" w:type="dxa"/>
            <w:tcBorders>
              <w:top w:val="single" w:color="auto" w:sz="4" w:space="0"/>
              <w:left w:val="single" w:color="auto" w:sz="4" w:space="0"/>
              <w:bottom w:val="single" w:color="auto" w:sz="4" w:space="0"/>
              <w:right w:val="single" w:color="auto" w:sz="4" w:space="0"/>
            </w:tcBorders>
          </w:tcPr>
          <w:p w14:paraId="673DBF1C">
            <w:pPr>
              <w:spacing w:line="360" w:lineRule="auto"/>
              <w:ind w:firstLine="105" w:firstLineChars="50"/>
              <w:rPr>
                <w:rFonts w:ascii="宋体" w:hAnsi="宋体" w:cs="宋体"/>
                <w:color w:val="auto"/>
                <w:szCs w:val="21"/>
              </w:rPr>
            </w:pPr>
            <w:r>
              <w:rPr>
                <w:rFonts w:hint="eastAsia" w:ascii="宋体" w:hAnsi="宋体" w:cs="宋体"/>
                <w:color w:val="auto"/>
                <w:szCs w:val="21"/>
              </w:rPr>
              <w:t>0.035%</w:t>
            </w:r>
          </w:p>
        </w:tc>
        <w:tc>
          <w:tcPr>
            <w:tcW w:w="1532" w:type="dxa"/>
            <w:tcBorders>
              <w:top w:val="single" w:color="auto" w:sz="4" w:space="0"/>
              <w:left w:val="single" w:color="auto" w:sz="4" w:space="0"/>
              <w:bottom w:val="single" w:color="auto" w:sz="4" w:space="0"/>
              <w:right w:val="single" w:color="auto" w:sz="4" w:space="0"/>
            </w:tcBorders>
          </w:tcPr>
          <w:p w14:paraId="02C7159C">
            <w:pPr>
              <w:spacing w:line="360" w:lineRule="auto"/>
              <w:rPr>
                <w:rFonts w:ascii="宋体" w:hAnsi="宋体" w:cs="宋体"/>
                <w:color w:val="auto"/>
                <w:szCs w:val="21"/>
              </w:rPr>
            </w:pPr>
            <w:r>
              <w:rPr>
                <w:rFonts w:hint="eastAsia" w:ascii="宋体" w:hAnsi="宋体" w:cs="宋体"/>
                <w:color w:val="auto"/>
                <w:szCs w:val="21"/>
              </w:rPr>
              <w:t xml:space="preserve">  0.035%</w:t>
            </w:r>
          </w:p>
        </w:tc>
        <w:tc>
          <w:tcPr>
            <w:tcW w:w="1546" w:type="dxa"/>
            <w:tcBorders>
              <w:top w:val="single" w:color="auto" w:sz="4" w:space="0"/>
              <w:left w:val="single" w:color="auto" w:sz="4" w:space="0"/>
              <w:bottom w:val="single" w:color="auto" w:sz="4" w:space="0"/>
              <w:right w:val="single" w:color="auto" w:sz="4" w:space="0"/>
            </w:tcBorders>
          </w:tcPr>
          <w:p w14:paraId="797DD761">
            <w:pPr>
              <w:spacing w:line="360" w:lineRule="auto"/>
              <w:ind w:firstLine="105" w:firstLineChars="50"/>
              <w:rPr>
                <w:rFonts w:ascii="宋体" w:hAnsi="宋体" w:cs="宋体"/>
                <w:color w:val="auto"/>
                <w:szCs w:val="21"/>
              </w:rPr>
            </w:pPr>
            <w:r>
              <w:rPr>
                <w:rFonts w:hint="eastAsia" w:ascii="宋体" w:hAnsi="宋体" w:cs="宋体"/>
                <w:color w:val="auto"/>
                <w:szCs w:val="21"/>
              </w:rPr>
              <w:t>0.035%</w:t>
            </w:r>
          </w:p>
        </w:tc>
      </w:tr>
      <w:tr w14:paraId="79788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188218F3">
            <w:pPr>
              <w:spacing w:line="360" w:lineRule="auto"/>
              <w:rPr>
                <w:rFonts w:ascii="宋体" w:hAnsi="宋体" w:cs="宋体"/>
                <w:color w:val="auto"/>
                <w:szCs w:val="21"/>
              </w:rPr>
            </w:pPr>
            <w:r>
              <w:rPr>
                <w:rFonts w:hint="eastAsia" w:ascii="宋体" w:hAnsi="宋体" w:cs="宋体"/>
                <w:color w:val="auto"/>
                <w:szCs w:val="21"/>
              </w:rPr>
              <w:t>10亿～50亿元</w:t>
            </w:r>
          </w:p>
        </w:tc>
        <w:tc>
          <w:tcPr>
            <w:tcW w:w="1659" w:type="dxa"/>
            <w:tcBorders>
              <w:top w:val="single" w:color="auto" w:sz="4" w:space="0"/>
              <w:left w:val="single" w:color="auto" w:sz="4" w:space="0"/>
              <w:bottom w:val="single" w:color="auto" w:sz="4" w:space="0"/>
              <w:right w:val="single" w:color="auto" w:sz="4" w:space="0"/>
            </w:tcBorders>
          </w:tcPr>
          <w:p w14:paraId="18B8B8D2">
            <w:pPr>
              <w:spacing w:line="360" w:lineRule="auto"/>
              <w:ind w:firstLine="105" w:firstLineChars="50"/>
              <w:rPr>
                <w:rFonts w:ascii="宋体" w:hAnsi="宋体" w:cs="宋体"/>
                <w:color w:val="auto"/>
                <w:szCs w:val="21"/>
              </w:rPr>
            </w:pPr>
            <w:r>
              <w:rPr>
                <w:rFonts w:hint="eastAsia" w:ascii="宋体" w:hAnsi="宋体" w:cs="宋体"/>
                <w:color w:val="auto"/>
                <w:szCs w:val="21"/>
              </w:rPr>
              <w:t>0.008%</w:t>
            </w:r>
          </w:p>
        </w:tc>
        <w:tc>
          <w:tcPr>
            <w:tcW w:w="1532" w:type="dxa"/>
            <w:tcBorders>
              <w:top w:val="single" w:color="auto" w:sz="4" w:space="0"/>
              <w:left w:val="single" w:color="auto" w:sz="4" w:space="0"/>
              <w:bottom w:val="single" w:color="auto" w:sz="4" w:space="0"/>
              <w:right w:val="single" w:color="auto" w:sz="4" w:space="0"/>
            </w:tcBorders>
          </w:tcPr>
          <w:p w14:paraId="1E141312">
            <w:pPr>
              <w:spacing w:line="360" w:lineRule="auto"/>
              <w:ind w:firstLine="210" w:firstLineChars="100"/>
              <w:rPr>
                <w:rFonts w:ascii="宋体" w:hAnsi="宋体" w:cs="宋体"/>
                <w:color w:val="auto"/>
                <w:szCs w:val="21"/>
              </w:rPr>
            </w:pPr>
            <w:r>
              <w:rPr>
                <w:rFonts w:hint="eastAsia" w:ascii="宋体" w:hAnsi="宋体" w:cs="宋体"/>
                <w:color w:val="auto"/>
                <w:szCs w:val="21"/>
              </w:rPr>
              <w:t>0.008%</w:t>
            </w:r>
          </w:p>
        </w:tc>
        <w:tc>
          <w:tcPr>
            <w:tcW w:w="1546" w:type="dxa"/>
            <w:tcBorders>
              <w:top w:val="single" w:color="auto" w:sz="4" w:space="0"/>
              <w:left w:val="single" w:color="auto" w:sz="4" w:space="0"/>
              <w:bottom w:val="single" w:color="auto" w:sz="4" w:space="0"/>
              <w:right w:val="single" w:color="auto" w:sz="4" w:space="0"/>
            </w:tcBorders>
          </w:tcPr>
          <w:p w14:paraId="1596B8AF">
            <w:pPr>
              <w:spacing w:line="360" w:lineRule="auto"/>
              <w:ind w:firstLine="105" w:firstLineChars="50"/>
              <w:rPr>
                <w:rFonts w:ascii="宋体" w:hAnsi="宋体" w:cs="宋体"/>
                <w:color w:val="auto"/>
                <w:szCs w:val="21"/>
              </w:rPr>
            </w:pPr>
            <w:r>
              <w:rPr>
                <w:rFonts w:hint="eastAsia" w:ascii="宋体" w:hAnsi="宋体" w:cs="宋体"/>
                <w:color w:val="auto"/>
                <w:szCs w:val="21"/>
              </w:rPr>
              <w:t>0.008%</w:t>
            </w:r>
          </w:p>
        </w:tc>
      </w:tr>
      <w:tr w14:paraId="7484B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1630AF27">
            <w:pPr>
              <w:spacing w:line="360" w:lineRule="auto"/>
              <w:rPr>
                <w:rFonts w:ascii="宋体" w:hAnsi="宋体" w:cs="宋体"/>
                <w:color w:val="auto"/>
                <w:szCs w:val="21"/>
              </w:rPr>
            </w:pPr>
            <w:r>
              <w:rPr>
                <w:rFonts w:hint="eastAsia" w:ascii="宋体" w:hAnsi="宋体" w:cs="宋体"/>
                <w:color w:val="auto"/>
                <w:szCs w:val="21"/>
              </w:rPr>
              <w:t>50亿～100亿元</w:t>
            </w:r>
          </w:p>
        </w:tc>
        <w:tc>
          <w:tcPr>
            <w:tcW w:w="1659" w:type="dxa"/>
            <w:tcBorders>
              <w:top w:val="single" w:color="auto" w:sz="4" w:space="0"/>
              <w:left w:val="single" w:color="auto" w:sz="4" w:space="0"/>
              <w:bottom w:val="single" w:color="auto" w:sz="4" w:space="0"/>
              <w:right w:val="single" w:color="auto" w:sz="4" w:space="0"/>
            </w:tcBorders>
          </w:tcPr>
          <w:p w14:paraId="65F03F5B">
            <w:pPr>
              <w:spacing w:line="360" w:lineRule="auto"/>
              <w:rPr>
                <w:rFonts w:ascii="宋体" w:hAnsi="宋体" w:cs="宋体"/>
                <w:color w:val="auto"/>
                <w:szCs w:val="21"/>
              </w:rPr>
            </w:pPr>
            <w:r>
              <w:rPr>
                <w:rFonts w:hint="eastAsia" w:ascii="宋体" w:hAnsi="宋体" w:cs="宋体"/>
                <w:color w:val="auto"/>
                <w:szCs w:val="21"/>
              </w:rPr>
              <w:t xml:space="preserve"> 0.006%</w:t>
            </w:r>
          </w:p>
        </w:tc>
        <w:tc>
          <w:tcPr>
            <w:tcW w:w="1532" w:type="dxa"/>
            <w:tcBorders>
              <w:top w:val="single" w:color="auto" w:sz="4" w:space="0"/>
              <w:left w:val="single" w:color="auto" w:sz="4" w:space="0"/>
              <w:bottom w:val="single" w:color="auto" w:sz="4" w:space="0"/>
              <w:right w:val="single" w:color="auto" w:sz="4" w:space="0"/>
            </w:tcBorders>
          </w:tcPr>
          <w:p w14:paraId="02C5DA35">
            <w:pPr>
              <w:spacing w:line="360" w:lineRule="auto"/>
              <w:ind w:firstLine="210" w:firstLineChars="100"/>
              <w:rPr>
                <w:rFonts w:ascii="宋体" w:hAnsi="宋体" w:cs="宋体"/>
                <w:color w:val="auto"/>
                <w:szCs w:val="21"/>
              </w:rPr>
            </w:pPr>
            <w:r>
              <w:rPr>
                <w:rFonts w:hint="eastAsia" w:ascii="宋体" w:hAnsi="宋体" w:cs="宋体"/>
                <w:color w:val="auto"/>
                <w:szCs w:val="21"/>
              </w:rPr>
              <w:t>0.006%</w:t>
            </w:r>
          </w:p>
        </w:tc>
        <w:tc>
          <w:tcPr>
            <w:tcW w:w="1546" w:type="dxa"/>
            <w:tcBorders>
              <w:top w:val="single" w:color="auto" w:sz="4" w:space="0"/>
              <w:left w:val="single" w:color="auto" w:sz="4" w:space="0"/>
              <w:bottom w:val="single" w:color="auto" w:sz="4" w:space="0"/>
              <w:right w:val="single" w:color="auto" w:sz="4" w:space="0"/>
            </w:tcBorders>
          </w:tcPr>
          <w:p w14:paraId="7A5A1364">
            <w:pPr>
              <w:spacing w:line="360" w:lineRule="auto"/>
              <w:ind w:firstLine="105" w:firstLineChars="50"/>
              <w:rPr>
                <w:rFonts w:ascii="宋体" w:hAnsi="宋体" w:cs="宋体"/>
                <w:color w:val="auto"/>
                <w:szCs w:val="21"/>
              </w:rPr>
            </w:pPr>
            <w:r>
              <w:rPr>
                <w:rFonts w:hint="eastAsia" w:ascii="宋体" w:hAnsi="宋体" w:cs="宋体"/>
                <w:color w:val="auto"/>
                <w:szCs w:val="21"/>
              </w:rPr>
              <w:t>0.006%</w:t>
            </w:r>
          </w:p>
        </w:tc>
      </w:tr>
      <w:tr w14:paraId="7E565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34D1EC02">
            <w:pPr>
              <w:spacing w:line="360" w:lineRule="auto"/>
              <w:rPr>
                <w:rFonts w:ascii="宋体" w:hAnsi="宋体" w:cs="宋体"/>
                <w:color w:val="auto"/>
                <w:szCs w:val="21"/>
              </w:rPr>
            </w:pPr>
            <w:r>
              <w:rPr>
                <w:rFonts w:hint="eastAsia" w:ascii="宋体" w:hAnsi="宋体" w:cs="宋体"/>
                <w:color w:val="auto"/>
                <w:szCs w:val="21"/>
              </w:rPr>
              <w:t>100亿元以上</w:t>
            </w:r>
          </w:p>
        </w:tc>
        <w:tc>
          <w:tcPr>
            <w:tcW w:w="1659" w:type="dxa"/>
            <w:tcBorders>
              <w:top w:val="single" w:color="auto" w:sz="4" w:space="0"/>
              <w:left w:val="single" w:color="auto" w:sz="4" w:space="0"/>
              <w:bottom w:val="single" w:color="auto" w:sz="4" w:space="0"/>
              <w:right w:val="single" w:color="auto" w:sz="4" w:space="0"/>
            </w:tcBorders>
          </w:tcPr>
          <w:p w14:paraId="7150ABE6">
            <w:pPr>
              <w:spacing w:line="360" w:lineRule="auto"/>
              <w:rPr>
                <w:rFonts w:ascii="宋体" w:hAnsi="宋体" w:cs="宋体"/>
                <w:color w:val="auto"/>
                <w:szCs w:val="21"/>
              </w:rPr>
            </w:pPr>
            <w:r>
              <w:rPr>
                <w:rFonts w:hint="eastAsia" w:ascii="宋体" w:hAnsi="宋体" w:cs="宋体"/>
                <w:color w:val="auto"/>
                <w:szCs w:val="21"/>
              </w:rPr>
              <w:t xml:space="preserve"> 0.004%</w:t>
            </w:r>
          </w:p>
        </w:tc>
        <w:tc>
          <w:tcPr>
            <w:tcW w:w="1532" w:type="dxa"/>
            <w:tcBorders>
              <w:top w:val="single" w:color="auto" w:sz="4" w:space="0"/>
              <w:left w:val="single" w:color="auto" w:sz="4" w:space="0"/>
              <w:bottom w:val="single" w:color="auto" w:sz="4" w:space="0"/>
              <w:right w:val="single" w:color="auto" w:sz="4" w:space="0"/>
            </w:tcBorders>
          </w:tcPr>
          <w:p w14:paraId="595A1C99">
            <w:pPr>
              <w:spacing w:line="360" w:lineRule="auto"/>
              <w:ind w:firstLine="210" w:firstLineChars="100"/>
              <w:rPr>
                <w:rFonts w:ascii="宋体" w:hAnsi="宋体" w:cs="宋体"/>
                <w:color w:val="auto"/>
                <w:szCs w:val="21"/>
              </w:rPr>
            </w:pPr>
            <w:r>
              <w:rPr>
                <w:rFonts w:hint="eastAsia" w:ascii="宋体" w:hAnsi="宋体" w:cs="宋体"/>
                <w:color w:val="auto"/>
                <w:szCs w:val="21"/>
              </w:rPr>
              <w:t>0.004%</w:t>
            </w:r>
          </w:p>
        </w:tc>
        <w:tc>
          <w:tcPr>
            <w:tcW w:w="1546" w:type="dxa"/>
            <w:tcBorders>
              <w:top w:val="single" w:color="auto" w:sz="4" w:space="0"/>
              <w:left w:val="single" w:color="auto" w:sz="4" w:space="0"/>
              <w:bottom w:val="single" w:color="auto" w:sz="4" w:space="0"/>
              <w:right w:val="single" w:color="auto" w:sz="4" w:space="0"/>
            </w:tcBorders>
          </w:tcPr>
          <w:p w14:paraId="721F5D85">
            <w:pPr>
              <w:spacing w:line="360" w:lineRule="auto"/>
              <w:ind w:firstLine="105" w:firstLineChars="50"/>
              <w:rPr>
                <w:rFonts w:ascii="宋体" w:hAnsi="宋体" w:cs="宋体"/>
                <w:color w:val="auto"/>
                <w:szCs w:val="21"/>
              </w:rPr>
            </w:pPr>
            <w:r>
              <w:rPr>
                <w:rFonts w:hint="eastAsia" w:ascii="宋体" w:hAnsi="宋体" w:cs="宋体"/>
                <w:color w:val="auto"/>
                <w:szCs w:val="21"/>
              </w:rPr>
              <w:t>0.004%</w:t>
            </w:r>
          </w:p>
        </w:tc>
      </w:tr>
    </w:tbl>
    <w:p w14:paraId="7A98099D">
      <w:pPr>
        <w:spacing w:line="360" w:lineRule="auto"/>
        <w:ind w:firstLine="420" w:firstLineChars="200"/>
        <w:contextualSpacing/>
        <w:rPr>
          <w:rFonts w:ascii="宋体" w:hAnsi="宋体" w:cs="宋体"/>
          <w:color w:val="auto"/>
        </w:rPr>
      </w:pPr>
      <w:r>
        <w:rPr>
          <w:rFonts w:ascii="宋体" w:hAnsi="宋体" w:cs="宋体"/>
          <w:color w:val="auto"/>
        </w:rPr>
        <w:t xml:space="preserve">注： </w:t>
      </w:r>
    </w:p>
    <w:p w14:paraId="43DB0A79">
      <w:pPr>
        <w:spacing w:line="360" w:lineRule="auto"/>
        <w:ind w:firstLine="420" w:firstLineChars="200"/>
        <w:contextualSpacing/>
        <w:rPr>
          <w:rFonts w:ascii="宋体" w:hAnsi="宋体" w:cs="宋体"/>
          <w:color w:val="auto"/>
        </w:rPr>
      </w:pPr>
      <w:r>
        <w:rPr>
          <w:rFonts w:hint="eastAsia" w:ascii="宋体" w:hAnsi="宋体" w:cs="宋体"/>
          <w:color w:val="auto"/>
        </w:rPr>
        <w:t>（1）</w:t>
      </w:r>
      <w:r>
        <w:rPr>
          <w:rFonts w:ascii="宋体" w:hAnsi="宋体" w:cs="宋体"/>
          <w:color w:val="auto"/>
        </w:rPr>
        <w:t>按本表费率计算的收费为</w:t>
      </w:r>
      <w:r>
        <w:rPr>
          <w:rFonts w:hint="eastAsia" w:ascii="宋体" w:hAnsi="宋体" w:cs="宋体"/>
          <w:color w:val="auto"/>
        </w:rPr>
        <w:t>采购</w:t>
      </w:r>
      <w:r>
        <w:rPr>
          <w:rFonts w:ascii="宋体" w:hAnsi="宋体" w:cs="宋体"/>
          <w:color w:val="auto"/>
        </w:rPr>
        <w:t>代理的收费基准价格</w:t>
      </w:r>
      <w:r>
        <w:rPr>
          <w:rFonts w:hint="eastAsia" w:ascii="宋体" w:hAnsi="宋体" w:cs="宋体"/>
          <w:color w:val="auto"/>
        </w:rPr>
        <w:t>；</w:t>
      </w:r>
    </w:p>
    <w:p w14:paraId="7069EDCF">
      <w:pPr>
        <w:spacing w:line="360" w:lineRule="auto"/>
        <w:ind w:firstLine="420" w:firstLineChars="200"/>
        <w:contextualSpacing/>
        <w:rPr>
          <w:rFonts w:ascii="宋体" w:hAnsi="宋体" w:cs="宋体"/>
          <w:color w:val="auto"/>
        </w:rPr>
      </w:pPr>
      <w:r>
        <w:rPr>
          <w:rFonts w:hint="eastAsia" w:ascii="宋体" w:hAnsi="宋体" w:cs="宋体"/>
          <w:color w:val="auto"/>
        </w:rPr>
        <w:t>（2）采购</w:t>
      </w:r>
      <w:r>
        <w:rPr>
          <w:rFonts w:ascii="宋体" w:hAnsi="宋体" w:cs="宋体"/>
          <w:color w:val="auto"/>
        </w:rPr>
        <w:t>代理收费按差额定率累进法计算。</w:t>
      </w:r>
    </w:p>
    <w:p w14:paraId="41C29F91">
      <w:pPr>
        <w:spacing w:line="360" w:lineRule="auto"/>
        <w:ind w:firstLine="420" w:firstLineChars="200"/>
        <w:contextualSpacing/>
        <w:rPr>
          <w:rFonts w:ascii="宋体" w:hAnsi="宋体" w:cs="宋体"/>
          <w:color w:val="auto"/>
        </w:rPr>
      </w:pPr>
      <w:r>
        <w:rPr>
          <w:rFonts w:ascii="宋体" w:hAnsi="宋体" w:cs="宋体"/>
          <w:color w:val="auto"/>
        </w:rPr>
        <w:t>例如：某</w:t>
      </w:r>
      <w:r>
        <w:rPr>
          <w:rFonts w:hint="eastAsia" w:ascii="宋体" w:hAnsi="宋体" w:cs="宋体"/>
          <w:color w:val="auto"/>
        </w:rPr>
        <w:t>货物采购</w:t>
      </w:r>
      <w:r>
        <w:rPr>
          <w:rFonts w:ascii="宋体" w:hAnsi="宋体" w:cs="宋体"/>
          <w:color w:val="auto"/>
        </w:rPr>
        <w:t>代理业务</w:t>
      </w:r>
      <w:r>
        <w:rPr>
          <w:rFonts w:hint="eastAsia" w:ascii="宋体" w:hAnsi="宋体" w:cs="宋体"/>
          <w:color w:val="auto"/>
        </w:rPr>
        <w:t>成交</w:t>
      </w:r>
      <w:r>
        <w:rPr>
          <w:rFonts w:ascii="宋体" w:hAnsi="宋体" w:cs="宋体"/>
          <w:color w:val="auto"/>
        </w:rPr>
        <w:t>金额</w:t>
      </w:r>
      <w:r>
        <w:rPr>
          <w:rFonts w:hint="eastAsia" w:ascii="宋体" w:hAnsi="宋体" w:cs="宋体"/>
          <w:color w:val="auto"/>
        </w:rPr>
        <w:t>或者暂定价</w:t>
      </w:r>
      <w:r>
        <w:rPr>
          <w:rFonts w:ascii="宋体" w:hAnsi="宋体" w:cs="宋体"/>
          <w:color w:val="auto"/>
        </w:rPr>
        <w:t>为150万元，计算</w:t>
      </w:r>
      <w:r>
        <w:rPr>
          <w:rFonts w:hint="eastAsia" w:ascii="宋体" w:hAnsi="宋体" w:cs="宋体"/>
          <w:color w:val="auto"/>
        </w:rPr>
        <w:t>采购</w:t>
      </w:r>
      <w:r>
        <w:rPr>
          <w:rFonts w:ascii="宋体" w:hAnsi="宋体" w:cs="宋体"/>
          <w:color w:val="auto"/>
        </w:rPr>
        <w:t>代理收费额如下：</w:t>
      </w:r>
    </w:p>
    <w:p w14:paraId="5C75C37D">
      <w:pPr>
        <w:spacing w:line="360" w:lineRule="auto"/>
        <w:ind w:firstLine="420" w:firstLineChars="200"/>
        <w:contextualSpacing/>
        <w:rPr>
          <w:rFonts w:ascii="宋体" w:hAnsi="宋体" w:cs="宋体"/>
          <w:color w:val="auto"/>
        </w:rPr>
      </w:pPr>
      <w:r>
        <w:rPr>
          <w:rFonts w:hint="eastAsia" w:ascii="宋体" w:hAnsi="宋体" w:cs="宋体"/>
          <w:color w:val="auto"/>
        </w:rPr>
        <w:t>1</w:t>
      </w:r>
      <w:r>
        <w:rPr>
          <w:rFonts w:ascii="宋体" w:hAnsi="宋体" w:cs="宋体"/>
          <w:color w:val="auto"/>
        </w:rPr>
        <w:t>00万元×</w:t>
      </w:r>
      <w:r>
        <w:rPr>
          <w:rFonts w:hint="eastAsia" w:ascii="宋体" w:hAnsi="宋体" w:cs="宋体"/>
          <w:color w:val="auto"/>
        </w:rPr>
        <w:t>1</w:t>
      </w:r>
      <w:r>
        <w:rPr>
          <w:rFonts w:ascii="宋体" w:hAnsi="宋体" w:cs="宋体"/>
          <w:color w:val="auto"/>
        </w:rPr>
        <w:t>.5%＝1.5万元</w:t>
      </w:r>
    </w:p>
    <w:p w14:paraId="174501A4">
      <w:pPr>
        <w:spacing w:line="360" w:lineRule="auto"/>
        <w:ind w:firstLine="420" w:firstLineChars="200"/>
        <w:contextualSpacing/>
        <w:rPr>
          <w:rFonts w:ascii="宋体" w:hAnsi="宋体" w:cs="宋体"/>
          <w:color w:val="auto"/>
        </w:rPr>
      </w:pPr>
      <w:r>
        <w:rPr>
          <w:rFonts w:ascii="宋体" w:hAnsi="宋体" w:cs="宋体"/>
          <w:color w:val="auto"/>
        </w:rPr>
        <w:t>（150－100）万元×1.1%＝0.55万元</w:t>
      </w:r>
    </w:p>
    <w:p w14:paraId="723C51EE">
      <w:pPr>
        <w:spacing w:line="360" w:lineRule="auto"/>
        <w:ind w:firstLine="420" w:firstLineChars="200"/>
        <w:contextualSpacing/>
        <w:rPr>
          <w:color w:val="auto"/>
        </w:rPr>
      </w:pPr>
      <w:r>
        <w:rPr>
          <w:rFonts w:ascii="宋体" w:hAnsi="宋体" w:cs="宋体"/>
          <w:color w:val="auto"/>
        </w:rPr>
        <w:t xml:space="preserve"> </w:t>
      </w:r>
      <w:r>
        <w:rPr>
          <w:rFonts w:hint="eastAsia" w:ascii="宋体" w:hAnsi="宋体" w:cs="宋体"/>
          <w:color w:val="auto"/>
        </w:rPr>
        <w:t>合计：</w:t>
      </w:r>
      <w:r>
        <w:rPr>
          <w:rFonts w:ascii="宋体" w:hAnsi="宋体" w:cs="宋体"/>
          <w:color w:val="auto"/>
        </w:rPr>
        <w:t>1.5＋0.55＝</w:t>
      </w:r>
      <w:r>
        <w:rPr>
          <w:rFonts w:hint="eastAsia" w:ascii="宋体" w:hAnsi="宋体" w:cs="宋体"/>
          <w:color w:val="auto"/>
        </w:rPr>
        <w:t>2.05</w:t>
      </w:r>
      <w:r>
        <w:rPr>
          <w:rFonts w:ascii="宋体" w:hAnsi="宋体" w:cs="宋体"/>
          <w:color w:val="auto"/>
        </w:rPr>
        <w:t>万元</w:t>
      </w:r>
    </w:p>
    <w:p w14:paraId="01E22F4C">
      <w:pPr>
        <w:spacing w:line="360" w:lineRule="auto"/>
        <w:ind w:firstLine="482" w:firstLineChars="200"/>
        <w:contextualSpacing/>
        <w:rPr>
          <w:rFonts w:ascii="黑体" w:hAnsi="黑体" w:eastAsia="黑体" w:cs="宋体"/>
          <w:b/>
          <w:bCs/>
          <w:color w:val="auto"/>
          <w:sz w:val="24"/>
        </w:rPr>
      </w:pPr>
      <w:r>
        <w:rPr>
          <w:rFonts w:ascii="黑体" w:hAnsi="黑体" w:eastAsia="黑体" w:cs="宋体"/>
          <w:b/>
          <w:bCs/>
          <w:color w:val="auto"/>
          <w:sz w:val="24"/>
        </w:rPr>
        <w:t>33. 需要补充的其他内容</w:t>
      </w:r>
    </w:p>
    <w:p w14:paraId="06043A90">
      <w:pPr>
        <w:pStyle w:val="31"/>
        <w:spacing w:line="360" w:lineRule="auto"/>
        <w:ind w:firstLine="420" w:firstLineChars="200"/>
        <w:contextualSpacing/>
        <w:rPr>
          <w:rFonts w:hAnsi="宋体"/>
          <w:color w:val="auto"/>
          <w:sz w:val="21"/>
        </w:rPr>
      </w:pPr>
      <w:r>
        <w:rPr>
          <w:rFonts w:hAnsi="宋体"/>
          <w:color w:val="auto"/>
          <w:sz w:val="21"/>
        </w:rPr>
        <w:t>33.1</w:t>
      </w:r>
      <w:r>
        <w:rPr>
          <w:rFonts w:hint="eastAsia" w:hAnsi="宋体" w:cs="宋体"/>
          <w:color w:val="auto"/>
          <w:sz w:val="21"/>
        </w:rPr>
        <w:t>本谈判文件解释规则详见</w:t>
      </w:r>
      <w:r>
        <w:rPr>
          <w:rFonts w:hint="eastAsia" w:hAnsi="宋体"/>
          <w:color w:val="auto"/>
          <w:sz w:val="21"/>
        </w:rPr>
        <w:t>“供应商须知前附表”。</w:t>
      </w:r>
    </w:p>
    <w:p w14:paraId="4701DB54">
      <w:pPr>
        <w:spacing w:line="360" w:lineRule="auto"/>
        <w:ind w:firstLine="420" w:firstLineChars="200"/>
        <w:contextualSpacing/>
        <w:rPr>
          <w:rFonts w:hAnsi="宋体"/>
          <w:color w:val="auto"/>
        </w:rPr>
      </w:pPr>
      <w:r>
        <w:rPr>
          <w:rFonts w:ascii="宋体" w:hAnsi="宋体" w:cs="宋体"/>
          <w:color w:val="auto"/>
          <w:kern w:val="0"/>
          <w:szCs w:val="21"/>
        </w:rPr>
        <w:t>33.2</w:t>
      </w:r>
      <w:r>
        <w:rPr>
          <w:rFonts w:hint="eastAsia" w:ascii="宋体" w:hAnsi="宋体" w:cs="宋体"/>
          <w:color w:val="auto"/>
          <w:kern w:val="0"/>
          <w:szCs w:val="21"/>
        </w:rPr>
        <w:t xml:space="preserve"> 其他事</w:t>
      </w:r>
      <w:r>
        <w:rPr>
          <w:rFonts w:hint="eastAsia" w:hAnsi="宋体"/>
          <w:color w:val="auto"/>
        </w:rPr>
        <w:t>项详见“供应商须知前附表”。</w:t>
      </w:r>
    </w:p>
    <w:p w14:paraId="537DCEAF">
      <w:pPr>
        <w:pStyle w:val="31"/>
        <w:spacing w:line="360" w:lineRule="auto"/>
        <w:ind w:firstLine="400" w:firstLineChars="200"/>
        <w:contextualSpacing/>
        <w:rPr>
          <w:rFonts w:hAnsi="宋体"/>
          <w:color w:val="auto"/>
          <w:sz w:val="21"/>
        </w:rPr>
      </w:pPr>
      <w:r>
        <w:rPr>
          <w:rFonts w:hint="eastAsia" w:hAnsi="宋体"/>
          <w:color w:val="auto"/>
        </w:rPr>
        <w:t>3</w:t>
      </w:r>
      <w:r>
        <w:rPr>
          <w:rFonts w:hAnsi="宋体"/>
          <w:color w:val="auto"/>
        </w:rPr>
        <w:t>3.3</w:t>
      </w:r>
      <w:r>
        <w:rPr>
          <w:rFonts w:hint="eastAsia" w:hAnsi="宋体"/>
          <w:color w:val="auto"/>
          <w:sz w:val="21"/>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760E7260">
      <w:pPr>
        <w:pStyle w:val="31"/>
        <w:spacing w:line="360" w:lineRule="auto"/>
        <w:ind w:firstLine="420" w:firstLineChars="200"/>
        <w:contextualSpacing/>
        <w:rPr>
          <w:rFonts w:hAnsi="宋体"/>
          <w:color w:val="auto"/>
          <w:sz w:val="21"/>
        </w:rPr>
      </w:pPr>
      <w:r>
        <w:rPr>
          <w:rFonts w:hint="eastAsia" w:hAnsi="宋体"/>
          <w:color w:val="auto"/>
          <w:sz w:val="21"/>
        </w:rPr>
        <w:t>（1）在货物采购项目中，货物由中小企业制造，即货物由中小企业生产且使用该中小企业商号或者注册商标，不对其中涉及的工程承建商和服务的承接商作出要求；</w:t>
      </w:r>
    </w:p>
    <w:p w14:paraId="7B776CE3">
      <w:pPr>
        <w:pStyle w:val="31"/>
        <w:spacing w:line="360" w:lineRule="auto"/>
        <w:ind w:firstLine="420" w:firstLineChars="200"/>
        <w:contextualSpacing/>
        <w:rPr>
          <w:rFonts w:hAnsi="宋体"/>
          <w:color w:val="auto"/>
          <w:sz w:val="21"/>
        </w:rPr>
      </w:pPr>
      <w:r>
        <w:rPr>
          <w:rFonts w:hint="eastAsia" w:hAnsi="宋体"/>
          <w:color w:val="auto"/>
          <w:sz w:val="21"/>
        </w:rPr>
        <w:t>（2）在工程采购项目中，工程由中小企业承建，即工程施工单位为中小企业，不对其中涉及的货物的制造商和服务的承接商作出要求；</w:t>
      </w:r>
    </w:p>
    <w:p w14:paraId="1820C29E">
      <w:pPr>
        <w:pStyle w:val="31"/>
        <w:spacing w:line="360" w:lineRule="auto"/>
        <w:ind w:firstLine="420" w:firstLineChars="200"/>
        <w:contextualSpacing/>
        <w:rPr>
          <w:rFonts w:hAnsi="宋体"/>
          <w:color w:val="auto"/>
          <w:sz w:val="21"/>
        </w:rPr>
      </w:pPr>
      <w:r>
        <w:rPr>
          <w:rFonts w:hint="eastAsia" w:hAnsi="宋体"/>
          <w:color w:val="auto"/>
          <w:sz w:val="21"/>
        </w:rPr>
        <w:t>（3）在服务采购项目中，服务由中小企业承接，即提供服务的人员为中小企业依照《中华人民共和国劳动合同法》订立劳动合同的从业人员，不对其中涉及的货物的制造商和工程承建商作出要求。</w:t>
      </w:r>
    </w:p>
    <w:p w14:paraId="3551A388">
      <w:pPr>
        <w:pStyle w:val="31"/>
        <w:spacing w:line="360" w:lineRule="auto"/>
        <w:ind w:firstLine="420" w:firstLineChars="200"/>
        <w:contextualSpacing/>
        <w:rPr>
          <w:rFonts w:hAnsi="宋体"/>
          <w:color w:val="auto"/>
          <w:sz w:val="21"/>
        </w:rPr>
      </w:pPr>
      <w:r>
        <w:rPr>
          <w:rFonts w:hint="eastAsia" w:hAnsi="宋体"/>
          <w:color w:val="auto"/>
          <w:sz w:val="21"/>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4E250D69">
      <w:pPr>
        <w:spacing w:line="360" w:lineRule="auto"/>
        <w:ind w:firstLine="420" w:firstLineChars="200"/>
        <w:contextualSpacing/>
        <w:rPr>
          <w:rFonts w:ascii="宋体" w:hAnsi="宋体" w:cs="宋体"/>
          <w:color w:val="auto"/>
        </w:rPr>
      </w:pPr>
      <w:r>
        <w:rPr>
          <w:rFonts w:hint="eastAsia" w:hAnsi="宋体"/>
          <w:color w:val="auto"/>
        </w:rPr>
        <w:t>依据本谈判文件规定享受扶持政策获得政府采购合同的，小微企业不得将合同分包给大中型企业，中型企业不得将合同分包给大型企业。</w:t>
      </w:r>
    </w:p>
    <w:p w14:paraId="55CF8F0A">
      <w:pPr>
        <w:pStyle w:val="25"/>
        <w:ind w:left="1" w:firstLine="3" w:firstLineChars="1"/>
        <w:rPr>
          <w:rFonts w:hAnsi="宋体"/>
          <w:color w:val="auto"/>
        </w:rPr>
      </w:pPr>
      <w:r>
        <w:rPr>
          <w:rFonts w:ascii="黑体" w:hAnsi="黑体" w:eastAsia="黑体" w:cs="黑体"/>
          <w:bCs/>
          <w:color w:val="auto"/>
          <w:sz w:val="32"/>
          <w:szCs w:val="32"/>
        </w:rPr>
        <w:br w:type="page"/>
      </w:r>
    </w:p>
    <w:p w14:paraId="16203D3A">
      <w:pPr>
        <w:pStyle w:val="9"/>
        <w:jc w:val="center"/>
        <w:rPr>
          <w:color w:val="auto"/>
        </w:rPr>
      </w:pPr>
      <w:bookmarkStart w:id="61" w:name="_Toc16482"/>
      <w:r>
        <w:rPr>
          <w:rFonts w:hint="eastAsia"/>
          <w:color w:val="auto"/>
        </w:rPr>
        <w:t>第三章 采购需求</w:t>
      </w:r>
      <w:bookmarkEnd w:id="61"/>
    </w:p>
    <w:p w14:paraId="7289D274">
      <w:pPr>
        <w:spacing w:line="440" w:lineRule="exact"/>
        <w:jc w:val="center"/>
        <w:rPr>
          <w:rFonts w:ascii="宋体" w:hAnsi="宋体"/>
          <w:b/>
          <w:color w:val="auto"/>
          <w:sz w:val="32"/>
          <w:szCs w:val="32"/>
        </w:rPr>
      </w:pPr>
      <w:r>
        <w:rPr>
          <w:rFonts w:hint="eastAsia" w:ascii="宋体" w:hAnsi="宋体"/>
          <w:b/>
          <w:color w:val="auto"/>
          <w:sz w:val="32"/>
          <w:szCs w:val="32"/>
        </w:rPr>
        <w:t>采购项目技术规格、参数及要求</w:t>
      </w:r>
    </w:p>
    <w:p w14:paraId="2E92DE17">
      <w:pPr>
        <w:spacing w:line="440" w:lineRule="exact"/>
        <w:jc w:val="left"/>
        <w:rPr>
          <w:rFonts w:ascii="宋体" w:hAnsi="宋体" w:cs="宋体"/>
          <w:color w:val="auto"/>
          <w:szCs w:val="21"/>
        </w:rPr>
      </w:pPr>
    </w:p>
    <w:p w14:paraId="594C9BF0">
      <w:pPr>
        <w:spacing w:line="360" w:lineRule="auto"/>
        <w:jc w:val="left"/>
        <w:rPr>
          <w:color w:val="auto"/>
        </w:rPr>
      </w:pPr>
      <w:r>
        <w:rPr>
          <w:rFonts w:hint="eastAsia" w:ascii="宋体" w:hAnsi="宋体" w:cs="宋体"/>
          <w:color w:val="auto"/>
          <w:szCs w:val="21"/>
        </w:rPr>
        <w:t>说明：</w:t>
      </w:r>
    </w:p>
    <w:p w14:paraId="706BA3F7">
      <w:pPr>
        <w:spacing w:line="360" w:lineRule="auto"/>
        <w:ind w:firstLine="426" w:firstLineChars="202"/>
        <w:jc w:val="left"/>
        <w:rPr>
          <w:rFonts w:ascii="宋体" w:hAnsi="宋体" w:cs="宋体"/>
          <w:b/>
          <w:bCs/>
          <w:color w:val="auto"/>
          <w:szCs w:val="21"/>
        </w:rPr>
      </w:pPr>
      <w:r>
        <w:rPr>
          <w:rFonts w:hint="eastAsia" w:ascii="宋体" w:hAnsi="宋体" w:cs="宋体"/>
          <w:b/>
          <w:bCs/>
          <w:color w:val="auto"/>
          <w:szCs w:val="21"/>
        </w:rPr>
        <w:t>1.为落实政府采购政策需满足的要求</w:t>
      </w:r>
      <w:r>
        <w:rPr>
          <w:rFonts w:hint="eastAsia" w:ascii="宋体" w:hAnsi="宋体" w:cs="宋体"/>
          <w:b/>
          <w:bCs/>
          <w:color w:val="auto"/>
          <w:szCs w:val="21"/>
          <w:lang w:eastAsia="zh-CN"/>
        </w:rPr>
        <w:t>：</w:t>
      </w:r>
    </w:p>
    <w:p w14:paraId="2D31FD6F">
      <w:pPr>
        <w:spacing w:line="360" w:lineRule="auto"/>
        <w:ind w:firstLine="422" w:firstLineChars="200"/>
        <w:jc w:val="left"/>
        <w:rPr>
          <w:rFonts w:hint="eastAsia" w:ascii="宋体" w:hAnsi="宋体" w:cs="宋体"/>
          <w:b/>
          <w:bCs/>
          <w:color w:val="auto"/>
          <w:szCs w:val="21"/>
        </w:rPr>
      </w:pPr>
      <w:r>
        <w:rPr>
          <w:rFonts w:hint="eastAsia" w:ascii="宋体" w:hAnsi="宋体" w:cs="宋体"/>
          <w:b/>
          <w:bCs/>
          <w:color w:val="auto"/>
          <w:szCs w:val="21"/>
        </w:rPr>
        <w:t>（1）本竞争性谈判采购文件所称中小企业必须符合《政府采购促进中小企业发展管理办法》（财库〔2020〕46号）的规定。</w:t>
      </w:r>
    </w:p>
    <w:p w14:paraId="7CAB4D2A">
      <w:pPr>
        <w:spacing w:line="360" w:lineRule="auto"/>
        <w:ind w:firstLine="422" w:firstLineChars="200"/>
        <w:jc w:val="left"/>
        <w:rPr>
          <w:rFonts w:hint="eastAsia" w:ascii="宋体" w:hAnsi="宋体" w:cs="宋体"/>
          <w:b/>
          <w:bCs/>
          <w:color w:val="auto"/>
          <w:szCs w:val="21"/>
        </w:rPr>
      </w:pPr>
      <w:r>
        <w:rPr>
          <w:rFonts w:hint="eastAsia" w:ascii="宋体" w:hAnsi="宋体" w:cs="宋体"/>
          <w:b/>
          <w:bCs/>
          <w:color w:val="auto"/>
          <w:szCs w:val="21"/>
        </w:rPr>
        <w:t>（2）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53C5AEF">
      <w:pPr>
        <w:spacing w:line="360" w:lineRule="auto"/>
        <w:ind w:firstLine="426" w:firstLineChars="202"/>
        <w:jc w:val="left"/>
        <w:rPr>
          <w:rFonts w:ascii="宋体" w:hAnsi="宋体" w:cs="宋体"/>
          <w:b/>
          <w:bCs/>
          <w:color w:val="auto"/>
          <w:szCs w:val="21"/>
        </w:rPr>
      </w:pPr>
      <w:r>
        <w:rPr>
          <w:rFonts w:hint="eastAsia" w:ascii="宋体" w:hAnsi="宋体" w:cs="宋体"/>
          <w:b/>
          <w:bCs/>
          <w:color w:val="auto"/>
          <w:szCs w:val="21"/>
        </w:rPr>
        <w:t>2.“实质性要求”是指竞争性谈判文件中已经指明不满足则竞标无效的条款，或者不能负偏离的条款，或者采购需求中带“▲”的条款。</w:t>
      </w:r>
    </w:p>
    <w:p w14:paraId="2E9A5EB5">
      <w:pPr>
        <w:spacing w:line="360" w:lineRule="auto"/>
        <w:ind w:firstLine="426" w:firstLineChars="202"/>
        <w:jc w:val="left"/>
        <w:rPr>
          <w:rFonts w:ascii="宋体" w:hAnsi="宋体" w:cs="宋体"/>
          <w:b/>
          <w:bCs/>
          <w:color w:val="auto"/>
          <w:szCs w:val="21"/>
        </w:rPr>
      </w:pPr>
      <w:r>
        <w:rPr>
          <w:rFonts w:hint="eastAsia" w:ascii="宋体" w:hAnsi="宋体" w:cs="宋体"/>
          <w:b/>
          <w:bCs/>
          <w:color w:val="auto"/>
          <w:szCs w:val="21"/>
        </w:rPr>
        <w:t>3.一般说明。</w:t>
      </w:r>
    </w:p>
    <w:p w14:paraId="41660015">
      <w:pPr>
        <w:spacing w:line="360" w:lineRule="auto"/>
        <w:ind w:firstLine="426" w:firstLineChars="202"/>
        <w:jc w:val="left"/>
        <w:rPr>
          <w:rFonts w:ascii="宋体" w:hAnsi="宋体" w:cs="宋体"/>
          <w:b/>
          <w:bCs/>
          <w:color w:val="auto"/>
          <w:szCs w:val="21"/>
        </w:rPr>
      </w:pPr>
      <w:r>
        <w:rPr>
          <w:rFonts w:hint="eastAsia" w:ascii="宋体" w:hAnsi="宋体" w:cs="宋体"/>
          <w:b/>
          <w:bCs/>
          <w:color w:val="auto"/>
          <w:szCs w:val="21"/>
        </w:rPr>
        <w:t>（1）本章中如提及品牌型号，仅起参考作用。供应商可选用其他品牌型号替代，但这些替代的品牌型号要实质上参照或相当于或优于参考品牌型号及其技术参数性能（配置）要求。</w:t>
      </w:r>
    </w:p>
    <w:p w14:paraId="17EB43A9">
      <w:pPr>
        <w:spacing w:line="360" w:lineRule="auto"/>
        <w:ind w:firstLine="426" w:firstLineChars="202"/>
        <w:jc w:val="left"/>
        <w:rPr>
          <w:rFonts w:ascii="宋体" w:hAnsi="宋体" w:cs="宋体"/>
          <w:b/>
          <w:bCs/>
          <w:color w:val="auto"/>
          <w:szCs w:val="21"/>
        </w:rPr>
      </w:pPr>
      <w:r>
        <w:rPr>
          <w:rFonts w:hint="eastAsia" w:ascii="宋体" w:hAnsi="宋体" w:cs="宋体"/>
          <w:b/>
          <w:bCs/>
          <w:color w:val="auto"/>
          <w:szCs w:val="21"/>
        </w:rPr>
        <w:t xml:space="preserve">（2）如要求提供检测报告或其他证明材料的，检测报告或其他证明材料内容中若涉及外文说明，必须同时提供对应中文翻译说明，评审依据以中文翻译内容为准，外文说明仅供参考；产品证明材料应为报告正面、背面和附件标注的全部具体内容；产品证明材料的内容应该能够被阅读、识别和判断。 </w:t>
      </w:r>
    </w:p>
    <w:p w14:paraId="4EBAD97F">
      <w:pPr>
        <w:spacing w:line="360" w:lineRule="auto"/>
        <w:ind w:firstLine="426" w:firstLineChars="202"/>
        <w:jc w:val="left"/>
        <w:rPr>
          <w:rFonts w:ascii="宋体" w:hAnsi="宋体" w:cs="宋体"/>
          <w:b/>
          <w:bCs/>
          <w:color w:val="auto"/>
          <w:szCs w:val="21"/>
        </w:rPr>
      </w:pPr>
      <w:r>
        <w:rPr>
          <w:rFonts w:hint="eastAsia" w:ascii="宋体" w:hAnsi="宋体" w:cs="宋体"/>
          <w:b/>
          <w:bCs/>
          <w:color w:val="auto"/>
          <w:szCs w:val="21"/>
        </w:rPr>
        <w:t>4.本项目属于服务类项目，核心产品：无。</w:t>
      </w:r>
    </w:p>
    <w:p w14:paraId="464104E1">
      <w:pPr>
        <w:spacing w:line="360" w:lineRule="auto"/>
        <w:ind w:firstLine="426" w:firstLineChars="202"/>
        <w:jc w:val="left"/>
        <w:rPr>
          <w:rFonts w:ascii="宋体" w:hAnsi="宋体" w:cs="宋体"/>
          <w:b/>
          <w:bCs/>
          <w:color w:val="auto"/>
          <w:szCs w:val="21"/>
        </w:rPr>
      </w:pPr>
      <w:r>
        <w:rPr>
          <w:rFonts w:hint="eastAsia" w:ascii="宋体" w:hAnsi="宋体" w:cs="宋体"/>
          <w:b/>
          <w:bCs/>
          <w:color w:val="auto"/>
          <w:szCs w:val="21"/>
        </w:rPr>
        <w:t>5.供应商必须自行为其竞标产品侵犯他人的知识产权或者专利成果的行为承担相应法律责任。</w:t>
      </w:r>
    </w:p>
    <w:p w14:paraId="7AE03D0B">
      <w:pPr>
        <w:spacing w:line="360" w:lineRule="auto"/>
        <w:ind w:firstLine="426" w:firstLineChars="202"/>
        <w:jc w:val="left"/>
        <w:rPr>
          <w:rFonts w:ascii="宋体" w:hAnsi="宋体" w:cs="宋体"/>
          <w:b/>
          <w:bCs/>
          <w:color w:val="auto"/>
          <w:szCs w:val="21"/>
        </w:rPr>
      </w:pPr>
      <w:r>
        <w:rPr>
          <w:rFonts w:hint="eastAsia" w:ascii="宋体" w:hAnsi="宋体" w:cs="宋体"/>
          <w:b/>
          <w:bCs/>
          <w:color w:val="auto"/>
          <w:szCs w:val="21"/>
        </w:rPr>
        <w:t>6.本项目是专门面向中型企业、小型企业或微型企业采购的项目。</w:t>
      </w:r>
    </w:p>
    <w:p w14:paraId="40C26ACD">
      <w:pPr>
        <w:spacing w:line="360" w:lineRule="auto"/>
        <w:ind w:firstLine="426" w:firstLineChars="202"/>
        <w:jc w:val="left"/>
        <w:rPr>
          <w:rFonts w:ascii="宋体" w:hAnsi="宋体" w:cs="宋体"/>
          <w:b/>
          <w:bCs/>
          <w:color w:val="auto"/>
          <w:szCs w:val="21"/>
        </w:rPr>
      </w:pPr>
      <w:r>
        <w:rPr>
          <w:rFonts w:hint="eastAsia" w:ascii="宋体" w:hAnsi="宋体" w:cs="宋体"/>
          <w:b/>
          <w:bCs/>
          <w:color w:val="auto"/>
          <w:szCs w:val="21"/>
        </w:rPr>
        <w:t>7.本项目采购标的所属行业名称（行业名称及划分见本章附件1）：租赁和商务服务业。</w:t>
      </w:r>
    </w:p>
    <w:p w14:paraId="5BB459FA">
      <w:pPr>
        <w:spacing w:line="360" w:lineRule="auto"/>
        <w:ind w:firstLine="426" w:firstLineChars="202"/>
        <w:jc w:val="left"/>
        <w:rPr>
          <w:b/>
          <w:bCs/>
          <w:color w:val="auto"/>
        </w:rPr>
      </w:pPr>
      <w:r>
        <w:rPr>
          <w:rFonts w:hint="eastAsia" w:ascii="宋体" w:hAnsi="宋体" w:cs="宋体"/>
          <w:b/>
          <w:bCs/>
          <w:color w:val="auto"/>
          <w:szCs w:val="21"/>
        </w:rPr>
        <w:t>8.</w:t>
      </w:r>
      <w:r>
        <w:rPr>
          <w:rFonts w:hint="eastAsia"/>
          <w:b/>
          <w:bCs/>
          <w:color w:val="auto"/>
        </w:rPr>
        <w:t>竞标报价（包含首次报价、最后报价）超过所竞标分标规定的采购预算金额或单项单价预算的响应文件按无效处理。</w:t>
      </w:r>
    </w:p>
    <w:p w14:paraId="03A8D023">
      <w:pPr>
        <w:spacing w:line="360" w:lineRule="auto"/>
        <w:ind w:firstLine="426" w:firstLineChars="202"/>
        <w:jc w:val="left"/>
        <w:rPr>
          <w:b/>
          <w:bCs/>
          <w:color w:val="auto"/>
        </w:rPr>
      </w:pPr>
      <w:r>
        <w:rPr>
          <w:rFonts w:hint="eastAsia"/>
          <w:b/>
          <w:bCs/>
          <w:color w:val="auto"/>
        </w:rPr>
        <w:t>9.采购预算金额：72万元。</w:t>
      </w:r>
    </w:p>
    <w:p w14:paraId="7824DF81">
      <w:pPr>
        <w:pStyle w:val="44"/>
        <w:rPr>
          <w:b/>
          <w:bCs/>
          <w:color w:val="auto"/>
        </w:rPr>
      </w:pPr>
    </w:p>
    <w:p w14:paraId="143239A8">
      <w:pPr>
        <w:pStyle w:val="44"/>
        <w:rPr>
          <w:b/>
          <w:bCs/>
          <w:color w:val="auto"/>
        </w:rPr>
      </w:pPr>
    </w:p>
    <w:p w14:paraId="07C36611">
      <w:pPr>
        <w:pStyle w:val="44"/>
        <w:rPr>
          <w:b/>
          <w:bCs/>
          <w:color w:val="auto"/>
        </w:rPr>
      </w:pPr>
    </w:p>
    <w:tbl>
      <w:tblPr>
        <w:tblStyle w:val="6"/>
        <w:tblpPr w:leftFromText="180" w:rightFromText="180" w:vertAnchor="text" w:horzAnchor="page" w:tblpX="1605" w:tblpY="296"/>
        <w:tblOverlap w:val="never"/>
        <w:tblW w:w="91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690"/>
        <w:gridCol w:w="796"/>
        <w:gridCol w:w="709"/>
        <w:gridCol w:w="6218"/>
      </w:tblGrid>
      <w:tr w14:paraId="1A7B2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9122" w:type="dxa"/>
            <w:gridSpan w:val="5"/>
            <w:tcBorders>
              <w:top w:val="single" w:color="000000" w:sz="4" w:space="0"/>
              <w:left w:val="single" w:color="000000" w:sz="4" w:space="0"/>
              <w:bottom w:val="single" w:color="000000" w:sz="4" w:space="0"/>
              <w:right w:val="single" w:color="000000" w:sz="4" w:space="0"/>
            </w:tcBorders>
            <w:vAlign w:val="center"/>
          </w:tcPr>
          <w:p w14:paraId="3DCEA026">
            <w:pPr>
              <w:tabs>
                <w:tab w:val="left" w:pos="180"/>
                <w:tab w:val="left" w:pos="1620"/>
              </w:tabs>
              <w:spacing w:line="360" w:lineRule="auto"/>
              <w:rPr>
                <w:rFonts w:ascii="宋体" w:hAnsi="宋体" w:cs="宋体"/>
                <w:color w:val="auto"/>
                <w:szCs w:val="21"/>
              </w:rPr>
            </w:pPr>
            <w:r>
              <w:rPr>
                <w:rFonts w:hint="eastAsia"/>
                <w:b/>
                <w:bCs/>
                <w:color w:val="auto"/>
              </w:rPr>
              <w:t>一、采购需求</w:t>
            </w:r>
          </w:p>
        </w:tc>
      </w:tr>
      <w:tr w14:paraId="16269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CF86069">
            <w:pPr>
              <w:tabs>
                <w:tab w:val="left" w:pos="180"/>
                <w:tab w:val="left" w:pos="1620"/>
              </w:tabs>
              <w:spacing w:line="380" w:lineRule="exact"/>
              <w:jc w:val="center"/>
              <w:rPr>
                <w:rFonts w:ascii="宋体" w:hAnsi="宋体" w:cs="宋体"/>
                <w:b/>
                <w:bCs/>
                <w:color w:val="auto"/>
                <w:szCs w:val="21"/>
              </w:rPr>
            </w:pPr>
            <w:r>
              <w:rPr>
                <w:rFonts w:hint="eastAsia" w:ascii="宋体" w:hAnsi="宋体" w:cs="宋体"/>
                <w:b/>
                <w:bCs/>
                <w:color w:val="auto"/>
                <w:szCs w:val="21"/>
              </w:rPr>
              <w:t>序号</w:t>
            </w:r>
          </w:p>
        </w:tc>
        <w:tc>
          <w:tcPr>
            <w:tcW w:w="1486" w:type="dxa"/>
            <w:gridSpan w:val="2"/>
            <w:tcBorders>
              <w:top w:val="single" w:color="000000" w:sz="4" w:space="0"/>
              <w:left w:val="single" w:color="000000" w:sz="4" w:space="0"/>
              <w:bottom w:val="single" w:color="000000" w:sz="4" w:space="0"/>
              <w:right w:val="single" w:color="000000" w:sz="4" w:space="0"/>
            </w:tcBorders>
            <w:vAlign w:val="center"/>
          </w:tcPr>
          <w:p w14:paraId="10B37515">
            <w:pPr>
              <w:tabs>
                <w:tab w:val="left" w:pos="180"/>
                <w:tab w:val="left" w:pos="1620"/>
              </w:tabs>
              <w:spacing w:line="360" w:lineRule="auto"/>
              <w:jc w:val="center"/>
              <w:rPr>
                <w:rFonts w:ascii="宋体" w:hAnsi="宋体" w:cs="宋体"/>
                <w:b/>
                <w:bCs/>
                <w:color w:val="auto"/>
                <w:szCs w:val="21"/>
              </w:rPr>
            </w:pPr>
            <w:r>
              <w:rPr>
                <w:rFonts w:hint="eastAsia" w:ascii="宋体" w:hAnsi="宋体" w:cs="宋体"/>
                <w:b/>
                <w:bCs/>
                <w:color w:val="auto"/>
                <w:szCs w:val="21"/>
              </w:rPr>
              <w:t>标的名称</w:t>
            </w:r>
          </w:p>
        </w:tc>
        <w:tc>
          <w:tcPr>
            <w:tcW w:w="709" w:type="dxa"/>
            <w:tcBorders>
              <w:top w:val="single" w:color="000000" w:sz="4" w:space="0"/>
              <w:left w:val="single" w:color="000000" w:sz="4" w:space="0"/>
              <w:bottom w:val="single" w:color="000000" w:sz="4" w:space="0"/>
              <w:right w:val="single" w:color="000000" w:sz="4" w:space="0"/>
            </w:tcBorders>
            <w:vAlign w:val="center"/>
          </w:tcPr>
          <w:p w14:paraId="32A01EEE">
            <w:pPr>
              <w:tabs>
                <w:tab w:val="left" w:pos="180"/>
                <w:tab w:val="left" w:pos="1620"/>
              </w:tabs>
              <w:spacing w:line="360" w:lineRule="auto"/>
              <w:jc w:val="center"/>
              <w:rPr>
                <w:rFonts w:ascii="宋体" w:hAnsi="宋体" w:cs="宋体"/>
                <w:b/>
                <w:bCs/>
                <w:color w:val="auto"/>
                <w:szCs w:val="21"/>
              </w:rPr>
            </w:pPr>
            <w:r>
              <w:rPr>
                <w:rFonts w:hint="eastAsia" w:ascii="宋体" w:hAnsi="宋体" w:cs="宋体"/>
                <w:b/>
                <w:bCs/>
                <w:color w:val="auto"/>
                <w:szCs w:val="21"/>
              </w:rPr>
              <w:t>数量</w:t>
            </w:r>
          </w:p>
        </w:tc>
        <w:tc>
          <w:tcPr>
            <w:tcW w:w="6218" w:type="dxa"/>
            <w:tcBorders>
              <w:top w:val="single" w:color="000000" w:sz="4" w:space="0"/>
              <w:left w:val="single" w:color="000000" w:sz="4" w:space="0"/>
              <w:bottom w:val="single" w:color="000000" w:sz="4" w:space="0"/>
              <w:right w:val="single" w:color="000000" w:sz="4" w:space="0"/>
            </w:tcBorders>
            <w:vAlign w:val="center"/>
          </w:tcPr>
          <w:p w14:paraId="28C0DB6D">
            <w:pPr>
              <w:tabs>
                <w:tab w:val="left" w:pos="180"/>
                <w:tab w:val="left" w:pos="1620"/>
              </w:tabs>
              <w:spacing w:line="360" w:lineRule="auto"/>
              <w:jc w:val="center"/>
              <w:rPr>
                <w:rFonts w:ascii="宋体" w:hAnsi="宋体"/>
                <w:b/>
                <w:bCs/>
                <w:color w:val="auto"/>
                <w:szCs w:val="21"/>
              </w:rPr>
            </w:pPr>
            <w:r>
              <w:rPr>
                <w:rFonts w:hint="eastAsia" w:ascii="宋体" w:hAnsi="宋体"/>
                <w:b/>
                <w:bCs/>
                <w:color w:val="auto"/>
                <w:szCs w:val="21"/>
              </w:rPr>
              <w:t>技术要求</w:t>
            </w:r>
          </w:p>
        </w:tc>
      </w:tr>
      <w:tr w14:paraId="3587E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EA2FFA7">
            <w:pPr>
              <w:tabs>
                <w:tab w:val="left" w:pos="180"/>
                <w:tab w:val="left" w:pos="1620"/>
              </w:tabs>
              <w:spacing w:line="360" w:lineRule="auto"/>
              <w:jc w:val="center"/>
              <w:rPr>
                <w:rFonts w:ascii="宋体" w:hAnsi="宋体" w:cs="宋体"/>
                <w:color w:val="auto"/>
                <w:szCs w:val="21"/>
              </w:rPr>
            </w:pPr>
            <w:r>
              <w:rPr>
                <w:rFonts w:hint="eastAsia" w:ascii="宋体" w:hAnsi="宋体" w:cs="宋体"/>
                <w:color w:val="auto"/>
                <w:szCs w:val="21"/>
              </w:rPr>
              <w:t>1</w:t>
            </w:r>
          </w:p>
        </w:tc>
        <w:tc>
          <w:tcPr>
            <w:tcW w:w="1486" w:type="dxa"/>
            <w:gridSpan w:val="2"/>
            <w:tcBorders>
              <w:top w:val="single" w:color="000000" w:sz="4" w:space="0"/>
              <w:left w:val="single" w:color="000000" w:sz="4" w:space="0"/>
              <w:bottom w:val="single" w:color="000000" w:sz="4" w:space="0"/>
              <w:right w:val="single" w:color="000000" w:sz="4" w:space="0"/>
            </w:tcBorders>
            <w:vAlign w:val="center"/>
          </w:tcPr>
          <w:p w14:paraId="0FDED646">
            <w:pPr>
              <w:spacing w:line="380" w:lineRule="exact"/>
              <w:jc w:val="center"/>
              <w:rPr>
                <w:rFonts w:ascii="新宋体" w:hAnsi="新宋体" w:eastAsia="新宋体" w:cs="新宋体"/>
                <w:color w:val="auto"/>
                <w:szCs w:val="21"/>
              </w:rPr>
            </w:pPr>
            <w:r>
              <w:rPr>
                <w:rFonts w:hint="eastAsia" w:ascii="新宋体" w:hAnsi="新宋体" w:eastAsia="新宋体" w:cs="新宋体"/>
                <w:color w:val="auto"/>
                <w:kern w:val="0"/>
                <w:szCs w:val="21"/>
                <w:lang w:bidi="ar"/>
              </w:rPr>
              <w:t>崇左市人民医院2026年度残疾人劳务派遣服务</w:t>
            </w:r>
          </w:p>
        </w:tc>
        <w:tc>
          <w:tcPr>
            <w:tcW w:w="709" w:type="dxa"/>
            <w:tcBorders>
              <w:top w:val="single" w:color="000000" w:sz="4" w:space="0"/>
              <w:left w:val="single" w:color="000000" w:sz="4" w:space="0"/>
              <w:bottom w:val="single" w:color="000000" w:sz="4" w:space="0"/>
              <w:right w:val="single" w:color="000000" w:sz="4" w:space="0"/>
            </w:tcBorders>
            <w:vAlign w:val="center"/>
          </w:tcPr>
          <w:p w14:paraId="5326FE2A">
            <w:pPr>
              <w:widowControl/>
              <w:jc w:val="center"/>
              <w:rPr>
                <w:rFonts w:ascii="新宋体" w:hAnsi="新宋体" w:eastAsia="新宋体" w:cs="新宋体"/>
                <w:color w:val="auto"/>
                <w:szCs w:val="21"/>
              </w:rPr>
            </w:pPr>
            <w:r>
              <w:rPr>
                <w:rFonts w:hint="eastAsia" w:ascii="新宋体" w:hAnsi="新宋体" w:eastAsia="新宋体" w:cs="新宋体"/>
                <w:color w:val="auto"/>
                <w:szCs w:val="21"/>
              </w:rPr>
              <w:t>12人</w:t>
            </w:r>
          </w:p>
        </w:tc>
        <w:tc>
          <w:tcPr>
            <w:tcW w:w="6218" w:type="dxa"/>
            <w:tcBorders>
              <w:top w:val="single" w:color="000000" w:sz="4" w:space="0"/>
              <w:left w:val="single" w:color="000000" w:sz="4" w:space="0"/>
              <w:bottom w:val="single" w:color="000000" w:sz="4" w:space="0"/>
              <w:right w:val="single" w:color="000000" w:sz="4" w:space="0"/>
            </w:tcBorders>
            <w:vAlign w:val="center"/>
          </w:tcPr>
          <w:p w14:paraId="49A7C827">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1.安置人员需持有《中华人民共和国残疾人证》，证书上需注明视力残疾、听力残疾、言语残疾、肢体残疾、精神残疾或多重残疾等情况的人员，或持有《中华人民共和国残疾军人证》（1至8级）的人员。</w:t>
            </w:r>
            <w:r>
              <w:rPr>
                <w:rFonts w:hint="eastAsia" w:ascii="宋体" w:hAnsi="宋体" w:cs="宋体"/>
                <w:color w:val="auto"/>
                <w:szCs w:val="21"/>
              </w:rPr>
              <w:br w:type="textWrapping" w:clear="all"/>
            </w:r>
            <w:r>
              <w:rPr>
                <w:rFonts w:hint="eastAsia" w:ascii="宋体" w:hAnsi="宋体" w:cs="宋体"/>
                <w:color w:val="auto"/>
                <w:szCs w:val="21"/>
              </w:rPr>
              <w:t xml:space="preserve">    2.供应商应能提供办公场地集中安排残疾人就业，并具备适合残疾人工作、生活的无障碍环境和设施。</w:t>
            </w:r>
            <w:r>
              <w:rPr>
                <w:rFonts w:hint="eastAsia" w:ascii="宋体" w:hAnsi="宋体" w:cs="宋体"/>
                <w:color w:val="auto"/>
                <w:szCs w:val="21"/>
              </w:rPr>
              <w:br w:type="textWrapping" w:clear="all"/>
            </w:r>
            <w:r>
              <w:rPr>
                <w:rFonts w:hint="eastAsia" w:ascii="宋体" w:hAnsi="宋体" w:cs="宋体"/>
                <w:color w:val="auto"/>
                <w:szCs w:val="21"/>
              </w:rPr>
              <w:t xml:space="preserve">    3.供应商每月须按时完成残疾人工资发放、社保缴纳并在中国残疾人就业创业网络服务平台完成认证登记备案；协助医院办理残疾人就业认定、申报等相关业务。</w:t>
            </w:r>
            <w:r>
              <w:rPr>
                <w:rFonts w:hint="eastAsia" w:ascii="宋体" w:hAnsi="宋体" w:cs="宋体"/>
                <w:color w:val="auto"/>
                <w:szCs w:val="21"/>
              </w:rPr>
              <w:br w:type="textWrapping" w:clear="all"/>
            </w:r>
            <w:r>
              <w:rPr>
                <w:rFonts w:hint="eastAsia" w:ascii="宋体" w:hAnsi="宋体" w:cs="宋体"/>
                <w:color w:val="auto"/>
                <w:szCs w:val="21"/>
              </w:rPr>
              <w:t xml:space="preserve">   4.根据申报年度残疾人审核政策为采购人准备审核材料、办理审核事宜，直到采购人在规定时间内获取上级主管部门出具的《按比例安排残疾人就业审核确认书》。</w:t>
            </w:r>
            <w:r>
              <w:rPr>
                <w:rFonts w:hint="eastAsia" w:ascii="宋体" w:hAnsi="宋体" w:cs="宋体"/>
                <w:color w:val="auto"/>
                <w:szCs w:val="21"/>
              </w:rPr>
              <w:br w:type="textWrapping" w:clear="all"/>
            </w:r>
            <w:r>
              <w:rPr>
                <w:rFonts w:hint="eastAsia" w:ascii="宋体" w:hAnsi="宋体" w:cs="宋体"/>
                <w:color w:val="auto"/>
                <w:szCs w:val="21"/>
              </w:rPr>
              <w:t xml:space="preserve">    5.如医院在职员工月度有增长，供应商应根据采购人每月核定的次月在职员工人数重新协助医院核算残疾人员用工人月数，并建</w:t>
            </w:r>
            <w:r>
              <w:rPr>
                <w:rFonts w:hint="eastAsia" w:ascii="宋体" w:hAnsi="宋体" w:cs="宋体"/>
                <w:color w:val="auto"/>
                <w:szCs w:val="21"/>
              </w:rPr>
              <w:t>议采购人是否增加派遣残疾人员工。</w:t>
            </w:r>
          </w:p>
          <w:p w14:paraId="3A2F5C88">
            <w:pPr>
              <w:spacing w:line="440" w:lineRule="exact"/>
              <w:ind w:firstLine="422" w:firstLineChars="200"/>
              <w:rPr>
                <w:rFonts w:hint="default" w:ascii="宋体" w:hAnsi="宋体" w:eastAsia="宋体" w:cs="宋体"/>
                <w:color w:val="auto"/>
                <w:szCs w:val="21"/>
                <w:lang w:val="en-US" w:eastAsia="zh-CN"/>
              </w:rPr>
            </w:pPr>
            <w:r>
              <w:rPr>
                <w:rFonts w:hint="eastAsia" w:ascii="宋体" w:hAnsi="宋体" w:cs="宋体"/>
                <w:b/>
                <w:bCs/>
                <w:color w:val="auto"/>
                <w:szCs w:val="21"/>
              </w:rPr>
              <w:t>▲</w:t>
            </w:r>
            <w:r>
              <w:rPr>
                <w:rFonts w:hint="eastAsia" w:ascii="宋体" w:hAnsi="宋体" w:cs="宋体"/>
                <w:color w:val="auto"/>
                <w:szCs w:val="21"/>
                <w:lang w:val="en-US" w:eastAsia="zh-CN"/>
              </w:rPr>
              <w:t>6.人员要求：轻度残疾（3-8级）6人，重度残疾（1-2级）6人。</w:t>
            </w:r>
          </w:p>
        </w:tc>
      </w:tr>
      <w:tr w14:paraId="3E59A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trPr>
        <w:tc>
          <w:tcPr>
            <w:tcW w:w="9122" w:type="dxa"/>
            <w:gridSpan w:val="5"/>
            <w:tcBorders>
              <w:top w:val="single" w:color="000000" w:sz="4" w:space="0"/>
              <w:left w:val="single" w:color="000000" w:sz="4" w:space="0"/>
              <w:bottom w:val="single" w:color="000000" w:sz="4" w:space="0"/>
              <w:right w:val="single" w:color="000000" w:sz="4" w:space="0"/>
            </w:tcBorders>
            <w:vAlign w:val="center"/>
          </w:tcPr>
          <w:p w14:paraId="064DED46">
            <w:pPr>
              <w:spacing w:line="440" w:lineRule="exact"/>
              <w:rPr>
                <w:color w:val="auto"/>
              </w:rPr>
            </w:pPr>
            <w:r>
              <w:rPr>
                <w:rFonts w:hint="eastAsia"/>
                <w:color w:val="auto"/>
              </w:rPr>
              <w:t>▲</w:t>
            </w:r>
            <w:r>
              <w:rPr>
                <w:rFonts w:hint="eastAsia"/>
                <w:b/>
                <w:bCs/>
                <w:color w:val="auto"/>
              </w:rPr>
              <w:t>二、商务要求</w:t>
            </w:r>
          </w:p>
        </w:tc>
      </w:tr>
      <w:tr w14:paraId="10400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9" w:type="dxa"/>
            <w:gridSpan w:val="2"/>
            <w:tcBorders>
              <w:top w:val="single" w:color="000000" w:sz="4" w:space="0"/>
              <w:left w:val="single" w:color="000000" w:sz="4" w:space="0"/>
              <w:bottom w:val="single" w:color="000000" w:sz="4" w:space="0"/>
              <w:right w:val="single" w:color="000000" w:sz="4" w:space="0"/>
            </w:tcBorders>
            <w:vAlign w:val="center"/>
          </w:tcPr>
          <w:p w14:paraId="3CEA677F">
            <w:pPr>
              <w:spacing w:line="440" w:lineRule="exact"/>
              <w:jc w:val="center"/>
              <w:rPr>
                <w:color w:val="auto"/>
              </w:rPr>
            </w:pPr>
            <w:r>
              <w:rPr>
                <w:rFonts w:hint="eastAsia"/>
                <w:color w:val="auto"/>
              </w:rPr>
              <w:t>（一）合同签订时间</w:t>
            </w:r>
          </w:p>
        </w:tc>
        <w:tc>
          <w:tcPr>
            <w:tcW w:w="7723" w:type="dxa"/>
            <w:gridSpan w:val="3"/>
            <w:tcBorders>
              <w:top w:val="single" w:color="000000" w:sz="4" w:space="0"/>
              <w:left w:val="single" w:color="000000" w:sz="4" w:space="0"/>
              <w:bottom w:val="single" w:color="000000" w:sz="4" w:space="0"/>
              <w:right w:val="single" w:color="000000" w:sz="4" w:space="0"/>
            </w:tcBorders>
            <w:vAlign w:val="center"/>
          </w:tcPr>
          <w:p w14:paraId="73D9FEB4">
            <w:pPr>
              <w:spacing w:line="440" w:lineRule="exact"/>
              <w:ind w:firstLine="420" w:firstLineChars="200"/>
              <w:rPr>
                <w:color w:val="auto"/>
              </w:rPr>
            </w:pPr>
            <w:r>
              <w:rPr>
                <w:rFonts w:hint="eastAsia" w:ascii="宋体" w:hAnsi="宋体" w:cs="宋体"/>
                <w:color w:val="auto"/>
                <w:szCs w:val="21"/>
              </w:rPr>
              <w:t>自成交通知书发出之日起15日内，因不可抗力原因延迟签订合同的，自不可抗力事由消除之日起5个工作日内完成合同签订事宜。</w:t>
            </w:r>
          </w:p>
        </w:tc>
      </w:tr>
      <w:tr w14:paraId="6A5AA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1399" w:type="dxa"/>
            <w:gridSpan w:val="2"/>
            <w:tcBorders>
              <w:top w:val="single" w:color="000000" w:sz="4" w:space="0"/>
              <w:left w:val="single" w:color="000000" w:sz="4" w:space="0"/>
              <w:bottom w:val="single" w:color="000000" w:sz="4" w:space="0"/>
              <w:right w:val="single" w:color="000000" w:sz="4" w:space="0"/>
            </w:tcBorders>
            <w:vAlign w:val="center"/>
          </w:tcPr>
          <w:p w14:paraId="4013C5C9">
            <w:pPr>
              <w:spacing w:line="400" w:lineRule="exact"/>
              <w:jc w:val="center"/>
              <w:rPr>
                <w:rFonts w:ascii="新宋体" w:hAnsi="新宋体" w:eastAsia="新宋体" w:cs="新宋体"/>
                <w:color w:val="auto"/>
                <w:szCs w:val="21"/>
              </w:rPr>
            </w:pPr>
            <w:r>
              <w:rPr>
                <w:rFonts w:hint="eastAsia" w:ascii="新宋体" w:hAnsi="新宋体" w:eastAsia="新宋体" w:cs="新宋体"/>
                <w:color w:val="auto"/>
                <w:szCs w:val="21"/>
              </w:rPr>
              <w:t>（二）合同履约期限</w:t>
            </w:r>
          </w:p>
        </w:tc>
        <w:tc>
          <w:tcPr>
            <w:tcW w:w="7723" w:type="dxa"/>
            <w:gridSpan w:val="3"/>
            <w:tcBorders>
              <w:top w:val="single" w:color="000000" w:sz="4" w:space="0"/>
              <w:left w:val="single" w:color="000000" w:sz="4" w:space="0"/>
              <w:bottom w:val="single" w:color="000000" w:sz="4" w:space="0"/>
              <w:right w:val="single" w:color="000000" w:sz="4" w:space="0"/>
            </w:tcBorders>
            <w:vAlign w:val="center"/>
          </w:tcPr>
          <w:p w14:paraId="544D7BCC">
            <w:pPr>
              <w:spacing w:line="440" w:lineRule="exact"/>
              <w:ind w:firstLine="420" w:firstLineChars="200"/>
              <w:rPr>
                <w:rFonts w:ascii="新宋体" w:hAnsi="新宋体" w:eastAsia="新宋体" w:cs="新宋体"/>
                <w:color w:val="auto"/>
                <w:szCs w:val="21"/>
              </w:rPr>
            </w:pPr>
            <w:r>
              <w:rPr>
                <w:rFonts w:hint="eastAsia" w:ascii="宋体" w:hAnsi="宋体" w:cs="宋体"/>
                <w:color w:val="auto"/>
                <w:szCs w:val="21"/>
              </w:rPr>
              <w:t>自合同签订之日起1年。</w:t>
            </w:r>
          </w:p>
        </w:tc>
      </w:tr>
      <w:tr w14:paraId="0A280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9" w:type="dxa"/>
            <w:gridSpan w:val="2"/>
            <w:tcBorders>
              <w:top w:val="single" w:color="000000" w:sz="4" w:space="0"/>
              <w:left w:val="single" w:color="000000" w:sz="4" w:space="0"/>
              <w:bottom w:val="single" w:color="000000" w:sz="4" w:space="0"/>
              <w:right w:val="single" w:color="000000" w:sz="4" w:space="0"/>
            </w:tcBorders>
            <w:vAlign w:val="center"/>
          </w:tcPr>
          <w:p w14:paraId="2818CF85">
            <w:pPr>
              <w:spacing w:line="380" w:lineRule="exact"/>
              <w:jc w:val="center"/>
              <w:rPr>
                <w:color w:val="auto"/>
              </w:rPr>
            </w:pPr>
            <w:r>
              <w:rPr>
                <w:rFonts w:hint="eastAsia"/>
                <w:color w:val="auto"/>
              </w:rPr>
              <w:t>（三）服务地点</w:t>
            </w:r>
          </w:p>
        </w:tc>
        <w:tc>
          <w:tcPr>
            <w:tcW w:w="7723" w:type="dxa"/>
            <w:gridSpan w:val="3"/>
            <w:tcBorders>
              <w:top w:val="single" w:color="000000" w:sz="4" w:space="0"/>
              <w:left w:val="single" w:color="000000" w:sz="4" w:space="0"/>
              <w:bottom w:val="single" w:color="000000" w:sz="4" w:space="0"/>
              <w:right w:val="single" w:color="000000" w:sz="4" w:space="0"/>
            </w:tcBorders>
            <w:vAlign w:val="center"/>
          </w:tcPr>
          <w:p w14:paraId="7D55C55B">
            <w:pPr>
              <w:spacing w:line="380" w:lineRule="exact"/>
              <w:ind w:firstLine="420" w:firstLineChars="200"/>
              <w:rPr>
                <w:rFonts w:ascii="宋体" w:hAnsi="宋体" w:cs="宋体"/>
                <w:color w:val="auto"/>
                <w:szCs w:val="21"/>
              </w:rPr>
            </w:pPr>
            <w:r>
              <w:rPr>
                <w:rFonts w:hint="eastAsia" w:ascii="宋体" w:hAnsi="宋体" w:cs="宋体"/>
                <w:color w:val="auto"/>
                <w:szCs w:val="21"/>
              </w:rPr>
              <w:t>广西崇左市内，采购人指定地点。</w:t>
            </w:r>
          </w:p>
        </w:tc>
      </w:tr>
      <w:tr w14:paraId="371D4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9" w:type="dxa"/>
            <w:gridSpan w:val="2"/>
            <w:tcBorders>
              <w:top w:val="single" w:color="000000" w:sz="4" w:space="0"/>
              <w:left w:val="single" w:color="000000" w:sz="4" w:space="0"/>
              <w:bottom w:val="single" w:color="000000" w:sz="4" w:space="0"/>
              <w:right w:val="single" w:color="000000" w:sz="4" w:space="0"/>
            </w:tcBorders>
            <w:vAlign w:val="center"/>
          </w:tcPr>
          <w:p w14:paraId="776DF8B0">
            <w:pPr>
              <w:spacing w:line="380" w:lineRule="exact"/>
              <w:jc w:val="center"/>
              <w:rPr>
                <w:rFonts w:ascii="新宋体" w:hAnsi="新宋体" w:eastAsia="新宋体" w:cs="新宋体"/>
                <w:color w:val="auto"/>
                <w:szCs w:val="21"/>
              </w:rPr>
            </w:pPr>
            <w:r>
              <w:rPr>
                <w:rFonts w:hint="eastAsia" w:ascii="新宋体" w:hAnsi="新宋体" w:eastAsia="新宋体" w:cs="新宋体"/>
                <w:color w:val="auto"/>
                <w:szCs w:val="21"/>
              </w:rPr>
              <w:t>（四）报价要求</w:t>
            </w:r>
          </w:p>
        </w:tc>
        <w:tc>
          <w:tcPr>
            <w:tcW w:w="7723" w:type="dxa"/>
            <w:gridSpan w:val="3"/>
            <w:tcBorders>
              <w:top w:val="single" w:color="000000" w:sz="4" w:space="0"/>
              <w:left w:val="single" w:color="000000" w:sz="4" w:space="0"/>
              <w:bottom w:val="single" w:color="000000" w:sz="4" w:space="0"/>
              <w:right w:val="single" w:color="000000" w:sz="4" w:space="0"/>
            </w:tcBorders>
            <w:vAlign w:val="center"/>
          </w:tcPr>
          <w:p w14:paraId="3F2E3F1F">
            <w:pPr>
              <w:spacing w:line="360" w:lineRule="exact"/>
              <w:ind w:firstLine="420" w:firstLineChars="200"/>
              <w:rPr>
                <w:rFonts w:ascii="宋体" w:hAnsi="宋体" w:cs="宋体"/>
                <w:color w:val="auto"/>
                <w:szCs w:val="21"/>
              </w:rPr>
            </w:pPr>
            <w:r>
              <w:rPr>
                <w:rFonts w:hint="eastAsia" w:ascii="宋体" w:hAnsi="宋体" w:cs="宋体"/>
                <w:color w:val="auto"/>
                <w:szCs w:val="21"/>
              </w:rPr>
              <w:t>1.</w:t>
            </w:r>
            <w:r>
              <w:rPr>
                <w:rFonts w:hint="eastAsia" w:ascii="新宋体" w:hAnsi="新宋体" w:eastAsia="新宋体" w:cs="新宋体"/>
                <w:color w:val="auto"/>
                <w:szCs w:val="21"/>
              </w:rPr>
              <w:t>报价</w:t>
            </w:r>
            <w:r>
              <w:rPr>
                <w:rFonts w:hint="eastAsia" w:ascii="宋体" w:hAnsi="宋体" w:cs="宋体"/>
                <w:color w:val="auto"/>
                <w:szCs w:val="21"/>
              </w:rPr>
              <w:t>包含管理费、安全措施费、本项目的采购代理服务费、服务人员的工资、按规定缴纳的社会保险费和福利费以及国家和地方规定必须缴纳的费用、日常管理行政办公费、法定税费及人员培训等类似服务内容的全部费用。</w:t>
            </w:r>
          </w:p>
          <w:p w14:paraId="5F2A7B79">
            <w:pPr>
              <w:spacing w:line="360" w:lineRule="exact"/>
              <w:ind w:firstLine="420" w:firstLineChars="200"/>
              <w:rPr>
                <w:rFonts w:ascii="宋体" w:hAnsi="宋体" w:cs="宋体"/>
                <w:color w:val="auto"/>
                <w:szCs w:val="21"/>
              </w:rPr>
            </w:pPr>
            <w:r>
              <w:rPr>
                <w:rFonts w:hint="eastAsia" w:ascii="宋体" w:hAnsi="宋体" w:cs="宋体"/>
                <w:color w:val="auto"/>
                <w:szCs w:val="21"/>
              </w:rPr>
              <w:t>2.供应商必须就所投项目的全部内容作完整唯一报价，漏项报价的或有选择的或有条件的报价，其响应文件将视为无效。</w:t>
            </w:r>
          </w:p>
        </w:tc>
      </w:tr>
      <w:tr w14:paraId="4189A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9" w:type="dxa"/>
            <w:gridSpan w:val="2"/>
            <w:tcBorders>
              <w:top w:val="single" w:color="000000" w:sz="4" w:space="0"/>
              <w:left w:val="single" w:color="000000" w:sz="4" w:space="0"/>
              <w:bottom w:val="single" w:color="000000" w:sz="4" w:space="0"/>
              <w:right w:val="single" w:color="000000" w:sz="4" w:space="0"/>
            </w:tcBorders>
            <w:vAlign w:val="center"/>
          </w:tcPr>
          <w:p w14:paraId="405DC2EE">
            <w:pPr>
              <w:spacing w:line="380" w:lineRule="exact"/>
              <w:jc w:val="center"/>
              <w:rPr>
                <w:rFonts w:ascii="新宋体" w:hAnsi="新宋体" w:eastAsia="新宋体" w:cs="新宋体"/>
                <w:color w:val="auto"/>
                <w:szCs w:val="21"/>
              </w:rPr>
            </w:pPr>
            <w:r>
              <w:rPr>
                <w:rFonts w:hint="eastAsia" w:ascii="新宋体" w:hAnsi="新宋体" w:eastAsia="新宋体" w:cs="新宋体"/>
                <w:color w:val="auto"/>
                <w:szCs w:val="21"/>
              </w:rPr>
              <w:t>（五）付款条件</w:t>
            </w:r>
          </w:p>
        </w:tc>
        <w:tc>
          <w:tcPr>
            <w:tcW w:w="7723" w:type="dxa"/>
            <w:gridSpan w:val="3"/>
            <w:tcBorders>
              <w:top w:val="single" w:color="000000" w:sz="4" w:space="0"/>
              <w:left w:val="single" w:color="000000" w:sz="4" w:space="0"/>
              <w:bottom w:val="single" w:color="000000" w:sz="4" w:space="0"/>
              <w:right w:val="single" w:color="000000" w:sz="4" w:space="0"/>
            </w:tcBorders>
            <w:vAlign w:val="center"/>
          </w:tcPr>
          <w:p w14:paraId="3289157E">
            <w:pPr>
              <w:spacing w:line="360" w:lineRule="exact"/>
              <w:ind w:firstLine="420" w:firstLineChars="200"/>
              <w:rPr>
                <w:color w:val="auto"/>
              </w:rPr>
            </w:pPr>
            <w:r>
              <w:rPr>
                <w:color w:val="auto"/>
              </w:rPr>
              <w:t>本项目无预付款，供应商所提交的服务经采购人按月考核合格后，按月支付合同款。</w:t>
            </w:r>
          </w:p>
        </w:tc>
      </w:tr>
      <w:tr w14:paraId="61AE2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9" w:type="dxa"/>
            <w:gridSpan w:val="2"/>
            <w:tcBorders>
              <w:top w:val="single" w:color="000000" w:sz="4" w:space="0"/>
              <w:left w:val="single" w:color="000000" w:sz="4" w:space="0"/>
              <w:bottom w:val="single" w:color="000000" w:sz="4" w:space="0"/>
              <w:right w:val="single" w:color="000000" w:sz="4" w:space="0"/>
            </w:tcBorders>
            <w:vAlign w:val="center"/>
          </w:tcPr>
          <w:p w14:paraId="37328F4D">
            <w:pPr>
              <w:spacing w:line="360" w:lineRule="auto"/>
              <w:jc w:val="center"/>
              <w:rPr>
                <w:rFonts w:ascii="新宋体" w:hAnsi="新宋体" w:eastAsia="新宋体" w:cs="新宋体"/>
                <w:color w:val="auto"/>
                <w:szCs w:val="21"/>
              </w:rPr>
            </w:pPr>
            <w:r>
              <w:rPr>
                <w:rFonts w:hint="eastAsia" w:ascii="宋体" w:hAnsi="宋体" w:cs="宋体"/>
                <w:color w:val="auto"/>
                <w:szCs w:val="21"/>
              </w:rPr>
              <w:t>（六）履约服务要求</w:t>
            </w:r>
          </w:p>
        </w:tc>
        <w:tc>
          <w:tcPr>
            <w:tcW w:w="7723" w:type="dxa"/>
            <w:gridSpan w:val="3"/>
            <w:tcBorders>
              <w:top w:val="single" w:color="000000" w:sz="4" w:space="0"/>
              <w:left w:val="single" w:color="000000" w:sz="4" w:space="0"/>
              <w:bottom w:val="single" w:color="000000" w:sz="4" w:space="0"/>
              <w:right w:val="single" w:color="000000" w:sz="4" w:space="0"/>
            </w:tcBorders>
            <w:vAlign w:val="center"/>
          </w:tcPr>
          <w:p w14:paraId="16FCCF95">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供应商必须严格遵守《中华人民共和国劳动合同法》《劳务派遣暂行规定》等相关法律法规。确保派遣员工的劳动合同、社会保险、工资支付等符合国家规定，保障员工合法权益。避免因不合规操作导致的用工风险和法律纠纷。派遣员工应具备与岗位要求相匹配的技能、资质和工作经验。</w:t>
            </w:r>
          </w:p>
          <w:p w14:paraId="679B6717">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2.供应商应对员工进行严格的背景调查和筛选，确保无不良记录。提供必要的岗前培训，确保员工能够快速适应岗位需求。</w:t>
            </w:r>
          </w:p>
          <w:p w14:paraId="39792BE5">
            <w:pPr>
              <w:pStyle w:val="101"/>
              <w:rPr>
                <w:rFonts w:cs="宋体"/>
                <w:color w:val="auto"/>
                <w:sz w:val="21"/>
                <w:szCs w:val="21"/>
              </w:rPr>
            </w:pPr>
            <w:r>
              <w:rPr>
                <w:rFonts w:hint="eastAsia" w:cs="宋体"/>
                <w:color w:val="auto"/>
                <w:sz w:val="21"/>
                <w:szCs w:val="21"/>
              </w:rPr>
              <w:t>3.供应商应设立高效的客户服务机制，及时响应用工单位的需求。在用工单位提出需求后，应在规定时间内提供合适的人员，确保用工单位的工作不受影响。对于突发问题或紧急需求，能够快速提供解决方案。</w:t>
            </w:r>
          </w:p>
          <w:p w14:paraId="50EC51CC">
            <w:pPr>
              <w:pStyle w:val="101"/>
              <w:rPr>
                <w:rFonts w:cs="宋体"/>
                <w:color w:val="auto"/>
                <w:sz w:val="21"/>
                <w:szCs w:val="21"/>
              </w:rPr>
            </w:pPr>
            <w:r>
              <w:rPr>
                <w:rFonts w:hint="eastAsia" w:cs="宋体"/>
                <w:color w:val="auto"/>
                <w:sz w:val="21"/>
                <w:szCs w:val="21"/>
              </w:rPr>
              <w:t>4.供应商应建立完善的服务质量评估机制，定期收集用工单位和派遣员工的反馈。对服务质量进行持续改进，及时处理投诉和问题，确保服务水平不断提升。通过绩效考核和日常管理，确保派遣员工的工作表现符合用工单位的要求。</w:t>
            </w:r>
          </w:p>
        </w:tc>
      </w:tr>
      <w:tr w14:paraId="35B48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9" w:type="dxa"/>
            <w:gridSpan w:val="2"/>
            <w:tcBorders>
              <w:top w:val="single" w:color="000000" w:sz="4" w:space="0"/>
              <w:left w:val="single" w:color="000000" w:sz="4" w:space="0"/>
              <w:bottom w:val="single" w:color="000000" w:sz="4" w:space="0"/>
              <w:right w:val="single" w:color="000000" w:sz="4" w:space="0"/>
            </w:tcBorders>
            <w:vAlign w:val="center"/>
          </w:tcPr>
          <w:p w14:paraId="72796332">
            <w:pPr>
              <w:tabs>
                <w:tab w:val="left" w:pos="180"/>
                <w:tab w:val="left" w:pos="1620"/>
              </w:tabs>
              <w:spacing w:line="360" w:lineRule="auto"/>
              <w:jc w:val="center"/>
              <w:rPr>
                <w:rFonts w:ascii="新宋体" w:hAnsi="新宋体" w:eastAsia="新宋体" w:cs="新宋体"/>
                <w:color w:val="auto"/>
                <w:szCs w:val="21"/>
              </w:rPr>
            </w:pPr>
            <w:r>
              <w:rPr>
                <w:rFonts w:hint="eastAsia" w:ascii="新宋体" w:hAnsi="新宋体" w:eastAsia="新宋体" w:cs="新宋体"/>
                <w:color w:val="auto"/>
                <w:szCs w:val="21"/>
              </w:rPr>
              <w:t>（七）</w:t>
            </w:r>
            <w:r>
              <w:rPr>
                <w:rFonts w:hint="eastAsia" w:ascii="宋体" w:hAnsi="宋体" w:cs="宋体"/>
                <w:color w:val="auto"/>
                <w:szCs w:val="21"/>
              </w:rPr>
              <w:t>服务要求</w:t>
            </w:r>
          </w:p>
        </w:tc>
        <w:tc>
          <w:tcPr>
            <w:tcW w:w="7723" w:type="dxa"/>
            <w:gridSpan w:val="3"/>
            <w:tcBorders>
              <w:top w:val="single" w:color="000000" w:sz="4" w:space="0"/>
              <w:left w:val="single" w:color="000000" w:sz="4" w:space="0"/>
              <w:bottom w:val="single" w:color="000000" w:sz="4" w:space="0"/>
              <w:right w:val="single" w:color="000000" w:sz="4" w:space="0"/>
            </w:tcBorders>
            <w:vAlign w:val="center"/>
          </w:tcPr>
          <w:p w14:paraId="6466131B">
            <w:pPr>
              <w:widowControl/>
              <w:spacing w:line="360" w:lineRule="auto"/>
              <w:ind w:firstLine="420" w:firstLineChars="200"/>
              <w:rPr>
                <w:rFonts w:ascii="宋体" w:hAnsi="宋体" w:cs="宋体"/>
                <w:color w:val="auto"/>
                <w:szCs w:val="21"/>
              </w:rPr>
            </w:pPr>
            <w:r>
              <w:rPr>
                <w:rFonts w:hint="eastAsia" w:ascii="宋体" w:hAnsi="宋体" w:cs="宋体"/>
                <w:color w:val="auto"/>
                <w:kern w:val="0"/>
                <w:szCs w:val="21"/>
              </w:rPr>
              <w:t>1.处理问题响应时间：接到采购人通知起12小时内到达指定现场，</w:t>
            </w:r>
            <w:r>
              <w:rPr>
                <w:rFonts w:hint="eastAsia" w:ascii="宋体" w:hAnsi="宋体" w:cs="宋体"/>
                <w:color w:val="auto"/>
                <w:szCs w:val="21"/>
              </w:rPr>
              <w:t>不能超过5个工作日</w:t>
            </w:r>
            <w:r>
              <w:rPr>
                <w:rFonts w:hint="eastAsia" w:ascii="宋体" w:hAnsi="宋体" w:cs="宋体"/>
                <w:color w:val="auto"/>
                <w:kern w:val="0"/>
                <w:szCs w:val="21"/>
              </w:rPr>
              <w:t>处理问题。</w:t>
            </w:r>
          </w:p>
          <w:p w14:paraId="6324CD0F">
            <w:pPr>
              <w:tabs>
                <w:tab w:val="left" w:pos="180"/>
                <w:tab w:val="left" w:pos="1620"/>
              </w:tabs>
              <w:spacing w:line="360" w:lineRule="auto"/>
              <w:ind w:firstLine="420" w:firstLineChars="200"/>
              <w:jc w:val="left"/>
              <w:rPr>
                <w:rFonts w:ascii="宋体" w:hAnsi="宋体" w:cs="宋体"/>
                <w:color w:val="auto"/>
                <w:szCs w:val="21"/>
              </w:rPr>
            </w:pPr>
            <w:r>
              <w:rPr>
                <w:rFonts w:hint="eastAsia" w:ascii="宋体" w:hAnsi="宋体" w:cs="宋体"/>
                <w:color w:val="auto"/>
                <w:szCs w:val="21"/>
              </w:rPr>
              <w:t>2.因派遣人员过错造成采购人经济损失的，成交供应商应积极协助采购人追究当事人的责任。</w:t>
            </w:r>
          </w:p>
          <w:p w14:paraId="7D0F8588">
            <w:pPr>
              <w:tabs>
                <w:tab w:val="left" w:pos="180"/>
                <w:tab w:val="left" w:pos="1620"/>
              </w:tabs>
              <w:spacing w:line="360" w:lineRule="auto"/>
              <w:ind w:firstLine="420" w:firstLineChars="200"/>
              <w:jc w:val="left"/>
              <w:rPr>
                <w:rFonts w:ascii="宋体" w:hAnsi="宋体" w:cs="宋体"/>
                <w:color w:val="auto"/>
                <w:szCs w:val="21"/>
              </w:rPr>
            </w:pPr>
            <w:r>
              <w:rPr>
                <w:rFonts w:hint="eastAsia" w:ascii="宋体" w:hAnsi="宋体" w:cs="宋体"/>
                <w:color w:val="auto"/>
                <w:szCs w:val="21"/>
              </w:rPr>
              <w:t>3.成交供应商定期和不定期协助采购人了解派遣人员的思想动态、工作表现和遵纪情况，当采购人与派遣人员发生劳务纠纷时，由成交供应商负责处理。</w:t>
            </w:r>
          </w:p>
          <w:p w14:paraId="4ED51AEE">
            <w:pPr>
              <w:tabs>
                <w:tab w:val="left" w:pos="180"/>
                <w:tab w:val="left" w:pos="1620"/>
              </w:tabs>
              <w:spacing w:line="360" w:lineRule="auto"/>
              <w:ind w:firstLine="420" w:firstLineChars="200"/>
              <w:jc w:val="left"/>
              <w:rPr>
                <w:rFonts w:ascii="宋体" w:hAnsi="宋体" w:cs="宋体"/>
                <w:color w:val="auto"/>
                <w:szCs w:val="21"/>
              </w:rPr>
            </w:pPr>
            <w:r>
              <w:rPr>
                <w:rFonts w:hint="eastAsia" w:ascii="宋体" w:hAnsi="宋体" w:cs="宋体"/>
                <w:color w:val="auto"/>
                <w:szCs w:val="21"/>
              </w:rPr>
              <w:t>4.成交供应商违反协议规定的义务，导致派遣人员的工资、社保费用没有及时、足额到账等相关责任由成交供应商承担，造成采购人损失的，采购人有权追偿。</w:t>
            </w:r>
          </w:p>
          <w:p w14:paraId="5CB4AF7E">
            <w:pPr>
              <w:pStyle w:val="14"/>
              <w:spacing w:line="360" w:lineRule="auto"/>
              <w:ind w:firstLineChars="200"/>
              <w:rPr>
                <w:color w:val="auto"/>
                <w:szCs w:val="24"/>
              </w:rPr>
            </w:pPr>
            <w:r>
              <w:rPr>
                <w:rFonts w:hint="eastAsia" w:ascii="宋体" w:hAnsi="宋体" w:cs="宋体"/>
                <w:color w:val="auto"/>
                <w:szCs w:val="21"/>
              </w:rPr>
              <w:t>5.采购人与成交供应商的派遣人员不存在劳动关系，有关的劳务争议和纠纷，由成交供应商与派遣人员之间协商解决，采购人协助。</w:t>
            </w:r>
          </w:p>
        </w:tc>
      </w:tr>
      <w:tr w14:paraId="4F45F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9" w:type="dxa"/>
            <w:gridSpan w:val="2"/>
            <w:tcBorders>
              <w:top w:val="single" w:color="000000" w:sz="4" w:space="0"/>
              <w:left w:val="single" w:color="000000" w:sz="4" w:space="0"/>
              <w:bottom w:val="single" w:color="000000" w:sz="4" w:space="0"/>
              <w:right w:val="single" w:color="000000" w:sz="4" w:space="0"/>
            </w:tcBorders>
            <w:vAlign w:val="center"/>
          </w:tcPr>
          <w:p w14:paraId="0C44F7FD">
            <w:pPr>
              <w:spacing w:line="380" w:lineRule="exact"/>
              <w:jc w:val="center"/>
              <w:rPr>
                <w:rFonts w:ascii="新宋体" w:hAnsi="新宋体" w:eastAsia="新宋体" w:cs="新宋体"/>
                <w:color w:val="auto"/>
                <w:szCs w:val="21"/>
              </w:rPr>
            </w:pPr>
            <w:r>
              <w:rPr>
                <w:rFonts w:hint="eastAsia" w:ascii="新宋体" w:hAnsi="新宋体" w:eastAsia="新宋体" w:cs="新宋体"/>
                <w:color w:val="auto"/>
                <w:szCs w:val="21"/>
              </w:rPr>
              <w:t>（八）其他要求</w:t>
            </w:r>
          </w:p>
        </w:tc>
        <w:tc>
          <w:tcPr>
            <w:tcW w:w="7723" w:type="dxa"/>
            <w:gridSpan w:val="3"/>
            <w:tcBorders>
              <w:top w:val="single" w:color="000000" w:sz="4" w:space="0"/>
              <w:left w:val="single" w:color="000000" w:sz="4" w:space="0"/>
              <w:bottom w:val="single" w:color="000000" w:sz="4" w:space="0"/>
              <w:right w:val="single" w:color="000000" w:sz="4" w:space="0"/>
            </w:tcBorders>
            <w:vAlign w:val="center"/>
          </w:tcPr>
          <w:p w14:paraId="559AB2B8">
            <w:pPr>
              <w:spacing w:line="380" w:lineRule="exact"/>
              <w:ind w:firstLine="420" w:firstLineChars="200"/>
              <w:rPr>
                <w:color w:val="auto"/>
              </w:rPr>
            </w:pPr>
            <w:r>
              <w:rPr>
                <w:rFonts w:hint="eastAsia" w:ascii="宋体" w:hAnsi="宋体" w:cs="宋体"/>
                <w:color w:val="auto"/>
                <w:szCs w:val="21"/>
              </w:rPr>
              <w:t>在采购活动中提供任何虚假材料，其成交无效，并报监管部门查处。</w:t>
            </w:r>
          </w:p>
        </w:tc>
      </w:tr>
      <w:tr w14:paraId="71452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22" w:type="dxa"/>
            <w:gridSpan w:val="5"/>
            <w:tcBorders>
              <w:top w:val="single" w:color="000000" w:sz="4" w:space="0"/>
              <w:left w:val="single" w:color="000000" w:sz="4" w:space="0"/>
              <w:bottom w:val="single" w:color="000000" w:sz="4" w:space="0"/>
              <w:right w:val="single" w:color="000000" w:sz="4" w:space="0"/>
            </w:tcBorders>
            <w:vAlign w:val="center"/>
          </w:tcPr>
          <w:p w14:paraId="1060F159">
            <w:pPr>
              <w:spacing w:line="440" w:lineRule="exact"/>
              <w:rPr>
                <w:color w:val="auto"/>
              </w:rPr>
            </w:pPr>
            <w:r>
              <w:rPr>
                <w:rFonts w:hint="eastAsia"/>
                <w:b/>
                <w:bCs/>
                <w:color w:val="auto"/>
              </w:rPr>
              <w:t>三、与实现项目目标相关的其他要求</w:t>
            </w:r>
          </w:p>
        </w:tc>
      </w:tr>
      <w:tr w14:paraId="589BB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22" w:type="dxa"/>
            <w:gridSpan w:val="5"/>
            <w:tcBorders>
              <w:top w:val="single" w:color="000000" w:sz="4" w:space="0"/>
              <w:left w:val="single" w:color="000000" w:sz="4" w:space="0"/>
              <w:bottom w:val="single" w:color="000000" w:sz="4" w:space="0"/>
              <w:right w:val="single" w:color="000000" w:sz="4" w:space="0"/>
            </w:tcBorders>
            <w:vAlign w:val="center"/>
          </w:tcPr>
          <w:p w14:paraId="507DA090">
            <w:pPr>
              <w:spacing w:line="440" w:lineRule="exact"/>
              <w:rPr>
                <w:color w:val="auto"/>
              </w:rPr>
            </w:pPr>
            <w:r>
              <w:rPr>
                <w:rFonts w:hint="eastAsia"/>
                <w:b/>
                <w:bCs/>
                <w:color w:val="auto"/>
              </w:rPr>
              <w:t>（一）验收标准</w:t>
            </w:r>
          </w:p>
        </w:tc>
      </w:tr>
      <w:tr w14:paraId="5E3E7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9" w:type="dxa"/>
            <w:gridSpan w:val="2"/>
            <w:tcBorders>
              <w:top w:val="single" w:color="000000" w:sz="4" w:space="0"/>
              <w:left w:val="single" w:color="000000" w:sz="4" w:space="0"/>
              <w:bottom w:val="single" w:color="000000" w:sz="4" w:space="0"/>
              <w:right w:val="single" w:color="000000" w:sz="4" w:space="0"/>
            </w:tcBorders>
            <w:vAlign w:val="center"/>
          </w:tcPr>
          <w:p w14:paraId="2F11AA4B">
            <w:pPr>
              <w:spacing w:line="380" w:lineRule="exact"/>
              <w:jc w:val="center"/>
              <w:rPr>
                <w:rFonts w:ascii="新宋体" w:hAnsi="新宋体" w:eastAsia="新宋体" w:cs="新宋体"/>
                <w:color w:val="auto"/>
                <w:szCs w:val="21"/>
              </w:rPr>
            </w:pPr>
            <w:r>
              <w:rPr>
                <w:rFonts w:hint="eastAsia" w:ascii="新宋体" w:hAnsi="新宋体" w:eastAsia="新宋体" w:cs="宋体"/>
                <w:b/>
                <w:bCs/>
                <w:color w:val="auto"/>
                <w:szCs w:val="21"/>
              </w:rPr>
              <w:t>验收、测试及检验</w:t>
            </w:r>
          </w:p>
        </w:tc>
        <w:tc>
          <w:tcPr>
            <w:tcW w:w="7723" w:type="dxa"/>
            <w:gridSpan w:val="3"/>
            <w:tcBorders>
              <w:top w:val="single" w:color="000000" w:sz="4" w:space="0"/>
              <w:left w:val="single" w:color="000000" w:sz="4" w:space="0"/>
              <w:bottom w:val="single" w:color="000000" w:sz="4" w:space="0"/>
              <w:right w:val="single" w:color="000000" w:sz="4" w:space="0"/>
            </w:tcBorders>
            <w:vAlign w:val="center"/>
          </w:tcPr>
          <w:p w14:paraId="7A64050C">
            <w:pPr>
              <w:spacing w:line="360" w:lineRule="exact"/>
              <w:rPr>
                <w:rFonts w:ascii="新宋体" w:hAnsi="新宋体" w:eastAsia="新宋体" w:cs="新宋体"/>
                <w:color w:val="auto"/>
                <w:szCs w:val="21"/>
              </w:rPr>
            </w:pPr>
            <w:r>
              <w:rPr>
                <w:rFonts w:hint="eastAsia" w:ascii="新宋体" w:hAnsi="新宋体" w:eastAsia="新宋体" w:cs="新宋体"/>
                <w:color w:val="auto"/>
                <w:szCs w:val="21"/>
              </w:rPr>
              <w:t>按相关现行标准及采购需求进行验收。</w:t>
            </w:r>
          </w:p>
        </w:tc>
      </w:tr>
      <w:tr w14:paraId="65ECD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22" w:type="dxa"/>
            <w:gridSpan w:val="5"/>
            <w:tcBorders>
              <w:top w:val="single" w:color="000000" w:sz="4" w:space="0"/>
              <w:left w:val="single" w:color="000000" w:sz="4" w:space="0"/>
              <w:bottom w:val="single" w:color="000000" w:sz="4" w:space="0"/>
              <w:right w:val="single" w:color="000000" w:sz="4" w:space="0"/>
            </w:tcBorders>
            <w:vAlign w:val="center"/>
          </w:tcPr>
          <w:p w14:paraId="27598349">
            <w:pPr>
              <w:spacing w:line="380" w:lineRule="exact"/>
              <w:rPr>
                <w:color w:val="auto"/>
              </w:rPr>
            </w:pPr>
            <w:r>
              <w:rPr>
                <w:rFonts w:hint="eastAsia"/>
                <w:b/>
                <w:bCs/>
                <w:color w:val="auto"/>
              </w:rPr>
              <w:t>（二）其他要求</w:t>
            </w:r>
          </w:p>
        </w:tc>
      </w:tr>
      <w:tr w14:paraId="11270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22" w:type="dxa"/>
            <w:gridSpan w:val="5"/>
            <w:tcBorders>
              <w:top w:val="single" w:color="000000" w:sz="4" w:space="0"/>
              <w:left w:val="single" w:color="000000" w:sz="4" w:space="0"/>
              <w:bottom w:val="single" w:color="000000" w:sz="4" w:space="0"/>
              <w:right w:val="single" w:color="000000" w:sz="4" w:space="0"/>
            </w:tcBorders>
            <w:vAlign w:val="center"/>
          </w:tcPr>
          <w:p w14:paraId="4B81D40F">
            <w:pPr>
              <w:tabs>
                <w:tab w:val="left" w:pos="180"/>
                <w:tab w:val="left" w:pos="1620"/>
              </w:tabs>
              <w:spacing w:line="360" w:lineRule="auto"/>
              <w:ind w:firstLine="420" w:firstLineChars="200"/>
              <w:jc w:val="left"/>
              <w:rPr>
                <w:rFonts w:ascii="宋体" w:hAnsi="宋体" w:cs="宋体"/>
                <w:color w:val="auto"/>
                <w:szCs w:val="21"/>
              </w:rPr>
            </w:pPr>
            <w:r>
              <w:rPr>
                <w:rFonts w:hint="eastAsia" w:ascii="宋体" w:hAnsi="宋体" w:cs="宋体"/>
                <w:color w:val="auto"/>
                <w:szCs w:val="21"/>
              </w:rPr>
              <w:t>1.供应商可根据项目要求，在响应文件中提出项目服务方案、项目管理团队人员专业水平、售后服务方案、进度、质量、管理措施、信誉业绩等材料。</w:t>
            </w:r>
          </w:p>
          <w:p w14:paraId="18B24FC0">
            <w:pPr>
              <w:tabs>
                <w:tab w:val="left" w:pos="180"/>
                <w:tab w:val="left" w:pos="1620"/>
              </w:tabs>
              <w:spacing w:line="360" w:lineRule="auto"/>
              <w:ind w:firstLine="420" w:firstLineChars="200"/>
              <w:jc w:val="left"/>
              <w:rPr>
                <w:rFonts w:ascii="宋体" w:hAnsi="宋体" w:cs="宋体"/>
                <w:color w:val="auto"/>
                <w:szCs w:val="21"/>
              </w:rPr>
            </w:pPr>
            <w:r>
              <w:rPr>
                <w:rFonts w:hint="eastAsia" w:ascii="宋体" w:hAnsi="宋体" w:cs="宋体"/>
                <w:color w:val="auto"/>
                <w:szCs w:val="21"/>
              </w:rPr>
              <w:t>2.成交供应商与被派遣人员建立劳动关系，有义务把双方签订劳务派遣协议的事实告知劳务派遣人员，并且作为和劳务派遣人员签订劳动合同的其中一项条款内容。</w:t>
            </w:r>
          </w:p>
          <w:p w14:paraId="1094922C">
            <w:pPr>
              <w:tabs>
                <w:tab w:val="left" w:pos="180"/>
                <w:tab w:val="left" w:pos="1620"/>
              </w:tabs>
              <w:spacing w:line="360" w:lineRule="auto"/>
              <w:ind w:firstLine="420" w:firstLineChars="200"/>
              <w:jc w:val="left"/>
              <w:rPr>
                <w:rFonts w:ascii="宋体" w:hAnsi="宋体" w:cs="宋体"/>
                <w:color w:val="auto"/>
                <w:szCs w:val="21"/>
              </w:rPr>
            </w:pPr>
            <w:r>
              <w:rPr>
                <w:rFonts w:hint="eastAsia" w:ascii="宋体" w:hAnsi="宋体" w:cs="宋体"/>
                <w:color w:val="auto"/>
                <w:szCs w:val="21"/>
              </w:rPr>
              <w:t>3.成交供应商应负责管理被派遣人员工作档案、处理劳务纠纷和涉及劳动关系的所有事宜等。为被派遣人员办理托管人事档案相关事宜。</w:t>
            </w:r>
          </w:p>
          <w:p w14:paraId="2BF2A006">
            <w:pPr>
              <w:tabs>
                <w:tab w:val="left" w:pos="180"/>
                <w:tab w:val="left" w:pos="1620"/>
              </w:tabs>
              <w:spacing w:line="360" w:lineRule="auto"/>
              <w:ind w:firstLine="420" w:firstLineChars="200"/>
              <w:jc w:val="left"/>
              <w:rPr>
                <w:rFonts w:ascii="宋体" w:hAnsi="宋体" w:cs="宋体"/>
                <w:color w:val="auto"/>
                <w:szCs w:val="21"/>
              </w:rPr>
            </w:pPr>
            <w:r>
              <w:rPr>
                <w:rFonts w:hint="eastAsia" w:ascii="宋体" w:hAnsi="宋体" w:cs="宋体"/>
                <w:color w:val="auto"/>
                <w:szCs w:val="21"/>
              </w:rPr>
              <w:t>4.成交供应商应根据采购人要求派遣符合条件的劳务人员，更换试用期内不符合录用条件的被派遣人员。</w:t>
            </w:r>
          </w:p>
          <w:p w14:paraId="1BE8E698">
            <w:pPr>
              <w:tabs>
                <w:tab w:val="left" w:pos="180"/>
                <w:tab w:val="left" w:pos="1620"/>
              </w:tabs>
              <w:spacing w:line="360" w:lineRule="auto"/>
              <w:ind w:firstLine="420" w:firstLineChars="200"/>
              <w:jc w:val="left"/>
              <w:rPr>
                <w:rFonts w:ascii="宋体" w:hAnsi="宋体" w:cs="宋体"/>
                <w:color w:val="auto"/>
                <w:szCs w:val="21"/>
              </w:rPr>
            </w:pPr>
            <w:r>
              <w:rPr>
                <w:rFonts w:hint="eastAsia" w:ascii="宋体" w:hAnsi="宋体" w:cs="宋体"/>
                <w:color w:val="auto"/>
                <w:szCs w:val="21"/>
              </w:rPr>
              <w:t>5.成交供应商应教育并督促被派遣人员遵守国家法律法规和服务岗位的各项规章制度，保守工作秘密；应指定专人定期到服务单位，了解劳务派遣人员的思想动态、工作表现、守纪情况，尽力提供最佳服务。</w:t>
            </w:r>
          </w:p>
          <w:p w14:paraId="32C30E20">
            <w:pPr>
              <w:tabs>
                <w:tab w:val="left" w:pos="180"/>
                <w:tab w:val="left" w:pos="1620"/>
              </w:tabs>
              <w:spacing w:line="360" w:lineRule="auto"/>
              <w:ind w:firstLine="420" w:firstLineChars="200"/>
              <w:jc w:val="left"/>
              <w:rPr>
                <w:rFonts w:ascii="宋体" w:hAnsi="宋体" w:cs="宋体"/>
                <w:color w:val="auto"/>
                <w:szCs w:val="21"/>
              </w:rPr>
            </w:pPr>
            <w:r>
              <w:rPr>
                <w:rFonts w:hint="eastAsia" w:ascii="宋体" w:hAnsi="宋体" w:cs="宋体"/>
                <w:color w:val="auto"/>
                <w:szCs w:val="21"/>
              </w:rPr>
              <w:t>6.如采购人要求增加或更换适合的派遣人员，成交供应商自收到采购人通知后10日内，应当按照采购人要求增派或更换派遣人员到采购人指定的地点工作，增加派遣人员的待遇需经采购人确定。</w:t>
            </w:r>
          </w:p>
          <w:p w14:paraId="29742175">
            <w:pPr>
              <w:tabs>
                <w:tab w:val="left" w:pos="180"/>
                <w:tab w:val="left" w:pos="1620"/>
              </w:tabs>
              <w:spacing w:line="360" w:lineRule="auto"/>
              <w:ind w:firstLine="420" w:firstLineChars="200"/>
              <w:jc w:val="left"/>
              <w:rPr>
                <w:rFonts w:ascii="宋体" w:hAnsi="宋体" w:cs="宋体"/>
                <w:color w:val="auto"/>
                <w:szCs w:val="21"/>
              </w:rPr>
            </w:pPr>
            <w:r>
              <w:rPr>
                <w:rFonts w:hint="eastAsia" w:ascii="宋体" w:hAnsi="宋体" w:cs="宋体"/>
                <w:color w:val="auto"/>
                <w:szCs w:val="21"/>
              </w:rPr>
              <w:t>7.被派遣人员的工资及福利待遇、工作考核等标准按竞争性谈判文件执行，日常考核由采购人单位负责，成交供应商按采购人提供的月度工资及福利待遇表如数按时发放工资待遇给被派遣人员。</w:t>
            </w:r>
          </w:p>
          <w:p w14:paraId="041EC1C6">
            <w:pPr>
              <w:tabs>
                <w:tab w:val="left" w:pos="180"/>
                <w:tab w:val="left" w:pos="1620"/>
              </w:tabs>
              <w:spacing w:line="360" w:lineRule="auto"/>
              <w:ind w:firstLine="420" w:firstLineChars="200"/>
              <w:jc w:val="left"/>
              <w:rPr>
                <w:rFonts w:ascii="宋体" w:hAnsi="宋体" w:cs="宋体"/>
                <w:color w:val="auto"/>
                <w:szCs w:val="21"/>
              </w:rPr>
            </w:pPr>
            <w:r>
              <w:rPr>
                <w:rFonts w:hint="eastAsia" w:ascii="宋体" w:hAnsi="宋体" w:cs="宋体"/>
                <w:color w:val="auto"/>
                <w:szCs w:val="21"/>
              </w:rPr>
              <w:t>8.成交供应商应以银行转账形式按时足额支付被派遣人员工资，成交供应商支付被派遣人员当月工资及福利待遇的时间为次月30日前发放。</w:t>
            </w:r>
          </w:p>
          <w:p w14:paraId="4EFCD7AF">
            <w:pPr>
              <w:tabs>
                <w:tab w:val="left" w:pos="180"/>
                <w:tab w:val="left" w:pos="1620"/>
              </w:tabs>
              <w:spacing w:line="360" w:lineRule="auto"/>
              <w:ind w:firstLine="420" w:firstLineChars="200"/>
              <w:jc w:val="left"/>
              <w:rPr>
                <w:rFonts w:ascii="宋体" w:hAnsi="宋体" w:cs="宋体"/>
                <w:color w:val="auto"/>
                <w:szCs w:val="21"/>
              </w:rPr>
            </w:pPr>
            <w:r>
              <w:rPr>
                <w:rFonts w:hint="eastAsia" w:ascii="宋体" w:hAnsi="宋体" w:cs="宋体"/>
                <w:color w:val="auto"/>
                <w:szCs w:val="21"/>
              </w:rPr>
              <w:t>9.成交供应商应代被派遣人员缴纳自治区规定的社会保险费用（包括基本养老、工伤、失业、生育、医疗保险）及住房公积金。</w:t>
            </w:r>
          </w:p>
          <w:p w14:paraId="2888FDAE">
            <w:pPr>
              <w:tabs>
                <w:tab w:val="left" w:pos="180"/>
                <w:tab w:val="left" w:pos="1620"/>
              </w:tabs>
              <w:spacing w:line="360" w:lineRule="auto"/>
              <w:ind w:firstLine="420" w:firstLineChars="200"/>
              <w:jc w:val="left"/>
              <w:rPr>
                <w:rFonts w:ascii="宋体" w:hAnsi="宋体" w:cs="宋体"/>
                <w:color w:val="auto"/>
                <w:szCs w:val="21"/>
              </w:rPr>
            </w:pPr>
            <w:r>
              <w:rPr>
                <w:rFonts w:hint="eastAsia" w:ascii="宋体" w:hAnsi="宋体" w:cs="宋体"/>
                <w:color w:val="auto"/>
                <w:szCs w:val="21"/>
              </w:rPr>
              <w:t>10.被派遣人员个人应当承担的“五险一金”、个人所得税、工会费按照国家现行法律法规的规定，由成交供应商负责代扣代缴。</w:t>
            </w:r>
          </w:p>
          <w:p w14:paraId="10B3DF8D">
            <w:pPr>
              <w:tabs>
                <w:tab w:val="left" w:pos="180"/>
                <w:tab w:val="left" w:pos="1620"/>
              </w:tabs>
              <w:spacing w:line="360" w:lineRule="auto"/>
              <w:ind w:firstLine="420" w:firstLineChars="200"/>
              <w:jc w:val="left"/>
              <w:rPr>
                <w:rFonts w:ascii="宋体" w:hAnsi="宋体" w:cs="宋体"/>
                <w:color w:val="auto"/>
                <w:szCs w:val="21"/>
              </w:rPr>
            </w:pPr>
            <w:r>
              <w:rPr>
                <w:rFonts w:hint="eastAsia" w:ascii="宋体" w:hAnsi="宋体" w:cs="宋体"/>
                <w:color w:val="auto"/>
                <w:szCs w:val="21"/>
              </w:rPr>
              <w:t>11.成交供应商应代被派遣人员办理因工伤、疾病、意外伤害等事故中国家规定的赔偿手续等相关服务事宜。</w:t>
            </w:r>
          </w:p>
          <w:p w14:paraId="25D22648">
            <w:pPr>
              <w:tabs>
                <w:tab w:val="left" w:pos="180"/>
                <w:tab w:val="left" w:pos="1620"/>
              </w:tabs>
              <w:spacing w:line="360" w:lineRule="auto"/>
              <w:ind w:firstLine="420" w:firstLineChars="200"/>
              <w:jc w:val="left"/>
              <w:rPr>
                <w:rFonts w:ascii="宋体" w:hAnsi="宋体" w:cs="宋体"/>
                <w:color w:val="auto"/>
                <w:szCs w:val="21"/>
              </w:rPr>
            </w:pPr>
            <w:r>
              <w:rPr>
                <w:rFonts w:hint="eastAsia" w:ascii="宋体" w:hAnsi="宋体" w:cs="宋体"/>
                <w:color w:val="auto"/>
                <w:szCs w:val="21"/>
              </w:rPr>
              <w:t>12.成交供应商因《中华人民共和国劳动合同法》第四十六条规定的情形，与派遣人员解除或者终止劳动合同的，应当依法向派遣人员支付经济补偿。</w:t>
            </w:r>
          </w:p>
          <w:p w14:paraId="5FD67253">
            <w:pPr>
              <w:tabs>
                <w:tab w:val="left" w:pos="180"/>
                <w:tab w:val="left" w:pos="1620"/>
              </w:tabs>
              <w:spacing w:line="360" w:lineRule="auto"/>
              <w:ind w:firstLine="420" w:firstLineChars="200"/>
              <w:jc w:val="left"/>
              <w:rPr>
                <w:rFonts w:ascii="宋体" w:hAnsi="宋体" w:cs="宋体"/>
                <w:color w:val="auto"/>
                <w:szCs w:val="21"/>
              </w:rPr>
            </w:pPr>
            <w:r>
              <w:rPr>
                <w:rFonts w:hint="eastAsia" w:ascii="宋体" w:hAnsi="宋体" w:cs="宋体"/>
                <w:color w:val="auto"/>
                <w:szCs w:val="21"/>
              </w:rPr>
              <w:t>13.成交供应商应于每月最后一日前向采购人提交当月的派遣费用明细，交由采购人审核，费用明细应当包括人员人数、工资标准、福利待遇、社会保险、劳务派遣管理费用以及支付给劳务派遣人员工资的银行流水单等内容。</w:t>
            </w:r>
          </w:p>
          <w:p w14:paraId="452DC2B2">
            <w:pPr>
              <w:tabs>
                <w:tab w:val="left" w:pos="180"/>
                <w:tab w:val="left" w:pos="1620"/>
              </w:tabs>
              <w:spacing w:line="360" w:lineRule="auto"/>
              <w:ind w:firstLine="420" w:firstLineChars="200"/>
              <w:jc w:val="left"/>
              <w:rPr>
                <w:rFonts w:ascii="宋体" w:hAnsi="宋体" w:cs="宋体"/>
                <w:color w:val="auto"/>
                <w:szCs w:val="21"/>
              </w:rPr>
            </w:pPr>
            <w:r>
              <w:rPr>
                <w:rFonts w:hint="eastAsia" w:ascii="宋体" w:hAnsi="宋体" w:cs="宋体"/>
                <w:color w:val="auto"/>
                <w:szCs w:val="21"/>
              </w:rPr>
              <w:t>14.成交供应商挪用劳务派遣人员工资、社会保险费用、住房公积金费用和其他福利费用的，除承担由此引发的一切法律责任外，采购人有权依法终止服务合同。</w:t>
            </w:r>
          </w:p>
          <w:p w14:paraId="5D152A8B">
            <w:pPr>
              <w:tabs>
                <w:tab w:val="left" w:pos="180"/>
                <w:tab w:val="left" w:pos="1620"/>
              </w:tabs>
              <w:spacing w:line="360" w:lineRule="auto"/>
              <w:ind w:firstLine="420" w:firstLineChars="200"/>
              <w:jc w:val="left"/>
              <w:rPr>
                <w:rFonts w:ascii="宋体" w:hAnsi="宋体" w:cs="宋体"/>
                <w:color w:val="auto"/>
                <w:szCs w:val="21"/>
              </w:rPr>
            </w:pPr>
            <w:r>
              <w:rPr>
                <w:rFonts w:hint="eastAsia" w:ascii="宋体" w:hAnsi="宋体" w:cs="宋体"/>
                <w:color w:val="auto"/>
                <w:szCs w:val="21"/>
              </w:rPr>
              <w:t>15.由于成交供应商未能履行本条约定的各项义务或由于成交供应商履行瑕疵，导致采购人遭受损失的，包括但不限于被起诉、仲裁，或被行政机关调查、检查或处罚，成交供应商应对采购人承担全部赔偿责任。</w:t>
            </w:r>
          </w:p>
          <w:p w14:paraId="01163BD8">
            <w:pPr>
              <w:tabs>
                <w:tab w:val="left" w:pos="180"/>
                <w:tab w:val="left" w:pos="1620"/>
              </w:tabs>
              <w:spacing w:line="360" w:lineRule="auto"/>
              <w:ind w:firstLine="420" w:firstLineChars="200"/>
              <w:jc w:val="left"/>
              <w:rPr>
                <w:rFonts w:ascii="宋体" w:hAnsi="宋体" w:cs="宋体"/>
                <w:color w:val="auto"/>
                <w:szCs w:val="21"/>
              </w:rPr>
            </w:pPr>
            <w:r>
              <w:rPr>
                <w:rFonts w:hint="eastAsia" w:ascii="宋体" w:hAnsi="宋体" w:cs="宋体"/>
                <w:color w:val="auto"/>
                <w:szCs w:val="21"/>
              </w:rPr>
              <w:t>16.成交供应商应确保其派遣人员遵守采购人的管理规定及守则，切实履行相关义务。如因违约或服务不合格，或在服务期间发生事故，造成采购人损失，均应由成交供应商承担，采购人有权在应结算支付的劳务费用中直接扣除。</w:t>
            </w:r>
          </w:p>
          <w:p w14:paraId="4CAA1B06">
            <w:pPr>
              <w:tabs>
                <w:tab w:val="left" w:pos="180"/>
                <w:tab w:val="left" w:pos="1620"/>
              </w:tabs>
              <w:spacing w:line="360" w:lineRule="auto"/>
              <w:ind w:firstLine="420" w:firstLineChars="200"/>
              <w:jc w:val="left"/>
              <w:rPr>
                <w:rFonts w:ascii="宋体" w:hAnsi="宋体" w:cs="宋体"/>
                <w:color w:val="auto"/>
                <w:szCs w:val="21"/>
              </w:rPr>
            </w:pPr>
            <w:r>
              <w:rPr>
                <w:rFonts w:hint="eastAsia" w:ascii="宋体" w:hAnsi="宋体" w:cs="宋体"/>
                <w:color w:val="auto"/>
                <w:szCs w:val="21"/>
              </w:rPr>
              <w:t>17.派遣人员实行每天8小时工作制，派遣人员的休息、休假，按照国家现行法律法规的规定执行。</w:t>
            </w:r>
          </w:p>
          <w:p w14:paraId="4AB2365A">
            <w:pPr>
              <w:tabs>
                <w:tab w:val="left" w:pos="180"/>
                <w:tab w:val="left" w:pos="1620"/>
              </w:tabs>
              <w:spacing w:line="360" w:lineRule="auto"/>
              <w:ind w:firstLine="420" w:firstLineChars="200"/>
              <w:jc w:val="left"/>
              <w:rPr>
                <w:rFonts w:ascii="宋体" w:hAnsi="宋体" w:cs="宋体"/>
                <w:color w:val="auto"/>
                <w:szCs w:val="21"/>
              </w:rPr>
            </w:pPr>
            <w:r>
              <w:rPr>
                <w:rFonts w:hint="eastAsia" w:ascii="宋体" w:hAnsi="宋体" w:cs="宋体"/>
                <w:color w:val="auto"/>
                <w:szCs w:val="21"/>
              </w:rPr>
              <w:t>18.被派遣劳动者工伤、生育或者患病期间的相关待遇：派遣人员在采购人处因工作遭受事故伤害的，成交供应商应当依法申请工伤认定，办理工伤保险申领的相关事宜。用工单位应当协助工伤认定的调查核实工作；派遣人员的工伤待遇按国家和当地政府有关规定执行（政策法规中用人单位为成交供应商）。派遣人员应当享有生育假、病假，假期按照国家现行的法律法规的规定执行。派遣人员办理享有生育假、病假的相关手续，以人力资源和社会保障部门及服务单位的内部管理规章制度为准，如服务单位制定的规章制度违反法律法规规定无效的除外。</w:t>
            </w:r>
          </w:p>
          <w:p w14:paraId="1D48D298">
            <w:pPr>
              <w:tabs>
                <w:tab w:val="left" w:pos="180"/>
                <w:tab w:val="left" w:pos="1620"/>
              </w:tabs>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19.成交供应商必须对本项目涉及设备及系统信息予以保密，未经采购人书面许可，不得接触相关内容以外的技术细节、文件数据及其他信息等，不能转告他人，或泄露给任意第三方，不将涉密信息带离采购单位场所，绝不将私人的计算机、网络设备带到采购单位接入用户信息网，成交供应商及成交供应商派出的驻场人员均与采购人签订相关的《保密协议书》，承担为采购单位保守相关保密信息的义务和责任。如有违反，采购单位有权追究法律责任。</w:t>
            </w:r>
          </w:p>
          <w:p w14:paraId="534C6C58">
            <w:pPr>
              <w:tabs>
                <w:tab w:val="left" w:pos="180"/>
                <w:tab w:val="left" w:pos="1620"/>
              </w:tabs>
              <w:spacing w:line="360" w:lineRule="auto"/>
              <w:ind w:firstLine="420" w:firstLineChars="200"/>
              <w:jc w:val="left"/>
              <w:rPr>
                <w:rFonts w:hint="eastAsia" w:ascii="宋体" w:hAnsi="宋体" w:cs="宋体"/>
                <w:color w:val="auto"/>
                <w:szCs w:val="21"/>
              </w:rPr>
            </w:pPr>
          </w:p>
        </w:tc>
      </w:tr>
    </w:tbl>
    <w:p w14:paraId="351E1837">
      <w:pPr>
        <w:pStyle w:val="44"/>
        <w:rPr>
          <w:b/>
          <w:bCs/>
          <w:color w:val="auto"/>
        </w:rPr>
      </w:pPr>
    </w:p>
    <w:p w14:paraId="1A2332A3">
      <w:pPr>
        <w:pStyle w:val="44"/>
        <w:rPr>
          <w:b/>
          <w:bCs/>
          <w:color w:val="auto"/>
        </w:rPr>
      </w:pPr>
    </w:p>
    <w:p w14:paraId="77ED3849">
      <w:pPr>
        <w:pStyle w:val="44"/>
        <w:rPr>
          <w:b/>
          <w:bCs/>
          <w:color w:val="auto"/>
        </w:rPr>
      </w:pPr>
    </w:p>
    <w:p w14:paraId="0D8E6D12">
      <w:pPr>
        <w:pStyle w:val="44"/>
        <w:rPr>
          <w:b/>
          <w:bCs/>
          <w:color w:val="auto"/>
        </w:rPr>
      </w:pPr>
    </w:p>
    <w:p w14:paraId="50BEC630">
      <w:pPr>
        <w:pStyle w:val="44"/>
        <w:rPr>
          <w:b/>
          <w:bCs/>
          <w:color w:val="auto"/>
        </w:rPr>
      </w:pPr>
    </w:p>
    <w:p w14:paraId="25FA12BE">
      <w:pPr>
        <w:pStyle w:val="44"/>
        <w:rPr>
          <w:b/>
          <w:bCs/>
          <w:color w:val="auto"/>
        </w:rPr>
      </w:pPr>
    </w:p>
    <w:p w14:paraId="5C018C2B">
      <w:pPr>
        <w:spacing w:line="360" w:lineRule="auto"/>
        <w:rPr>
          <w:rFonts w:ascii="Arial Unicode MS" w:hAnsi="Arial Unicode MS" w:eastAsia="Arial Unicode MS" w:cs="Arial Unicode MS"/>
          <w:color w:val="auto"/>
          <w:sz w:val="32"/>
          <w:szCs w:val="32"/>
        </w:rPr>
      </w:pPr>
      <w:r>
        <w:rPr>
          <w:rFonts w:hint="eastAsia" w:ascii="Arial Unicode MS" w:hAnsi="Arial Unicode MS" w:eastAsia="Arial Unicode MS" w:cs="Arial Unicode MS"/>
          <w:color w:val="auto"/>
          <w:sz w:val="32"/>
          <w:szCs w:val="32"/>
        </w:rPr>
        <w:br w:type="page"/>
      </w:r>
      <w:r>
        <w:rPr>
          <w:rFonts w:hint="eastAsia" w:ascii="Arial Unicode MS" w:hAnsi="Arial Unicode MS" w:eastAsia="Arial Unicode MS" w:cs="Arial Unicode MS"/>
          <w:color w:val="auto"/>
          <w:sz w:val="32"/>
          <w:szCs w:val="32"/>
        </w:rPr>
        <w:t>附件1：</w:t>
      </w:r>
    </w:p>
    <w:p w14:paraId="150EBC61">
      <w:pPr>
        <w:spacing w:line="528" w:lineRule="exact"/>
        <w:ind w:left="1871"/>
        <w:rPr>
          <w:rFonts w:ascii="Arial Unicode MS" w:hAnsi="Arial Unicode MS" w:eastAsia="Arial Unicode MS" w:cs="Arial Unicode MS"/>
          <w:color w:val="auto"/>
          <w:sz w:val="40"/>
          <w:szCs w:val="40"/>
        </w:rPr>
      </w:pPr>
      <w:r>
        <w:rPr>
          <w:rFonts w:hint="eastAsia" w:ascii="Arial Unicode MS" w:hAnsi="Arial Unicode MS" w:eastAsia="Arial Unicode MS" w:cs="Arial Unicode MS"/>
          <w:color w:val="auto"/>
          <w:sz w:val="40"/>
          <w:szCs w:val="40"/>
        </w:rPr>
        <w:t>中小微企业划型标准</w:t>
      </w:r>
    </w:p>
    <w:tbl>
      <w:tblPr>
        <w:tblStyle w:val="6"/>
        <w:tblW w:w="0" w:type="auto"/>
        <w:jc w:val="center"/>
        <w:tblLayout w:type="fixed"/>
        <w:tblCellMar>
          <w:top w:w="0" w:type="dxa"/>
          <w:left w:w="108" w:type="dxa"/>
          <w:bottom w:w="0" w:type="dxa"/>
          <w:right w:w="108" w:type="dxa"/>
        </w:tblCellMar>
      </w:tblPr>
      <w:tblGrid>
        <w:gridCol w:w="1935"/>
        <w:gridCol w:w="1575"/>
        <w:gridCol w:w="1036"/>
        <w:gridCol w:w="1844"/>
        <w:gridCol w:w="1636"/>
        <w:gridCol w:w="1050"/>
      </w:tblGrid>
      <w:tr w14:paraId="0468F1A3">
        <w:tblPrEx>
          <w:tblCellMar>
            <w:top w:w="0" w:type="dxa"/>
            <w:left w:w="108" w:type="dxa"/>
            <w:bottom w:w="0" w:type="dxa"/>
            <w:right w:w="108" w:type="dxa"/>
          </w:tblCellMar>
        </w:tblPrEx>
        <w:trPr>
          <w:trHeight w:val="449" w:hRule="atLeast"/>
          <w:jc w:val="center"/>
        </w:trPr>
        <w:tc>
          <w:tcPr>
            <w:tcW w:w="1935" w:type="dxa"/>
            <w:tcBorders>
              <w:top w:val="single" w:color="auto" w:sz="4" w:space="0"/>
              <w:left w:val="single" w:color="auto" w:sz="4" w:space="0"/>
              <w:bottom w:val="single" w:color="auto" w:sz="4" w:space="0"/>
              <w:right w:val="single" w:color="auto" w:sz="4" w:space="0"/>
            </w:tcBorders>
            <w:vAlign w:val="center"/>
          </w:tcPr>
          <w:p w14:paraId="3B0A2DF2">
            <w:pPr>
              <w:widowControl/>
              <w:jc w:val="left"/>
              <w:rPr>
                <w:rFonts w:ascii="新宋体" w:hAnsi="新宋体" w:eastAsia="新宋体" w:cs="新宋体"/>
                <w:b/>
                <w:color w:val="auto"/>
                <w:kern w:val="0"/>
                <w:sz w:val="18"/>
                <w:szCs w:val="18"/>
              </w:rPr>
            </w:pPr>
            <w:r>
              <w:rPr>
                <w:rFonts w:hint="eastAsia" w:ascii="新宋体" w:hAnsi="新宋体" w:eastAsia="新宋体" w:cs="新宋体"/>
                <w:b/>
                <w:color w:val="auto"/>
                <w:kern w:val="0"/>
                <w:sz w:val="18"/>
                <w:szCs w:val="18"/>
              </w:rPr>
              <w:t>行业名称</w:t>
            </w:r>
          </w:p>
        </w:tc>
        <w:tc>
          <w:tcPr>
            <w:tcW w:w="1575" w:type="dxa"/>
            <w:tcBorders>
              <w:top w:val="single" w:color="auto" w:sz="4" w:space="0"/>
              <w:left w:val="nil"/>
              <w:bottom w:val="single" w:color="auto" w:sz="4" w:space="0"/>
              <w:right w:val="single" w:color="auto" w:sz="4" w:space="0"/>
            </w:tcBorders>
            <w:vAlign w:val="center"/>
          </w:tcPr>
          <w:p w14:paraId="6010FA4C">
            <w:pPr>
              <w:widowControl/>
              <w:jc w:val="left"/>
              <w:rPr>
                <w:rFonts w:ascii="新宋体" w:hAnsi="新宋体" w:eastAsia="新宋体" w:cs="新宋体"/>
                <w:b/>
                <w:color w:val="auto"/>
                <w:kern w:val="0"/>
                <w:sz w:val="18"/>
                <w:szCs w:val="18"/>
              </w:rPr>
            </w:pPr>
            <w:r>
              <w:rPr>
                <w:rFonts w:hint="eastAsia" w:ascii="新宋体" w:hAnsi="新宋体" w:eastAsia="新宋体" w:cs="新宋体"/>
                <w:b/>
                <w:color w:val="auto"/>
                <w:kern w:val="0"/>
                <w:sz w:val="18"/>
                <w:szCs w:val="18"/>
              </w:rPr>
              <w:t>指标名称</w:t>
            </w:r>
          </w:p>
        </w:tc>
        <w:tc>
          <w:tcPr>
            <w:tcW w:w="1036" w:type="dxa"/>
            <w:tcBorders>
              <w:top w:val="single" w:color="auto" w:sz="4" w:space="0"/>
              <w:left w:val="nil"/>
              <w:bottom w:val="single" w:color="auto" w:sz="4" w:space="0"/>
              <w:right w:val="single" w:color="auto" w:sz="4" w:space="0"/>
            </w:tcBorders>
            <w:vAlign w:val="center"/>
          </w:tcPr>
          <w:p w14:paraId="580BDFBE">
            <w:pPr>
              <w:widowControl/>
              <w:jc w:val="left"/>
              <w:rPr>
                <w:rFonts w:ascii="新宋体" w:hAnsi="新宋体" w:eastAsia="新宋体" w:cs="新宋体"/>
                <w:b/>
                <w:color w:val="auto"/>
                <w:kern w:val="0"/>
                <w:sz w:val="18"/>
                <w:szCs w:val="18"/>
              </w:rPr>
            </w:pPr>
            <w:r>
              <w:rPr>
                <w:rFonts w:hint="eastAsia" w:ascii="新宋体" w:hAnsi="新宋体" w:eastAsia="新宋体" w:cs="新宋体"/>
                <w:b/>
                <w:color w:val="auto"/>
                <w:kern w:val="0"/>
                <w:sz w:val="18"/>
                <w:szCs w:val="18"/>
              </w:rPr>
              <w:t>计量单位</w:t>
            </w:r>
          </w:p>
        </w:tc>
        <w:tc>
          <w:tcPr>
            <w:tcW w:w="1844" w:type="dxa"/>
            <w:tcBorders>
              <w:top w:val="single" w:color="auto" w:sz="4" w:space="0"/>
              <w:left w:val="nil"/>
              <w:bottom w:val="single" w:color="auto" w:sz="4" w:space="0"/>
              <w:right w:val="single" w:color="auto" w:sz="4" w:space="0"/>
            </w:tcBorders>
            <w:vAlign w:val="center"/>
          </w:tcPr>
          <w:p w14:paraId="6E4455F0">
            <w:pPr>
              <w:widowControl/>
              <w:jc w:val="left"/>
              <w:rPr>
                <w:rFonts w:ascii="新宋体" w:hAnsi="新宋体" w:eastAsia="新宋体" w:cs="新宋体"/>
                <w:b/>
                <w:color w:val="auto"/>
                <w:kern w:val="0"/>
                <w:sz w:val="18"/>
                <w:szCs w:val="18"/>
              </w:rPr>
            </w:pPr>
            <w:r>
              <w:rPr>
                <w:rFonts w:hint="eastAsia" w:ascii="新宋体" w:hAnsi="新宋体" w:eastAsia="新宋体" w:cs="新宋体"/>
                <w:b/>
                <w:color w:val="auto"/>
                <w:kern w:val="0"/>
                <w:sz w:val="18"/>
                <w:szCs w:val="18"/>
              </w:rPr>
              <w:t>中型</w:t>
            </w:r>
          </w:p>
        </w:tc>
        <w:tc>
          <w:tcPr>
            <w:tcW w:w="1636" w:type="dxa"/>
            <w:tcBorders>
              <w:top w:val="single" w:color="auto" w:sz="4" w:space="0"/>
              <w:left w:val="nil"/>
              <w:bottom w:val="single" w:color="auto" w:sz="4" w:space="0"/>
              <w:right w:val="single" w:color="auto" w:sz="4" w:space="0"/>
            </w:tcBorders>
            <w:vAlign w:val="center"/>
          </w:tcPr>
          <w:p w14:paraId="622838D0">
            <w:pPr>
              <w:widowControl/>
              <w:jc w:val="left"/>
              <w:rPr>
                <w:rFonts w:ascii="新宋体" w:hAnsi="新宋体" w:eastAsia="新宋体" w:cs="新宋体"/>
                <w:b/>
                <w:color w:val="auto"/>
                <w:kern w:val="0"/>
                <w:sz w:val="18"/>
                <w:szCs w:val="18"/>
              </w:rPr>
            </w:pPr>
            <w:r>
              <w:rPr>
                <w:rFonts w:hint="eastAsia" w:ascii="新宋体" w:hAnsi="新宋体" w:eastAsia="新宋体" w:cs="新宋体"/>
                <w:b/>
                <w:color w:val="auto"/>
                <w:kern w:val="0"/>
                <w:sz w:val="18"/>
                <w:szCs w:val="18"/>
              </w:rPr>
              <w:t>小型</w:t>
            </w:r>
          </w:p>
        </w:tc>
        <w:tc>
          <w:tcPr>
            <w:tcW w:w="1050" w:type="dxa"/>
            <w:tcBorders>
              <w:top w:val="single" w:color="auto" w:sz="4" w:space="0"/>
              <w:left w:val="nil"/>
              <w:bottom w:val="single" w:color="auto" w:sz="4" w:space="0"/>
              <w:right w:val="single" w:color="auto" w:sz="4" w:space="0"/>
            </w:tcBorders>
            <w:vAlign w:val="center"/>
          </w:tcPr>
          <w:p w14:paraId="7EA70660">
            <w:pPr>
              <w:widowControl/>
              <w:jc w:val="left"/>
              <w:rPr>
                <w:rFonts w:ascii="新宋体" w:hAnsi="新宋体" w:eastAsia="新宋体" w:cs="新宋体"/>
                <w:b/>
                <w:color w:val="auto"/>
                <w:kern w:val="0"/>
                <w:sz w:val="18"/>
                <w:szCs w:val="18"/>
              </w:rPr>
            </w:pPr>
            <w:r>
              <w:rPr>
                <w:rFonts w:hint="eastAsia" w:ascii="新宋体" w:hAnsi="新宋体" w:eastAsia="新宋体" w:cs="新宋体"/>
                <w:b/>
                <w:color w:val="auto"/>
                <w:kern w:val="0"/>
                <w:sz w:val="18"/>
                <w:szCs w:val="18"/>
              </w:rPr>
              <w:t>微型</w:t>
            </w:r>
          </w:p>
        </w:tc>
      </w:tr>
      <w:tr w14:paraId="365CF362">
        <w:tblPrEx>
          <w:tblCellMar>
            <w:top w:w="0" w:type="dxa"/>
            <w:left w:w="108" w:type="dxa"/>
            <w:bottom w:w="0" w:type="dxa"/>
            <w:right w:w="108" w:type="dxa"/>
          </w:tblCellMar>
        </w:tblPrEx>
        <w:trPr>
          <w:trHeight w:val="302" w:hRule="atLeast"/>
          <w:jc w:val="center"/>
        </w:trPr>
        <w:tc>
          <w:tcPr>
            <w:tcW w:w="1935" w:type="dxa"/>
            <w:tcBorders>
              <w:top w:val="nil"/>
              <w:left w:val="single" w:color="auto" w:sz="4" w:space="0"/>
              <w:bottom w:val="single" w:color="auto" w:sz="4" w:space="0"/>
              <w:right w:val="single" w:color="auto" w:sz="4" w:space="0"/>
            </w:tcBorders>
            <w:vAlign w:val="center"/>
          </w:tcPr>
          <w:p w14:paraId="05901276">
            <w:pPr>
              <w:widowControl/>
              <w:jc w:val="center"/>
              <w:rPr>
                <w:rFonts w:ascii="新宋体" w:hAnsi="新宋体" w:eastAsia="新宋体" w:cs="新宋体"/>
                <w:b/>
                <w:bCs/>
                <w:color w:val="auto"/>
                <w:kern w:val="0"/>
                <w:sz w:val="18"/>
                <w:szCs w:val="18"/>
              </w:rPr>
            </w:pPr>
            <w:r>
              <w:rPr>
                <w:rFonts w:hint="eastAsia" w:ascii="新宋体" w:hAnsi="新宋体" w:eastAsia="新宋体" w:cs="新宋体"/>
                <w:b/>
                <w:bCs/>
                <w:color w:val="auto"/>
                <w:kern w:val="0"/>
                <w:sz w:val="18"/>
                <w:szCs w:val="18"/>
              </w:rPr>
              <w:t>农、林、牧、渔</w:t>
            </w:r>
          </w:p>
        </w:tc>
        <w:tc>
          <w:tcPr>
            <w:tcW w:w="1575" w:type="dxa"/>
            <w:tcBorders>
              <w:top w:val="nil"/>
              <w:left w:val="nil"/>
              <w:bottom w:val="single" w:color="auto" w:sz="4" w:space="0"/>
              <w:right w:val="single" w:color="auto" w:sz="4" w:space="0"/>
            </w:tcBorders>
            <w:vAlign w:val="center"/>
          </w:tcPr>
          <w:p w14:paraId="4D8E2875">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营业收入（Y）</w:t>
            </w:r>
          </w:p>
        </w:tc>
        <w:tc>
          <w:tcPr>
            <w:tcW w:w="1036" w:type="dxa"/>
            <w:tcBorders>
              <w:top w:val="nil"/>
              <w:left w:val="nil"/>
              <w:bottom w:val="single" w:color="auto" w:sz="4" w:space="0"/>
              <w:right w:val="single" w:color="auto" w:sz="4" w:space="0"/>
            </w:tcBorders>
            <w:vAlign w:val="center"/>
          </w:tcPr>
          <w:p w14:paraId="486220DD">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万元</w:t>
            </w:r>
          </w:p>
        </w:tc>
        <w:tc>
          <w:tcPr>
            <w:tcW w:w="1844" w:type="dxa"/>
            <w:tcBorders>
              <w:top w:val="nil"/>
              <w:left w:val="nil"/>
              <w:bottom w:val="single" w:color="auto" w:sz="4" w:space="0"/>
              <w:right w:val="single" w:color="auto" w:sz="4" w:space="0"/>
            </w:tcBorders>
            <w:vAlign w:val="center"/>
          </w:tcPr>
          <w:p w14:paraId="77D2AD44">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500≤Y&lt;20000</w:t>
            </w:r>
          </w:p>
        </w:tc>
        <w:tc>
          <w:tcPr>
            <w:tcW w:w="1636" w:type="dxa"/>
            <w:tcBorders>
              <w:top w:val="nil"/>
              <w:left w:val="nil"/>
              <w:bottom w:val="single" w:color="auto" w:sz="4" w:space="0"/>
              <w:right w:val="single" w:color="auto" w:sz="4" w:space="0"/>
            </w:tcBorders>
            <w:vAlign w:val="center"/>
          </w:tcPr>
          <w:p w14:paraId="32F7DB75">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50≤Y&lt;500</w:t>
            </w:r>
          </w:p>
        </w:tc>
        <w:tc>
          <w:tcPr>
            <w:tcW w:w="1050" w:type="dxa"/>
            <w:tcBorders>
              <w:top w:val="nil"/>
              <w:left w:val="nil"/>
              <w:bottom w:val="single" w:color="auto" w:sz="4" w:space="0"/>
              <w:right w:val="single" w:color="auto" w:sz="4" w:space="0"/>
            </w:tcBorders>
            <w:vAlign w:val="center"/>
          </w:tcPr>
          <w:p w14:paraId="5E10C6C5">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Y&lt;50</w:t>
            </w:r>
          </w:p>
        </w:tc>
      </w:tr>
      <w:tr w14:paraId="78F63B99">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vAlign w:val="center"/>
          </w:tcPr>
          <w:p w14:paraId="7A910D28">
            <w:pPr>
              <w:widowControl/>
              <w:jc w:val="center"/>
              <w:rPr>
                <w:rFonts w:ascii="新宋体" w:hAnsi="新宋体" w:eastAsia="新宋体" w:cs="新宋体"/>
                <w:b/>
                <w:bCs/>
                <w:color w:val="auto"/>
                <w:kern w:val="0"/>
                <w:sz w:val="18"/>
                <w:szCs w:val="18"/>
              </w:rPr>
            </w:pPr>
            <w:r>
              <w:rPr>
                <w:rFonts w:hint="eastAsia" w:ascii="新宋体" w:hAnsi="新宋体" w:eastAsia="新宋体" w:cs="新宋体"/>
                <w:b/>
                <w:bCs/>
                <w:color w:val="auto"/>
                <w:kern w:val="0"/>
                <w:sz w:val="18"/>
                <w:szCs w:val="18"/>
              </w:rPr>
              <w:t>工业</w:t>
            </w:r>
          </w:p>
        </w:tc>
        <w:tc>
          <w:tcPr>
            <w:tcW w:w="1575" w:type="dxa"/>
            <w:tcBorders>
              <w:top w:val="nil"/>
              <w:left w:val="nil"/>
              <w:bottom w:val="single" w:color="auto" w:sz="4" w:space="0"/>
              <w:right w:val="single" w:color="auto" w:sz="4" w:space="0"/>
            </w:tcBorders>
            <w:vAlign w:val="center"/>
          </w:tcPr>
          <w:p w14:paraId="782D48C3">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从业人员（X）</w:t>
            </w:r>
          </w:p>
        </w:tc>
        <w:tc>
          <w:tcPr>
            <w:tcW w:w="1036" w:type="dxa"/>
            <w:tcBorders>
              <w:top w:val="nil"/>
              <w:left w:val="nil"/>
              <w:bottom w:val="single" w:color="auto" w:sz="4" w:space="0"/>
              <w:right w:val="single" w:color="auto" w:sz="4" w:space="0"/>
            </w:tcBorders>
            <w:vAlign w:val="center"/>
          </w:tcPr>
          <w:p w14:paraId="12FF296B">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人</w:t>
            </w:r>
          </w:p>
        </w:tc>
        <w:tc>
          <w:tcPr>
            <w:tcW w:w="1844" w:type="dxa"/>
            <w:tcBorders>
              <w:top w:val="nil"/>
              <w:left w:val="nil"/>
              <w:bottom w:val="single" w:color="auto" w:sz="4" w:space="0"/>
              <w:right w:val="single" w:color="auto" w:sz="4" w:space="0"/>
            </w:tcBorders>
            <w:vAlign w:val="center"/>
          </w:tcPr>
          <w:p w14:paraId="49E25A20">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300≤X&lt;1000</w:t>
            </w:r>
          </w:p>
        </w:tc>
        <w:tc>
          <w:tcPr>
            <w:tcW w:w="1636" w:type="dxa"/>
            <w:tcBorders>
              <w:top w:val="nil"/>
              <w:left w:val="nil"/>
              <w:bottom w:val="single" w:color="auto" w:sz="4" w:space="0"/>
              <w:right w:val="single" w:color="auto" w:sz="4" w:space="0"/>
            </w:tcBorders>
            <w:vAlign w:val="center"/>
          </w:tcPr>
          <w:p w14:paraId="0D4C7EB9">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20≤X&lt;300</w:t>
            </w:r>
          </w:p>
        </w:tc>
        <w:tc>
          <w:tcPr>
            <w:tcW w:w="1050" w:type="dxa"/>
            <w:tcBorders>
              <w:top w:val="nil"/>
              <w:left w:val="nil"/>
              <w:bottom w:val="single" w:color="auto" w:sz="4" w:space="0"/>
              <w:right w:val="single" w:color="auto" w:sz="4" w:space="0"/>
            </w:tcBorders>
            <w:vAlign w:val="center"/>
          </w:tcPr>
          <w:p w14:paraId="25938895">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X&lt;20</w:t>
            </w:r>
          </w:p>
        </w:tc>
      </w:tr>
      <w:tr w14:paraId="5000182D">
        <w:tblPrEx>
          <w:tblCellMar>
            <w:top w:w="0" w:type="dxa"/>
            <w:left w:w="108" w:type="dxa"/>
            <w:bottom w:w="0" w:type="dxa"/>
            <w:right w:w="108" w:type="dxa"/>
          </w:tblCellMar>
        </w:tblPrEx>
        <w:trPr>
          <w:trHeight w:val="415" w:hRule="atLeast"/>
          <w:jc w:val="center"/>
        </w:trPr>
        <w:tc>
          <w:tcPr>
            <w:tcW w:w="1935" w:type="dxa"/>
            <w:vMerge w:val="continue"/>
            <w:tcBorders>
              <w:top w:val="nil"/>
              <w:left w:val="single" w:color="auto" w:sz="4" w:space="0"/>
              <w:bottom w:val="single" w:color="auto" w:sz="4" w:space="0"/>
              <w:right w:val="single" w:color="auto" w:sz="4" w:space="0"/>
            </w:tcBorders>
            <w:vAlign w:val="center"/>
          </w:tcPr>
          <w:p w14:paraId="738A479E">
            <w:pPr>
              <w:widowControl/>
              <w:jc w:val="center"/>
              <w:rPr>
                <w:rFonts w:ascii="新宋体" w:hAnsi="新宋体" w:eastAsia="新宋体" w:cs="新宋体"/>
                <w:b/>
                <w:bCs/>
                <w:color w:val="auto"/>
                <w:kern w:val="0"/>
                <w:sz w:val="18"/>
                <w:szCs w:val="18"/>
              </w:rPr>
            </w:pPr>
          </w:p>
        </w:tc>
        <w:tc>
          <w:tcPr>
            <w:tcW w:w="1575" w:type="dxa"/>
            <w:tcBorders>
              <w:top w:val="nil"/>
              <w:left w:val="nil"/>
              <w:bottom w:val="single" w:color="auto" w:sz="4" w:space="0"/>
              <w:right w:val="single" w:color="auto" w:sz="4" w:space="0"/>
            </w:tcBorders>
            <w:vAlign w:val="center"/>
          </w:tcPr>
          <w:p w14:paraId="378684B1">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营业收入（Y）</w:t>
            </w:r>
          </w:p>
        </w:tc>
        <w:tc>
          <w:tcPr>
            <w:tcW w:w="1036" w:type="dxa"/>
            <w:tcBorders>
              <w:top w:val="nil"/>
              <w:left w:val="nil"/>
              <w:bottom w:val="single" w:color="auto" w:sz="4" w:space="0"/>
              <w:right w:val="single" w:color="auto" w:sz="4" w:space="0"/>
            </w:tcBorders>
            <w:vAlign w:val="center"/>
          </w:tcPr>
          <w:p w14:paraId="67823025">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万元</w:t>
            </w:r>
          </w:p>
        </w:tc>
        <w:tc>
          <w:tcPr>
            <w:tcW w:w="1844" w:type="dxa"/>
            <w:tcBorders>
              <w:top w:val="nil"/>
              <w:left w:val="nil"/>
              <w:bottom w:val="single" w:color="auto" w:sz="4" w:space="0"/>
              <w:right w:val="single" w:color="auto" w:sz="4" w:space="0"/>
            </w:tcBorders>
            <w:vAlign w:val="center"/>
          </w:tcPr>
          <w:p w14:paraId="6B86D227">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2000≤Y&lt;40000</w:t>
            </w:r>
          </w:p>
        </w:tc>
        <w:tc>
          <w:tcPr>
            <w:tcW w:w="1636" w:type="dxa"/>
            <w:tcBorders>
              <w:top w:val="nil"/>
              <w:left w:val="nil"/>
              <w:bottom w:val="single" w:color="auto" w:sz="4" w:space="0"/>
              <w:right w:val="single" w:color="auto" w:sz="4" w:space="0"/>
            </w:tcBorders>
            <w:vAlign w:val="center"/>
          </w:tcPr>
          <w:p w14:paraId="2DE0EFE2">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300≤Y&lt;2000</w:t>
            </w:r>
          </w:p>
        </w:tc>
        <w:tc>
          <w:tcPr>
            <w:tcW w:w="1050" w:type="dxa"/>
            <w:tcBorders>
              <w:top w:val="nil"/>
              <w:left w:val="nil"/>
              <w:bottom w:val="single" w:color="auto" w:sz="4" w:space="0"/>
              <w:right w:val="single" w:color="auto" w:sz="4" w:space="0"/>
            </w:tcBorders>
            <w:vAlign w:val="center"/>
          </w:tcPr>
          <w:p w14:paraId="06575A23">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Y&lt;300</w:t>
            </w:r>
          </w:p>
        </w:tc>
      </w:tr>
      <w:tr w14:paraId="59801421">
        <w:tblPrEx>
          <w:tblCellMar>
            <w:top w:w="0" w:type="dxa"/>
            <w:left w:w="108" w:type="dxa"/>
            <w:bottom w:w="0" w:type="dxa"/>
            <w:right w:w="108" w:type="dxa"/>
          </w:tblCellMar>
        </w:tblPrEx>
        <w:trPr>
          <w:trHeight w:val="415" w:hRule="atLeast"/>
          <w:jc w:val="center"/>
        </w:trPr>
        <w:tc>
          <w:tcPr>
            <w:tcW w:w="1935" w:type="dxa"/>
            <w:vMerge w:val="restart"/>
            <w:tcBorders>
              <w:top w:val="nil"/>
              <w:left w:val="single" w:color="auto" w:sz="4" w:space="0"/>
              <w:bottom w:val="single" w:color="auto" w:sz="4" w:space="0"/>
              <w:right w:val="single" w:color="auto" w:sz="4" w:space="0"/>
            </w:tcBorders>
            <w:vAlign w:val="center"/>
          </w:tcPr>
          <w:p w14:paraId="796DDF4F">
            <w:pPr>
              <w:widowControl/>
              <w:jc w:val="center"/>
              <w:rPr>
                <w:rFonts w:ascii="新宋体" w:hAnsi="新宋体" w:eastAsia="新宋体" w:cs="新宋体"/>
                <w:b/>
                <w:bCs/>
                <w:color w:val="auto"/>
                <w:kern w:val="0"/>
                <w:sz w:val="18"/>
                <w:szCs w:val="18"/>
              </w:rPr>
            </w:pPr>
            <w:r>
              <w:rPr>
                <w:rFonts w:hint="eastAsia" w:ascii="新宋体" w:hAnsi="新宋体" w:eastAsia="新宋体" w:cs="新宋体"/>
                <w:b/>
                <w:bCs/>
                <w:color w:val="auto"/>
                <w:kern w:val="0"/>
                <w:sz w:val="18"/>
                <w:szCs w:val="18"/>
              </w:rPr>
              <w:t>建筑业</w:t>
            </w:r>
          </w:p>
        </w:tc>
        <w:tc>
          <w:tcPr>
            <w:tcW w:w="1575" w:type="dxa"/>
            <w:tcBorders>
              <w:top w:val="nil"/>
              <w:left w:val="nil"/>
              <w:bottom w:val="single" w:color="auto" w:sz="4" w:space="0"/>
              <w:right w:val="single" w:color="auto" w:sz="4" w:space="0"/>
            </w:tcBorders>
            <w:vAlign w:val="center"/>
          </w:tcPr>
          <w:p w14:paraId="7EBECFE3">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营业收入（Y）</w:t>
            </w:r>
          </w:p>
        </w:tc>
        <w:tc>
          <w:tcPr>
            <w:tcW w:w="1036" w:type="dxa"/>
            <w:tcBorders>
              <w:top w:val="nil"/>
              <w:left w:val="nil"/>
              <w:bottom w:val="single" w:color="auto" w:sz="4" w:space="0"/>
              <w:right w:val="single" w:color="auto" w:sz="4" w:space="0"/>
            </w:tcBorders>
            <w:vAlign w:val="center"/>
          </w:tcPr>
          <w:p w14:paraId="6ED0B3DF">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万元</w:t>
            </w:r>
          </w:p>
        </w:tc>
        <w:tc>
          <w:tcPr>
            <w:tcW w:w="1844" w:type="dxa"/>
            <w:tcBorders>
              <w:top w:val="nil"/>
              <w:left w:val="nil"/>
              <w:bottom w:val="single" w:color="auto" w:sz="4" w:space="0"/>
              <w:right w:val="single" w:color="auto" w:sz="4" w:space="0"/>
            </w:tcBorders>
            <w:vAlign w:val="center"/>
          </w:tcPr>
          <w:p w14:paraId="3E475831">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6000≤Y&lt;80000</w:t>
            </w:r>
          </w:p>
        </w:tc>
        <w:tc>
          <w:tcPr>
            <w:tcW w:w="1636" w:type="dxa"/>
            <w:tcBorders>
              <w:top w:val="nil"/>
              <w:left w:val="nil"/>
              <w:bottom w:val="single" w:color="auto" w:sz="4" w:space="0"/>
              <w:right w:val="single" w:color="auto" w:sz="4" w:space="0"/>
            </w:tcBorders>
            <w:vAlign w:val="center"/>
          </w:tcPr>
          <w:p w14:paraId="47C34714">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300≤Y&lt;6000</w:t>
            </w:r>
          </w:p>
        </w:tc>
        <w:tc>
          <w:tcPr>
            <w:tcW w:w="1050" w:type="dxa"/>
            <w:tcBorders>
              <w:top w:val="nil"/>
              <w:left w:val="nil"/>
              <w:bottom w:val="single" w:color="auto" w:sz="4" w:space="0"/>
              <w:right w:val="single" w:color="auto" w:sz="4" w:space="0"/>
            </w:tcBorders>
            <w:vAlign w:val="center"/>
          </w:tcPr>
          <w:p w14:paraId="3832E9A6">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Y&lt;300</w:t>
            </w:r>
          </w:p>
        </w:tc>
      </w:tr>
      <w:tr w14:paraId="2C2901BD">
        <w:tblPrEx>
          <w:tblCellMar>
            <w:top w:w="0" w:type="dxa"/>
            <w:left w:w="108" w:type="dxa"/>
            <w:bottom w:w="0" w:type="dxa"/>
            <w:right w:w="108" w:type="dxa"/>
          </w:tblCellMar>
        </w:tblPrEx>
        <w:trPr>
          <w:trHeight w:val="415" w:hRule="atLeast"/>
          <w:jc w:val="center"/>
        </w:trPr>
        <w:tc>
          <w:tcPr>
            <w:tcW w:w="1935" w:type="dxa"/>
            <w:vMerge w:val="continue"/>
            <w:tcBorders>
              <w:top w:val="nil"/>
              <w:left w:val="single" w:color="auto" w:sz="4" w:space="0"/>
              <w:bottom w:val="single" w:color="auto" w:sz="4" w:space="0"/>
              <w:right w:val="single" w:color="auto" w:sz="4" w:space="0"/>
            </w:tcBorders>
            <w:vAlign w:val="center"/>
          </w:tcPr>
          <w:p w14:paraId="25652FAC">
            <w:pPr>
              <w:widowControl/>
              <w:jc w:val="center"/>
              <w:rPr>
                <w:rFonts w:ascii="新宋体" w:hAnsi="新宋体" w:eastAsia="新宋体" w:cs="新宋体"/>
                <w:b/>
                <w:bCs/>
                <w:color w:val="auto"/>
                <w:kern w:val="0"/>
                <w:sz w:val="18"/>
                <w:szCs w:val="18"/>
              </w:rPr>
            </w:pPr>
          </w:p>
        </w:tc>
        <w:tc>
          <w:tcPr>
            <w:tcW w:w="1575" w:type="dxa"/>
            <w:tcBorders>
              <w:top w:val="nil"/>
              <w:left w:val="nil"/>
              <w:bottom w:val="single" w:color="auto" w:sz="4" w:space="0"/>
              <w:right w:val="single" w:color="auto" w:sz="4" w:space="0"/>
            </w:tcBorders>
            <w:vAlign w:val="center"/>
          </w:tcPr>
          <w:p w14:paraId="0334F10E">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资产总额（Z）</w:t>
            </w:r>
          </w:p>
        </w:tc>
        <w:tc>
          <w:tcPr>
            <w:tcW w:w="1036" w:type="dxa"/>
            <w:tcBorders>
              <w:top w:val="nil"/>
              <w:left w:val="nil"/>
              <w:bottom w:val="single" w:color="auto" w:sz="4" w:space="0"/>
              <w:right w:val="single" w:color="auto" w:sz="4" w:space="0"/>
            </w:tcBorders>
            <w:vAlign w:val="center"/>
          </w:tcPr>
          <w:p w14:paraId="2CFD20C5">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万元</w:t>
            </w:r>
          </w:p>
        </w:tc>
        <w:tc>
          <w:tcPr>
            <w:tcW w:w="1844" w:type="dxa"/>
            <w:tcBorders>
              <w:top w:val="nil"/>
              <w:left w:val="nil"/>
              <w:bottom w:val="single" w:color="auto" w:sz="4" w:space="0"/>
              <w:right w:val="single" w:color="auto" w:sz="4" w:space="0"/>
            </w:tcBorders>
            <w:vAlign w:val="center"/>
          </w:tcPr>
          <w:p w14:paraId="537BAE5E">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5000≤Z&lt;80000</w:t>
            </w:r>
          </w:p>
        </w:tc>
        <w:tc>
          <w:tcPr>
            <w:tcW w:w="1636" w:type="dxa"/>
            <w:tcBorders>
              <w:top w:val="nil"/>
              <w:left w:val="nil"/>
              <w:bottom w:val="single" w:color="auto" w:sz="4" w:space="0"/>
              <w:right w:val="single" w:color="auto" w:sz="4" w:space="0"/>
            </w:tcBorders>
            <w:vAlign w:val="center"/>
          </w:tcPr>
          <w:p w14:paraId="5AD4D3CE">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300≤Z&lt;5000</w:t>
            </w:r>
          </w:p>
        </w:tc>
        <w:tc>
          <w:tcPr>
            <w:tcW w:w="1050" w:type="dxa"/>
            <w:tcBorders>
              <w:top w:val="nil"/>
              <w:left w:val="nil"/>
              <w:bottom w:val="single" w:color="auto" w:sz="4" w:space="0"/>
              <w:right w:val="single" w:color="auto" w:sz="4" w:space="0"/>
            </w:tcBorders>
            <w:vAlign w:val="center"/>
          </w:tcPr>
          <w:p w14:paraId="5557F7DE">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Z&lt;300</w:t>
            </w:r>
          </w:p>
        </w:tc>
      </w:tr>
      <w:tr w14:paraId="56FEE93D">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vAlign w:val="center"/>
          </w:tcPr>
          <w:p w14:paraId="6CD1F29D">
            <w:pPr>
              <w:widowControl/>
              <w:jc w:val="center"/>
              <w:rPr>
                <w:rFonts w:ascii="新宋体" w:hAnsi="新宋体" w:eastAsia="新宋体" w:cs="新宋体"/>
                <w:b/>
                <w:bCs/>
                <w:color w:val="auto"/>
                <w:kern w:val="0"/>
                <w:sz w:val="18"/>
                <w:szCs w:val="18"/>
              </w:rPr>
            </w:pPr>
            <w:r>
              <w:rPr>
                <w:rFonts w:hint="eastAsia" w:ascii="新宋体" w:hAnsi="新宋体" w:eastAsia="新宋体" w:cs="新宋体"/>
                <w:b/>
                <w:bCs/>
                <w:color w:val="auto"/>
                <w:kern w:val="0"/>
                <w:sz w:val="18"/>
                <w:szCs w:val="18"/>
              </w:rPr>
              <w:t>批发业</w:t>
            </w:r>
          </w:p>
        </w:tc>
        <w:tc>
          <w:tcPr>
            <w:tcW w:w="1575" w:type="dxa"/>
            <w:tcBorders>
              <w:top w:val="nil"/>
              <w:left w:val="nil"/>
              <w:bottom w:val="single" w:color="auto" w:sz="4" w:space="0"/>
              <w:right w:val="single" w:color="auto" w:sz="4" w:space="0"/>
            </w:tcBorders>
            <w:vAlign w:val="center"/>
          </w:tcPr>
          <w:p w14:paraId="799ACAC5">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从业人员（X）</w:t>
            </w:r>
          </w:p>
        </w:tc>
        <w:tc>
          <w:tcPr>
            <w:tcW w:w="1036" w:type="dxa"/>
            <w:tcBorders>
              <w:top w:val="nil"/>
              <w:left w:val="nil"/>
              <w:bottom w:val="single" w:color="auto" w:sz="4" w:space="0"/>
              <w:right w:val="single" w:color="auto" w:sz="4" w:space="0"/>
            </w:tcBorders>
            <w:vAlign w:val="center"/>
          </w:tcPr>
          <w:p w14:paraId="588E01D5">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人</w:t>
            </w:r>
          </w:p>
        </w:tc>
        <w:tc>
          <w:tcPr>
            <w:tcW w:w="1844" w:type="dxa"/>
            <w:tcBorders>
              <w:top w:val="nil"/>
              <w:left w:val="nil"/>
              <w:bottom w:val="single" w:color="auto" w:sz="4" w:space="0"/>
              <w:right w:val="single" w:color="auto" w:sz="4" w:space="0"/>
            </w:tcBorders>
            <w:vAlign w:val="center"/>
          </w:tcPr>
          <w:p w14:paraId="11670E8A">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20≤X&lt;200</w:t>
            </w:r>
          </w:p>
        </w:tc>
        <w:tc>
          <w:tcPr>
            <w:tcW w:w="1636" w:type="dxa"/>
            <w:tcBorders>
              <w:top w:val="nil"/>
              <w:left w:val="nil"/>
              <w:bottom w:val="single" w:color="auto" w:sz="4" w:space="0"/>
              <w:right w:val="single" w:color="auto" w:sz="4" w:space="0"/>
            </w:tcBorders>
            <w:vAlign w:val="center"/>
          </w:tcPr>
          <w:p w14:paraId="225AA405">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5≤X&lt;20</w:t>
            </w:r>
          </w:p>
        </w:tc>
        <w:tc>
          <w:tcPr>
            <w:tcW w:w="1050" w:type="dxa"/>
            <w:tcBorders>
              <w:top w:val="nil"/>
              <w:left w:val="nil"/>
              <w:bottom w:val="single" w:color="auto" w:sz="4" w:space="0"/>
              <w:right w:val="single" w:color="auto" w:sz="4" w:space="0"/>
            </w:tcBorders>
            <w:vAlign w:val="center"/>
          </w:tcPr>
          <w:p w14:paraId="117FD2C2">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X&lt;5</w:t>
            </w:r>
          </w:p>
        </w:tc>
      </w:tr>
      <w:tr w14:paraId="78DE68C2">
        <w:tblPrEx>
          <w:tblCellMar>
            <w:top w:w="0" w:type="dxa"/>
            <w:left w:w="108" w:type="dxa"/>
            <w:bottom w:w="0" w:type="dxa"/>
            <w:right w:w="108" w:type="dxa"/>
          </w:tblCellMar>
        </w:tblPrEx>
        <w:trPr>
          <w:trHeight w:val="449" w:hRule="atLeast"/>
          <w:jc w:val="center"/>
        </w:trPr>
        <w:tc>
          <w:tcPr>
            <w:tcW w:w="1935" w:type="dxa"/>
            <w:vMerge w:val="continue"/>
            <w:tcBorders>
              <w:top w:val="nil"/>
              <w:left w:val="single" w:color="auto" w:sz="4" w:space="0"/>
              <w:bottom w:val="single" w:color="auto" w:sz="4" w:space="0"/>
              <w:right w:val="single" w:color="auto" w:sz="4" w:space="0"/>
            </w:tcBorders>
            <w:vAlign w:val="center"/>
          </w:tcPr>
          <w:p w14:paraId="60BFEF54">
            <w:pPr>
              <w:widowControl/>
              <w:jc w:val="center"/>
              <w:rPr>
                <w:rFonts w:ascii="新宋体" w:hAnsi="新宋体" w:eastAsia="新宋体" w:cs="新宋体"/>
                <w:b/>
                <w:bCs/>
                <w:color w:val="auto"/>
                <w:kern w:val="0"/>
                <w:sz w:val="18"/>
                <w:szCs w:val="18"/>
              </w:rPr>
            </w:pPr>
          </w:p>
        </w:tc>
        <w:tc>
          <w:tcPr>
            <w:tcW w:w="1575" w:type="dxa"/>
            <w:tcBorders>
              <w:top w:val="nil"/>
              <w:left w:val="nil"/>
              <w:bottom w:val="single" w:color="auto" w:sz="4" w:space="0"/>
              <w:right w:val="single" w:color="auto" w:sz="4" w:space="0"/>
            </w:tcBorders>
            <w:vAlign w:val="center"/>
          </w:tcPr>
          <w:p w14:paraId="5635D491">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营业收入（Y）</w:t>
            </w:r>
          </w:p>
        </w:tc>
        <w:tc>
          <w:tcPr>
            <w:tcW w:w="1036" w:type="dxa"/>
            <w:tcBorders>
              <w:top w:val="nil"/>
              <w:left w:val="nil"/>
              <w:bottom w:val="single" w:color="auto" w:sz="4" w:space="0"/>
              <w:right w:val="single" w:color="auto" w:sz="4" w:space="0"/>
            </w:tcBorders>
            <w:vAlign w:val="center"/>
          </w:tcPr>
          <w:p w14:paraId="16C32AEA">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万元</w:t>
            </w:r>
          </w:p>
        </w:tc>
        <w:tc>
          <w:tcPr>
            <w:tcW w:w="1844" w:type="dxa"/>
            <w:tcBorders>
              <w:top w:val="nil"/>
              <w:left w:val="nil"/>
              <w:bottom w:val="single" w:color="auto" w:sz="4" w:space="0"/>
              <w:right w:val="single" w:color="auto" w:sz="4" w:space="0"/>
            </w:tcBorders>
            <w:vAlign w:val="center"/>
          </w:tcPr>
          <w:p w14:paraId="1B40A2A5">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5000≤Y&lt;40000</w:t>
            </w:r>
          </w:p>
        </w:tc>
        <w:tc>
          <w:tcPr>
            <w:tcW w:w="1636" w:type="dxa"/>
            <w:tcBorders>
              <w:top w:val="nil"/>
              <w:left w:val="nil"/>
              <w:bottom w:val="single" w:color="auto" w:sz="4" w:space="0"/>
              <w:right w:val="single" w:color="auto" w:sz="4" w:space="0"/>
            </w:tcBorders>
            <w:vAlign w:val="center"/>
          </w:tcPr>
          <w:p w14:paraId="76D1C070">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1000≤Y&lt;5000</w:t>
            </w:r>
          </w:p>
        </w:tc>
        <w:tc>
          <w:tcPr>
            <w:tcW w:w="1050" w:type="dxa"/>
            <w:tcBorders>
              <w:top w:val="nil"/>
              <w:left w:val="nil"/>
              <w:bottom w:val="single" w:color="auto" w:sz="4" w:space="0"/>
              <w:right w:val="single" w:color="auto" w:sz="4" w:space="0"/>
            </w:tcBorders>
            <w:vAlign w:val="center"/>
          </w:tcPr>
          <w:p w14:paraId="5F34A4A3">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Y&lt;1000</w:t>
            </w:r>
          </w:p>
        </w:tc>
      </w:tr>
      <w:tr w14:paraId="4CFBB3D3">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vAlign w:val="center"/>
          </w:tcPr>
          <w:p w14:paraId="6DDAB98F">
            <w:pPr>
              <w:widowControl/>
              <w:jc w:val="center"/>
              <w:rPr>
                <w:rFonts w:ascii="新宋体" w:hAnsi="新宋体" w:eastAsia="新宋体" w:cs="新宋体"/>
                <w:b/>
                <w:bCs/>
                <w:color w:val="auto"/>
                <w:kern w:val="0"/>
                <w:sz w:val="18"/>
                <w:szCs w:val="18"/>
              </w:rPr>
            </w:pPr>
            <w:r>
              <w:rPr>
                <w:rFonts w:hint="eastAsia" w:ascii="新宋体" w:hAnsi="新宋体" w:eastAsia="新宋体" w:cs="新宋体"/>
                <w:b/>
                <w:bCs/>
                <w:color w:val="auto"/>
                <w:kern w:val="0"/>
                <w:sz w:val="18"/>
                <w:szCs w:val="18"/>
              </w:rPr>
              <w:t>零售业</w:t>
            </w:r>
          </w:p>
        </w:tc>
        <w:tc>
          <w:tcPr>
            <w:tcW w:w="1575" w:type="dxa"/>
            <w:tcBorders>
              <w:top w:val="nil"/>
              <w:left w:val="nil"/>
              <w:bottom w:val="single" w:color="auto" w:sz="4" w:space="0"/>
              <w:right w:val="single" w:color="auto" w:sz="4" w:space="0"/>
            </w:tcBorders>
            <w:vAlign w:val="center"/>
          </w:tcPr>
          <w:p w14:paraId="6E6F0AC3">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从业人员（X）</w:t>
            </w:r>
          </w:p>
        </w:tc>
        <w:tc>
          <w:tcPr>
            <w:tcW w:w="1036" w:type="dxa"/>
            <w:tcBorders>
              <w:top w:val="nil"/>
              <w:left w:val="nil"/>
              <w:bottom w:val="single" w:color="auto" w:sz="4" w:space="0"/>
              <w:right w:val="single" w:color="auto" w:sz="4" w:space="0"/>
            </w:tcBorders>
            <w:vAlign w:val="center"/>
          </w:tcPr>
          <w:p w14:paraId="4EFF47CC">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人</w:t>
            </w:r>
          </w:p>
        </w:tc>
        <w:tc>
          <w:tcPr>
            <w:tcW w:w="1844" w:type="dxa"/>
            <w:tcBorders>
              <w:top w:val="nil"/>
              <w:left w:val="nil"/>
              <w:bottom w:val="single" w:color="auto" w:sz="4" w:space="0"/>
              <w:right w:val="single" w:color="auto" w:sz="4" w:space="0"/>
            </w:tcBorders>
            <w:vAlign w:val="center"/>
          </w:tcPr>
          <w:p w14:paraId="23BDEF3D">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50≤X&lt;300</w:t>
            </w:r>
          </w:p>
        </w:tc>
        <w:tc>
          <w:tcPr>
            <w:tcW w:w="1636" w:type="dxa"/>
            <w:tcBorders>
              <w:top w:val="nil"/>
              <w:left w:val="nil"/>
              <w:bottom w:val="single" w:color="auto" w:sz="4" w:space="0"/>
              <w:right w:val="single" w:color="auto" w:sz="4" w:space="0"/>
            </w:tcBorders>
            <w:vAlign w:val="center"/>
          </w:tcPr>
          <w:p w14:paraId="58BB0BA4">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10≤X&lt;50</w:t>
            </w:r>
          </w:p>
        </w:tc>
        <w:tc>
          <w:tcPr>
            <w:tcW w:w="1050" w:type="dxa"/>
            <w:tcBorders>
              <w:top w:val="nil"/>
              <w:left w:val="nil"/>
              <w:bottom w:val="single" w:color="auto" w:sz="4" w:space="0"/>
              <w:right w:val="single" w:color="auto" w:sz="4" w:space="0"/>
            </w:tcBorders>
            <w:vAlign w:val="center"/>
          </w:tcPr>
          <w:p w14:paraId="7B6079E9">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X&lt;10</w:t>
            </w:r>
          </w:p>
        </w:tc>
      </w:tr>
      <w:tr w14:paraId="249F37B5">
        <w:tblPrEx>
          <w:tblCellMar>
            <w:top w:w="0" w:type="dxa"/>
            <w:left w:w="108" w:type="dxa"/>
            <w:bottom w:w="0" w:type="dxa"/>
            <w:right w:w="108" w:type="dxa"/>
          </w:tblCellMar>
        </w:tblPrEx>
        <w:trPr>
          <w:trHeight w:val="302" w:hRule="atLeast"/>
          <w:jc w:val="center"/>
        </w:trPr>
        <w:tc>
          <w:tcPr>
            <w:tcW w:w="1935" w:type="dxa"/>
            <w:vMerge w:val="continue"/>
            <w:tcBorders>
              <w:top w:val="nil"/>
              <w:left w:val="single" w:color="auto" w:sz="4" w:space="0"/>
              <w:bottom w:val="single" w:color="auto" w:sz="4" w:space="0"/>
              <w:right w:val="single" w:color="auto" w:sz="4" w:space="0"/>
            </w:tcBorders>
            <w:vAlign w:val="center"/>
          </w:tcPr>
          <w:p w14:paraId="72EE19CD">
            <w:pPr>
              <w:widowControl/>
              <w:jc w:val="center"/>
              <w:rPr>
                <w:rFonts w:ascii="新宋体" w:hAnsi="新宋体" w:eastAsia="新宋体" w:cs="新宋体"/>
                <w:b/>
                <w:bCs/>
                <w:color w:val="auto"/>
                <w:kern w:val="0"/>
                <w:sz w:val="18"/>
                <w:szCs w:val="18"/>
              </w:rPr>
            </w:pPr>
          </w:p>
        </w:tc>
        <w:tc>
          <w:tcPr>
            <w:tcW w:w="1575" w:type="dxa"/>
            <w:tcBorders>
              <w:top w:val="nil"/>
              <w:left w:val="nil"/>
              <w:bottom w:val="single" w:color="auto" w:sz="4" w:space="0"/>
              <w:right w:val="single" w:color="auto" w:sz="4" w:space="0"/>
            </w:tcBorders>
            <w:vAlign w:val="center"/>
          </w:tcPr>
          <w:p w14:paraId="6D71A346">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营业收入（Y）</w:t>
            </w:r>
          </w:p>
        </w:tc>
        <w:tc>
          <w:tcPr>
            <w:tcW w:w="1036" w:type="dxa"/>
            <w:tcBorders>
              <w:top w:val="nil"/>
              <w:left w:val="nil"/>
              <w:bottom w:val="single" w:color="auto" w:sz="4" w:space="0"/>
              <w:right w:val="single" w:color="auto" w:sz="4" w:space="0"/>
            </w:tcBorders>
            <w:vAlign w:val="center"/>
          </w:tcPr>
          <w:p w14:paraId="2B621FA6">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万元</w:t>
            </w:r>
          </w:p>
        </w:tc>
        <w:tc>
          <w:tcPr>
            <w:tcW w:w="1844" w:type="dxa"/>
            <w:tcBorders>
              <w:top w:val="nil"/>
              <w:left w:val="nil"/>
              <w:bottom w:val="single" w:color="auto" w:sz="4" w:space="0"/>
              <w:right w:val="single" w:color="auto" w:sz="4" w:space="0"/>
            </w:tcBorders>
            <w:vAlign w:val="center"/>
          </w:tcPr>
          <w:p w14:paraId="71EBF9E7">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500≤Y&lt;20000</w:t>
            </w:r>
          </w:p>
        </w:tc>
        <w:tc>
          <w:tcPr>
            <w:tcW w:w="1636" w:type="dxa"/>
            <w:tcBorders>
              <w:top w:val="nil"/>
              <w:left w:val="nil"/>
              <w:bottom w:val="single" w:color="auto" w:sz="4" w:space="0"/>
              <w:right w:val="single" w:color="auto" w:sz="4" w:space="0"/>
            </w:tcBorders>
            <w:vAlign w:val="center"/>
          </w:tcPr>
          <w:p w14:paraId="2B2C8EBC">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100≤Y&lt;500</w:t>
            </w:r>
          </w:p>
        </w:tc>
        <w:tc>
          <w:tcPr>
            <w:tcW w:w="1050" w:type="dxa"/>
            <w:tcBorders>
              <w:top w:val="nil"/>
              <w:left w:val="nil"/>
              <w:bottom w:val="single" w:color="auto" w:sz="4" w:space="0"/>
              <w:right w:val="single" w:color="auto" w:sz="4" w:space="0"/>
            </w:tcBorders>
            <w:vAlign w:val="center"/>
          </w:tcPr>
          <w:p w14:paraId="7BE25E18">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Y&lt;100</w:t>
            </w:r>
          </w:p>
        </w:tc>
      </w:tr>
      <w:tr w14:paraId="0533022B">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vAlign w:val="center"/>
          </w:tcPr>
          <w:p w14:paraId="2DC24451">
            <w:pPr>
              <w:widowControl/>
              <w:jc w:val="center"/>
              <w:rPr>
                <w:rFonts w:ascii="新宋体" w:hAnsi="新宋体" w:eastAsia="新宋体" w:cs="新宋体"/>
                <w:b/>
                <w:bCs/>
                <w:color w:val="auto"/>
                <w:kern w:val="0"/>
                <w:sz w:val="18"/>
                <w:szCs w:val="18"/>
              </w:rPr>
            </w:pPr>
            <w:r>
              <w:rPr>
                <w:rFonts w:hint="eastAsia" w:ascii="新宋体" w:hAnsi="新宋体" w:eastAsia="新宋体" w:cs="新宋体"/>
                <w:b/>
                <w:bCs/>
                <w:color w:val="auto"/>
                <w:kern w:val="0"/>
                <w:sz w:val="18"/>
                <w:szCs w:val="18"/>
              </w:rPr>
              <w:t>交通运输业</w:t>
            </w:r>
          </w:p>
        </w:tc>
        <w:tc>
          <w:tcPr>
            <w:tcW w:w="1575" w:type="dxa"/>
            <w:tcBorders>
              <w:top w:val="nil"/>
              <w:left w:val="nil"/>
              <w:bottom w:val="single" w:color="auto" w:sz="4" w:space="0"/>
              <w:right w:val="single" w:color="auto" w:sz="4" w:space="0"/>
            </w:tcBorders>
            <w:vAlign w:val="center"/>
          </w:tcPr>
          <w:p w14:paraId="4A1B2031">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从业人员（X）</w:t>
            </w:r>
          </w:p>
        </w:tc>
        <w:tc>
          <w:tcPr>
            <w:tcW w:w="1036" w:type="dxa"/>
            <w:tcBorders>
              <w:top w:val="nil"/>
              <w:left w:val="nil"/>
              <w:bottom w:val="single" w:color="auto" w:sz="4" w:space="0"/>
              <w:right w:val="single" w:color="auto" w:sz="4" w:space="0"/>
            </w:tcBorders>
            <w:vAlign w:val="center"/>
          </w:tcPr>
          <w:p w14:paraId="090C5DD5">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人</w:t>
            </w:r>
          </w:p>
        </w:tc>
        <w:tc>
          <w:tcPr>
            <w:tcW w:w="1844" w:type="dxa"/>
            <w:tcBorders>
              <w:top w:val="nil"/>
              <w:left w:val="nil"/>
              <w:bottom w:val="single" w:color="auto" w:sz="4" w:space="0"/>
              <w:right w:val="single" w:color="auto" w:sz="4" w:space="0"/>
            </w:tcBorders>
            <w:vAlign w:val="center"/>
          </w:tcPr>
          <w:p w14:paraId="70633DFA">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300≤X&lt;1000</w:t>
            </w:r>
          </w:p>
        </w:tc>
        <w:tc>
          <w:tcPr>
            <w:tcW w:w="1636" w:type="dxa"/>
            <w:tcBorders>
              <w:top w:val="nil"/>
              <w:left w:val="nil"/>
              <w:bottom w:val="single" w:color="auto" w:sz="4" w:space="0"/>
              <w:right w:val="single" w:color="auto" w:sz="4" w:space="0"/>
            </w:tcBorders>
            <w:vAlign w:val="center"/>
          </w:tcPr>
          <w:p w14:paraId="42C4AA84">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20≤X&lt;300</w:t>
            </w:r>
          </w:p>
        </w:tc>
        <w:tc>
          <w:tcPr>
            <w:tcW w:w="1050" w:type="dxa"/>
            <w:tcBorders>
              <w:top w:val="nil"/>
              <w:left w:val="nil"/>
              <w:bottom w:val="single" w:color="auto" w:sz="4" w:space="0"/>
              <w:right w:val="single" w:color="auto" w:sz="4" w:space="0"/>
            </w:tcBorders>
            <w:vAlign w:val="center"/>
          </w:tcPr>
          <w:p w14:paraId="6632CDEA">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X&lt;20</w:t>
            </w:r>
          </w:p>
        </w:tc>
      </w:tr>
      <w:tr w14:paraId="3A6CE83F">
        <w:tblPrEx>
          <w:tblCellMar>
            <w:top w:w="0" w:type="dxa"/>
            <w:left w:w="108" w:type="dxa"/>
            <w:bottom w:w="0" w:type="dxa"/>
            <w:right w:w="108" w:type="dxa"/>
          </w:tblCellMar>
        </w:tblPrEx>
        <w:trPr>
          <w:trHeight w:val="415" w:hRule="atLeast"/>
          <w:jc w:val="center"/>
        </w:trPr>
        <w:tc>
          <w:tcPr>
            <w:tcW w:w="1935" w:type="dxa"/>
            <w:vMerge w:val="continue"/>
            <w:tcBorders>
              <w:top w:val="nil"/>
              <w:left w:val="single" w:color="auto" w:sz="4" w:space="0"/>
              <w:bottom w:val="single" w:color="auto" w:sz="4" w:space="0"/>
              <w:right w:val="single" w:color="auto" w:sz="4" w:space="0"/>
            </w:tcBorders>
            <w:vAlign w:val="center"/>
          </w:tcPr>
          <w:p w14:paraId="5350D199">
            <w:pPr>
              <w:widowControl/>
              <w:jc w:val="center"/>
              <w:rPr>
                <w:rFonts w:ascii="新宋体" w:hAnsi="新宋体" w:eastAsia="新宋体" w:cs="新宋体"/>
                <w:b/>
                <w:bCs/>
                <w:color w:val="auto"/>
                <w:kern w:val="0"/>
                <w:sz w:val="18"/>
                <w:szCs w:val="18"/>
              </w:rPr>
            </w:pPr>
          </w:p>
        </w:tc>
        <w:tc>
          <w:tcPr>
            <w:tcW w:w="1575" w:type="dxa"/>
            <w:tcBorders>
              <w:top w:val="nil"/>
              <w:left w:val="nil"/>
              <w:bottom w:val="single" w:color="auto" w:sz="4" w:space="0"/>
              <w:right w:val="single" w:color="auto" w:sz="4" w:space="0"/>
            </w:tcBorders>
            <w:vAlign w:val="center"/>
          </w:tcPr>
          <w:p w14:paraId="4F29FC31">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营业收入（Y）</w:t>
            </w:r>
          </w:p>
        </w:tc>
        <w:tc>
          <w:tcPr>
            <w:tcW w:w="1036" w:type="dxa"/>
            <w:tcBorders>
              <w:top w:val="nil"/>
              <w:left w:val="nil"/>
              <w:bottom w:val="single" w:color="auto" w:sz="4" w:space="0"/>
              <w:right w:val="single" w:color="auto" w:sz="4" w:space="0"/>
            </w:tcBorders>
            <w:vAlign w:val="center"/>
          </w:tcPr>
          <w:p w14:paraId="24587914">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万元</w:t>
            </w:r>
          </w:p>
        </w:tc>
        <w:tc>
          <w:tcPr>
            <w:tcW w:w="1844" w:type="dxa"/>
            <w:tcBorders>
              <w:top w:val="nil"/>
              <w:left w:val="nil"/>
              <w:bottom w:val="single" w:color="auto" w:sz="4" w:space="0"/>
              <w:right w:val="single" w:color="auto" w:sz="4" w:space="0"/>
            </w:tcBorders>
            <w:vAlign w:val="center"/>
          </w:tcPr>
          <w:p w14:paraId="37867678">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3000≤Y&lt;30000</w:t>
            </w:r>
          </w:p>
        </w:tc>
        <w:tc>
          <w:tcPr>
            <w:tcW w:w="1636" w:type="dxa"/>
            <w:tcBorders>
              <w:top w:val="nil"/>
              <w:left w:val="nil"/>
              <w:bottom w:val="single" w:color="auto" w:sz="4" w:space="0"/>
              <w:right w:val="single" w:color="auto" w:sz="4" w:space="0"/>
            </w:tcBorders>
            <w:vAlign w:val="center"/>
          </w:tcPr>
          <w:p w14:paraId="36EF3913">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200≤Y&lt;3000</w:t>
            </w:r>
          </w:p>
        </w:tc>
        <w:tc>
          <w:tcPr>
            <w:tcW w:w="1050" w:type="dxa"/>
            <w:tcBorders>
              <w:top w:val="nil"/>
              <w:left w:val="nil"/>
              <w:bottom w:val="single" w:color="auto" w:sz="4" w:space="0"/>
              <w:right w:val="single" w:color="auto" w:sz="4" w:space="0"/>
            </w:tcBorders>
            <w:vAlign w:val="center"/>
          </w:tcPr>
          <w:p w14:paraId="1B8CD925">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Y&lt;200</w:t>
            </w:r>
          </w:p>
        </w:tc>
      </w:tr>
      <w:tr w14:paraId="4613D306">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vAlign w:val="center"/>
          </w:tcPr>
          <w:p w14:paraId="43DFB404">
            <w:pPr>
              <w:widowControl/>
              <w:jc w:val="center"/>
              <w:rPr>
                <w:rFonts w:ascii="新宋体" w:hAnsi="新宋体" w:eastAsia="新宋体" w:cs="新宋体"/>
                <w:b/>
                <w:bCs/>
                <w:color w:val="auto"/>
                <w:kern w:val="0"/>
                <w:sz w:val="18"/>
                <w:szCs w:val="18"/>
              </w:rPr>
            </w:pPr>
            <w:r>
              <w:rPr>
                <w:rFonts w:hint="eastAsia" w:ascii="新宋体" w:hAnsi="新宋体" w:eastAsia="新宋体" w:cs="新宋体"/>
                <w:b/>
                <w:bCs/>
                <w:color w:val="auto"/>
                <w:kern w:val="0"/>
                <w:sz w:val="18"/>
                <w:szCs w:val="18"/>
              </w:rPr>
              <w:t>仓储业</w:t>
            </w:r>
          </w:p>
        </w:tc>
        <w:tc>
          <w:tcPr>
            <w:tcW w:w="1575" w:type="dxa"/>
            <w:tcBorders>
              <w:top w:val="nil"/>
              <w:left w:val="nil"/>
              <w:bottom w:val="single" w:color="auto" w:sz="4" w:space="0"/>
              <w:right w:val="single" w:color="auto" w:sz="4" w:space="0"/>
            </w:tcBorders>
            <w:vAlign w:val="center"/>
          </w:tcPr>
          <w:p w14:paraId="1FE619D3">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从业人员（X）</w:t>
            </w:r>
          </w:p>
        </w:tc>
        <w:tc>
          <w:tcPr>
            <w:tcW w:w="1036" w:type="dxa"/>
            <w:tcBorders>
              <w:top w:val="nil"/>
              <w:left w:val="nil"/>
              <w:bottom w:val="single" w:color="auto" w:sz="4" w:space="0"/>
              <w:right w:val="single" w:color="auto" w:sz="4" w:space="0"/>
            </w:tcBorders>
            <w:vAlign w:val="center"/>
          </w:tcPr>
          <w:p w14:paraId="4D57406A">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人</w:t>
            </w:r>
          </w:p>
        </w:tc>
        <w:tc>
          <w:tcPr>
            <w:tcW w:w="1844" w:type="dxa"/>
            <w:tcBorders>
              <w:top w:val="nil"/>
              <w:left w:val="nil"/>
              <w:bottom w:val="single" w:color="auto" w:sz="4" w:space="0"/>
              <w:right w:val="single" w:color="auto" w:sz="4" w:space="0"/>
            </w:tcBorders>
            <w:vAlign w:val="center"/>
          </w:tcPr>
          <w:p w14:paraId="276D7B5A">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100≤X&lt;200</w:t>
            </w:r>
          </w:p>
        </w:tc>
        <w:tc>
          <w:tcPr>
            <w:tcW w:w="1636" w:type="dxa"/>
            <w:tcBorders>
              <w:top w:val="nil"/>
              <w:left w:val="nil"/>
              <w:bottom w:val="single" w:color="auto" w:sz="4" w:space="0"/>
              <w:right w:val="single" w:color="auto" w:sz="4" w:space="0"/>
            </w:tcBorders>
            <w:vAlign w:val="center"/>
          </w:tcPr>
          <w:p w14:paraId="7F414047">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20≤X&lt;100</w:t>
            </w:r>
          </w:p>
        </w:tc>
        <w:tc>
          <w:tcPr>
            <w:tcW w:w="1050" w:type="dxa"/>
            <w:tcBorders>
              <w:top w:val="nil"/>
              <w:left w:val="nil"/>
              <w:bottom w:val="single" w:color="auto" w:sz="4" w:space="0"/>
              <w:right w:val="single" w:color="auto" w:sz="4" w:space="0"/>
            </w:tcBorders>
            <w:vAlign w:val="center"/>
          </w:tcPr>
          <w:p w14:paraId="52E75427">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X&lt;20</w:t>
            </w:r>
          </w:p>
        </w:tc>
      </w:tr>
      <w:tr w14:paraId="5C5227C7">
        <w:tblPrEx>
          <w:tblCellMar>
            <w:top w:w="0" w:type="dxa"/>
            <w:left w:w="108" w:type="dxa"/>
            <w:bottom w:w="0" w:type="dxa"/>
            <w:right w:w="108" w:type="dxa"/>
          </w:tblCellMar>
        </w:tblPrEx>
        <w:trPr>
          <w:trHeight w:val="415" w:hRule="atLeast"/>
          <w:jc w:val="center"/>
        </w:trPr>
        <w:tc>
          <w:tcPr>
            <w:tcW w:w="1935" w:type="dxa"/>
            <w:vMerge w:val="continue"/>
            <w:tcBorders>
              <w:top w:val="nil"/>
              <w:left w:val="single" w:color="auto" w:sz="4" w:space="0"/>
              <w:bottom w:val="single" w:color="auto" w:sz="4" w:space="0"/>
              <w:right w:val="single" w:color="auto" w:sz="4" w:space="0"/>
            </w:tcBorders>
            <w:vAlign w:val="center"/>
          </w:tcPr>
          <w:p w14:paraId="0A9187D0">
            <w:pPr>
              <w:widowControl/>
              <w:jc w:val="center"/>
              <w:rPr>
                <w:rFonts w:ascii="新宋体" w:hAnsi="新宋体" w:eastAsia="新宋体" w:cs="新宋体"/>
                <w:b/>
                <w:bCs/>
                <w:color w:val="auto"/>
                <w:kern w:val="0"/>
                <w:sz w:val="18"/>
                <w:szCs w:val="18"/>
              </w:rPr>
            </w:pPr>
          </w:p>
        </w:tc>
        <w:tc>
          <w:tcPr>
            <w:tcW w:w="1575" w:type="dxa"/>
            <w:tcBorders>
              <w:top w:val="nil"/>
              <w:left w:val="nil"/>
              <w:bottom w:val="single" w:color="auto" w:sz="4" w:space="0"/>
              <w:right w:val="single" w:color="auto" w:sz="4" w:space="0"/>
            </w:tcBorders>
            <w:vAlign w:val="center"/>
          </w:tcPr>
          <w:p w14:paraId="1024F56F">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营业收入（Y）</w:t>
            </w:r>
          </w:p>
        </w:tc>
        <w:tc>
          <w:tcPr>
            <w:tcW w:w="1036" w:type="dxa"/>
            <w:tcBorders>
              <w:top w:val="nil"/>
              <w:left w:val="nil"/>
              <w:bottom w:val="single" w:color="auto" w:sz="4" w:space="0"/>
              <w:right w:val="single" w:color="auto" w:sz="4" w:space="0"/>
            </w:tcBorders>
            <w:vAlign w:val="center"/>
          </w:tcPr>
          <w:p w14:paraId="50614549">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万元</w:t>
            </w:r>
          </w:p>
        </w:tc>
        <w:tc>
          <w:tcPr>
            <w:tcW w:w="1844" w:type="dxa"/>
            <w:tcBorders>
              <w:top w:val="nil"/>
              <w:left w:val="nil"/>
              <w:bottom w:val="single" w:color="auto" w:sz="4" w:space="0"/>
              <w:right w:val="single" w:color="auto" w:sz="4" w:space="0"/>
            </w:tcBorders>
            <w:vAlign w:val="center"/>
          </w:tcPr>
          <w:p w14:paraId="24E2EDA4">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1000≤Y&lt;30000</w:t>
            </w:r>
          </w:p>
        </w:tc>
        <w:tc>
          <w:tcPr>
            <w:tcW w:w="1636" w:type="dxa"/>
            <w:tcBorders>
              <w:top w:val="nil"/>
              <w:left w:val="nil"/>
              <w:bottom w:val="single" w:color="auto" w:sz="4" w:space="0"/>
              <w:right w:val="single" w:color="auto" w:sz="4" w:space="0"/>
            </w:tcBorders>
            <w:vAlign w:val="center"/>
          </w:tcPr>
          <w:p w14:paraId="64F2BBA9">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100≤Y&lt;1000</w:t>
            </w:r>
          </w:p>
        </w:tc>
        <w:tc>
          <w:tcPr>
            <w:tcW w:w="1050" w:type="dxa"/>
            <w:tcBorders>
              <w:top w:val="nil"/>
              <w:left w:val="nil"/>
              <w:bottom w:val="single" w:color="auto" w:sz="4" w:space="0"/>
              <w:right w:val="single" w:color="auto" w:sz="4" w:space="0"/>
            </w:tcBorders>
            <w:vAlign w:val="center"/>
          </w:tcPr>
          <w:p w14:paraId="37329318">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Y&lt;100</w:t>
            </w:r>
          </w:p>
        </w:tc>
      </w:tr>
      <w:tr w14:paraId="5C296EFB">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vAlign w:val="center"/>
          </w:tcPr>
          <w:p w14:paraId="516715AF">
            <w:pPr>
              <w:widowControl/>
              <w:jc w:val="center"/>
              <w:rPr>
                <w:rFonts w:ascii="新宋体" w:hAnsi="新宋体" w:eastAsia="新宋体" w:cs="新宋体"/>
                <w:b/>
                <w:bCs/>
                <w:color w:val="auto"/>
                <w:kern w:val="0"/>
                <w:sz w:val="18"/>
                <w:szCs w:val="18"/>
              </w:rPr>
            </w:pPr>
            <w:r>
              <w:rPr>
                <w:rFonts w:hint="eastAsia" w:ascii="新宋体" w:hAnsi="新宋体" w:eastAsia="新宋体" w:cs="新宋体"/>
                <w:b/>
                <w:bCs/>
                <w:color w:val="auto"/>
                <w:kern w:val="0"/>
                <w:sz w:val="18"/>
                <w:szCs w:val="18"/>
              </w:rPr>
              <w:t>邮政业</w:t>
            </w:r>
          </w:p>
        </w:tc>
        <w:tc>
          <w:tcPr>
            <w:tcW w:w="1575" w:type="dxa"/>
            <w:tcBorders>
              <w:top w:val="nil"/>
              <w:left w:val="nil"/>
              <w:bottom w:val="single" w:color="auto" w:sz="4" w:space="0"/>
              <w:right w:val="single" w:color="auto" w:sz="4" w:space="0"/>
            </w:tcBorders>
            <w:vAlign w:val="center"/>
          </w:tcPr>
          <w:p w14:paraId="54483685">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从业人员（X）</w:t>
            </w:r>
          </w:p>
        </w:tc>
        <w:tc>
          <w:tcPr>
            <w:tcW w:w="1036" w:type="dxa"/>
            <w:tcBorders>
              <w:top w:val="nil"/>
              <w:left w:val="nil"/>
              <w:bottom w:val="single" w:color="auto" w:sz="4" w:space="0"/>
              <w:right w:val="single" w:color="auto" w:sz="4" w:space="0"/>
            </w:tcBorders>
            <w:vAlign w:val="center"/>
          </w:tcPr>
          <w:p w14:paraId="5CF3149E">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人</w:t>
            </w:r>
          </w:p>
        </w:tc>
        <w:tc>
          <w:tcPr>
            <w:tcW w:w="1844" w:type="dxa"/>
            <w:tcBorders>
              <w:top w:val="nil"/>
              <w:left w:val="nil"/>
              <w:bottom w:val="single" w:color="auto" w:sz="4" w:space="0"/>
              <w:right w:val="single" w:color="auto" w:sz="4" w:space="0"/>
            </w:tcBorders>
            <w:vAlign w:val="center"/>
          </w:tcPr>
          <w:p w14:paraId="63A68B39">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300≤X&lt;1000</w:t>
            </w:r>
          </w:p>
        </w:tc>
        <w:tc>
          <w:tcPr>
            <w:tcW w:w="1636" w:type="dxa"/>
            <w:tcBorders>
              <w:top w:val="nil"/>
              <w:left w:val="nil"/>
              <w:bottom w:val="single" w:color="auto" w:sz="4" w:space="0"/>
              <w:right w:val="single" w:color="auto" w:sz="4" w:space="0"/>
            </w:tcBorders>
            <w:vAlign w:val="center"/>
          </w:tcPr>
          <w:p w14:paraId="512806AB">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20≤X&lt;300</w:t>
            </w:r>
          </w:p>
        </w:tc>
        <w:tc>
          <w:tcPr>
            <w:tcW w:w="1050" w:type="dxa"/>
            <w:tcBorders>
              <w:top w:val="nil"/>
              <w:left w:val="nil"/>
              <w:bottom w:val="single" w:color="auto" w:sz="4" w:space="0"/>
              <w:right w:val="single" w:color="auto" w:sz="4" w:space="0"/>
            </w:tcBorders>
            <w:vAlign w:val="center"/>
          </w:tcPr>
          <w:p w14:paraId="30F9B1A2">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X&lt;20</w:t>
            </w:r>
          </w:p>
        </w:tc>
      </w:tr>
      <w:tr w14:paraId="30E5A1EF">
        <w:tblPrEx>
          <w:tblCellMar>
            <w:top w:w="0" w:type="dxa"/>
            <w:left w:w="108" w:type="dxa"/>
            <w:bottom w:w="0" w:type="dxa"/>
            <w:right w:w="108" w:type="dxa"/>
          </w:tblCellMar>
        </w:tblPrEx>
        <w:trPr>
          <w:trHeight w:val="415" w:hRule="atLeast"/>
          <w:jc w:val="center"/>
        </w:trPr>
        <w:tc>
          <w:tcPr>
            <w:tcW w:w="1935" w:type="dxa"/>
            <w:vMerge w:val="continue"/>
            <w:tcBorders>
              <w:top w:val="nil"/>
              <w:left w:val="single" w:color="auto" w:sz="4" w:space="0"/>
              <w:bottom w:val="single" w:color="auto" w:sz="4" w:space="0"/>
              <w:right w:val="single" w:color="auto" w:sz="4" w:space="0"/>
            </w:tcBorders>
            <w:vAlign w:val="center"/>
          </w:tcPr>
          <w:p w14:paraId="656812E4">
            <w:pPr>
              <w:widowControl/>
              <w:jc w:val="center"/>
              <w:rPr>
                <w:rFonts w:ascii="新宋体" w:hAnsi="新宋体" w:eastAsia="新宋体" w:cs="新宋体"/>
                <w:b/>
                <w:bCs/>
                <w:color w:val="auto"/>
                <w:kern w:val="0"/>
                <w:sz w:val="18"/>
                <w:szCs w:val="18"/>
              </w:rPr>
            </w:pPr>
          </w:p>
        </w:tc>
        <w:tc>
          <w:tcPr>
            <w:tcW w:w="1575" w:type="dxa"/>
            <w:tcBorders>
              <w:top w:val="nil"/>
              <w:left w:val="nil"/>
              <w:bottom w:val="single" w:color="auto" w:sz="4" w:space="0"/>
              <w:right w:val="single" w:color="auto" w:sz="4" w:space="0"/>
            </w:tcBorders>
            <w:vAlign w:val="center"/>
          </w:tcPr>
          <w:p w14:paraId="6F531471">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营业收入（Y）</w:t>
            </w:r>
          </w:p>
        </w:tc>
        <w:tc>
          <w:tcPr>
            <w:tcW w:w="1036" w:type="dxa"/>
            <w:tcBorders>
              <w:top w:val="nil"/>
              <w:left w:val="nil"/>
              <w:bottom w:val="single" w:color="auto" w:sz="4" w:space="0"/>
              <w:right w:val="single" w:color="auto" w:sz="4" w:space="0"/>
            </w:tcBorders>
            <w:vAlign w:val="center"/>
          </w:tcPr>
          <w:p w14:paraId="1F6AE9D8">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万元</w:t>
            </w:r>
          </w:p>
        </w:tc>
        <w:tc>
          <w:tcPr>
            <w:tcW w:w="1844" w:type="dxa"/>
            <w:tcBorders>
              <w:top w:val="nil"/>
              <w:left w:val="nil"/>
              <w:bottom w:val="single" w:color="auto" w:sz="4" w:space="0"/>
              <w:right w:val="single" w:color="auto" w:sz="4" w:space="0"/>
            </w:tcBorders>
            <w:vAlign w:val="center"/>
          </w:tcPr>
          <w:p w14:paraId="3AD0936F">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2000≤Y&lt;30000</w:t>
            </w:r>
          </w:p>
        </w:tc>
        <w:tc>
          <w:tcPr>
            <w:tcW w:w="1636" w:type="dxa"/>
            <w:tcBorders>
              <w:top w:val="nil"/>
              <w:left w:val="nil"/>
              <w:bottom w:val="single" w:color="auto" w:sz="4" w:space="0"/>
              <w:right w:val="single" w:color="auto" w:sz="4" w:space="0"/>
            </w:tcBorders>
            <w:vAlign w:val="center"/>
          </w:tcPr>
          <w:p w14:paraId="29467440">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100≤Y&lt;2000</w:t>
            </w:r>
          </w:p>
        </w:tc>
        <w:tc>
          <w:tcPr>
            <w:tcW w:w="1050" w:type="dxa"/>
            <w:tcBorders>
              <w:top w:val="nil"/>
              <w:left w:val="nil"/>
              <w:bottom w:val="single" w:color="auto" w:sz="4" w:space="0"/>
              <w:right w:val="single" w:color="auto" w:sz="4" w:space="0"/>
            </w:tcBorders>
            <w:vAlign w:val="center"/>
          </w:tcPr>
          <w:p w14:paraId="559805D8">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Y&lt;100</w:t>
            </w:r>
          </w:p>
        </w:tc>
      </w:tr>
      <w:tr w14:paraId="22BC4B79">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vAlign w:val="center"/>
          </w:tcPr>
          <w:p w14:paraId="367FE786">
            <w:pPr>
              <w:widowControl/>
              <w:jc w:val="center"/>
              <w:rPr>
                <w:rFonts w:ascii="新宋体" w:hAnsi="新宋体" w:eastAsia="新宋体" w:cs="新宋体"/>
                <w:b/>
                <w:bCs/>
                <w:color w:val="auto"/>
                <w:kern w:val="0"/>
                <w:sz w:val="18"/>
                <w:szCs w:val="18"/>
              </w:rPr>
            </w:pPr>
            <w:r>
              <w:rPr>
                <w:rFonts w:hint="eastAsia" w:ascii="新宋体" w:hAnsi="新宋体" w:eastAsia="新宋体" w:cs="新宋体"/>
                <w:b/>
                <w:bCs/>
                <w:color w:val="auto"/>
                <w:kern w:val="0"/>
                <w:sz w:val="18"/>
                <w:szCs w:val="18"/>
              </w:rPr>
              <w:t>住宿业</w:t>
            </w:r>
          </w:p>
        </w:tc>
        <w:tc>
          <w:tcPr>
            <w:tcW w:w="1575" w:type="dxa"/>
            <w:tcBorders>
              <w:top w:val="nil"/>
              <w:left w:val="nil"/>
              <w:bottom w:val="single" w:color="auto" w:sz="4" w:space="0"/>
              <w:right w:val="single" w:color="auto" w:sz="4" w:space="0"/>
            </w:tcBorders>
            <w:vAlign w:val="center"/>
          </w:tcPr>
          <w:p w14:paraId="6D51C7CE">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从业人员（X）</w:t>
            </w:r>
          </w:p>
        </w:tc>
        <w:tc>
          <w:tcPr>
            <w:tcW w:w="1036" w:type="dxa"/>
            <w:tcBorders>
              <w:top w:val="nil"/>
              <w:left w:val="nil"/>
              <w:bottom w:val="single" w:color="auto" w:sz="4" w:space="0"/>
              <w:right w:val="single" w:color="auto" w:sz="4" w:space="0"/>
            </w:tcBorders>
            <w:vAlign w:val="center"/>
          </w:tcPr>
          <w:p w14:paraId="35F89AD1">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人</w:t>
            </w:r>
          </w:p>
        </w:tc>
        <w:tc>
          <w:tcPr>
            <w:tcW w:w="1844" w:type="dxa"/>
            <w:tcBorders>
              <w:top w:val="nil"/>
              <w:left w:val="nil"/>
              <w:bottom w:val="single" w:color="auto" w:sz="4" w:space="0"/>
              <w:right w:val="single" w:color="auto" w:sz="4" w:space="0"/>
            </w:tcBorders>
            <w:vAlign w:val="center"/>
          </w:tcPr>
          <w:p w14:paraId="43B94696">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100≤X&lt;300</w:t>
            </w:r>
          </w:p>
        </w:tc>
        <w:tc>
          <w:tcPr>
            <w:tcW w:w="1636" w:type="dxa"/>
            <w:tcBorders>
              <w:top w:val="nil"/>
              <w:left w:val="nil"/>
              <w:bottom w:val="single" w:color="auto" w:sz="4" w:space="0"/>
              <w:right w:val="single" w:color="auto" w:sz="4" w:space="0"/>
            </w:tcBorders>
            <w:vAlign w:val="center"/>
          </w:tcPr>
          <w:p w14:paraId="77957DC1">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10≤X&lt;100</w:t>
            </w:r>
          </w:p>
        </w:tc>
        <w:tc>
          <w:tcPr>
            <w:tcW w:w="1050" w:type="dxa"/>
            <w:tcBorders>
              <w:top w:val="nil"/>
              <w:left w:val="nil"/>
              <w:bottom w:val="single" w:color="auto" w:sz="4" w:space="0"/>
              <w:right w:val="single" w:color="auto" w:sz="4" w:space="0"/>
            </w:tcBorders>
            <w:vAlign w:val="center"/>
          </w:tcPr>
          <w:p w14:paraId="41CA21CE">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X&lt;10</w:t>
            </w:r>
          </w:p>
        </w:tc>
      </w:tr>
      <w:tr w14:paraId="4CD5DE58">
        <w:tblPrEx>
          <w:tblCellMar>
            <w:top w:w="0" w:type="dxa"/>
            <w:left w:w="108" w:type="dxa"/>
            <w:bottom w:w="0" w:type="dxa"/>
            <w:right w:w="108" w:type="dxa"/>
          </w:tblCellMar>
        </w:tblPrEx>
        <w:trPr>
          <w:trHeight w:val="415" w:hRule="atLeast"/>
          <w:jc w:val="center"/>
        </w:trPr>
        <w:tc>
          <w:tcPr>
            <w:tcW w:w="1935" w:type="dxa"/>
            <w:vMerge w:val="continue"/>
            <w:tcBorders>
              <w:top w:val="nil"/>
              <w:left w:val="single" w:color="auto" w:sz="4" w:space="0"/>
              <w:bottom w:val="single" w:color="auto" w:sz="4" w:space="0"/>
              <w:right w:val="single" w:color="auto" w:sz="4" w:space="0"/>
            </w:tcBorders>
            <w:vAlign w:val="center"/>
          </w:tcPr>
          <w:p w14:paraId="01CA518D">
            <w:pPr>
              <w:widowControl/>
              <w:jc w:val="center"/>
              <w:rPr>
                <w:rFonts w:ascii="新宋体" w:hAnsi="新宋体" w:eastAsia="新宋体" w:cs="新宋体"/>
                <w:b/>
                <w:bCs/>
                <w:color w:val="auto"/>
                <w:kern w:val="0"/>
                <w:sz w:val="18"/>
                <w:szCs w:val="18"/>
              </w:rPr>
            </w:pPr>
          </w:p>
        </w:tc>
        <w:tc>
          <w:tcPr>
            <w:tcW w:w="1575" w:type="dxa"/>
            <w:tcBorders>
              <w:top w:val="nil"/>
              <w:left w:val="nil"/>
              <w:bottom w:val="single" w:color="auto" w:sz="4" w:space="0"/>
              <w:right w:val="single" w:color="auto" w:sz="4" w:space="0"/>
            </w:tcBorders>
            <w:vAlign w:val="center"/>
          </w:tcPr>
          <w:p w14:paraId="5C3DF42A">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营业收入（Y）</w:t>
            </w:r>
          </w:p>
        </w:tc>
        <w:tc>
          <w:tcPr>
            <w:tcW w:w="1036" w:type="dxa"/>
            <w:tcBorders>
              <w:top w:val="nil"/>
              <w:left w:val="nil"/>
              <w:bottom w:val="single" w:color="auto" w:sz="4" w:space="0"/>
              <w:right w:val="single" w:color="auto" w:sz="4" w:space="0"/>
            </w:tcBorders>
            <w:vAlign w:val="center"/>
          </w:tcPr>
          <w:p w14:paraId="3E8D7E81">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万元</w:t>
            </w:r>
          </w:p>
        </w:tc>
        <w:tc>
          <w:tcPr>
            <w:tcW w:w="1844" w:type="dxa"/>
            <w:tcBorders>
              <w:top w:val="nil"/>
              <w:left w:val="nil"/>
              <w:bottom w:val="single" w:color="auto" w:sz="4" w:space="0"/>
              <w:right w:val="single" w:color="auto" w:sz="4" w:space="0"/>
            </w:tcBorders>
            <w:vAlign w:val="center"/>
          </w:tcPr>
          <w:p w14:paraId="369F2684">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2000≤Y&lt;10000</w:t>
            </w:r>
          </w:p>
        </w:tc>
        <w:tc>
          <w:tcPr>
            <w:tcW w:w="1636" w:type="dxa"/>
            <w:tcBorders>
              <w:top w:val="nil"/>
              <w:left w:val="nil"/>
              <w:bottom w:val="single" w:color="auto" w:sz="4" w:space="0"/>
              <w:right w:val="single" w:color="auto" w:sz="4" w:space="0"/>
            </w:tcBorders>
            <w:vAlign w:val="center"/>
          </w:tcPr>
          <w:p w14:paraId="3C83FE7B">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100≤Y&lt;2000</w:t>
            </w:r>
          </w:p>
        </w:tc>
        <w:tc>
          <w:tcPr>
            <w:tcW w:w="1050" w:type="dxa"/>
            <w:tcBorders>
              <w:top w:val="nil"/>
              <w:left w:val="nil"/>
              <w:bottom w:val="single" w:color="auto" w:sz="4" w:space="0"/>
              <w:right w:val="single" w:color="auto" w:sz="4" w:space="0"/>
            </w:tcBorders>
            <w:vAlign w:val="center"/>
          </w:tcPr>
          <w:p w14:paraId="0340E38A">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Y&lt;100</w:t>
            </w:r>
          </w:p>
        </w:tc>
      </w:tr>
      <w:tr w14:paraId="64D53605">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vAlign w:val="center"/>
          </w:tcPr>
          <w:p w14:paraId="60D7FD0E">
            <w:pPr>
              <w:widowControl/>
              <w:jc w:val="center"/>
              <w:rPr>
                <w:rFonts w:ascii="新宋体" w:hAnsi="新宋体" w:eastAsia="新宋体" w:cs="新宋体"/>
                <w:b/>
                <w:bCs/>
                <w:color w:val="auto"/>
                <w:kern w:val="0"/>
                <w:sz w:val="18"/>
                <w:szCs w:val="18"/>
              </w:rPr>
            </w:pPr>
            <w:r>
              <w:rPr>
                <w:rFonts w:hint="eastAsia" w:ascii="新宋体" w:hAnsi="新宋体" w:eastAsia="新宋体" w:cs="新宋体"/>
                <w:b/>
                <w:bCs/>
                <w:color w:val="auto"/>
                <w:kern w:val="0"/>
                <w:sz w:val="18"/>
                <w:szCs w:val="18"/>
              </w:rPr>
              <w:t>餐饮业</w:t>
            </w:r>
          </w:p>
        </w:tc>
        <w:tc>
          <w:tcPr>
            <w:tcW w:w="1575" w:type="dxa"/>
            <w:tcBorders>
              <w:top w:val="nil"/>
              <w:left w:val="nil"/>
              <w:bottom w:val="single" w:color="auto" w:sz="4" w:space="0"/>
              <w:right w:val="single" w:color="auto" w:sz="4" w:space="0"/>
            </w:tcBorders>
            <w:vAlign w:val="center"/>
          </w:tcPr>
          <w:p w14:paraId="05B3C7A5">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从业人员（X）</w:t>
            </w:r>
          </w:p>
        </w:tc>
        <w:tc>
          <w:tcPr>
            <w:tcW w:w="1036" w:type="dxa"/>
            <w:tcBorders>
              <w:top w:val="nil"/>
              <w:left w:val="nil"/>
              <w:bottom w:val="single" w:color="auto" w:sz="4" w:space="0"/>
              <w:right w:val="single" w:color="auto" w:sz="4" w:space="0"/>
            </w:tcBorders>
            <w:vAlign w:val="center"/>
          </w:tcPr>
          <w:p w14:paraId="28EF9852">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人</w:t>
            </w:r>
          </w:p>
        </w:tc>
        <w:tc>
          <w:tcPr>
            <w:tcW w:w="1844" w:type="dxa"/>
            <w:tcBorders>
              <w:top w:val="nil"/>
              <w:left w:val="nil"/>
              <w:bottom w:val="single" w:color="auto" w:sz="4" w:space="0"/>
              <w:right w:val="single" w:color="auto" w:sz="4" w:space="0"/>
            </w:tcBorders>
            <w:vAlign w:val="center"/>
          </w:tcPr>
          <w:p w14:paraId="18D1C34E">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100≤X&lt;300</w:t>
            </w:r>
          </w:p>
        </w:tc>
        <w:tc>
          <w:tcPr>
            <w:tcW w:w="1636" w:type="dxa"/>
            <w:tcBorders>
              <w:top w:val="nil"/>
              <w:left w:val="nil"/>
              <w:bottom w:val="single" w:color="auto" w:sz="4" w:space="0"/>
              <w:right w:val="single" w:color="auto" w:sz="4" w:space="0"/>
            </w:tcBorders>
            <w:vAlign w:val="center"/>
          </w:tcPr>
          <w:p w14:paraId="1839FD2D">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10≤X&lt;100</w:t>
            </w:r>
          </w:p>
        </w:tc>
        <w:tc>
          <w:tcPr>
            <w:tcW w:w="1050" w:type="dxa"/>
            <w:tcBorders>
              <w:top w:val="nil"/>
              <w:left w:val="nil"/>
              <w:bottom w:val="single" w:color="auto" w:sz="4" w:space="0"/>
              <w:right w:val="single" w:color="auto" w:sz="4" w:space="0"/>
            </w:tcBorders>
            <w:vAlign w:val="center"/>
          </w:tcPr>
          <w:p w14:paraId="2FA93692">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X&lt;10</w:t>
            </w:r>
          </w:p>
        </w:tc>
      </w:tr>
      <w:tr w14:paraId="4D153397">
        <w:tblPrEx>
          <w:tblCellMar>
            <w:top w:w="0" w:type="dxa"/>
            <w:left w:w="108" w:type="dxa"/>
            <w:bottom w:w="0" w:type="dxa"/>
            <w:right w:w="108" w:type="dxa"/>
          </w:tblCellMar>
        </w:tblPrEx>
        <w:trPr>
          <w:trHeight w:val="415" w:hRule="atLeast"/>
          <w:jc w:val="center"/>
        </w:trPr>
        <w:tc>
          <w:tcPr>
            <w:tcW w:w="1935" w:type="dxa"/>
            <w:vMerge w:val="continue"/>
            <w:tcBorders>
              <w:top w:val="nil"/>
              <w:left w:val="single" w:color="auto" w:sz="4" w:space="0"/>
              <w:bottom w:val="single" w:color="auto" w:sz="4" w:space="0"/>
              <w:right w:val="single" w:color="auto" w:sz="4" w:space="0"/>
            </w:tcBorders>
            <w:vAlign w:val="center"/>
          </w:tcPr>
          <w:p w14:paraId="562CC1B3">
            <w:pPr>
              <w:widowControl/>
              <w:jc w:val="center"/>
              <w:rPr>
                <w:rFonts w:ascii="新宋体" w:hAnsi="新宋体" w:eastAsia="新宋体" w:cs="新宋体"/>
                <w:b/>
                <w:bCs/>
                <w:color w:val="auto"/>
                <w:kern w:val="0"/>
                <w:sz w:val="18"/>
                <w:szCs w:val="18"/>
              </w:rPr>
            </w:pPr>
          </w:p>
        </w:tc>
        <w:tc>
          <w:tcPr>
            <w:tcW w:w="1575" w:type="dxa"/>
            <w:tcBorders>
              <w:top w:val="nil"/>
              <w:left w:val="nil"/>
              <w:bottom w:val="single" w:color="auto" w:sz="4" w:space="0"/>
              <w:right w:val="single" w:color="auto" w:sz="4" w:space="0"/>
            </w:tcBorders>
            <w:vAlign w:val="center"/>
          </w:tcPr>
          <w:p w14:paraId="037D8CCD">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营业收入（Y）</w:t>
            </w:r>
          </w:p>
        </w:tc>
        <w:tc>
          <w:tcPr>
            <w:tcW w:w="1036" w:type="dxa"/>
            <w:tcBorders>
              <w:top w:val="nil"/>
              <w:left w:val="nil"/>
              <w:bottom w:val="single" w:color="auto" w:sz="4" w:space="0"/>
              <w:right w:val="single" w:color="auto" w:sz="4" w:space="0"/>
            </w:tcBorders>
            <w:vAlign w:val="center"/>
          </w:tcPr>
          <w:p w14:paraId="0306C737">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万元</w:t>
            </w:r>
          </w:p>
        </w:tc>
        <w:tc>
          <w:tcPr>
            <w:tcW w:w="1844" w:type="dxa"/>
            <w:tcBorders>
              <w:top w:val="nil"/>
              <w:left w:val="nil"/>
              <w:bottom w:val="single" w:color="auto" w:sz="4" w:space="0"/>
              <w:right w:val="single" w:color="auto" w:sz="4" w:space="0"/>
            </w:tcBorders>
            <w:vAlign w:val="center"/>
          </w:tcPr>
          <w:p w14:paraId="30CD420C">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2000≤Y&lt;10000</w:t>
            </w:r>
          </w:p>
        </w:tc>
        <w:tc>
          <w:tcPr>
            <w:tcW w:w="1636" w:type="dxa"/>
            <w:tcBorders>
              <w:top w:val="nil"/>
              <w:left w:val="nil"/>
              <w:bottom w:val="single" w:color="auto" w:sz="4" w:space="0"/>
              <w:right w:val="single" w:color="auto" w:sz="4" w:space="0"/>
            </w:tcBorders>
            <w:vAlign w:val="center"/>
          </w:tcPr>
          <w:p w14:paraId="564C8F78">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100≤Y&lt;2000</w:t>
            </w:r>
          </w:p>
        </w:tc>
        <w:tc>
          <w:tcPr>
            <w:tcW w:w="1050" w:type="dxa"/>
            <w:tcBorders>
              <w:top w:val="nil"/>
              <w:left w:val="nil"/>
              <w:bottom w:val="single" w:color="auto" w:sz="4" w:space="0"/>
              <w:right w:val="single" w:color="auto" w:sz="4" w:space="0"/>
            </w:tcBorders>
            <w:vAlign w:val="center"/>
          </w:tcPr>
          <w:p w14:paraId="3ADC2F49">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Y&lt;100</w:t>
            </w:r>
          </w:p>
        </w:tc>
      </w:tr>
      <w:tr w14:paraId="2113196D">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vAlign w:val="center"/>
          </w:tcPr>
          <w:p w14:paraId="7F2733D1">
            <w:pPr>
              <w:widowControl/>
              <w:jc w:val="center"/>
              <w:rPr>
                <w:rFonts w:ascii="新宋体" w:hAnsi="新宋体" w:eastAsia="新宋体" w:cs="新宋体"/>
                <w:b/>
                <w:bCs/>
                <w:color w:val="auto"/>
                <w:kern w:val="0"/>
                <w:sz w:val="18"/>
                <w:szCs w:val="18"/>
              </w:rPr>
            </w:pPr>
            <w:r>
              <w:rPr>
                <w:rFonts w:hint="eastAsia" w:ascii="新宋体" w:hAnsi="新宋体" w:eastAsia="新宋体" w:cs="新宋体"/>
                <w:b/>
                <w:bCs/>
                <w:color w:val="auto"/>
                <w:kern w:val="0"/>
                <w:sz w:val="18"/>
                <w:szCs w:val="18"/>
              </w:rPr>
              <w:t>信息传输业</w:t>
            </w:r>
          </w:p>
        </w:tc>
        <w:tc>
          <w:tcPr>
            <w:tcW w:w="1575" w:type="dxa"/>
            <w:tcBorders>
              <w:top w:val="nil"/>
              <w:left w:val="nil"/>
              <w:bottom w:val="single" w:color="auto" w:sz="4" w:space="0"/>
              <w:right w:val="single" w:color="auto" w:sz="4" w:space="0"/>
            </w:tcBorders>
            <w:vAlign w:val="center"/>
          </w:tcPr>
          <w:p w14:paraId="01F84A36">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从业人员（X）</w:t>
            </w:r>
          </w:p>
        </w:tc>
        <w:tc>
          <w:tcPr>
            <w:tcW w:w="1036" w:type="dxa"/>
            <w:tcBorders>
              <w:top w:val="nil"/>
              <w:left w:val="nil"/>
              <w:bottom w:val="single" w:color="auto" w:sz="4" w:space="0"/>
              <w:right w:val="single" w:color="auto" w:sz="4" w:space="0"/>
            </w:tcBorders>
            <w:vAlign w:val="center"/>
          </w:tcPr>
          <w:p w14:paraId="01F6C2DB">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人</w:t>
            </w:r>
          </w:p>
        </w:tc>
        <w:tc>
          <w:tcPr>
            <w:tcW w:w="1844" w:type="dxa"/>
            <w:tcBorders>
              <w:top w:val="nil"/>
              <w:left w:val="nil"/>
              <w:bottom w:val="single" w:color="auto" w:sz="4" w:space="0"/>
              <w:right w:val="single" w:color="auto" w:sz="4" w:space="0"/>
            </w:tcBorders>
            <w:vAlign w:val="center"/>
          </w:tcPr>
          <w:p w14:paraId="351312A5">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100≤X&lt;2000</w:t>
            </w:r>
          </w:p>
        </w:tc>
        <w:tc>
          <w:tcPr>
            <w:tcW w:w="1636" w:type="dxa"/>
            <w:tcBorders>
              <w:top w:val="nil"/>
              <w:left w:val="nil"/>
              <w:bottom w:val="single" w:color="auto" w:sz="4" w:space="0"/>
              <w:right w:val="single" w:color="auto" w:sz="4" w:space="0"/>
            </w:tcBorders>
            <w:vAlign w:val="center"/>
          </w:tcPr>
          <w:p w14:paraId="78368494">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10≤X&lt;100</w:t>
            </w:r>
          </w:p>
        </w:tc>
        <w:tc>
          <w:tcPr>
            <w:tcW w:w="1050" w:type="dxa"/>
            <w:tcBorders>
              <w:top w:val="nil"/>
              <w:left w:val="nil"/>
              <w:bottom w:val="single" w:color="auto" w:sz="4" w:space="0"/>
              <w:right w:val="single" w:color="auto" w:sz="4" w:space="0"/>
            </w:tcBorders>
            <w:vAlign w:val="center"/>
          </w:tcPr>
          <w:p w14:paraId="1CE72516">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X&lt;10</w:t>
            </w:r>
          </w:p>
        </w:tc>
      </w:tr>
      <w:tr w14:paraId="2E3136E2">
        <w:tblPrEx>
          <w:tblCellMar>
            <w:top w:w="0" w:type="dxa"/>
            <w:left w:w="108" w:type="dxa"/>
            <w:bottom w:w="0" w:type="dxa"/>
            <w:right w:w="108" w:type="dxa"/>
          </w:tblCellMar>
        </w:tblPrEx>
        <w:trPr>
          <w:trHeight w:val="449" w:hRule="atLeast"/>
          <w:jc w:val="center"/>
        </w:trPr>
        <w:tc>
          <w:tcPr>
            <w:tcW w:w="1935" w:type="dxa"/>
            <w:vMerge w:val="continue"/>
            <w:tcBorders>
              <w:top w:val="nil"/>
              <w:left w:val="single" w:color="auto" w:sz="4" w:space="0"/>
              <w:bottom w:val="single" w:color="auto" w:sz="4" w:space="0"/>
              <w:right w:val="single" w:color="auto" w:sz="4" w:space="0"/>
            </w:tcBorders>
            <w:vAlign w:val="center"/>
          </w:tcPr>
          <w:p w14:paraId="3748C62C">
            <w:pPr>
              <w:widowControl/>
              <w:jc w:val="center"/>
              <w:rPr>
                <w:rFonts w:ascii="新宋体" w:hAnsi="新宋体" w:eastAsia="新宋体" w:cs="新宋体"/>
                <w:b/>
                <w:bCs/>
                <w:color w:val="auto"/>
                <w:kern w:val="0"/>
                <w:sz w:val="18"/>
                <w:szCs w:val="18"/>
              </w:rPr>
            </w:pPr>
          </w:p>
        </w:tc>
        <w:tc>
          <w:tcPr>
            <w:tcW w:w="1575" w:type="dxa"/>
            <w:tcBorders>
              <w:top w:val="nil"/>
              <w:left w:val="nil"/>
              <w:bottom w:val="single" w:color="auto" w:sz="4" w:space="0"/>
              <w:right w:val="single" w:color="auto" w:sz="4" w:space="0"/>
            </w:tcBorders>
            <w:vAlign w:val="center"/>
          </w:tcPr>
          <w:p w14:paraId="2E7678A0">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营业收入（Y）</w:t>
            </w:r>
          </w:p>
        </w:tc>
        <w:tc>
          <w:tcPr>
            <w:tcW w:w="1036" w:type="dxa"/>
            <w:tcBorders>
              <w:top w:val="nil"/>
              <w:left w:val="nil"/>
              <w:bottom w:val="single" w:color="auto" w:sz="4" w:space="0"/>
              <w:right w:val="single" w:color="auto" w:sz="4" w:space="0"/>
            </w:tcBorders>
            <w:vAlign w:val="center"/>
          </w:tcPr>
          <w:p w14:paraId="5964090D">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万元</w:t>
            </w:r>
          </w:p>
        </w:tc>
        <w:tc>
          <w:tcPr>
            <w:tcW w:w="1844" w:type="dxa"/>
            <w:tcBorders>
              <w:top w:val="nil"/>
              <w:left w:val="nil"/>
              <w:bottom w:val="single" w:color="auto" w:sz="4" w:space="0"/>
              <w:right w:val="single" w:color="auto" w:sz="4" w:space="0"/>
            </w:tcBorders>
            <w:vAlign w:val="center"/>
          </w:tcPr>
          <w:p w14:paraId="1544F13B">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1000≤Y&lt;100000</w:t>
            </w:r>
          </w:p>
        </w:tc>
        <w:tc>
          <w:tcPr>
            <w:tcW w:w="1636" w:type="dxa"/>
            <w:tcBorders>
              <w:top w:val="nil"/>
              <w:left w:val="nil"/>
              <w:bottom w:val="single" w:color="auto" w:sz="4" w:space="0"/>
              <w:right w:val="single" w:color="auto" w:sz="4" w:space="0"/>
            </w:tcBorders>
            <w:vAlign w:val="center"/>
          </w:tcPr>
          <w:p w14:paraId="3D688E7E">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100≤Y&lt;1000</w:t>
            </w:r>
          </w:p>
        </w:tc>
        <w:tc>
          <w:tcPr>
            <w:tcW w:w="1050" w:type="dxa"/>
            <w:tcBorders>
              <w:top w:val="nil"/>
              <w:left w:val="nil"/>
              <w:bottom w:val="single" w:color="auto" w:sz="4" w:space="0"/>
              <w:right w:val="single" w:color="auto" w:sz="4" w:space="0"/>
            </w:tcBorders>
            <w:vAlign w:val="center"/>
          </w:tcPr>
          <w:p w14:paraId="59508099">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Y&lt;100</w:t>
            </w:r>
          </w:p>
        </w:tc>
      </w:tr>
      <w:tr w14:paraId="781ABAB5">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vAlign w:val="center"/>
          </w:tcPr>
          <w:p w14:paraId="01A601B5">
            <w:pPr>
              <w:widowControl/>
              <w:jc w:val="center"/>
              <w:rPr>
                <w:rFonts w:ascii="新宋体" w:hAnsi="新宋体" w:eastAsia="新宋体" w:cs="新宋体"/>
                <w:b/>
                <w:bCs/>
                <w:color w:val="auto"/>
                <w:kern w:val="0"/>
                <w:sz w:val="18"/>
                <w:szCs w:val="18"/>
              </w:rPr>
            </w:pPr>
            <w:r>
              <w:rPr>
                <w:rFonts w:hint="eastAsia" w:ascii="新宋体" w:hAnsi="新宋体" w:eastAsia="新宋体" w:cs="新宋体"/>
                <w:b/>
                <w:bCs/>
                <w:color w:val="auto"/>
                <w:kern w:val="0"/>
                <w:sz w:val="18"/>
                <w:szCs w:val="18"/>
              </w:rPr>
              <w:t>软件和信息技术服务业</w:t>
            </w:r>
          </w:p>
        </w:tc>
        <w:tc>
          <w:tcPr>
            <w:tcW w:w="1575" w:type="dxa"/>
            <w:tcBorders>
              <w:top w:val="nil"/>
              <w:left w:val="nil"/>
              <w:bottom w:val="single" w:color="auto" w:sz="4" w:space="0"/>
              <w:right w:val="single" w:color="auto" w:sz="4" w:space="0"/>
            </w:tcBorders>
            <w:vAlign w:val="center"/>
          </w:tcPr>
          <w:p w14:paraId="02255ED7">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从业人员（X）</w:t>
            </w:r>
          </w:p>
        </w:tc>
        <w:tc>
          <w:tcPr>
            <w:tcW w:w="1036" w:type="dxa"/>
            <w:tcBorders>
              <w:top w:val="nil"/>
              <w:left w:val="nil"/>
              <w:bottom w:val="single" w:color="auto" w:sz="4" w:space="0"/>
              <w:right w:val="single" w:color="auto" w:sz="4" w:space="0"/>
            </w:tcBorders>
            <w:vAlign w:val="center"/>
          </w:tcPr>
          <w:p w14:paraId="55BD9BD3">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人</w:t>
            </w:r>
          </w:p>
        </w:tc>
        <w:tc>
          <w:tcPr>
            <w:tcW w:w="1844" w:type="dxa"/>
            <w:tcBorders>
              <w:top w:val="nil"/>
              <w:left w:val="nil"/>
              <w:bottom w:val="single" w:color="auto" w:sz="4" w:space="0"/>
              <w:right w:val="single" w:color="auto" w:sz="4" w:space="0"/>
            </w:tcBorders>
            <w:vAlign w:val="center"/>
          </w:tcPr>
          <w:p w14:paraId="3145C32A">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100≤X&lt;300</w:t>
            </w:r>
          </w:p>
        </w:tc>
        <w:tc>
          <w:tcPr>
            <w:tcW w:w="1636" w:type="dxa"/>
            <w:tcBorders>
              <w:top w:val="nil"/>
              <w:left w:val="nil"/>
              <w:bottom w:val="single" w:color="auto" w:sz="4" w:space="0"/>
              <w:right w:val="single" w:color="auto" w:sz="4" w:space="0"/>
            </w:tcBorders>
            <w:vAlign w:val="center"/>
          </w:tcPr>
          <w:p w14:paraId="19552D4F">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10≤X&lt;100</w:t>
            </w:r>
          </w:p>
        </w:tc>
        <w:tc>
          <w:tcPr>
            <w:tcW w:w="1050" w:type="dxa"/>
            <w:tcBorders>
              <w:top w:val="nil"/>
              <w:left w:val="nil"/>
              <w:bottom w:val="single" w:color="auto" w:sz="4" w:space="0"/>
              <w:right w:val="single" w:color="auto" w:sz="4" w:space="0"/>
            </w:tcBorders>
            <w:vAlign w:val="center"/>
          </w:tcPr>
          <w:p w14:paraId="3C497497">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X&lt;10</w:t>
            </w:r>
          </w:p>
        </w:tc>
      </w:tr>
      <w:tr w14:paraId="03032B4F">
        <w:tblPrEx>
          <w:tblCellMar>
            <w:top w:w="0" w:type="dxa"/>
            <w:left w:w="108" w:type="dxa"/>
            <w:bottom w:w="0" w:type="dxa"/>
            <w:right w:w="108" w:type="dxa"/>
          </w:tblCellMar>
        </w:tblPrEx>
        <w:trPr>
          <w:trHeight w:val="415" w:hRule="atLeast"/>
          <w:jc w:val="center"/>
        </w:trPr>
        <w:tc>
          <w:tcPr>
            <w:tcW w:w="1935" w:type="dxa"/>
            <w:vMerge w:val="continue"/>
            <w:tcBorders>
              <w:top w:val="nil"/>
              <w:left w:val="single" w:color="auto" w:sz="4" w:space="0"/>
              <w:bottom w:val="single" w:color="auto" w:sz="4" w:space="0"/>
              <w:right w:val="single" w:color="auto" w:sz="4" w:space="0"/>
            </w:tcBorders>
            <w:vAlign w:val="center"/>
          </w:tcPr>
          <w:p w14:paraId="2588504B">
            <w:pPr>
              <w:widowControl/>
              <w:jc w:val="center"/>
              <w:rPr>
                <w:rFonts w:ascii="新宋体" w:hAnsi="新宋体" w:eastAsia="新宋体" w:cs="新宋体"/>
                <w:b/>
                <w:bCs/>
                <w:color w:val="auto"/>
                <w:kern w:val="0"/>
                <w:sz w:val="18"/>
                <w:szCs w:val="18"/>
              </w:rPr>
            </w:pPr>
          </w:p>
        </w:tc>
        <w:tc>
          <w:tcPr>
            <w:tcW w:w="1575" w:type="dxa"/>
            <w:tcBorders>
              <w:top w:val="nil"/>
              <w:left w:val="nil"/>
              <w:bottom w:val="single" w:color="auto" w:sz="4" w:space="0"/>
              <w:right w:val="single" w:color="auto" w:sz="4" w:space="0"/>
            </w:tcBorders>
            <w:vAlign w:val="center"/>
          </w:tcPr>
          <w:p w14:paraId="3A171E8E">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营业收入（Y）</w:t>
            </w:r>
          </w:p>
        </w:tc>
        <w:tc>
          <w:tcPr>
            <w:tcW w:w="1036" w:type="dxa"/>
            <w:tcBorders>
              <w:top w:val="nil"/>
              <w:left w:val="nil"/>
              <w:bottom w:val="single" w:color="auto" w:sz="4" w:space="0"/>
              <w:right w:val="single" w:color="auto" w:sz="4" w:space="0"/>
            </w:tcBorders>
            <w:vAlign w:val="center"/>
          </w:tcPr>
          <w:p w14:paraId="3EFFC2E6">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万元</w:t>
            </w:r>
          </w:p>
        </w:tc>
        <w:tc>
          <w:tcPr>
            <w:tcW w:w="1844" w:type="dxa"/>
            <w:tcBorders>
              <w:top w:val="nil"/>
              <w:left w:val="nil"/>
              <w:bottom w:val="single" w:color="auto" w:sz="4" w:space="0"/>
              <w:right w:val="single" w:color="auto" w:sz="4" w:space="0"/>
            </w:tcBorders>
            <w:vAlign w:val="center"/>
          </w:tcPr>
          <w:p w14:paraId="2E6846F6">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1000≤Y&lt;10000</w:t>
            </w:r>
          </w:p>
        </w:tc>
        <w:tc>
          <w:tcPr>
            <w:tcW w:w="1636" w:type="dxa"/>
            <w:tcBorders>
              <w:top w:val="nil"/>
              <w:left w:val="nil"/>
              <w:bottom w:val="single" w:color="auto" w:sz="4" w:space="0"/>
              <w:right w:val="single" w:color="auto" w:sz="4" w:space="0"/>
            </w:tcBorders>
            <w:vAlign w:val="center"/>
          </w:tcPr>
          <w:p w14:paraId="4DE2B297">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50≤Y&lt;1000</w:t>
            </w:r>
          </w:p>
        </w:tc>
        <w:tc>
          <w:tcPr>
            <w:tcW w:w="1050" w:type="dxa"/>
            <w:tcBorders>
              <w:top w:val="nil"/>
              <w:left w:val="nil"/>
              <w:bottom w:val="single" w:color="auto" w:sz="4" w:space="0"/>
              <w:right w:val="single" w:color="auto" w:sz="4" w:space="0"/>
            </w:tcBorders>
            <w:vAlign w:val="center"/>
          </w:tcPr>
          <w:p w14:paraId="01258BD4">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Y&lt;50</w:t>
            </w:r>
          </w:p>
        </w:tc>
      </w:tr>
      <w:tr w14:paraId="409AB023">
        <w:tblPrEx>
          <w:tblCellMar>
            <w:top w:w="0" w:type="dxa"/>
            <w:left w:w="108" w:type="dxa"/>
            <w:bottom w:w="0" w:type="dxa"/>
            <w:right w:w="108" w:type="dxa"/>
          </w:tblCellMar>
        </w:tblPrEx>
        <w:trPr>
          <w:trHeight w:val="449" w:hRule="atLeast"/>
          <w:jc w:val="center"/>
        </w:trPr>
        <w:tc>
          <w:tcPr>
            <w:tcW w:w="1935" w:type="dxa"/>
            <w:vMerge w:val="restart"/>
            <w:tcBorders>
              <w:top w:val="nil"/>
              <w:left w:val="single" w:color="auto" w:sz="4" w:space="0"/>
              <w:bottom w:val="single" w:color="auto" w:sz="4" w:space="0"/>
              <w:right w:val="single" w:color="auto" w:sz="4" w:space="0"/>
            </w:tcBorders>
            <w:vAlign w:val="center"/>
          </w:tcPr>
          <w:p w14:paraId="219FC992">
            <w:pPr>
              <w:widowControl/>
              <w:jc w:val="center"/>
              <w:rPr>
                <w:rFonts w:ascii="新宋体" w:hAnsi="新宋体" w:eastAsia="新宋体" w:cs="新宋体"/>
                <w:b/>
                <w:bCs/>
                <w:color w:val="auto"/>
                <w:kern w:val="0"/>
                <w:sz w:val="18"/>
                <w:szCs w:val="18"/>
              </w:rPr>
            </w:pPr>
            <w:r>
              <w:rPr>
                <w:rFonts w:hint="eastAsia" w:ascii="新宋体" w:hAnsi="新宋体" w:eastAsia="新宋体" w:cs="新宋体"/>
                <w:b/>
                <w:bCs/>
                <w:color w:val="auto"/>
                <w:kern w:val="0"/>
                <w:sz w:val="18"/>
                <w:szCs w:val="18"/>
              </w:rPr>
              <w:t>房地产开发经营</w:t>
            </w:r>
          </w:p>
        </w:tc>
        <w:tc>
          <w:tcPr>
            <w:tcW w:w="1575" w:type="dxa"/>
            <w:tcBorders>
              <w:top w:val="nil"/>
              <w:left w:val="nil"/>
              <w:bottom w:val="single" w:color="auto" w:sz="4" w:space="0"/>
              <w:right w:val="single" w:color="auto" w:sz="4" w:space="0"/>
            </w:tcBorders>
            <w:vAlign w:val="center"/>
          </w:tcPr>
          <w:p w14:paraId="48D82769">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营业收入（Y）</w:t>
            </w:r>
          </w:p>
        </w:tc>
        <w:tc>
          <w:tcPr>
            <w:tcW w:w="1036" w:type="dxa"/>
            <w:tcBorders>
              <w:top w:val="nil"/>
              <w:left w:val="nil"/>
              <w:bottom w:val="single" w:color="auto" w:sz="4" w:space="0"/>
              <w:right w:val="single" w:color="auto" w:sz="4" w:space="0"/>
            </w:tcBorders>
            <w:vAlign w:val="center"/>
          </w:tcPr>
          <w:p w14:paraId="581F86C9">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万元</w:t>
            </w:r>
          </w:p>
        </w:tc>
        <w:tc>
          <w:tcPr>
            <w:tcW w:w="1844" w:type="dxa"/>
            <w:tcBorders>
              <w:top w:val="nil"/>
              <w:left w:val="nil"/>
              <w:bottom w:val="single" w:color="auto" w:sz="4" w:space="0"/>
              <w:right w:val="single" w:color="auto" w:sz="4" w:space="0"/>
            </w:tcBorders>
            <w:vAlign w:val="center"/>
          </w:tcPr>
          <w:p w14:paraId="2025352F">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1000≤Y&lt;200000</w:t>
            </w:r>
          </w:p>
        </w:tc>
        <w:tc>
          <w:tcPr>
            <w:tcW w:w="1636" w:type="dxa"/>
            <w:tcBorders>
              <w:top w:val="nil"/>
              <w:left w:val="nil"/>
              <w:bottom w:val="single" w:color="auto" w:sz="4" w:space="0"/>
              <w:right w:val="single" w:color="auto" w:sz="4" w:space="0"/>
            </w:tcBorders>
            <w:vAlign w:val="center"/>
          </w:tcPr>
          <w:p w14:paraId="6050B38B">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100≤X&lt;1000</w:t>
            </w:r>
          </w:p>
        </w:tc>
        <w:tc>
          <w:tcPr>
            <w:tcW w:w="1050" w:type="dxa"/>
            <w:tcBorders>
              <w:top w:val="nil"/>
              <w:left w:val="nil"/>
              <w:bottom w:val="single" w:color="auto" w:sz="4" w:space="0"/>
              <w:right w:val="single" w:color="auto" w:sz="4" w:space="0"/>
            </w:tcBorders>
            <w:vAlign w:val="center"/>
          </w:tcPr>
          <w:p w14:paraId="6AA8368A">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X&lt;100</w:t>
            </w:r>
          </w:p>
        </w:tc>
      </w:tr>
      <w:tr w14:paraId="66CABF10">
        <w:tblPrEx>
          <w:tblCellMar>
            <w:top w:w="0" w:type="dxa"/>
            <w:left w:w="108" w:type="dxa"/>
            <w:bottom w:w="0" w:type="dxa"/>
            <w:right w:w="108" w:type="dxa"/>
          </w:tblCellMar>
        </w:tblPrEx>
        <w:trPr>
          <w:trHeight w:val="449" w:hRule="atLeast"/>
          <w:jc w:val="center"/>
        </w:trPr>
        <w:tc>
          <w:tcPr>
            <w:tcW w:w="1935" w:type="dxa"/>
            <w:vMerge w:val="continue"/>
            <w:tcBorders>
              <w:top w:val="nil"/>
              <w:left w:val="single" w:color="auto" w:sz="4" w:space="0"/>
              <w:bottom w:val="single" w:color="auto" w:sz="4" w:space="0"/>
              <w:right w:val="single" w:color="auto" w:sz="4" w:space="0"/>
            </w:tcBorders>
            <w:vAlign w:val="center"/>
          </w:tcPr>
          <w:p w14:paraId="4AD81C4C">
            <w:pPr>
              <w:widowControl/>
              <w:jc w:val="center"/>
              <w:rPr>
                <w:rFonts w:ascii="新宋体" w:hAnsi="新宋体" w:eastAsia="新宋体" w:cs="新宋体"/>
                <w:b/>
                <w:bCs/>
                <w:color w:val="auto"/>
                <w:kern w:val="0"/>
                <w:sz w:val="18"/>
                <w:szCs w:val="18"/>
              </w:rPr>
            </w:pPr>
          </w:p>
        </w:tc>
        <w:tc>
          <w:tcPr>
            <w:tcW w:w="1575" w:type="dxa"/>
            <w:tcBorders>
              <w:top w:val="nil"/>
              <w:left w:val="nil"/>
              <w:bottom w:val="single" w:color="auto" w:sz="4" w:space="0"/>
              <w:right w:val="single" w:color="auto" w:sz="4" w:space="0"/>
            </w:tcBorders>
            <w:vAlign w:val="center"/>
          </w:tcPr>
          <w:p w14:paraId="3D34FD47">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资产总额（Z）</w:t>
            </w:r>
          </w:p>
        </w:tc>
        <w:tc>
          <w:tcPr>
            <w:tcW w:w="1036" w:type="dxa"/>
            <w:tcBorders>
              <w:top w:val="nil"/>
              <w:left w:val="nil"/>
              <w:bottom w:val="single" w:color="auto" w:sz="4" w:space="0"/>
              <w:right w:val="single" w:color="auto" w:sz="4" w:space="0"/>
            </w:tcBorders>
            <w:vAlign w:val="center"/>
          </w:tcPr>
          <w:p w14:paraId="682010F8">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万元</w:t>
            </w:r>
          </w:p>
        </w:tc>
        <w:tc>
          <w:tcPr>
            <w:tcW w:w="1844" w:type="dxa"/>
            <w:tcBorders>
              <w:top w:val="nil"/>
              <w:left w:val="nil"/>
              <w:bottom w:val="single" w:color="auto" w:sz="4" w:space="0"/>
              <w:right w:val="single" w:color="auto" w:sz="4" w:space="0"/>
            </w:tcBorders>
            <w:vAlign w:val="center"/>
          </w:tcPr>
          <w:p w14:paraId="0DD36C1E">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5000≤Z&lt;10000</w:t>
            </w:r>
          </w:p>
        </w:tc>
        <w:tc>
          <w:tcPr>
            <w:tcW w:w="1636" w:type="dxa"/>
            <w:tcBorders>
              <w:top w:val="nil"/>
              <w:left w:val="nil"/>
              <w:bottom w:val="single" w:color="auto" w:sz="4" w:space="0"/>
              <w:right w:val="single" w:color="auto" w:sz="4" w:space="0"/>
            </w:tcBorders>
            <w:vAlign w:val="center"/>
          </w:tcPr>
          <w:p w14:paraId="0717E055">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2000≤Y&lt;5000</w:t>
            </w:r>
          </w:p>
        </w:tc>
        <w:tc>
          <w:tcPr>
            <w:tcW w:w="1050" w:type="dxa"/>
            <w:tcBorders>
              <w:top w:val="nil"/>
              <w:left w:val="nil"/>
              <w:bottom w:val="single" w:color="auto" w:sz="4" w:space="0"/>
              <w:right w:val="single" w:color="auto" w:sz="4" w:space="0"/>
            </w:tcBorders>
            <w:vAlign w:val="center"/>
          </w:tcPr>
          <w:p w14:paraId="7D57C5E6">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Y&lt;2000</w:t>
            </w:r>
          </w:p>
        </w:tc>
      </w:tr>
      <w:tr w14:paraId="795FBF28">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vAlign w:val="center"/>
          </w:tcPr>
          <w:p w14:paraId="2C8EF201">
            <w:pPr>
              <w:widowControl/>
              <w:jc w:val="center"/>
              <w:rPr>
                <w:rFonts w:ascii="新宋体" w:hAnsi="新宋体" w:eastAsia="新宋体" w:cs="新宋体"/>
                <w:b/>
                <w:bCs/>
                <w:color w:val="auto"/>
                <w:kern w:val="0"/>
                <w:sz w:val="18"/>
                <w:szCs w:val="18"/>
              </w:rPr>
            </w:pPr>
            <w:r>
              <w:rPr>
                <w:rFonts w:hint="eastAsia" w:ascii="新宋体" w:hAnsi="新宋体" w:eastAsia="新宋体" w:cs="新宋体"/>
                <w:b/>
                <w:bCs/>
                <w:color w:val="auto"/>
                <w:kern w:val="0"/>
                <w:sz w:val="18"/>
                <w:szCs w:val="18"/>
              </w:rPr>
              <w:t>物业管理</w:t>
            </w:r>
          </w:p>
        </w:tc>
        <w:tc>
          <w:tcPr>
            <w:tcW w:w="1575" w:type="dxa"/>
            <w:tcBorders>
              <w:top w:val="nil"/>
              <w:left w:val="nil"/>
              <w:bottom w:val="single" w:color="auto" w:sz="4" w:space="0"/>
              <w:right w:val="single" w:color="auto" w:sz="4" w:space="0"/>
            </w:tcBorders>
            <w:vAlign w:val="center"/>
          </w:tcPr>
          <w:p w14:paraId="01EB9964">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从业人员（X）</w:t>
            </w:r>
          </w:p>
        </w:tc>
        <w:tc>
          <w:tcPr>
            <w:tcW w:w="1036" w:type="dxa"/>
            <w:tcBorders>
              <w:top w:val="nil"/>
              <w:left w:val="nil"/>
              <w:bottom w:val="single" w:color="auto" w:sz="4" w:space="0"/>
              <w:right w:val="single" w:color="auto" w:sz="4" w:space="0"/>
            </w:tcBorders>
            <w:vAlign w:val="center"/>
          </w:tcPr>
          <w:p w14:paraId="609D1235">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人</w:t>
            </w:r>
          </w:p>
        </w:tc>
        <w:tc>
          <w:tcPr>
            <w:tcW w:w="1844" w:type="dxa"/>
            <w:tcBorders>
              <w:top w:val="nil"/>
              <w:left w:val="nil"/>
              <w:bottom w:val="single" w:color="auto" w:sz="4" w:space="0"/>
              <w:right w:val="single" w:color="auto" w:sz="4" w:space="0"/>
            </w:tcBorders>
            <w:vAlign w:val="center"/>
          </w:tcPr>
          <w:p w14:paraId="7A6F034F">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300≤X&lt;1000</w:t>
            </w:r>
          </w:p>
        </w:tc>
        <w:tc>
          <w:tcPr>
            <w:tcW w:w="1636" w:type="dxa"/>
            <w:tcBorders>
              <w:top w:val="nil"/>
              <w:left w:val="nil"/>
              <w:bottom w:val="single" w:color="auto" w:sz="4" w:space="0"/>
              <w:right w:val="single" w:color="auto" w:sz="4" w:space="0"/>
            </w:tcBorders>
            <w:vAlign w:val="center"/>
          </w:tcPr>
          <w:p w14:paraId="4CAA952B">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100≤X&lt;300</w:t>
            </w:r>
          </w:p>
        </w:tc>
        <w:tc>
          <w:tcPr>
            <w:tcW w:w="1050" w:type="dxa"/>
            <w:tcBorders>
              <w:top w:val="nil"/>
              <w:left w:val="nil"/>
              <w:bottom w:val="single" w:color="auto" w:sz="4" w:space="0"/>
              <w:right w:val="single" w:color="auto" w:sz="4" w:space="0"/>
            </w:tcBorders>
            <w:vAlign w:val="center"/>
          </w:tcPr>
          <w:p w14:paraId="7D2E4AA4">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X&lt;100</w:t>
            </w:r>
          </w:p>
        </w:tc>
      </w:tr>
      <w:tr w14:paraId="6215721E">
        <w:tblPrEx>
          <w:tblCellMar>
            <w:top w:w="0" w:type="dxa"/>
            <w:left w:w="108" w:type="dxa"/>
            <w:bottom w:w="0" w:type="dxa"/>
            <w:right w:w="108" w:type="dxa"/>
          </w:tblCellMar>
        </w:tblPrEx>
        <w:trPr>
          <w:trHeight w:val="415" w:hRule="atLeast"/>
          <w:jc w:val="center"/>
        </w:trPr>
        <w:tc>
          <w:tcPr>
            <w:tcW w:w="1935" w:type="dxa"/>
            <w:vMerge w:val="continue"/>
            <w:tcBorders>
              <w:top w:val="nil"/>
              <w:left w:val="single" w:color="auto" w:sz="4" w:space="0"/>
              <w:bottom w:val="single" w:color="auto" w:sz="4" w:space="0"/>
              <w:right w:val="single" w:color="auto" w:sz="4" w:space="0"/>
            </w:tcBorders>
            <w:vAlign w:val="center"/>
          </w:tcPr>
          <w:p w14:paraId="72A2CB3A">
            <w:pPr>
              <w:widowControl/>
              <w:jc w:val="center"/>
              <w:rPr>
                <w:rFonts w:ascii="新宋体" w:hAnsi="新宋体" w:eastAsia="新宋体" w:cs="新宋体"/>
                <w:b/>
                <w:bCs/>
                <w:color w:val="auto"/>
                <w:kern w:val="0"/>
                <w:sz w:val="18"/>
                <w:szCs w:val="18"/>
              </w:rPr>
            </w:pPr>
          </w:p>
        </w:tc>
        <w:tc>
          <w:tcPr>
            <w:tcW w:w="1575" w:type="dxa"/>
            <w:tcBorders>
              <w:top w:val="nil"/>
              <w:left w:val="nil"/>
              <w:bottom w:val="single" w:color="auto" w:sz="4" w:space="0"/>
              <w:right w:val="single" w:color="auto" w:sz="4" w:space="0"/>
            </w:tcBorders>
            <w:vAlign w:val="center"/>
          </w:tcPr>
          <w:p w14:paraId="3A06EA9E">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营业收入（Y）</w:t>
            </w:r>
          </w:p>
        </w:tc>
        <w:tc>
          <w:tcPr>
            <w:tcW w:w="1036" w:type="dxa"/>
            <w:tcBorders>
              <w:top w:val="nil"/>
              <w:left w:val="nil"/>
              <w:bottom w:val="single" w:color="auto" w:sz="4" w:space="0"/>
              <w:right w:val="single" w:color="auto" w:sz="4" w:space="0"/>
            </w:tcBorders>
            <w:vAlign w:val="center"/>
          </w:tcPr>
          <w:p w14:paraId="41657B0D">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万元</w:t>
            </w:r>
          </w:p>
        </w:tc>
        <w:tc>
          <w:tcPr>
            <w:tcW w:w="1844" w:type="dxa"/>
            <w:tcBorders>
              <w:top w:val="nil"/>
              <w:left w:val="nil"/>
              <w:bottom w:val="single" w:color="auto" w:sz="4" w:space="0"/>
              <w:right w:val="single" w:color="auto" w:sz="4" w:space="0"/>
            </w:tcBorders>
            <w:vAlign w:val="center"/>
          </w:tcPr>
          <w:p w14:paraId="4D6753CC">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1000≤Y&lt;5000</w:t>
            </w:r>
          </w:p>
        </w:tc>
        <w:tc>
          <w:tcPr>
            <w:tcW w:w="1636" w:type="dxa"/>
            <w:tcBorders>
              <w:top w:val="nil"/>
              <w:left w:val="nil"/>
              <w:bottom w:val="single" w:color="auto" w:sz="4" w:space="0"/>
              <w:right w:val="single" w:color="auto" w:sz="4" w:space="0"/>
            </w:tcBorders>
            <w:vAlign w:val="center"/>
          </w:tcPr>
          <w:p w14:paraId="2FFA4AAF">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500≤Y&lt;1000</w:t>
            </w:r>
          </w:p>
        </w:tc>
        <w:tc>
          <w:tcPr>
            <w:tcW w:w="1050" w:type="dxa"/>
            <w:tcBorders>
              <w:top w:val="nil"/>
              <w:left w:val="nil"/>
              <w:bottom w:val="single" w:color="auto" w:sz="4" w:space="0"/>
              <w:right w:val="single" w:color="auto" w:sz="4" w:space="0"/>
            </w:tcBorders>
            <w:vAlign w:val="center"/>
          </w:tcPr>
          <w:p w14:paraId="4D7EDE16">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Y&lt;500</w:t>
            </w:r>
          </w:p>
        </w:tc>
      </w:tr>
      <w:tr w14:paraId="75E33D78">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vAlign w:val="center"/>
          </w:tcPr>
          <w:p w14:paraId="387897AF">
            <w:pPr>
              <w:widowControl/>
              <w:jc w:val="center"/>
              <w:rPr>
                <w:rFonts w:ascii="新宋体" w:hAnsi="新宋体" w:eastAsia="新宋体" w:cs="新宋体"/>
                <w:b/>
                <w:bCs/>
                <w:color w:val="auto"/>
                <w:kern w:val="0"/>
                <w:sz w:val="18"/>
                <w:szCs w:val="18"/>
              </w:rPr>
            </w:pPr>
            <w:r>
              <w:rPr>
                <w:rFonts w:hint="eastAsia" w:ascii="新宋体" w:hAnsi="新宋体" w:eastAsia="新宋体" w:cs="新宋体"/>
                <w:b/>
                <w:bCs/>
                <w:color w:val="auto"/>
                <w:kern w:val="0"/>
                <w:sz w:val="18"/>
                <w:szCs w:val="18"/>
              </w:rPr>
              <w:t>租赁和商务服务业</w:t>
            </w:r>
          </w:p>
        </w:tc>
        <w:tc>
          <w:tcPr>
            <w:tcW w:w="1575" w:type="dxa"/>
            <w:tcBorders>
              <w:top w:val="nil"/>
              <w:left w:val="nil"/>
              <w:bottom w:val="single" w:color="auto" w:sz="4" w:space="0"/>
              <w:right w:val="single" w:color="auto" w:sz="4" w:space="0"/>
            </w:tcBorders>
            <w:vAlign w:val="center"/>
          </w:tcPr>
          <w:p w14:paraId="2716F077">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从业人员（X）</w:t>
            </w:r>
          </w:p>
        </w:tc>
        <w:tc>
          <w:tcPr>
            <w:tcW w:w="1036" w:type="dxa"/>
            <w:tcBorders>
              <w:top w:val="nil"/>
              <w:left w:val="nil"/>
              <w:bottom w:val="single" w:color="auto" w:sz="4" w:space="0"/>
              <w:right w:val="single" w:color="auto" w:sz="4" w:space="0"/>
            </w:tcBorders>
            <w:vAlign w:val="center"/>
          </w:tcPr>
          <w:p w14:paraId="60DFE09A">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人</w:t>
            </w:r>
          </w:p>
        </w:tc>
        <w:tc>
          <w:tcPr>
            <w:tcW w:w="1844" w:type="dxa"/>
            <w:tcBorders>
              <w:top w:val="nil"/>
              <w:left w:val="nil"/>
              <w:bottom w:val="single" w:color="auto" w:sz="4" w:space="0"/>
              <w:right w:val="single" w:color="auto" w:sz="4" w:space="0"/>
            </w:tcBorders>
            <w:vAlign w:val="center"/>
          </w:tcPr>
          <w:p w14:paraId="5B341529">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100≤X&lt;300</w:t>
            </w:r>
          </w:p>
        </w:tc>
        <w:tc>
          <w:tcPr>
            <w:tcW w:w="1636" w:type="dxa"/>
            <w:tcBorders>
              <w:top w:val="nil"/>
              <w:left w:val="nil"/>
              <w:bottom w:val="single" w:color="auto" w:sz="4" w:space="0"/>
              <w:right w:val="single" w:color="auto" w:sz="4" w:space="0"/>
            </w:tcBorders>
            <w:vAlign w:val="center"/>
          </w:tcPr>
          <w:p w14:paraId="07F1D345">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10≤X&lt;100</w:t>
            </w:r>
          </w:p>
        </w:tc>
        <w:tc>
          <w:tcPr>
            <w:tcW w:w="1050" w:type="dxa"/>
            <w:tcBorders>
              <w:top w:val="nil"/>
              <w:left w:val="nil"/>
              <w:bottom w:val="single" w:color="auto" w:sz="4" w:space="0"/>
              <w:right w:val="single" w:color="auto" w:sz="4" w:space="0"/>
            </w:tcBorders>
            <w:vAlign w:val="center"/>
          </w:tcPr>
          <w:p w14:paraId="2FF18DE2">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X&lt;10</w:t>
            </w:r>
          </w:p>
        </w:tc>
      </w:tr>
      <w:tr w14:paraId="14848A59">
        <w:tblPrEx>
          <w:tblCellMar>
            <w:top w:w="0" w:type="dxa"/>
            <w:left w:w="108" w:type="dxa"/>
            <w:bottom w:w="0" w:type="dxa"/>
            <w:right w:w="108" w:type="dxa"/>
          </w:tblCellMar>
        </w:tblPrEx>
        <w:trPr>
          <w:trHeight w:val="449" w:hRule="atLeast"/>
          <w:jc w:val="center"/>
        </w:trPr>
        <w:tc>
          <w:tcPr>
            <w:tcW w:w="1935" w:type="dxa"/>
            <w:vMerge w:val="continue"/>
            <w:tcBorders>
              <w:top w:val="nil"/>
              <w:left w:val="single" w:color="auto" w:sz="4" w:space="0"/>
              <w:bottom w:val="single" w:color="auto" w:sz="4" w:space="0"/>
              <w:right w:val="single" w:color="auto" w:sz="4" w:space="0"/>
            </w:tcBorders>
            <w:vAlign w:val="center"/>
          </w:tcPr>
          <w:p w14:paraId="690B7DC4">
            <w:pPr>
              <w:widowControl/>
              <w:jc w:val="center"/>
              <w:rPr>
                <w:rFonts w:ascii="新宋体" w:hAnsi="新宋体" w:eastAsia="新宋体" w:cs="新宋体"/>
                <w:b/>
                <w:bCs/>
                <w:color w:val="auto"/>
                <w:kern w:val="0"/>
                <w:sz w:val="18"/>
                <w:szCs w:val="18"/>
              </w:rPr>
            </w:pPr>
          </w:p>
        </w:tc>
        <w:tc>
          <w:tcPr>
            <w:tcW w:w="1575" w:type="dxa"/>
            <w:tcBorders>
              <w:top w:val="nil"/>
              <w:left w:val="nil"/>
              <w:bottom w:val="single" w:color="auto" w:sz="4" w:space="0"/>
              <w:right w:val="single" w:color="auto" w:sz="4" w:space="0"/>
            </w:tcBorders>
            <w:vAlign w:val="center"/>
          </w:tcPr>
          <w:p w14:paraId="244E4DA3">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资产总额（Z）</w:t>
            </w:r>
          </w:p>
        </w:tc>
        <w:tc>
          <w:tcPr>
            <w:tcW w:w="1036" w:type="dxa"/>
            <w:tcBorders>
              <w:top w:val="nil"/>
              <w:left w:val="nil"/>
              <w:bottom w:val="single" w:color="auto" w:sz="4" w:space="0"/>
              <w:right w:val="single" w:color="auto" w:sz="4" w:space="0"/>
            </w:tcBorders>
            <w:vAlign w:val="center"/>
          </w:tcPr>
          <w:p w14:paraId="0BF49BAE">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万元</w:t>
            </w:r>
          </w:p>
        </w:tc>
        <w:tc>
          <w:tcPr>
            <w:tcW w:w="1844" w:type="dxa"/>
            <w:tcBorders>
              <w:top w:val="nil"/>
              <w:left w:val="nil"/>
              <w:bottom w:val="single" w:color="auto" w:sz="4" w:space="0"/>
              <w:right w:val="single" w:color="auto" w:sz="4" w:space="0"/>
            </w:tcBorders>
            <w:vAlign w:val="center"/>
          </w:tcPr>
          <w:p w14:paraId="18C1767C">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8000≤Z&lt;120000</w:t>
            </w:r>
          </w:p>
        </w:tc>
        <w:tc>
          <w:tcPr>
            <w:tcW w:w="1636" w:type="dxa"/>
            <w:tcBorders>
              <w:top w:val="nil"/>
              <w:left w:val="nil"/>
              <w:bottom w:val="single" w:color="auto" w:sz="4" w:space="0"/>
              <w:right w:val="single" w:color="auto" w:sz="4" w:space="0"/>
            </w:tcBorders>
            <w:vAlign w:val="center"/>
          </w:tcPr>
          <w:p w14:paraId="45A7C8EB">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100≤Z&lt;8000</w:t>
            </w:r>
          </w:p>
        </w:tc>
        <w:tc>
          <w:tcPr>
            <w:tcW w:w="1050" w:type="dxa"/>
            <w:tcBorders>
              <w:top w:val="nil"/>
              <w:left w:val="nil"/>
              <w:bottom w:val="single" w:color="auto" w:sz="4" w:space="0"/>
              <w:right w:val="single" w:color="auto" w:sz="4" w:space="0"/>
            </w:tcBorders>
            <w:vAlign w:val="center"/>
          </w:tcPr>
          <w:p w14:paraId="5E3A745D">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Y&lt;100</w:t>
            </w:r>
          </w:p>
        </w:tc>
      </w:tr>
      <w:tr w14:paraId="25829C10">
        <w:tblPrEx>
          <w:tblCellMar>
            <w:top w:w="0" w:type="dxa"/>
            <w:left w:w="108" w:type="dxa"/>
            <w:bottom w:w="0" w:type="dxa"/>
            <w:right w:w="108" w:type="dxa"/>
          </w:tblCellMar>
        </w:tblPrEx>
        <w:trPr>
          <w:trHeight w:val="315" w:hRule="atLeast"/>
          <w:jc w:val="center"/>
        </w:trPr>
        <w:tc>
          <w:tcPr>
            <w:tcW w:w="1935" w:type="dxa"/>
            <w:tcBorders>
              <w:top w:val="nil"/>
              <w:left w:val="single" w:color="auto" w:sz="4" w:space="0"/>
              <w:bottom w:val="single" w:color="auto" w:sz="4" w:space="0"/>
              <w:right w:val="single" w:color="auto" w:sz="4" w:space="0"/>
            </w:tcBorders>
            <w:vAlign w:val="center"/>
          </w:tcPr>
          <w:p w14:paraId="031265EF">
            <w:pPr>
              <w:widowControl/>
              <w:jc w:val="center"/>
              <w:rPr>
                <w:rFonts w:ascii="新宋体" w:hAnsi="新宋体" w:eastAsia="新宋体" w:cs="新宋体"/>
                <w:b/>
                <w:bCs/>
                <w:color w:val="auto"/>
                <w:kern w:val="0"/>
                <w:sz w:val="18"/>
                <w:szCs w:val="18"/>
              </w:rPr>
            </w:pPr>
            <w:r>
              <w:rPr>
                <w:rFonts w:hint="eastAsia" w:ascii="新宋体" w:hAnsi="新宋体" w:eastAsia="新宋体" w:cs="新宋体"/>
                <w:b/>
                <w:bCs/>
                <w:color w:val="auto"/>
                <w:kern w:val="0"/>
                <w:sz w:val="18"/>
                <w:szCs w:val="18"/>
              </w:rPr>
              <w:t>其他未列明行业</w:t>
            </w:r>
          </w:p>
        </w:tc>
        <w:tc>
          <w:tcPr>
            <w:tcW w:w="1575" w:type="dxa"/>
            <w:tcBorders>
              <w:top w:val="nil"/>
              <w:left w:val="nil"/>
              <w:bottom w:val="single" w:color="auto" w:sz="4" w:space="0"/>
              <w:right w:val="single" w:color="auto" w:sz="4" w:space="0"/>
            </w:tcBorders>
            <w:vAlign w:val="center"/>
          </w:tcPr>
          <w:p w14:paraId="5797CF76">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从业人员（X）</w:t>
            </w:r>
          </w:p>
        </w:tc>
        <w:tc>
          <w:tcPr>
            <w:tcW w:w="1036" w:type="dxa"/>
            <w:tcBorders>
              <w:top w:val="nil"/>
              <w:left w:val="nil"/>
              <w:bottom w:val="single" w:color="auto" w:sz="4" w:space="0"/>
              <w:right w:val="single" w:color="auto" w:sz="4" w:space="0"/>
            </w:tcBorders>
            <w:vAlign w:val="center"/>
          </w:tcPr>
          <w:p w14:paraId="6862E9FB">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人</w:t>
            </w:r>
          </w:p>
        </w:tc>
        <w:tc>
          <w:tcPr>
            <w:tcW w:w="1844" w:type="dxa"/>
            <w:tcBorders>
              <w:top w:val="nil"/>
              <w:left w:val="nil"/>
              <w:bottom w:val="single" w:color="auto" w:sz="4" w:space="0"/>
              <w:right w:val="single" w:color="auto" w:sz="4" w:space="0"/>
            </w:tcBorders>
            <w:vAlign w:val="center"/>
          </w:tcPr>
          <w:p w14:paraId="6DB6F564">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100≤X&lt;300</w:t>
            </w:r>
          </w:p>
        </w:tc>
        <w:tc>
          <w:tcPr>
            <w:tcW w:w="1636" w:type="dxa"/>
            <w:tcBorders>
              <w:top w:val="nil"/>
              <w:left w:val="nil"/>
              <w:bottom w:val="single" w:color="auto" w:sz="4" w:space="0"/>
              <w:right w:val="single" w:color="auto" w:sz="4" w:space="0"/>
            </w:tcBorders>
            <w:vAlign w:val="center"/>
          </w:tcPr>
          <w:p w14:paraId="4E241E03">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10≤X&lt;100</w:t>
            </w:r>
          </w:p>
        </w:tc>
        <w:tc>
          <w:tcPr>
            <w:tcW w:w="1050" w:type="dxa"/>
            <w:tcBorders>
              <w:top w:val="nil"/>
              <w:left w:val="nil"/>
              <w:bottom w:val="single" w:color="auto" w:sz="4" w:space="0"/>
              <w:right w:val="single" w:color="auto" w:sz="4" w:space="0"/>
            </w:tcBorders>
            <w:vAlign w:val="center"/>
          </w:tcPr>
          <w:p w14:paraId="6ECC4F45">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X&lt;10</w:t>
            </w:r>
          </w:p>
        </w:tc>
      </w:tr>
    </w:tbl>
    <w:p w14:paraId="200DB42A">
      <w:pPr>
        <w:rPr>
          <w:color w:val="auto"/>
        </w:rPr>
      </w:pPr>
      <w:r>
        <w:rPr>
          <w:rFonts w:hint="eastAsia" w:ascii="仿宋_GB2312" w:hAnsi="仿宋" w:eastAsia="仿宋_GB2312"/>
          <w:color w:val="auto"/>
          <w:szCs w:val="21"/>
        </w:rPr>
        <w:t>说明：上述标准参照《关于印发中小企业划型标准规定的通知》（工信部联企业〔2011〕300号），大型、中型和小型企业须同时满足所列指标的下限，否则下划一档；微型企业只需满足所列指标中的一项即可。</w:t>
      </w:r>
    </w:p>
    <w:p w14:paraId="0222427D">
      <w:pPr>
        <w:spacing w:line="428" w:lineRule="exact"/>
        <w:ind w:left="119"/>
        <w:rPr>
          <w:rFonts w:ascii="黑体" w:hAnsi="黑体" w:eastAsia="黑体" w:cs="黑体"/>
          <w:color w:val="auto"/>
          <w:sz w:val="32"/>
          <w:szCs w:val="32"/>
        </w:rPr>
      </w:pPr>
    </w:p>
    <w:p w14:paraId="55812B0D">
      <w:pPr>
        <w:pStyle w:val="9"/>
        <w:jc w:val="center"/>
        <w:rPr>
          <w:rFonts w:ascii="宋体" w:hAnsi="宋体" w:cs="宋体"/>
          <w:color w:val="auto"/>
          <w:sz w:val="20"/>
          <w:szCs w:val="20"/>
        </w:rPr>
      </w:pPr>
      <w:r>
        <w:rPr>
          <w:rFonts w:ascii="宋体" w:hAnsi="宋体" w:cs="宋体"/>
          <w:color w:val="auto"/>
          <w:sz w:val="20"/>
          <w:szCs w:val="20"/>
        </w:rPr>
        <w:br w:type="page"/>
      </w:r>
    </w:p>
    <w:p w14:paraId="4D7CEA9F">
      <w:pPr>
        <w:pStyle w:val="9"/>
        <w:jc w:val="center"/>
        <w:rPr>
          <w:rFonts w:ascii="宋体" w:hAnsi="宋体" w:cs="宋体"/>
          <w:color w:val="auto"/>
          <w:sz w:val="20"/>
          <w:szCs w:val="20"/>
        </w:rPr>
      </w:pPr>
    </w:p>
    <w:p w14:paraId="3F6FEB73">
      <w:pPr>
        <w:pStyle w:val="9"/>
        <w:jc w:val="center"/>
        <w:rPr>
          <w:rFonts w:ascii="宋体" w:hAnsi="宋体" w:cs="宋体"/>
          <w:color w:val="auto"/>
          <w:sz w:val="20"/>
          <w:szCs w:val="20"/>
        </w:rPr>
      </w:pPr>
    </w:p>
    <w:p w14:paraId="2E393B0B">
      <w:pPr>
        <w:pStyle w:val="9"/>
        <w:jc w:val="center"/>
        <w:rPr>
          <w:rFonts w:ascii="宋体" w:hAnsi="宋体" w:cs="宋体"/>
          <w:color w:val="auto"/>
          <w:sz w:val="20"/>
          <w:szCs w:val="20"/>
        </w:rPr>
      </w:pPr>
    </w:p>
    <w:p w14:paraId="31BC101E">
      <w:pPr>
        <w:pStyle w:val="9"/>
        <w:jc w:val="center"/>
        <w:rPr>
          <w:rFonts w:ascii="宋体" w:hAnsi="宋体" w:cs="宋体"/>
          <w:color w:val="auto"/>
          <w:sz w:val="20"/>
          <w:szCs w:val="20"/>
        </w:rPr>
      </w:pPr>
    </w:p>
    <w:p w14:paraId="429541DA">
      <w:pPr>
        <w:pStyle w:val="9"/>
        <w:jc w:val="center"/>
        <w:rPr>
          <w:rFonts w:ascii="宋体" w:hAnsi="宋体" w:cs="宋体"/>
          <w:color w:val="auto"/>
          <w:sz w:val="20"/>
          <w:szCs w:val="20"/>
        </w:rPr>
      </w:pPr>
    </w:p>
    <w:p w14:paraId="2ED03F8F">
      <w:pPr>
        <w:pStyle w:val="9"/>
        <w:jc w:val="center"/>
        <w:rPr>
          <w:color w:val="auto"/>
        </w:rPr>
      </w:pPr>
      <w:bookmarkStart w:id="62" w:name="_Toc7304"/>
      <w:r>
        <w:rPr>
          <w:rFonts w:hint="eastAsia"/>
          <w:color w:val="auto"/>
        </w:rPr>
        <w:t>第四章  评审程序和评定成交的标准</w:t>
      </w:r>
      <w:bookmarkEnd w:id="62"/>
    </w:p>
    <w:p w14:paraId="5DE39B5F">
      <w:pPr>
        <w:spacing w:line="360" w:lineRule="auto"/>
        <w:jc w:val="center"/>
        <w:rPr>
          <w:rFonts w:ascii="宋体" w:hAnsi="宋体"/>
          <w:b/>
          <w:color w:val="auto"/>
          <w:sz w:val="32"/>
          <w:szCs w:val="32"/>
        </w:rPr>
      </w:pPr>
    </w:p>
    <w:p w14:paraId="75DAB30A">
      <w:pPr>
        <w:spacing w:line="360" w:lineRule="auto"/>
        <w:jc w:val="center"/>
        <w:rPr>
          <w:rFonts w:ascii="宋体" w:hAnsi="宋体"/>
          <w:b/>
          <w:color w:val="auto"/>
          <w:sz w:val="32"/>
          <w:szCs w:val="32"/>
        </w:rPr>
      </w:pPr>
    </w:p>
    <w:p w14:paraId="3D27BB49">
      <w:pPr>
        <w:spacing w:line="360" w:lineRule="auto"/>
        <w:jc w:val="center"/>
        <w:rPr>
          <w:rFonts w:ascii="宋体" w:hAnsi="宋体"/>
          <w:b/>
          <w:color w:val="auto"/>
          <w:sz w:val="32"/>
          <w:szCs w:val="32"/>
        </w:rPr>
      </w:pPr>
    </w:p>
    <w:p w14:paraId="4D319E46">
      <w:pPr>
        <w:spacing w:line="360" w:lineRule="auto"/>
        <w:jc w:val="center"/>
        <w:rPr>
          <w:rFonts w:ascii="宋体" w:hAnsi="宋体"/>
          <w:b/>
          <w:color w:val="auto"/>
          <w:sz w:val="32"/>
          <w:szCs w:val="32"/>
        </w:rPr>
      </w:pPr>
    </w:p>
    <w:p w14:paraId="2F16FE78">
      <w:pPr>
        <w:spacing w:line="360" w:lineRule="auto"/>
        <w:jc w:val="center"/>
        <w:rPr>
          <w:rFonts w:ascii="宋体" w:hAnsi="宋体"/>
          <w:b/>
          <w:color w:val="auto"/>
          <w:sz w:val="32"/>
          <w:szCs w:val="32"/>
        </w:rPr>
      </w:pPr>
    </w:p>
    <w:p w14:paraId="3B9A4577">
      <w:pPr>
        <w:spacing w:line="360" w:lineRule="auto"/>
        <w:jc w:val="center"/>
        <w:rPr>
          <w:rFonts w:ascii="宋体" w:hAnsi="宋体"/>
          <w:b/>
          <w:color w:val="auto"/>
          <w:sz w:val="32"/>
          <w:szCs w:val="32"/>
        </w:rPr>
      </w:pPr>
    </w:p>
    <w:p w14:paraId="59AB01B4">
      <w:pPr>
        <w:spacing w:line="360" w:lineRule="auto"/>
        <w:jc w:val="center"/>
        <w:rPr>
          <w:rFonts w:ascii="宋体" w:hAnsi="宋体"/>
          <w:b/>
          <w:color w:val="auto"/>
          <w:sz w:val="32"/>
          <w:szCs w:val="32"/>
        </w:rPr>
      </w:pPr>
    </w:p>
    <w:p w14:paraId="7A9E123D">
      <w:pPr>
        <w:spacing w:line="360" w:lineRule="auto"/>
        <w:jc w:val="center"/>
        <w:rPr>
          <w:rFonts w:ascii="宋体" w:hAnsi="宋体"/>
          <w:b/>
          <w:color w:val="auto"/>
          <w:sz w:val="32"/>
          <w:szCs w:val="32"/>
        </w:rPr>
      </w:pPr>
    </w:p>
    <w:p w14:paraId="07A1172D">
      <w:pPr>
        <w:spacing w:line="360" w:lineRule="auto"/>
        <w:jc w:val="center"/>
        <w:rPr>
          <w:rFonts w:ascii="宋体" w:hAnsi="宋体"/>
          <w:b/>
          <w:color w:val="auto"/>
          <w:sz w:val="32"/>
          <w:szCs w:val="32"/>
        </w:rPr>
      </w:pPr>
    </w:p>
    <w:p w14:paraId="764AA240">
      <w:pPr>
        <w:spacing w:line="360" w:lineRule="auto"/>
        <w:jc w:val="center"/>
        <w:rPr>
          <w:rFonts w:ascii="宋体" w:hAnsi="宋体"/>
          <w:b/>
          <w:color w:val="auto"/>
          <w:sz w:val="32"/>
          <w:szCs w:val="32"/>
        </w:rPr>
      </w:pPr>
    </w:p>
    <w:p w14:paraId="413E0147">
      <w:pPr>
        <w:spacing w:line="360" w:lineRule="auto"/>
        <w:jc w:val="center"/>
        <w:rPr>
          <w:rFonts w:ascii="宋体" w:hAnsi="宋体"/>
          <w:b/>
          <w:color w:val="auto"/>
          <w:sz w:val="32"/>
          <w:szCs w:val="32"/>
        </w:rPr>
      </w:pPr>
      <w:r>
        <w:rPr>
          <w:rFonts w:hint="eastAsia" w:ascii="宋体" w:hAnsi="宋体"/>
          <w:b/>
          <w:color w:val="auto"/>
          <w:sz w:val="32"/>
          <w:szCs w:val="32"/>
        </w:rPr>
        <w:t>一、评审程序</w:t>
      </w:r>
    </w:p>
    <w:p w14:paraId="41A9A01A">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1</w:t>
      </w:r>
      <w:r>
        <w:rPr>
          <w:rFonts w:hint="eastAsia" w:ascii="黑体" w:hAnsi="黑体" w:eastAsia="黑体" w:cs="宋体"/>
          <w:b/>
          <w:bCs/>
          <w:color w:val="auto"/>
          <w:sz w:val="24"/>
        </w:rPr>
        <w:t>.确认谈判文件</w:t>
      </w:r>
    </w:p>
    <w:p w14:paraId="34427FB9">
      <w:pPr>
        <w:spacing w:line="360" w:lineRule="auto"/>
        <w:ind w:firstLine="420" w:firstLineChars="200"/>
        <w:rPr>
          <w:rFonts w:ascii="宋体" w:hAnsi="宋体" w:cs="宋体"/>
          <w:color w:val="auto"/>
          <w:szCs w:val="21"/>
        </w:rPr>
      </w:pPr>
      <w:r>
        <w:rPr>
          <w:rFonts w:hint="eastAsia" w:ascii="宋体" w:hAnsi="宋体" w:cs="宋体"/>
          <w:color w:val="auto"/>
          <w:szCs w:val="21"/>
        </w:rPr>
        <w:t>由谈判小组确认谈判文件。</w:t>
      </w:r>
    </w:p>
    <w:p w14:paraId="169A51FB">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w:t>
      </w:r>
      <w:r>
        <w:rPr>
          <w:rFonts w:hint="eastAsia" w:ascii="黑体" w:hAnsi="黑体" w:eastAsia="黑体" w:cs="宋体"/>
          <w:b/>
          <w:bCs/>
          <w:color w:val="auto"/>
          <w:sz w:val="24"/>
        </w:rPr>
        <w:t>.资格审查</w:t>
      </w:r>
    </w:p>
    <w:p w14:paraId="5B8B2C91">
      <w:pPr>
        <w:spacing w:line="360" w:lineRule="auto"/>
        <w:ind w:firstLine="420" w:firstLineChars="200"/>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.1响应文件开启后，谈判小组依法对供应商的资格证明文件进行审查。</w:t>
      </w:r>
    </w:p>
    <w:p w14:paraId="11C930CD">
      <w:pPr>
        <w:spacing w:line="360" w:lineRule="auto"/>
        <w:ind w:firstLine="420" w:firstLineChars="200"/>
        <w:rPr>
          <w:rFonts w:ascii="宋体" w:hAnsi="宋体" w:cs="宋体"/>
          <w:color w:val="auto"/>
          <w:szCs w:val="21"/>
        </w:rPr>
      </w:pPr>
      <w:r>
        <w:rPr>
          <w:rFonts w:hint="eastAsia" w:ascii="宋体" w:hAnsi="宋体" w:cs="宋体"/>
          <w:color w:val="auto"/>
          <w:szCs w:val="21"/>
        </w:rPr>
        <w:t>注：</w:t>
      </w:r>
      <w:r>
        <w:rPr>
          <w:rFonts w:hint="eastAsia"/>
          <w:color w:val="auto"/>
        </w:rPr>
        <w:t>谈判小组</w:t>
      </w:r>
      <w:r>
        <w:rPr>
          <w:rFonts w:hint="eastAsia" w:ascii="宋体" w:hAnsi="宋体" w:cs="宋体"/>
          <w:color w:val="auto"/>
          <w:szCs w:val="21"/>
        </w:rPr>
        <w:t>在资格审查结束前，对供应商进行信用查询。</w:t>
      </w:r>
    </w:p>
    <w:p w14:paraId="2CE517CD">
      <w:pPr>
        <w:spacing w:line="360" w:lineRule="auto"/>
        <w:ind w:firstLine="420" w:firstLineChars="200"/>
        <w:rPr>
          <w:rFonts w:ascii="宋体" w:hAnsi="宋体" w:cs="宋体"/>
          <w:color w:val="auto"/>
          <w:szCs w:val="21"/>
        </w:rPr>
      </w:pPr>
      <w:r>
        <w:rPr>
          <w:rFonts w:hint="eastAsia" w:ascii="宋体" w:hAnsi="宋体" w:cs="宋体"/>
          <w:color w:val="auto"/>
          <w:szCs w:val="21"/>
        </w:rPr>
        <w:t>（1）查询渠道：广西政府采购云平台“信用中国”网站（www.creditchina.gov.cn）、中国政府采购网（www.ccgp.gov.cn）链接入口。</w:t>
      </w:r>
    </w:p>
    <w:p w14:paraId="34A2ED4E">
      <w:pPr>
        <w:spacing w:line="360" w:lineRule="auto"/>
        <w:ind w:firstLine="420" w:firstLineChars="200"/>
        <w:rPr>
          <w:rFonts w:ascii="宋体" w:hAnsi="宋体" w:cs="宋体"/>
          <w:color w:val="auto"/>
          <w:szCs w:val="21"/>
        </w:rPr>
      </w:pPr>
      <w:r>
        <w:rPr>
          <w:rFonts w:hint="eastAsia" w:ascii="宋体" w:hAnsi="宋体" w:cs="宋体"/>
          <w:color w:val="auto"/>
          <w:szCs w:val="21"/>
        </w:rPr>
        <w:t>（2）信用查询截止时点：资格审查结束前。</w:t>
      </w:r>
    </w:p>
    <w:p w14:paraId="7B94169C">
      <w:pPr>
        <w:spacing w:line="360" w:lineRule="auto"/>
        <w:ind w:firstLine="420" w:firstLineChars="200"/>
        <w:rPr>
          <w:rFonts w:ascii="宋体" w:hAnsi="宋体" w:cs="宋体"/>
          <w:color w:val="auto"/>
          <w:szCs w:val="21"/>
        </w:rPr>
      </w:pPr>
      <w:r>
        <w:rPr>
          <w:rFonts w:hint="eastAsia" w:ascii="宋体" w:hAnsi="宋体" w:cs="宋体"/>
          <w:color w:val="auto"/>
          <w:szCs w:val="21"/>
        </w:rPr>
        <w:t>（3）查询记录和证据留存方式：在查询网站中直接查询，截图另存为电子文档作为评审资料保存。</w:t>
      </w:r>
    </w:p>
    <w:p w14:paraId="55A439F9">
      <w:pPr>
        <w:spacing w:line="360" w:lineRule="auto"/>
        <w:ind w:firstLine="420" w:firstLineChars="200"/>
        <w:rPr>
          <w:rFonts w:ascii="宋体" w:hAnsi="宋体" w:cs="宋体"/>
          <w:color w:val="auto"/>
          <w:szCs w:val="21"/>
        </w:rPr>
      </w:pPr>
      <w:r>
        <w:rPr>
          <w:rFonts w:hint="eastAsia" w:ascii="宋体" w:hAnsi="宋体" w:cs="宋体"/>
          <w:color w:val="auto"/>
          <w:szCs w:val="21"/>
        </w:rPr>
        <w:t>（4）信用信息使用规则：对在“信用中国”网站（www.creditchina.gov.cn） 、中国政府采购网（www.ccgp.gov.cn）被列入失信被执行人、重大税收违法失信主体、政府采购严重违法失信行为记录名单及其他被列入信用中国、中国政府采购网公布的严重违法失信行为记录名单的供应商，资格审查不通过，不得参与政府采购活动。</w:t>
      </w:r>
      <w:r>
        <w:rPr>
          <w:rFonts w:hint="eastAsia" w:ascii="宋体" w:hAnsi="宋体"/>
          <w:color w:val="auto"/>
          <w:szCs w:val="21"/>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rPr>
        <w:t>。</w:t>
      </w:r>
    </w:p>
    <w:p w14:paraId="6AE99CA2">
      <w:pPr>
        <w:spacing w:line="360" w:lineRule="auto"/>
        <w:ind w:firstLine="420" w:firstLineChars="200"/>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.2资格审查标准为本谈判文件中载明对供应商资格要求的条件。本项目资格审查采用合格制，凡符合谈判文件规定的供应商资格要求的供应商均可通过资格审查。</w:t>
      </w:r>
    </w:p>
    <w:p w14:paraId="261867DA">
      <w:pPr>
        <w:spacing w:line="360" w:lineRule="auto"/>
        <w:ind w:firstLine="420" w:firstLineChars="200"/>
        <w:rPr>
          <w:rFonts w:ascii="宋体" w:hAnsi="宋体" w:cs="宋体"/>
          <w:b/>
          <w:bCs/>
          <w:color w:val="auto"/>
          <w:szCs w:val="21"/>
        </w:rPr>
      </w:pPr>
      <w:r>
        <w:rPr>
          <w:rFonts w:ascii="宋体" w:hAnsi="宋体" w:cs="宋体"/>
          <w:color w:val="auto"/>
          <w:szCs w:val="21"/>
        </w:rPr>
        <w:t>2</w:t>
      </w:r>
      <w:r>
        <w:rPr>
          <w:rFonts w:hint="eastAsia" w:ascii="宋体" w:hAnsi="宋体" w:cs="宋体"/>
          <w:color w:val="auto"/>
          <w:szCs w:val="21"/>
        </w:rPr>
        <w:t>.3</w:t>
      </w:r>
      <w:r>
        <w:rPr>
          <w:rFonts w:hint="eastAsia" w:ascii="宋体" w:hAnsi="宋体" w:cs="宋体"/>
          <w:b/>
          <w:bCs/>
          <w:color w:val="auto"/>
          <w:szCs w:val="21"/>
        </w:rPr>
        <w:t xml:space="preserve"> 供应商有下列情形之一的，资格审查不通过，其响应文件按无效处理：</w:t>
      </w:r>
    </w:p>
    <w:p w14:paraId="15E1679F">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）不具备谈判文件中规定的资格要求的；</w:t>
      </w:r>
    </w:p>
    <w:p w14:paraId="4FE67E3C">
      <w:pPr>
        <w:spacing w:line="360" w:lineRule="auto"/>
        <w:ind w:firstLine="420" w:firstLineChars="200"/>
        <w:rPr>
          <w:rFonts w:ascii="宋体" w:hAnsi="宋体" w:cs="宋体"/>
          <w:color w:val="auto"/>
          <w:szCs w:val="21"/>
        </w:rPr>
      </w:pPr>
      <w:r>
        <w:rPr>
          <w:rFonts w:hint="eastAsia" w:ascii="宋体" w:hAnsi="宋体" w:cs="宋体"/>
          <w:color w:val="auto"/>
          <w:szCs w:val="21"/>
        </w:rPr>
        <w:t>（2）未按谈判文件规定的方式获取本谈判文件的供应商；</w:t>
      </w:r>
    </w:p>
    <w:p w14:paraId="51570515">
      <w:pPr>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）响应文件中的资格证明文件缺少任一项“供应商须知前附表”资格证明文件规定的“必须提供”的文件资料的；</w:t>
      </w:r>
    </w:p>
    <w:p w14:paraId="5A0EB016">
      <w:pPr>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4</w:t>
      </w:r>
      <w:r>
        <w:rPr>
          <w:rFonts w:hint="eastAsia" w:ascii="宋体" w:hAnsi="宋体" w:cs="宋体"/>
          <w:color w:val="auto"/>
          <w:szCs w:val="21"/>
        </w:rPr>
        <w:t>）响应文件中的资格证明文件出现任一项不符合“供应商须知前附表”资格证明文件规定的“必须提供”的文件资料要求或者无效的；</w:t>
      </w:r>
    </w:p>
    <w:p w14:paraId="2DDC7FCB">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）同一合同项下的不同供应商，单位负责人为同一人或者存在直接控股、管理关系的；为本项目提供过整体设计、规范编制或者项目管理、监理、检测等服务的供应商，不再参加该采购项目的其他采购活动的。</w:t>
      </w:r>
    </w:p>
    <w:p w14:paraId="3F3D45C4">
      <w:pPr>
        <w:spacing w:line="360" w:lineRule="auto"/>
        <w:ind w:firstLine="420" w:firstLineChars="200"/>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.4通过资格审查的合格供应商不足3家（本章</w:t>
      </w:r>
      <w:r>
        <w:rPr>
          <w:rFonts w:ascii="宋体" w:hAnsi="宋体" w:cs="宋体"/>
          <w:color w:val="auto"/>
          <w:szCs w:val="21"/>
        </w:rPr>
        <w:t>3.7</w:t>
      </w:r>
      <w:r>
        <w:rPr>
          <w:rFonts w:hint="eastAsia" w:ascii="宋体" w:hAnsi="宋体" w:cs="宋体"/>
          <w:color w:val="auto"/>
          <w:szCs w:val="21"/>
        </w:rPr>
        <w:t>条规定除外）的，不得进入符合性审查环节，应当重新开展采购活动。</w:t>
      </w:r>
    </w:p>
    <w:p w14:paraId="6D5E3463">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w:t>
      </w:r>
      <w:r>
        <w:rPr>
          <w:rFonts w:hint="eastAsia" w:ascii="黑体" w:hAnsi="黑体" w:eastAsia="黑体" w:cs="宋体"/>
          <w:b/>
          <w:bCs/>
          <w:color w:val="auto"/>
          <w:sz w:val="24"/>
        </w:rPr>
        <w:t>.符合性审查</w:t>
      </w:r>
    </w:p>
    <w:p w14:paraId="516FE512">
      <w:pPr>
        <w:spacing w:line="360" w:lineRule="auto"/>
        <w:ind w:firstLine="420" w:firstLineChars="200"/>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.1</w:t>
      </w:r>
      <w:r>
        <w:rPr>
          <w:rFonts w:hint="eastAsia" w:ascii="宋体" w:hAnsi="宋体" w:cs="宋体"/>
          <w:color w:val="auto"/>
          <w:szCs w:val="21"/>
        </w:rPr>
        <w:t>谈判小组应当对符合资格的供应商的响应文件进行竞标报价、商务、技术等实质性要求符合性审查，以确定其是否满足谈判文件的实质性要求。</w:t>
      </w:r>
    </w:p>
    <w:p w14:paraId="496A599A">
      <w:pPr>
        <w:spacing w:line="360" w:lineRule="auto"/>
        <w:ind w:firstLine="420" w:firstLineChars="200"/>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.2</w:t>
      </w:r>
      <w:r>
        <w:rPr>
          <w:rFonts w:hint="eastAsia" w:ascii="宋体" w:hAnsi="宋体" w:cs="宋体"/>
          <w:color w:val="auto"/>
          <w:szCs w:val="21"/>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5E4ADB6">
      <w:pPr>
        <w:spacing w:line="360" w:lineRule="auto"/>
        <w:ind w:firstLine="420" w:firstLineChars="200"/>
        <w:rPr>
          <w:rFonts w:ascii="宋体" w:hAnsi="宋体" w:cs="宋体"/>
          <w:color w:val="auto"/>
          <w:spacing w:val="-6"/>
          <w:szCs w:val="21"/>
        </w:rPr>
      </w:pPr>
      <w:r>
        <w:rPr>
          <w:rFonts w:ascii="宋体" w:hAnsi="宋体" w:cs="宋体"/>
          <w:color w:val="auto"/>
          <w:szCs w:val="21"/>
        </w:rPr>
        <w:t>3</w:t>
      </w:r>
      <w:r>
        <w:rPr>
          <w:rFonts w:hint="eastAsia" w:ascii="宋体" w:hAnsi="宋体" w:cs="宋体"/>
          <w:color w:val="auto"/>
          <w:szCs w:val="21"/>
        </w:rPr>
        <w:t>.3谈判小组要求供应商澄清、说明或者更正响应文件应当以电子澄清函形式作出。供应商的澄清、说明或者更正应当以电子回函的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Pr>
          <w:rFonts w:hint="eastAsia" w:hAnsi="宋体"/>
          <w:color w:val="auto"/>
        </w:rPr>
        <w:t>签章</w:t>
      </w:r>
      <w:r>
        <w:rPr>
          <w:rFonts w:hint="eastAsia" w:ascii="宋体" w:hAnsi="宋体" w:cs="宋体"/>
          <w:color w:val="auto"/>
          <w:spacing w:val="-6"/>
          <w:szCs w:val="21"/>
        </w:rPr>
        <w:t>。</w:t>
      </w:r>
    </w:p>
    <w:p w14:paraId="0F8EECF7">
      <w:pPr>
        <w:spacing w:line="360" w:lineRule="auto"/>
        <w:ind w:firstLine="420" w:firstLineChars="200"/>
        <w:rPr>
          <w:rFonts w:ascii="宋体" w:hAnsi="宋体" w:cs="Courier New"/>
          <w:color w:val="auto"/>
          <w:szCs w:val="21"/>
        </w:rPr>
      </w:pPr>
      <w:r>
        <w:rPr>
          <w:rFonts w:hint="eastAsia" w:ascii="宋体" w:hAnsi="宋体" w:cs="Courier New"/>
          <w:color w:val="auto"/>
          <w:szCs w:val="21"/>
        </w:rPr>
        <w:t>异常情况处理：如遇无法正常使用线上发送澄清函的情况，将启动书面形式办理。启动书面形式办理的情况下，谈判小组以书面形式要求供应商在规定时间内做出必要的澄清、说明或者补正。供应商的澄清、说明或者补正必须采用书面形式，并加盖公章，或者由法定代表人或者其授权的代表签字。</w:t>
      </w:r>
    </w:p>
    <w:p w14:paraId="4A62C2CD">
      <w:pPr>
        <w:spacing w:line="360" w:lineRule="auto"/>
        <w:ind w:firstLine="396" w:firstLineChars="200"/>
        <w:rPr>
          <w:rFonts w:ascii="宋体" w:hAnsi="宋体" w:cs="宋体"/>
          <w:color w:val="auto"/>
          <w:szCs w:val="21"/>
        </w:rPr>
      </w:pPr>
      <w:r>
        <w:rPr>
          <w:rFonts w:ascii="宋体" w:hAnsi="宋体" w:cs="宋体"/>
          <w:color w:val="auto"/>
          <w:spacing w:val="-6"/>
          <w:szCs w:val="21"/>
        </w:rPr>
        <w:t>3.4</w:t>
      </w:r>
      <w:r>
        <w:rPr>
          <w:rFonts w:hint="eastAsia" w:ascii="宋体" w:hAnsi="宋体" w:cs="宋体"/>
          <w:color w:val="auto"/>
          <w:szCs w:val="21"/>
        </w:rPr>
        <w:t xml:space="preserve">首次响应文件报价出现前后不一致的，按照下列规定修正： </w:t>
      </w:r>
    </w:p>
    <w:p w14:paraId="48C64294">
      <w:pPr>
        <w:spacing w:line="360" w:lineRule="auto"/>
        <w:ind w:firstLine="420" w:firstLineChars="200"/>
        <w:rPr>
          <w:rFonts w:ascii="宋体" w:hAnsi="宋体" w:cs="宋体"/>
          <w:color w:val="auto"/>
          <w:szCs w:val="21"/>
        </w:rPr>
      </w:pPr>
      <w:r>
        <w:rPr>
          <w:rFonts w:hint="eastAsia" w:ascii="宋体" w:hAnsi="宋体" w:cs="宋体"/>
          <w:color w:val="auto"/>
          <w:szCs w:val="21"/>
        </w:rPr>
        <w:t>（1）响应文件中报价表内容与响应文件中相应内容不一致的，以报价表为准；</w:t>
      </w:r>
    </w:p>
    <w:p w14:paraId="4402C5EE">
      <w:pPr>
        <w:spacing w:line="360" w:lineRule="auto"/>
        <w:ind w:firstLine="420" w:firstLineChars="200"/>
        <w:rPr>
          <w:rFonts w:ascii="宋体" w:hAnsi="宋体" w:cs="宋体"/>
          <w:color w:val="auto"/>
          <w:szCs w:val="21"/>
        </w:rPr>
      </w:pPr>
      <w:r>
        <w:rPr>
          <w:rFonts w:hint="eastAsia" w:ascii="宋体" w:hAnsi="宋体" w:cs="宋体"/>
          <w:color w:val="auto"/>
          <w:szCs w:val="21"/>
        </w:rPr>
        <w:t>（2）大写金额和小写金额不一致的，以大写金额为准；</w:t>
      </w:r>
    </w:p>
    <w:p w14:paraId="244C4FB9">
      <w:pPr>
        <w:spacing w:line="360" w:lineRule="auto"/>
        <w:ind w:firstLine="420" w:firstLineChars="200"/>
        <w:rPr>
          <w:rFonts w:ascii="宋体" w:hAnsi="宋体" w:cs="宋体"/>
          <w:color w:val="auto"/>
          <w:szCs w:val="21"/>
        </w:rPr>
      </w:pPr>
      <w:r>
        <w:rPr>
          <w:rFonts w:hint="eastAsia" w:ascii="宋体" w:hAnsi="宋体" w:cs="宋体"/>
          <w:color w:val="auto"/>
          <w:szCs w:val="21"/>
        </w:rPr>
        <w:t>（3）单价金额小数点或者百分比有明显错位的，以报价表的总价为准，并修改单价；</w:t>
      </w:r>
    </w:p>
    <w:p w14:paraId="70CE030A">
      <w:pPr>
        <w:spacing w:line="360" w:lineRule="auto"/>
        <w:ind w:firstLine="420" w:firstLineChars="200"/>
        <w:rPr>
          <w:rFonts w:ascii="宋体" w:hAnsi="宋体" w:cs="宋体"/>
          <w:color w:val="auto"/>
          <w:szCs w:val="21"/>
        </w:rPr>
      </w:pPr>
      <w:r>
        <w:rPr>
          <w:rFonts w:hint="eastAsia" w:ascii="宋体" w:hAnsi="宋体" w:cs="宋体"/>
          <w:color w:val="auto"/>
          <w:szCs w:val="21"/>
        </w:rPr>
        <w:t>（4）总价金额与按单价汇总金额不一致的，以单价金额计算结果为准。</w:t>
      </w:r>
    </w:p>
    <w:p w14:paraId="7A1232D2">
      <w:pPr>
        <w:spacing w:line="360" w:lineRule="auto"/>
        <w:ind w:firstLine="420" w:firstLineChars="200"/>
        <w:rPr>
          <w:rFonts w:ascii="宋体" w:hAnsi="宋体" w:cs="宋体"/>
          <w:color w:val="auto"/>
          <w:szCs w:val="21"/>
        </w:rPr>
      </w:pPr>
      <w:r>
        <w:rPr>
          <w:rFonts w:hint="eastAsia" w:ascii="宋体" w:hAnsi="宋体" w:cs="宋体"/>
          <w:color w:val="auto"/>
          <w:szCs w:val="21"/>
        </w:rPr>
        <w:t>同时出现两种以上不一致的，按照以上（1）－（4）规定的顺序逐条进行修正。修正后的报价经供应商确认后产生约束力，供应商不确认的，</w:t>
      </w:r>
      <w:r>
        <w:rPr>
          <w:rFonts w:hint="eastAsia" w:ascii="宋体" w:hAnsi="宋体" w:cs="宋体"/>
          <w:b/>
          <w:bCs/>
          <w:color w:val="auto"/>
          <w:szCs w:val="21"/>
        </w:rPr>
        <w:t>其响应文件按无效响应处理。</w:t>
      </w:r>
    </w:p>
    <w:p w14:paraId="4A7C8D3E">
      <w:pPr>
        <w:spacing w:line="360" w:lineRule="auto"/>
        <w:ind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商务技术报价评审</w:t>
      </w:r>
    </w:p>
    <w:p w14:paraId="0141B3ED">
      <w:pPr>
        <w:spacing w:line="360" w:lineRule="auto"/>
        <w:ind w:firstLine="420" w:firstLineChars="200"/>
        <w:rPr>
          <w:rFonts w:ascii="宋体" w:hAnsi="宋体" w:cs="宋体"/>
          <w:color w:val="auto"/>
          <w:szCs w:val="21"/>
        </w:rPr>
      </w:pPr>
      <w:r>
        <w:rPr>
          <w:rFonts w:hint="eastAsia" w:ascii="宋体" w:hAnsi="宋体" w:cs="宋体"/>
          <w:color w:val="auto"/>
          <w:szCs w:val="21"/>
        </w:rPr>
        <w:t>在评审时，如发现下列情形之一的，将被视为响应文件无效处理：</w:t>
      </w:r>
    </w:p>
    <w:p w14:paraId="7522C7BF">
      <w:pPr>
        <w:spacing w:line="360" w:lineRule="auto"/>
        <w:ind w:firstLine="420" w:firstLineChars="200"/>
        <w:rPr>
          <w:rFonts w:ascii="宋体" w:hAnsi="宋体" w:cs="宋体"/>
          <w:color w:val="auto"/>
          <w:szCs w:val="21"/>
        </w:rPr>
      </w:pPr>
      <w:r>
        <w:rPr>
          <w:rFonts w:hint="eastAsia" w:ascii="宋体" w:hAnsi="宋体" w:cs="宋体"/>
          <w:color w:val="auto"/>
          <w:szCs w:val="21"/>
        </w:rPr>
        <w:t>（1）商务和技术评审</w:t>
      </w:r>
    </w:p>
    <w:p w14:paraId="364F0A31">
      <w:pPr>
        <w:spacing w:line="360" w:lineRule="auto"/>
        <w:ind w:firstLine="420" w:firstLineChars="200"/>
        <w:rPr>
          <w:rFonts w:ascii="宋体" w:hAnsi="宋体" w:cs="宋体"/>
          <w:color w:val="auto"/>
          <w:szCs w:val="21"/>
        </w:rPr>
      </w:pPr>
      <w:r>
        <w:rPr>
          <w:rFonts w:hint="eastAsia" w:ascii="宋体" w:hAnsi="宋体" w:cs="宋体"/>
          <w:color w:val="auto"/>
          <w:szCs w:val="21"/>
        </w:rPr>
        <w:t>1）响应文件未按谈判文件要求签署、盖章的；</w:t>
      </w:r>
    </w:p>
    <w:p w14:paraId="7AC701D0">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2）委托代理人未能出具有效身份证或者出具的身份证与授权委托书中的信息不符的； </w:t>
      </w:r>
    </w:p>
    <w:p w14:paraId="04C2D0C9">
      <w:pPr>
        <w:spacing w:line="360" w:lineRule="auto"/>
        <w:ind w:firstLine="420" w:firstLineChars="200"/>
        <w:rPr>
          <w:rFonts w:ascii="宋体" w:hAnsi="宋体" w:cs="宋体"/>
          <w:color w:val="auto"/>
          <w:szCs w:val="21"/>
        </w:rPr>
      </w:pPr>
      <w:r>
        <w:rPr>
          <w:rFonts w:hint="eastAsia" w:ascii="宋体" w:hAnsi="宋体" w:cs="宋体"/>
          <w:color w:val="auto"/>
          <w:szCs w:val="21"/>
        </w:rPr>
        <w:t>3）提交的竞标保证金无效的或者未按照谈判文件的规定提交竞标保证金；</w:t>
      </w:r>
    </w:p>
    <w:p w14:paraId="552C0EB4">
      <w:pPr>
        <w:spacing w:line="360" w:lineRule="auto"/>
        <w:ind w:firstLine="420" w:firstLineChars="200"/>
        <w:rPr>
          <w:rFonts w:ascii="宋体" w:hAnsi="宋体" w:cs="宋体"/>
          <w:color w:val="auto"/>
          <w:szCs w:val="21"/>
        </w:rPr>
      </w:pPr>
      <w:r>
        <w:rPr>
          <w:rFonts w:hint="eastAsia" w:ascii="宋体" w:hAnsi="宋体" w:cs="宋体"/>
          <w:color w:val="auto"/>
          <w:szCs w:val="21"/>
        </w:rPr>
        <w:t>4）响应文件未提供任一项“供应商须知前附表”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71FB1708">
      <w:pPr>
        <w:spacing w:line="360" w:lineRule="auto"/>
        <w:ind w:firstLine="420" w:firstLineChars="200"/>
        <w:rPr>
          <w:rFonts w:ascii="宋体" w:hAnsi="宋体" w:cs="宋体"/>
          <w:color w:val="auto"/>
          <w:szCs w:val="21"/>
        </w:rPr>
      </w:pPr>
      <w:r>
        <w:rPr>
          <w:rFonts w:hint="eastAsia" w:ascii="宋体" w:hAnsi="宋体" w:cs="宋体"/>
          <w:color w:val="auto"/>
          <w:szCs w:val="21"/>
        </w:rPr>
        <w:t>5）商务要求允许负偏离的条款数超过“供应商须知前附表”规定项数的；</w:t>
      </w:r>
    </w:p>
    <w:p w14:paraId="361C85F7">
      <w:pPr>
        <w:spacing w:line="360" w:lineRule="auto"/>
        <w:ind w:firstLine="420" w:firstLineChars="200"/>
        <w:rPr>
          <w:rFonts w:ascii="宋体" w:hAnsi="宋体" w:cs="宋体"/>
          <w:color w:val="auto"/>
          <w:szCs w:val="21"/>
        </w:rPr>
      </w:pPr>
      <w:r>
        <w:rPr>
          <w:rFonts w:hint="eastAsia" w:ascii="宋体" w:hAnsi="宋体" w:cs="宋体"/>
          <w:color w:val="auto"/>
          <w:szCs w:val="21"/>
        </w:rPr>
        <w:t>6）未对竞标有效期作出响应或者响应文件承诺的竞标有效期不满足谈判文件要求；</w:t>
      </w:r>
    </w:p>
    <w:p w14:paraId="0CD455B2">
      <w:pPr>
        <w:spacing w:line="360" w:lineRule="auto"/>
        <w:ind w:firstLine="420" w:firstLineChars="200"/>
        <w:rPr>
          <w:rFonts w:ascii="宋体" w:hAnsi="宋体" w:cs="宋体"/>
          <w:color w:val="auto"/>
          <w:szCs w:val="21"/>
        </w:rPr>
      </w:pPr>
      <w:r>
        <w:rPr>
          <w:rFonts w:hint="eastAsia" w:ascii="宋体" w:hAnsi="宋体" w:cs="宋体"/>
          <w:color w:val="auto"/>
          <w:szCs w:val="21"/>
        </w:rPr>
        <w:t>7）响应文件的实质性内容未使用中文表述、使用计量单位不符合谈判文件要求的；</w:t>
      </w:r>
    </w:p>
    <w:p w14:paraId="465B3200">
      <w:pPr>
        <w:spacing w:line="360" w:lineRule="auto"/>
        <w:ind w:firstLine="420" w:firstLineChars="200"/>
        <w:rPr>
          <w:rFonts w:ascii="宋体" w:hAnsi="宋体" w:cs="宋体"/>
          <w:color w:val="auto"/>
          <w:szCs w:val="21"/>
        </w:rPr>
      </w:pPr>
      <w:r>
        <w:rPr>
          <w:rFonts w:hint="eastAsia" w:ascii="宋体" w:hAnsi="宋体" w:cs="宋体"/>
          <w:color w:val="auto"/>
          <w:szCs w:val="21"/>
        </w:rPr>
        <w:t>8）响应文件中的文件资料因填写不齐全或者内容虚假或者出现其他情形而导致被谈判小组认定无效的；</w:t>
      </w:r>
    </w:p>
    <w:p w14:paraId="588B269E">
      <w:pPr>
        <w:spacing w:line="360" w:lineRule="auto"/>
        <w:ind w:firstLine="420" w:firstLineChars="200"/>
        <w:rPr>
          <w:rFonts w:ascii="宋体" w:hAnsi="宋体" w:cs="宋体"/>
          <w:color w:val="auto"/>
          <w:szCs w:val="21"/>
        </w:rPr>
      </w:pPr>
      <w:r>
        <w:rPr>
          <w:rFonts w:hint="eastAsia" w:ascii="宋体" w:hAnsi="宋体" w:cs="宋体"/>
          <w:color w:val="auto"/>
          <w:szCs w:val="21"/>
        </w:rPr>
        <w:t>9）响应文件含有采购人不能接受的附加条件的；</w:t>
      </w:r>
    </w:p>
    <w:p w14:paraId="7BE57B67">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0）属于“供应商须知正文”第7.</w:t>
      </w:r>
      <w:r>
        <w:rPr>
          <w:rFonts w:ascii="宋体" w:hAnsi="宋体" w:cs="宋体"/>
          <w:color w:val="auto"/>
          <w:szCs w:val="21"/>
        </w:rPr>
        <w:t>5</w:t>
      </w:r>
      <w:r>
        <w:rPr>
          <w:rFonts w:hint="eastAsia" w:ascii="宋体" w:hAnsi="宋体" w:cs="宋体"/>
          <w:color w:val="auto"/>
          <w:szCs w:val="21"/>
        </w:rPr>
        <w:t>条的情形的；</w:t>
      </w:r>
    </w:p>
    <w:p w14:paraId="54523D78">
      <w:pPr>
        <w:spacing w:line="360" w:lineRule="auto"/>
        <w:ind w:firstLine="420" w:firstLineChars="200"/>
        <w:rPr>
          <w:rFonts w:ascii="宋体" w:hAnsi="宋体" w:cs="宋体"/>
          <w:color w:val="auto"/>
          <w:szCs w:val="21"/>
        </w:rPr>
      </w:pPr>
      <w:r>
        <w:rPr>
          <w:rFonts w:hint="eastAsia" w:ascii="宋体" w:hAnsi="宋体" w:cs="宋体"/>
          <w:color w:val="auto"/>
          <w:szCs w:val="21"/>
        </w:rPr>
        <w:t>11）技术评审允许负偏离的条款数超过“供应商须知前附表”规定项数的；</w:t>
      </w:r>
    </w:p>
    <w:p w14:paraId="4915AEC0">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2）虚假竞标，或者出现其他情形而导致被谈判小组认定无效的；</w:t>
      </w:r>
    </w:p>
    <w:p w14:paraId="431EA32F">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3）谈判文件未载明允许提供备选（替代）竞标方案或明确不允许提供备选（替代）竞标方案时，供应商提供了备选（替代）竞标方案的；</w:t>
      </w:r>
    </w:p>
    <w:p w14:paraId="731739FE">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4）响应文件标注的项目名称或者项目编号与谈判文件标注的项目名称或者项目编号不一致的；</w:t>
      </w:r>
    </w:p>
    <w:p w14:paraId="1EF2FD46">
      <w:pPr>
        <w:spacing w:line="360" w:lineRule="auto"/>
        <w:ind w:firstLine="420" w:firstLineChars="200"/>
        <w:rPr>
          <w:rFonts w:ascii="宋体" w:hAnsi="宋体" w:cs="宋体"/>
          <w:color w:val="auto"/>
          <w:szCs w:val="21"/>
        </w:rPr>
      </w:pPr>
      <w:r>
        <w:rPr>
          <w:rFonts w:hint="eastAsia" w:ascii="宋体" w:hAnsi="宋体" w:cs="宋体"/>
          <w:color w:val="auto"/>
          <w:szCs w:val="21"/>
        </w:rPr>
        <w:t>15）</w:t>
      </w:r>
      <w:r>
        <w:rPr>
          <w:rFonts w:hint="eastAsia" w:ascii="宋体" w:hAnsi="宋体"/>
          <w:color w:val="auto"/>
          <w:szCs w:val="21"/>
        </w:rPr>
        <w:t>谈判文件明确不允许分包，响应文件拟分包的；</w:t>
      </w:r>
    </w:p>
    <w:p w14:paraId="6ED32507">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6）未响应谈判文件实质性要求；</w:t>
      </w:r>
    </w:p>
    <w:p w14:paraId="14702AFE">
      <w:pPr>
        <w:spacing w:line="360" w:lineRule="auto"/>
        <w:ind w:firstLine="420" w:firstLineChars="200"/>
        <w:rPr>
          <w:rFonts w:ascii="宋体" w:hAnsi="宋体" w:cs="宋体"/>
          <w:color w:val="auto"/>
          <w:szCs w:val="21"/>
        </w:rPr>
      </w:pPr>
      <w:r>
        <w:rPr>
          <w:rFonts w:hint="eastAsia" w:ascii="宋体" w:hAnsi="宋体" w:cs="宋体"/>
          <w:color w:val="auto"/>
          <w:szCs w:val="21"/>
        </w:rPr>
        <w:t>17）法律法规和谈判文件规定的其他无效情形。</w:t>
      </w:r>
    </w:p>
    <w:p w14:paraId="5F4EAE9B">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2）报</w:t>
      </w:r>
      <w:r>
        <w:rPr>
          <w:rFonts w:hint="eastAsia" w:ascii="宋体" w:hAnsi="宋体" w:cs="宋体"/>
          <w:color w:val="auto"/>
          <w:szCs w:val="21"/>
        </w:rPr>
        <w:t>价评审</w:t>
      </w:r>
    </w:p>
    <w:p w14:paraId="257AFCAC">
      <w:pPr>
        <w:spacing w:line="360" w:lineRule="auto"/>
        <w:ind w:firstLine="420" w:firstLineChars="200"/>
        <w:rPr>
          <w:rFonts w:ascii="宋体" w:hAnsi="宋体" w:cs="宋体"/>
          <w:color w:val="auto"/>
          <w:szCs w:val="21"/>
        </w:rPr>
      </w:pPr>
      <w:r>
        <w:rPr>
          <w:rFonts w:hint="eastAsia" w:ascii="宋体" w:hAnsi="宋体" w:cs="宋体"/>
          <w:color w:val="auto"/>
          <w:szCs w:val="21"/>
        </w:rPr>
        <w:t>1）响应文件未提供“供应商须知前附表” 报价商务技术文件中规定的“竞标报价表”的；</w:t>
      </w:r>
    </w:p>
    <w:p w14:paraId="3BB203A6">
      <w:pPr>
        <w:spacing w:line="360" w:lineRule="auto"/>
        <w:ind w:firstLine="420" w:firstLineChars="200"/>
        <w:rPr>
          <w:rFonts w:ascii="宋体" w:hAnsi="宋体" w:cs="宋体"/>
          <w:color w:val="auto"/>
          <w:szCs w:val="21"/>
        </w:rPr>
      </w:pPr>
      <w:r>
        <w:rPr>
          <w:rFonts w:hint="eastAsia" w:ascii="宋体" w:hAnsi="宋体" w:cs="宋体"/>
          <w:color w:val="auto"/>
          <w:szCs w:val="21"/>
        </w:rPr>
        <w:t>2）未采用人民币报价或者未按照谈判文件标明的币种报价的；</w:t>
      </w:r>
    </w:p>
    <w:p w14:paraId="1F3CF3CD">
      <w:pPr>
        <w:spacing w:line="360" w:lineRule="auto"/>
        <w:ind w:firstLine="420" w:firstLineChars="200"/>
        <w:rPr>
          <w:rFonts w:ascii="宋体" w:hAnsi="宋体" w:cs="宋体"/>
          <w:color w:val="auto"/>
          <w:szCs w:val="21"/>
        </w:rPr>
      </w:pPr>
      <w:r>
        <w:rPr>
          <w:rFonts w:hint="eastAsia" w:ascii="宋体" w:hAnsi="宋体" w:cs="宋体"/>
          <w:color w:val="auto"/>
          <w:szCs w:val="21"/>
        </w:rPr>
        <w:t>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w:t>
      </w:r>
    </w:p>
    <w:p w14:paraId="14EAD2AF">
      <w:pPr>
        <w:spacing w:line="360" w:lineRule="auto"/>
        <w:ind w:firstLine="420" w:firstLineChars="200"/>
        <w:rPr>
          <w:rFonts w:ascii="宋体" w:hAnsi="宋体" w:cs="宋体"/>
          <w:color w:val="auto"/>
          <w:szCs w:val="21"/>
        </w:rPr>
      </w:pPr>
      <w:r>
        <w:rPr>
          <w:rFonts w:hint="eastAsia" w:ascii="宋体" w:hAnsi="宋体" w:cs="宋体"/>
          <w:color w:val="auto"/>
          <w:szCs w:val="21"/>
        </w:rPr>
        <w:t>4）竞标报价（包含首次报价、最后报价）超过所竞标分标规定的采购预算金额（含预算单价）或者最高限价的（如本项目公布了最高限价）；竞标报价（包含首次报价、最后报价）超过谈判文件分项采购预算金额或者最高限价的（如本项目公布了最高限价）；</w:t>
      </w:r>
    </w:p>
    <w:p w14:paraId="7F717E3F">
      <w:pPr>
        <w:spacing w:line="360" w:lineRule="auto"/>
        <w:ind w:firstLine="420" w:firstLineChars="200"/>
        <w:rPr>
          <w:rFonts w:ascii="宋体" w:hAnsi="宋体" w:cs="宋体"/>
          <w:color w:val="auto"/>
          <w:szCs w:val="21"/>
        </w:rPr>
      </w:pPr>
      <w:r>
        <w:rPr>
          <w:rFonts w:hint="eastAsia" w:ascii="宋体" w:hAnsi="宋体" w:cs="宋体"/>
          <w:color w:val="auto"/>
          <w:szCs w:val="21"/>
        </w:rPr>
        <w:t>5）修正后的报价，供应商不确认的；或者经供应商确认修正后的竞标报价（包含首次报价、最后报价）超过所竞标分标规定的采购预算金额或者最高限价（如本项目公布了最高限价）；或者经供应商确认修正后的竞标报价（包含首次报价、最后报价）超过谈判文件分项采购预算金额或者最高限价的（如本项目公布了最高限价）。</w:t>
      </w:r>
    </w:p>
    <w:p w14:paraId="18BD5655">
      <w:pPr>
        <w:spacing w:line="360" w:lineRule="auto"/>
        <w:ind w:firstLine="420" w:firstLineChars="200"/>
        <w:rPr>
          <w:rFonts w:ascii="宋体" w:hAnsi="宋体" w:cs="宋体"/>
          <w:color w:val="auto"/>
          <w:szCs w:val="21"/>
        </w:rPr>
      </w:pPr>
      <w:r>
        <w:rPr>
          <w:rFonts w:hint="eastAsia" w:ascii="宋体" w:hAnsi="宋体" w:cs="宋体"/>
          <w:color w:val="auto"/>
          <w:szCs w:val="21"/>
        </w:rPr>
        <w:t>6）</w:t>
      </w:r>
      <w:r>
        <w:rPr>
          <w:rFonts w:hint="eastAsia" w:ascii="宋体" w:hAnsi="宋体"/>
          <w:color w:val="auto"/>
          <w:szCs w:val="21"/>
        </w:rPr>
        <w:t>响应文件响应的标的数量及单位与竞争性谈判采购文件要求实质性不一致的。</w:t>
      </w:r>
    </w:p>
    <w:p w14:paraId="3DC9345C">
      <w:pPr>
        <w:spacing w:line="360" w:lineRule="auto"/>
        <w:ind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.6</w:t>
      </w:r>
      <w:r>
        <w:rPr>
          <w:rFonts w:hint="eastAsia" w:ascii="宋体" w:hAnsi="宋体" w:cs="宋体"/>
          <w:b/>
          <w:bCs/>
          <w:color w:val="auto"/>
          <w:szCs w:val="21"/>
        </w:rPr>
        <w:t>谈判小组对响应文件进行评审，未实质性响应谈判文件的响应文件按无效处理。</w:t>
      </w:r>
      <w:r>
        <w:rPr>
          <w:rFonts w:hint="eastAsia" w:ascii="宋体" w:hAnsi="宋体" w:cs="宋体"/>
          <w:color w:val="auto"/>
          <w:szCs w:val="21"/>
        </w:rPr>
        <w:t>谈判小组应当将资格和符合性不通过的情况告知有关供应商。谈判小组从符合谈判文件规定的相应资格条件的供应商名单中确定不少于3家的供应商参加谈判。</w:t>
      </w:r>
    </w:p>
    <w:p w14:paraId="25F5CA1C">
      <w:pPr>
        <w:spacing w:line="360" w:lineRule="auto"/>
        <w:ind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.7公开招标的货物、服务采购项目</w:t>
      </w:r>
      <w:r>
        <w:rPr>
          <w:rFonts w:hint="eastAsia" w:ascii="宋体" w:hAnsi="宋体" w:cs="宋体"/>
          <w:color w:val="auto"/>
          <w:szCs w:val="21"/>
          <w:lang w:eastAsia="zh-CN"/>
        </w:rPr>
        <w:t>，在</w:t>
      </w:r>
      <w:r>
        <w:rPr>
          <w:rFonts w:hint="eastAsia" w:ascii="宋体" w:hAnsi="宋体" w:cs="宋体"/>
          <w:color w:val="auto"/>
          <w:szCs w:val="21"/>
        </w:rPr>
        <w:t>招标过程中提交响应文件或者经评审实质性响应竞争性谈判文件要求的供应商只有两家时，采购人、采购代理机构按照《政府采购非招标采购方式管理办法》（财政部74号令）第四条经本级财政部门批准后可以与该两家供应商进行竞争性谈判采购。</w:t>
      </w:r>
    </w:p>
    <w:p w14:paraId="5AA95A34">
      <w:pPr>
        <w:spacing w:line="360" w:lineRule="auto"/>
        <w:ind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.8除本章3.7条规定的情形外，通过符合性审查的合格供应商不足3家的，不得进入谈判环节，应当重新开展采购活动。</w:t>
      </w:r>
    </w:p>
    <w:p w14:paraId="635B7B0E">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4</w:t>
      </w:r>
      <w:r>
        <w:rPr>
          <w:rFonts w:ascii="黑体" w:hAnsi="黑体" w:eastAsia="黑体" w:cs="宋体"/>
          <w:b/>
          <w:bCs/>
          <w:color w:val="auto"/>
          <w:sz w:val="24"/>
        </w:rPr>
        <w:t>.</w:t>
      </w:r>
      <w:r>
        <w:rPr>
          <w:rFonts w:hint="eastAsia" w:ascii="黑体" w:hAnsi="黑体" w:eastAsia="黑体" w:cs="宋体"/>
          <w:b/>
          <w:bCs/>
          <w:color w:val="auto"/>
          <w:sz w:val="24"/>
        </w:rPr>
        <w:t>谈判程序</w:t>
      </w:r>
    </w:p>
    <w:p w14:paraId="43CE50ED">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4</w:t>
      </w:r>
      <w:r>
        <w:rPr>
          <w:rFonts w:ascii="宋体" w:hAnsi="宋体" w:cs="宋体"/>
          <w:color w:val="auto"/>
          <w:kern w:val="0"/>
          <w:szCs w:val="21"/>
        </w:rPr>
        <w:t>.1</w:t>
      </w:r>
      <w:r>
        <w:rPr>
          <w:rFonts w:hint="eastAsia" w:ascii="宋体" w:hAnsi="宋体" w:cs="宋体"/>
          <w:color w:val="auto"/>
          <w:kern w:val="0"/>
          <w:szCs w:val="21"/>
        </w:rPr>
        <w:t>谈判小组</w:t>
      </w:r>
      <w:r>
        <w:rPr>
          <w:rFonts w:hint="eastAsia" w:ascii="宋体" w:hAnsi="宋体" w:cs="宋体"/>
          <w:color w:val="auto"/>
          <w:szCs w:val="21"/>
        </w:rPr>
        <w:t>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cs="宋体"/>
          <w:b/>
          <w:bCs/>
          <w:color w:val="auto"/>
          <w:szCs w:val="21"/>
        </w:rPr>
        <w:t>其响应文件按无效处理。</w:t>
      </w:r>
    </w:p>
    <w:p w14:paraId="7A4FDF64">
      <w:pPr>
        <w:spacing w:line="360" w:lineRule="auto"/>
        <w:ind w:firstLine="420" w:firstLineChars="200"/>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.2</w:t>
      </w:r>
      <w:r>
        <w:rPr>
          <w:rFonts w:hint="eastAsia" w:ascii="宋体" w:hAnsi="宋体" w:cs="宋体"/>
          <w:color w:val="auto"/>
          <w:szCs w:val="21"/>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2F03D4FA">
      <w:pPr>
        <w:spacing w:line="360" w:lineRule="auto"/>
        <w:ind w:firstLine="420" w:firstLineChars="200"/>
        <w:rPr>
          <w:rFonts w:ascii="宋体" w:hAnsi="宋体" w:cs="宋体"/>
          <w:color w:val="auto"/>
          <w:szCs w:val="21"/>
        </w:rPr>
      </w:pPr>
      <w:r>
        <w:rPr>
          <w:rFonts w:ascii="宋体" w:hAnsi="宋体" w:cs="宋体"/>
          <w:color w:val="auto"/>
          <w:szCs w:val="21"/>
        </w:rPr>
        <w:t>4.3</w:t>
      </w:r>
      <w:r>
        <w:rPr>
          <w:rFonts w:hint="eastAsia" w:ascii="宋体" w:hAnsi="宋体" w:cs="宋体"/>
          <w:color w:val="auto"/>
          <w:szCs w:val="21"/>
        </w:rPr>
        <w:t>对谈判文件作出的实质性变动是谈判文件的有效组成部分，由谈判小组及时以电子澄清函形式同时通知所有参加谈判的供应商。</w:t>
      </w:r>
    </w:p>
    <w:p w14:paraId="1808F67F">
      <w:pPr>
        <w:spacing w:line="360" w:lineRule="auto"/>
        <w:ind w:firstLine="420" w:firstLineChars="200"/>
        <w:rPr>
          <w:rFonts w:ascii="宋体" w:hAnsi="宋体" w:cs="宋体"/>
          <w:color w:val="auto"/>
          <w:szCs w:val="21"/>
        </w:rPr>
      </w:pPr>
      <w:r>
        <w:rPr>
          <w:rFonts w:ascii="宋体" w:hAnsi="宋体" w:cs="宋体"/>
          <w:color w:val="auto"/>
          <w:szCs w:val="21"/>
        </w:rPr>
        <w:t>4.4</w:t>
      </w:r>
      <w:r>
        <w:rPr>
          <w:rFonts w:hint="eastAsia" w:ascii="宋体" w:hAnsi="宋体" w:cs="宋体"/>
          <w:color w:val="auto"/>
          <w:szCs w:val="21"/>
        </w:rPr>
        <w:t>供应商必须按照谈判文件的变动情况和谈判小组的要求以回函的形式重新提交响应文件，并加盖电子签章。参加谈判的供应商未在规定时间内重新提交响应文件的，视同退出谈判，</w:t>
      </w:r>
      <w:r>
        <w:rPr>
          <w:rFonts w:hint="eastAsia" w:ascii="宋体" w:hAnsi="宋体" w:cs="宋体"/>
          <w:b/>
          <w:bCs/>
          <w:color w:val="auto"/>
          <w:szCs w:val="21"/>
        </w:rPr>
        <w:t>其响应文件按无效处理。</w:t>
      </w:r>
    </w:p>
    <w:p w14:paraId="3964E4BB">
      <w:pPr>
        <w:spacing w:line="360" w:lineRule="auto"/>
        <w:ind w:firstLine="420" w:firstLineChars="200"/>
        <w:rPr>
          <w:rFonts w:ascii="宋体" w:hAnsi="宋体" w:cs="宋体"/>
          <w:color w:val="auto"/>
          <w:szCs w:val="21"/>
        </w:rPr>
      </w:pPr>
      <w:r>
        <w:rPr>
          <w:rFonts w:ascii="宋体" w:hAnsi="宋体" w:cs="宋体"/>
          <w:color w:val="auto"/>
          <w:szCs w:val="21"/>
        </w:rPr>
        <w:t>4.5</w:t>
      </w:r>
      <w:r>
        <w:rPr>
          <w:rFonts w:hint="eastAsia" w:ascii="宋体" w:hAnsi="宋体" w:cs="宋体"/>
          <w:color w:val="auto"/>
          <w:szCs w:val="21"/>
        </w:rPr>
        <w:t>谈判中，谈判的任何一方不得透露与谈判有关的其他供应商的技术资料、价格和其他信息。</w:t>
      </w:r>
    </w:p>
    <w:p w14:paraId="110EE24B">
      <w:pPr>
        <w:widowControl/>
        <w:tabs>
          <w:tab w:val="left" w:pos="540"/>
        </w:tabs>
        <w:spacing w:line="360" w:lineRule="auto"/>
        <w:ind w:firstLine="420" w:firstLineChars="200"/>
        <w:jc w:val="left"/>
        <w:rPr>
          <w:rFonts w:ascii="宋体" w:hAnsi="宋体" w:cs="宋体"/>
          <w:color w:val="auto"/>
          <w:szCs w:val="21"/>
        </w:rPr>
      </w:pPr>
      <w:r>
        <w:rPr>
          <w:rFonts w:ascii="宋体" w:hAnsi="宋体" w:cs="宋体"/>
          <w:color w:val="auto"/>
          <w:szCs w:val="21"/>
        </w:rPr>
        <w:t>4.6</w:t>
      </w:r>
      <w:r>
        <w:rPr>
          <w:rFonts w:hint="eastAsia" w:ascii="宋体" w:hAnsi="宋体" w:cs="宋体"/>
          <w:color w:val="auto"/>
          <w:szCs w:val="21"/>
        </w:rPr>
        <w:t>谈判小组应对谈判过程和重要谈判内容进行记录。</w:t>
      </w:r>
    </w:p>
    <w:p w14:paraId="445D265A">
      <w:pPr>
        <w:tabs>
          <w:tab w:val="left" w:pos="2835"/>
        </w:tabs>
        <w:spacing w:line="360" w:lineRule="auto"/>
        <w:ind w:firstLine="420" w:firstLineChars="200"/>
        <w:rPr>
          <w:rFonts w:ascii="宋体" w:hAnsi="宋体" w:cs="宋体"/>
          <w:color w:val="auto"/>
          <w:szCs w:val="21"/>
        </w:rPr>
      </w:pPr>
      <w:r>
        <w:rPr>
          <w:rFonts w:ascii="宋体" w:hAnsi="宋体" w:cs="宋体"/>
          <w:color w:val="auto"/>
          <w:szCs w:val="21"/>
        </w:rPr>
        <w:t>4.</w:t>
      </w:r>
      <w:r>
        <w:rPr>
          <w:rFonts w:hint="eastAsia" w:ascii="宋体" w:hAnsi="宋体" w:cs="宋体"/>
          <w:color w:val="auto"/>
          <w:szCs w:val="21"/>
        </w:rPr>
        <w:t>7除本章第3.7条外，</w:t>
      </w:r>
      <w:r>
        <w:rPr>
          <w:rFonts w:hint="eastAsia" w:ascii="宋体" w:hAnsi="宋体"/>
          <w:color w:val="auto"/>
          <w:szCs w:val="21"/>
        </w:rPr>
        <w:t>对谈判过程中提交的响应文件进行有效性、完整性和响应程度审查，通过审查的合格供应商不足3家的，采购人或者采购代理机构应当重新开展采购活动</w:t>
      </w:r>
      <w:r>
        <w:rPr>
          <w:rFonts w:hint="eastAsia" w:ascii="宋体" w:hAnsi="宋体" w:cs="宋体"/>
          <w:color w:val="auto"/>
          <w:szCs w:val="21"/>
        </w:rPr>
        <w:t>。</w:t>
      </w:r>
    </w:p>
    <w:p w14:paraId="5673E809">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5</w:t>
      </w:r>
      <w:r>
        <w:rPr>
          <w:rFonts w:ascii="黑体" w:hAnsi="黑体" w:eastAsia="黑体" w:cs="宋体"/>
          <w:b/>
          <w:bCs/>
          <w:color w:val="auto"/>
          <w:sz w:val="24"/>
        </w:rPr>
        <w:t>.</w:t>
      </w:r>
      <w:r>
        <w:rPr>
          <w:rFonts w:hint="eastAsia" w:ascii="黑体" w:hAnsi="黑体" w:eastAsia="黑体" w:cs="宋体"/>
          <w:b/>
          <w:bCs/>
          <w:color w:val="auto"/>
          <w:sz w:val="24"/>
        </w:rPr>
        <w:t xml:space="preserve"> 最后报价</w:t>
      </w:r>
    </w:p>
    <w:p w14:paraId="6A88D3E8">
      <w:pPr>
        <w:spacing w:line="360" w:lineRule="auto"/>
        <w:ind w:firstLine="420" w:firstLineChars="200"/>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.1</w:t>
      </w:r>
      <w:r>
        <w:rPr>
          <w:rFonts w:hint="eastAsia" w:ascii="宋体" w:hAnsi="宋体" w:cs="宋体"/>
          <w:color w:val="auto"/>
          <w:szCs w:val="21"/>
        </w:rPr>
        <w:t>谈判文件能够详细列明采购标的的技术、服务要求的，谈判结束后，谈判小组应当要求所有继续参加谈判的供应商在规定时间内在广西政府采购云平台开标大厅提交最后报价，除本章第3.7条外，提交最后报价的供应商不得少于3家，否则应当重新采购。</w:t>
      </w:r>
    </w:p>
    <w:p w14:paraId="45E06088">
      <w:pPr>
        <w:spacing w:line="360" w:lineRule="auto"/>
        <w:ind w:firstLine="420" w:firstLineChars="200"/>
        <w:rPr>
          <w:rFonts w:ascii="宋体" w:hAnsi="宋体" w:cs="宋体"/>
          <w:color w:val="auto"/>
          <w:szCs w:val="21"/>
        </w:rPr>
      </w:pPr>
      <w:r>
        <w:rPr>
          <w:rFonts w:ascii="宋体" w:hAnsi="宋体" w:cs="宋体"/>
          <w:color w:val="auto"/>
          <w:szCs w:val="21"/>
        </w:rPr>
        <w:t>5</w:t>
      </w: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广西政府采购云平台开标大厅提交最后报价。</w:t>
      </w:r>
    </w:p>
    <w:p w14:paraId="24EDE023">
      <w:pPr>
        <w:spacing w:line="360" w:lineRule="auto"/>
        <w:ind w:firstLine="420" w:firstLineChars="200"/>
        <w:rPr>
          <w:rFonts w:ascii="宋体" w:hAnsi="宋体" w:cs="宋体"/>
          <w:color w:val="auto"/>
          <w:szCs w:val="21"/>
        </w:rPr>
      </w:pPr>
      <w:r>
        <w:rPr>
          <w:rFonts w:ascii="宋体" w:hAnsi="宋体" w:cs="宋体"/>
          <w:color w:val="auto"/>
          <w:szCs w:val="21"/>
        </w:rPr>
        <w:t>5.3</w:t>
      </w:r>
      <w:r>
        <w:rPr>
          <w:rFonts w:hint="eastAsia" w:ascii="宋体" w:hAnsi="宋体" w:cs="宋体"/>
          <w:color w:val="auto"/>
          <w:szCs w:val="21"/>
        </w:rPr>
        <w:t>最后报价是供应商响应文件的有效组成部分。</w:t>
      </w:r>
    </w:p>
    <w:p w14:paraId="2D39DEC9">
      <w:pPr>
        <w:spacing w:line="360" w:lineRule="auto"/>
        <w:ind w:firstLine="420" w:firstLineChars="200"/>
        <w:rPr>
          <w:rFonts w:ascii="宋体" w:hAnsi="宋体" w:cs="宋体"/>
          <w:color w:val="auto"/>
          <w:szCs w:val="21"/>
        </w:rPr>
      </w:pPr>
      <w:r>
        <w:rPr>
          <w:rFonts w:ascii="宋体" w:hAnsi="宋体" w:cs="宋体"/>
          <w:color w:val="auto"/>
          <w:szCs w:val="21"/>
        </w:rPr>
        <w:t>5.4</w:t>
      </w:r>
      <w:r>
        <w:rPr>
          <w:rFonts w:hint="eastAsia" w:ascii="宋体" w:hAnsi="宋体" w:cs="宋体"/>
          <w:color w:val="auto"/>
          <w:szCs w:val="21"/>
        </w:rPr>
        <w:t>已经提交响应文件的供应商，在提交最后报价之前，可以根据谈判情况退出谈判，</w:t>
      </w:r>
      <w:r>
        <w:rPr>
          <w:rFonts w:hint="eastAsia" w:ascii="宋体" w:hAnsi="宋体" w:cs="宋体"/>
          <w:b/>
          <w:bCs/>
          <w:color w:val="auto"/>
          <w:szCs w:val="21"/>
        </w:rPr>
        <w:t>退出谈判的供应商的响应文件按无效响应处理。</w:t>
      </w:r>
      <w:r>
        <w:rPr>
          <w:rFonts w:hint="eastAsia" w:ascii="宋体" w:hAnsi="宋体" w:cs="宋体"/>
          <w:color w:val="auto"/>
          <w:szCs w:val="21"/>
        </w:rPr>
        <w:t>采购人、采购代理机构将退还退出谈判的供应商的保证金。</w:t>
      </w:r>
    </w:p>
    <w:p w14:paraId="6E8DD712">
      <w:pPr>
        <w:spacing w:line="360" w:lineRule="auto"/>
        <w:ind w:firstLine="420" w:firstLineChars="200"/>
        <w:rPr>
          <w:rFonts w:ascii="宋体" w:hAnsi="宋体" w:cs="宋体"/>
          <w:color w:val="auto"/>
          <w:szCs w:val="21"/>
        </w:rPr>
      </w:pPr>
      <w:r>
        <w:rPr>
          <w:rFonts w:ascii="宋体" w:hAnsi="宋体" w:cs="宋体"/>
          <w:color w:val="auto"/>
          <w:szCs w:val="21"/>
        </w:rPr>
        <w:t>5.5</w:t>
      </w:r>
      <w:r>
        <w:rPr>
          <w:rFonts w:hint="eastAsia" w:ascii="宋体" w:hAnsi="宋体" w:cs="宋体"/>
          <w:color w:val="auto"/>
          <w:szCs w:val="21"/>
        </w:rPr>
        <w:t>供应商未在规定时间内提交最后报价的，视为退出谈判，</w:t>
      </w:r>
      <w:r>
        <w:rPr>
          <w:rFonts w:hint="eastAsia" w:ascii="宋体" w:hAnsi="宋体" w:cs="宋体"/>
          <w:b/>
          <w:bCs/>
          <w:color w:val="auto"/>
          <w:szCs w:val="21"/>
        </w:rPr>
        <w:t>其响应文件按无效处理。</w:t>
      </w:r>
    </w:p>
    <w:p w14:paraId="2B5BAAB6">
      <w:pPr>
        <w:spacing w:line="360" w:lineRule="auto"/>
        <w:ind w:firstLine="420" w:firstLineChars="200"/>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.6</w:t>
      </w:r>
      <w:r>
        <w:rPr>
          <w:rFonts w:hint="eastAsia" w:ascii="宋体" w:hAnsi="宋体" w:cs="宋体"/>
          <w:color w:val="auto"/>
          <w:szCs w:val="21"/>
        </w:rPr>
        <w:t>最后报价统一开启后，谈判小组对最后报价进行有效性、完整性和响应程度的审查。</w:t>
      </w:r>
    </w:p>
    <w:p w14:paraId="2B4B3B9B">
      <w:pPr>
        <w:spacing w:line="360" w:lineRule="auto"/>
        <w:ind w:firstLine="420" w:firstLineChars="200"/>
        <w:rPr>
          <w:rFonts w:ascii="宋体" w:hAnsi="宋体" w:cs="宋体"/>
          <w:color w:val="auto"/>
          <w:szCs w:val="21"/>
        </w:rPr>
      </w:pPr>
      <w:r>
        <w:rPr>
          <w:rFonts w:ascii="宋体" w:hAnsi="宋体" w:cs="宋体"/>
          <w:color w:val="auto"/>
          <w:szCs w:val="21"/>
        </w:rPr>
        <w:t>5.7</w:t>
      </w:r>
      <w:r>
        <w:rPr>
          <w:rFonts w:hint="eastAsia" w:ascii="宋体" w:hAnsi="宋体" w:cs="宋体"/>
          <w:color w:val="auto"/>
          <w:szCs w:val="21"/>
        </w:rPr>
        <w:t>最后报价出现前后不一致的，按照本章第</w:t>
      </w:r>
      <w:r>
        <w:rPr>
          <w:rFonts w:ascii="宋体" w:hAnsi="宋体" w:cs="宋体"/>
          <w:color w:val="auto"/>
          <w:szCs w:val="21"/>
        </w:rPr>
        <w:t>3.4</w:t>
      </w:r>
      <w:r>
        <w:rPr>
          <w:rFonts w:hint="eastAsia" w:ascii="宋体" w:hAnsi="宋体" w:cs="宋体"/>
          <w:color w:val="auto"/>
          <w:szCs w:val="21"/>
        </w:rPr>
        <w:t xml:space="preserve">款的规定修正。 </w:t>
      </w:r>
    </w:p>
    <w:p w14:paraId="7B6C616C">
      <w:pPr>
        <w:spacing w:line="360" w:lineRule="auto"/>
        <w:ind w:firstLine="420" w:firstLineChars="200"/>
        <w:rPr>
          <w:rFonts w:ascii="宋体" w:hAnsi="宋体" w:cs="宋体"/>
          <w:color w:val="auto"/>
          <w:szCs w:val="21"/>
        </w:rPr>
      </w:pPr>
      <w:r>
        <w:rPr>
          <w:rFonts w:ascii="宋体" w:hAnsi="宋体" w:cs="宋体"/>
          <w:color w:val="auto"/>
          <w:szCs w:val="21"/>
        </w:rPr>
        <w:t>5.8</w:t>
      </w:r>
      <w:r>
        <w:rPr>
          <w:rFonts w:hint="eastAsia" w:ascii="宋体" w:hAnsi="宋体" w:cs="宋体"/>
          <w:color w:val="auto"/>
          <w:szCs w:val="21"/>
        </w:rPr>
        <w:t>修正后的报价出现下列情形的，</w:t>
      </w:r>
      <w:r>
        <w:rPr>
          <w:rFonts w:hint="eastAsia" w:ascii="宋体" w:hAnsi="宋体" w:cs="宋体"/>
          <w:b/>
          <w:bCs/>
          <w:color w:val="auto"/>
          <w:szCs w:val="21"/>
        </w:rPr>
        <w:t>按无效响应处理</w:t>
      </w:r>
      <w:r>
        <w:rPr>
          <w:rFonts w:hint="eastAsia" w:ascii="宋体" w:hAnsi="宋体" w:cs="宋体"/>
          <w:color w:val="auto"/>
          <w:szCs w:val="21"/>
        </w:rPr>
        <w:t>：</w:t>
      </w:r>
    </w:p>
    <w:p w14:paraId="63654D47">
      <w:pPr>
        <w:spacing w:line="360" w:lineRule="auto"/>
        <w:ind w:firstLine="420" w:firstLineChars="200"/>
        <w:rPr>
          <w:rFonts w:ascii="宋体" w:hAnsi="宋体" w:cs="宋体"/>
          <w:color w:val="auto"/>
          <w:szCs w:val="21"/>
        </w:rPr>
      </w:pPr>
      <w:r>
        <w:rPr>
          <w:rFonts w:hint="eastAsia" w:ascii="宋体" w:hAnsi="宋体" w:cs="宋体"/>
          <w:color w:val="auto"/>
          <w:szCs w:val="21"/>
        </w:rPr>
        <w:t>（1）供应商不确认的（全流程电子化评审采取在线确认）；</w:t>
      </w:r>
    </w:p>
    <w:p w14:paraId="7FA5F6B8">
      <w:pPr>
        <w:spacing w:line="360" w:lineRule="auto"/>
        <w:ind w:firstLine="420" w:firstLineChars="200"/>
        <w:rPr>
          <w:rFonts w:ascii="宋体" w:hAnsi="宋体" w:cs="宋体"/>
          <w:color w:val="auto"/>
          <w:szCs w:val="21"/>
        </w:rPr>
      </w:pPr>
      <w:r>
        <w:rPr>
          <w:rFonts w:hint="eastAsia" w:ascii="宋体" w:hAnsi="宋体" w:cs="宋体"/>
          <w:color w:val="auto"/>
          <w:szCs w:val="21"/>
        </w:rPr>
        <w:t>（2）经供应商确认修正后的竞标报价（包含首次报价、最后报价）超过所竞标分标规定的采购预算金额或者最高限价的（如本项目公布了最高限价）；</w:t>
      </w:r>
    </w:p>
    <w:p w14:paraId="45668DFB">
      <w:pPr>
        <w:spacing w:line="360" w:lineRule="auto"/>
        <w:ind w:firstLine="420" w:firstLineChars="200"/>
        <w:rPr>
          <w:rFonts w:ascii="宋体" w:hAnsi="宋体" w:cs="宋体"/>
          <w:color w:val="auto"/>
          <w:szCs w:val="21"/>
        </w:rPr>
      </w:pPr>
      <w:r>
        <w:rPr>
          <w:rFonts w:hint="eastAsia" w:ascii="宋体" w:hAnsi="宋体" w:cs="宋体"/>
          <w:color w:val="auto"/>
          <w:szCs w:val="21"/>
        </w:rPr>
        <w:t>（3）经供应商确认修正后的竞标报价（包含首次报价、最后报价）超过分项采购预算金额或者最高限价的（如本项目公布了最高限价）。</w:t>
      </w:r>
    </w:p>
    <w:p w14:paraId="52F218C4">
      <w:pPr>
        <w:spacing w:line="360" w:lineRule="auto"/>
        <w:ind w:firstLine="420" w:firstLineChars="200"/>
        <w:rPr>
          <w:rFonts w:ascii="宋体" w:hAnsi="宋体" w:cs="宋体"/>
          <w:color w:val="auto"/>
          <w:szCs w:val="21"/>
        </w:rPr>
      </w:pPr>
      <w:r>
        <w:rPr>
          <w:rFonts w:ascii="宋体" w:hAnsi="宋体" w:cs="宋体"/>
          <w:color w:val="auto"/>
          <w:szCs w:val="21"/>
        </w:rPr>
        <w:t>5.9</w:t>
      </w:r>
      <w:r>
        <w:rPr>
          <w:rFonts w:hint="eastAsia" w:ascii="宋体" w:hAnsi="宋体" w:cs="宋体"/>
          <w:color w:val="auto"/>
          <w:szCs w:val="21"/>
        </w:rPr>
        <w:t>经供应商确认修正后的最后报价作为评审及签订合同的依据。</w:t>
      </w:r>
    </w:p>
    <w:p w14:paraId="38322236">
      <w:pPr>
        <w:spacing w:line="360" w:lineRule="auto"/>
        <w:ind w:firstLine="420" w:firstLineChars="200"/>
        <w:rPr>
          <w:rFonts w:ascii="宋体" w:hAnsi="宋体" w:cs="宋体"/>
          <w:color w:val="auto"/>
          <w:szCs w:val="21"/>
        </w:rPr>
      </w:pPr>
      <w:r>
        <w:rPr>
          <w:rFonts w:hint="eastAsia" w:ascii="宋体" w:hAnsi="宋体" w:cs="宋体"/>
          <w:color w:val="auto"/>
          <w:szCs w:val="21"/>
        </w:rPr>
        <w:t>5.10供应商出现最后报价按无效响应处理或者响应文件按无效处理时</w:t>
      </w:r>
      <w:r>
        <w:rPr>
          <w:rFonts w:hint="eastAsia" w:ascii="宋体" w:hAnsi="宋体"/>
          <w:color w:val="auto"/>
          <w:sz w:val="22"/>
          <w:szCs w:val="22"/>
        </w:rPr>
        <w:t>，谈判小组应当告知有关供应商</w:t>
      </w:r>
      <w:r>
        <w:rPr>
          <w:rFonts w:hint="eastAsia" w:ascii="宋体" w:hAnsi="宋体" w:cs="宋体"/>
          <w:color w:val="auto"/>
          <w:szCs w:val="21"/>
        </w:rPr>
        <w:t>。</w:t>
      </w:r>
    </w:p>
    <w:p w14:paraId="4B19D798">
      <w:pPr>
        <w:spacing w:line="360" w:lineRule="auto"/>
        <w:ind w:firstLine="420" w:firstLineChars="200"/>
        <w:rPr>
          <w:rFonts w:ascii="宋体" w:hAnsi="宋体" w:cs="宋体"/>
          <w:color w:val="auto"/>
          <w:szCs w:val="21"/>
        </w:rPr>
      </w:pPr>
      <w:r>
        <w:rPr>
          <w:rFonts w:hint="eastAsia" w:ascii="宋体" w:hAnsi="宋体"/>
          <w:color w:val="auto"/>
          <w:szCs w:val="21"/>
        </w:rPr>
        <w:t>5.11</w:t>
      </w:r>
      <w:r>
        <w:rPr>
          <w:rFonts w:hint="eastAsia" w:ascii="宋体" w:hAnsi="宋体" w:cs="宋体"/>
          <w:color w:val="auto"/>
          <w:szCs w:val="21"/>
        </w:rPr>
        <w:t>最后报价结束后，谈判小组不得再与供应商进行任何形式的商谈。</w:t>
      </w:r>
    </w:p>
    <w:p w14:paraId="4DAB9737">
      <w:pPr>
        <w:spacing w:line="360" w:lineRule="auto"/>
        <w:ind w:firstLine="472" w:firstLineChars="196"/>
        <w:rPr>
          <w:rFonts w:ascii="黑体" w:hAnsi="黑体" w:eastAsia="黑体" w:cs="宋体"/>
          <w:b/>
          <w:bCs/>
          <w:color w:val="auto"/>
          <w:sz w:val="24"/>
        </w:rPr>
      </w:pPr>
      <w:r>
        <w:rPr>
          <w:rFonts w:ascii="黑体" w:hAnsi="黑体" w:eastAsia="黑体" w:cs="宋体"/>
          <w:b/>
          <w:bCs/>
          <w:color w:val="auto"/>
          <w:sz w:val="24"/>
        </w:rPr>
        <w:t>6.</w:t>
      </w:r>
      <w:r>
        <w:rPr>
          <w:rFonts w:hint="eastAsia" w:ascii="黑体" w:hAnsi="黑体" w:eastAsia="黑体" w:cs="宋体"/>
          <w:b/>
          <w:bCs/>
          <w:color w:val="auto"/>
          <w:sz w:val="24"/>
        </w:rPr>
        <w:t xml:space="preserve"> 最后报价：政府采购政策性扣除</w:t>
      </w:r>
    </w:p>
    <w:p w14:paraId="49B10F95">
      <w:pPr>
        <w:spacing w:line="360" w:lineRule="auto"/>
        <w:ind w:firstLine="420" w:firstLineChars="200"/>
        <w:rPr>
          <w:rFonts w:ascii="宋体" w:hAnsi="宋体" w:cs="宋体"/>
          <w:color w:val="auto"/>
          <w:szCs w:val="21"/>
        </w:rPr>
      </w:pPr>
      <w:r>
        <w:rPr>
          <w:rFonts w:hint="eastAsia" w:ascii="宋体" w:hAnsi="宋体" w:cs="宋体"/>
          <w:color w:val="auto"/>
          <w:szCs w:val="21"/>
        </w:rPr>
        <w:t>6</w:t>
      </w:r>
      <w:r>
        <w:rPr>
          <w:rFonts w:ascii="宋体" w:hAnsi="宋体" w:cs="宋体"/>
          <w:color w:val="auto"/>
          <w:szCs w:val="21"/>
        </w:rPr>
        <w:t>.1</w:t>
      </w:r>
      <w:r>
        <w:rPr>
          <w:rFonts w:hint="eastAsia" w:ascii="宋体" w:hAnsi="宋体" w:cs="宋体"/>
          <w:color w:val="auto"/>
          <w:szCs w:val="21"/>
        </w:rPr>
        <w:t>评审价为供应商的最后报价，本分标属于专门面向中小企业采购的项目，不得执行任何价格扣除政策。最终成交供应商的成交金额等于最后报价（如有修正，以确认修正后的最后报价为准）。</w:t>
      </w:r>
    </w:p>
    <w:p w14:paraId="60D9556E">
      <w:pPr>
        <w:snapToGrid w:val="0"/>
        <w:spacing w:line="360" w:lineRule="auto"/>
        <w:ind w:firstLine="424" w:firstLineChars="202"/>
        <w:jc w:val="left"/>
        <w:rPr>
          <w:rFonts w:hint="eastAsia" w:ascii="宋体" w:hAnsi="宋体"/>
          <w:color w:val="auto"/>
          <w:spacing w:val="-6"/>
          <w:szCs w:val="21"/>
        </w:rPr>
      </w:pPr>
      <w:r>
        <w:rPr>
          <w:rFonts w:ascii="宋体" w:hAnsi="宋体" w:cs="宋体"/>
          <w:color w:val="auto"/>
          <w:szCs w:val="21"/>
        </w:rPr>
        <w:t>6.2</w:t>
      </w:r>
      <w:r>
        <w:rPr>
          <w:rFonts w:hint="eastAsia" w:ascii="宋体" w:hAnsi="宋体"/>
          <w:color w:val="auto"/>
          <w:szCs w:val="21"/>
        </w:rPr>
        <w:t>异常低价响应审查</w:t>
      </w:r>
    </w:p>
    <w:p w14:paraId="2DEBF4D2">
      <w:pPr>
        <w:snapToGrid w:val="0"/>
        <w:spacing w:line="360" w:lineRule="auto"/>
        <w:ind w:firstLine="420" w:firstLineChars="200"/>
        <w:rPr>
          <w:rFonts w:ascii="宋体" w:hAnsi="宋体"/>
          <w:color w:val="auto"/>
          <w:szCs w:val="21"/>
        </w:rPr>
      </w:pPr>
      <w:r>
        <w:rPr>
          <w:rFonts w:hint="eastAsia" w:ascii="宋体" w:hAnsi="宋体"/>
          <w:color w:val="auto"/>
          <w:szCs w:val="21"/>
        </w:rPr>
        <w:t>（1）谈判小组在评审中发现下列情形之一的，应当启动异常低价响应审查程序：</w:t>
      </w:r>
    </w:p>
    <w:p w14:paraId="4D3199D5">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①响应报价低于全部通过符合性审查供应商响应报价平均值</w:t>
      </w:r>
      <w:r>
        <w:rPr>
          <w:rFonts w:ascii="宋体" w:hAnsi="宋体"/>
          <w:color w:val="auto"/>
          <w:szCs w:val="21"/>
          <w:u w:val="single"/>
        </w:rPr>
        <w:t xml:space="preserve"> </w:t>
      </w:r>
      <w:r>
        <w:rPr>
          <w:rFonts w:hint="eastAsia" w:ascii="宋体" w:hAnsi="宋体"/>
          <w:color w:val="auto"/>
          <w:szCs w:val="21"/>
          <w:u w:val="single"/>
          <w:lang w:val="en-US" w:eastAsia="zh-CN"/>
        </w:rPr>
        <w:t>65%</w:t>
      </w:r>
      <w:r>
        <w:rPr>
          <w:rFonts w:ascii="宋体" w:hAnsi="宋体"/>
          <w:color w:val="auto"/>
          <w:szCs w:val="21"/>
          <w:u w:val="single"/>
        </w:rPr>
        <w:t xml:space="preserve"> </w:t>
      </w:r>
      <w:r>
        <w:rPr>
          <w:rFonts w:hint="eastAsia" w:ascii="宋体" w:hAnsi="宋体"/>
          <w:color w:val="auto"/>
          <w:szCs w:val="21"/>
        </w:rPr>
        <w:t>的，即响应报价＜全部通过符合性审查供应商响应报价平均值×</w:t>
      </w:r>
      <w:r>
        <w:rPr>
          <w:rFonts w:ascii="宋体" w:hAnsi="宋体"/>
          <w:color w:val="auto"/>
          <w:szCs w:val="21"/>
          <w:u w:val="single"/>
        </w:rPr>
        <w:t xml:space="preserve"> </w:t>
      </w:r>
      <w:r>
        <w:rPr>
          <w:rFonts w:hint="eastAsia" w:ascii="宋体" w:hAnsi="宋体"/>
          <w:color w:val="auto"/>
          <w:szCs w:val="21"/>
          <w:u w:val="single"/>
          <w:lang w:val="en-US" w:eastAsia="zh-CN"/>
        </w:rPr>
        <w:t>65%</w:t>
      </w:r>
      <w:r>
        <w:rPr>
          <w:rFonts w:ascii="宋体" w:hAnsi="宋体"/>
          <w:color w:val="auto"/>
          <w:szCs w:val="21"/>
          <w:u w:val="single"/>
        </w:rPr>
        <w:t xml:space="preserve"> </w:t>
      </w:r>
      <w:r>
        <w:rPr>
          <w:rFonts w:hint="eastAsia" w:ascii="宋体" w:hAnsi="宋体"/>
          <w:color w:val="auto"/>
          <w:szCs w:val="21"/>
        </w:rPr>
        <w:t>；</w:t>
      </w:r>
    </w:p>
    <w:p w14:paraId="2D091614">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②响应报价低于通过符合性审查的次低报价供应商响应报价</w:t>
      </w:r>
      <w:r>
        <w:rPr>
          <w:rFonts w:ascii="宋体" w:hAnsi="宋体"/>
          <w:color w:val="auto"/>
          <w:szCs w:val="21"/>
          <w:u w:val="single"/>
        </w:rPr>
        <w:t xml:space="preserve"> </w:t>
      </w:r>
      <w:r>
        <w:rPr>
          <w:rFonts w:hint="eastAsia" w:ascii="宋体" w:hAnsi="宋体"/>
          <w:color w:val="auto"/>
          <w:szCs w:val="21"/>
          <w:u w:val="single"/>
          <w:lang w:val="en-US" w:eastAsia="zh-CN"/>
        </w:rPr>
        <w:t>65%</w:t>
      </w:r>
      <w:r>
        <w:rPr>
          <w:rFonts w:ascii="宋体" w:hAnsi="宋体"/>
          <w:color w:val="auto"/>
          <w:szCs w:val="21"/>
          <w:u w:val="single"/>
        </w:rPr>
        <w:t xml:space="preserve"> </w:t>
      </w:r>
      <w:r>
        <w:rPr>
          <w:rFonts w:hint="eastAsia" w:ascii="宋体" w:hAnsi="宋体"/>
          <w:color w:val="auto"/>
          <w:szCs w:val="21"/>
        </w:rPr>
        <w:t>的，即响应报价＜通过符合性审查的次低报价供应商响应报价×</w:t>
      </w:r>
      <w:r>
        <w:rPr>
          <w:rFonts w:ascii="宋体" w:hAnsi="宋体"/>
          <w:color w:val="auto"/>
          <w:szCs w:val="21"/>
          <w:u w:val="single"/>
        </w:rPr>
        <w:t xml:space="preserve"> </w:t>
      </w:r>
      <w:r>
        <w:rPr>
          <w:rFonts w:hint="eastAsia" w:ascii="宋体" w:hAnsi="宋体"/>
          <w:color w:val="auto"/>
          <w:szCs w:val="21"/>
          <w:u w:val="single"/>
          <w:lang w:val="en-US" w:eastAsia="zh-CN"/>
        </w:rPr>
        <w:t>65%</w:t>
      </w:r>
      <w:r>
        <w:rPr>
          <w:rFonts w:ascii="宋体" w:hAnsi="宋体"/>
          <w:color w:val="auto"/>
          <w:szCs w:val="21"/>
          <w:u w:val="single"/>
        </w:rPr>
        <w:t xml:space="preserve"> </w:t>
      </w:r>
      <w:r>
        <w:rPr>
          <w:rFonts w:hint="eastAsia" w:ascii="宋体" w:hAnsi="宋体"/>
          <w:color w:val="auto"/>
          <w:szCs w:val="21"/>
        </w:rPr>
        <w:t>；</w:t>
      </w:r>
    </w:p>
    <w:p w14:paraId="3E86D4F1">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③响应报价低于采购项目最高限价</w:t>
      </w:r>
      <w:r>
        <w:rPr>
          <w:rFonts w:ascii="宋体" w:hAnsi="宋体"/>
          <w:color w:val="auto"/>
          <w:szCs w:val="21"/>
          <w:u w:val="single"/>
        </w:rPr>
        <w:t xml:space="preserve"> </w:t>
      </w:r>
      <w:r>
        <w:rPr>
          <w:rFonts w:hint="eastAsia" w:ascii="宋体" w:hAnsi="宋体"/>
          <w:color w:val="auto"/>
          <w:szCs w:val="21"/>
          <w:u w:val="single"/>
          <w:lang w:val="en-US" w:eastAsia="zh-CN"/>
        </w:rPr>
        <w:t>65%</w:t>
      </w:r>
      <w:r>
        <w:rPr>
          <w:rFonts w:ascii="宋体" w:hAnsi="宋体"/>
          <w:color w:val="auto"/>
          <w:szCs w:val="21"/>
          <w:u w:val="single"/>
        </w:rPr>
        <w:t xml:space="preserve"> </w:t>
      </w:r>
      <w:r>
        <w:rPr>
          <w:rFonts w:hint="eastAsia" w:ascii="宋体" w:hAnsi="宋体"/>
          <w:color w:val="auto"/>
          <w:szCs w:val="21"/>
        </w:rPr>
        <w:t>的，即响应报价＜采购项目最高限价×</w:t>
      </w:r>
      <w:r>
        <w:rPr>
          <w:rFonts w:ascii="宋体" w:hAnsi="宋体"/>
          <w:color w:val="auto"/>
          <w:szCs w:val="21"/>
          <w:u w:val="single"/>
        </w:rPr>
        <w:t xml:space="preserve"> </w:t>
      </w:r>
      <w:r>
        <w:rPr>
          <w:rFonts w:hint="eastAsia" w:ascii="宋体" w:hAnsi="宋体"/>
          <w:color w:val="auto"/>
          <w:szCs w:val="21"/>
          <w:u w:val="single"/>
          <w:lang w:val="en-US" w:eastAsia="zh-CN"/>
        </w:rPr>
        <w:t>65%</w:t>
      </w:r>
      <w:r>
        <w:rPr>
          <w:rFonts w:ascii="宋体" w:hAnsi="宋体"/>
          <w:color w:val="auto"/>
          <w:szCs w:val="21"/>
          <w:u w:val="single"/>
        </w:rPr>
        <w:t xml:space="preserve"> </w:t>
      </w:r>
      <w:r>
        <w:rPr>
          <w:rFonts w:hint="eastAsia" w:ascii="宋体" w:hAnsi="宋体"/>
          <w:color w:val="auto"/>
          <w:szCs w:val="21"/>
        </w:rPr>
        <w:t>；</w:t>
      </w:r>
    </w:p>
    <w:p w14:paraId="3B07B4EB">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④谈判小组基于专业判断，认为供应商报价过低，有可能影响产品质量或者不能诚信履约的其他情形。</w:t>
      </w:r>
    </w:p>
    <w:p w14:paraId="41DF6FAD">
      <w:pPr>
        <w:snapToGrid w:val="0"/>
        <w:spacing w:line="360" w:lineRule="auto"/>
        <w:ind w:firstLine="420" w:firstLineChars="200"/>
        <w:rPr>
          <w:rFonts w:hint="eastAsia" w:ascii="宋体" w:hAnsi="宋体"/>
          <w:color w:val="auto"/>
          <w:szCs w:val="21"/>
        </w:rPr>
      </w:pPr>
      <w:r>
        <w:rPr>
          <w:rFonts w:hint="eastAsia" w:ascii="宋体" w:hAnsi="宋体"/>
          <w:color w:val="auto"/>
          <w:szCs w:val="21"/>
        </w:rPr>
        <w:t>（2）谈判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7E18CC90">
      <w:pPr>
        <w:snapToGrid w:val="0"/>
        <w:spacing w:line="360" w:lineRule="auto"/>
        <w:ind w:firstLine="420" w:firstLineChars="200"/>
        <w:rPr>
          <w:rFonts w:hint="eastAsia" w:ascii="宋体" w:hAnsi="宋体"/>
          <w:color w:val="auto"/>
          <w:szCs w:val="21"/>
        </w:rPr>
      </w:pPr>
      <w:r>
        <w:rPr>
          <w:rFonts w:hint="eastAsia" w:ascii="宋体" w:hAnsi="宋体"/>
          <w:color w:val="auto"/>
          <w:szCs w:val="21"/>
        </w:rPr>
        <w:t>谈判小组依据专业经验，参考同类项目中标（成交）价格、类似产品市场价格水平、行业人工费用标准、国家有关部门指导行业协会发布的行业平均成本等情况，对报价合理性进行判断。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rPr>
        <w:t>相关供应商不能提供书面说明、证明材料，或者提供的书面说明、证明材料不能证明其报价合理性的，谈判小组应当将其作为无效响应处理。</w:t>
      </w:r>
    </w:p>
    <w:p w14:paraId="2E3128C2">
      <w:pPr>
        <w:snapToGrid w:val="0"/>
        <w:spacing w:line="360" w:lineRule="auto"/>
        <w:ind w:firstLine="420" w:firstLineChars="200"/>
        <w:rPr>
          <w:rFonts w:hint="eastAsia" w:ascii="宋体" w:hAnsi="宋体"/>
          <w:color w:val="auto"/>
          <w:szCs w:val="21"/>
        </w:rPr>
      </w:pPr>
      <w:r>
        <w:rPr>
          <w:rFonts w:hint="eastAsia" w:ascii="宋体" w:hAnsi="宋体"/>
          <w:color w:val="auto"/>
          <w:szCs w:val="21"/>
        </w:rPr>
        <w:t>采购人、采购代理机构应当为谈判小组在评审现场及时获取同类项目中标（成交）价格、类似产品市场价格水平、行业人工费用标准、国家有关部门指导行业协会发布的行业平均成本等相关信息资料提供便利。谈判小组借助互联网等渠道查询相关信息的，应当严格遵守评审工作纪律，不得实施影响评审公正的行为。</w:t>
      </w:r>
    </w:p>
    <w:p w14:paraId="7D89D72F">
      <w:pPr>
        <w:spacing w:line="360" w:lineRule="auto"/>
        <w:ind w:firstLine="420" w:firstLineChars="200"/>
        <w:rPr>
          <w:rFonts w:ascii="宋体" w:hAnsi="宋体" w:cs="宋体"/>
          <w:color w:val="auto"/>
          <w:szCs w:val="21"/>
        </w:rPr>
      </w:pPr>
      <w:r>
        <w:rPr>
          <w:rFonts w:hint="eastAsia" w:ascii="宋体" w:hAnsi="宋体"/>
          <w:color w:val="auto"/>
          <w:szCs w:val="21"/>
        </w:rPr>
        <w:t>异常低价响应审查的启动原因、审查意见和审查结果应当在评审报告中记录，并随供应商提供的相关书面说明及证明材料，以及谈判小组有关互联网浏览、查询历史一并归档。</w:t>
      </w:r>
    </w:p>
    <w:p w14:paraId="4351B6A0">
      <w:pPr>
        <w:spacing w:line="360" w:lineRule="auto"/>
        <w:ind w:firstLine="420" w:firstLineChars="200"/>
        <w:rPr>
          <w:rFonts w:ascii="宋体" w:hAnsi="宋体" w:cs="宋体"/>
          <w:color w:val="auto"/>
        </w:rPr>
      </w:pPr>
      <w:r>
        <w:rPr>
          <w:rFonts w:ascii="宋体" w:hAnsi="宋体" w:cs="宋体"/>
          <w:color w:val="auto"/>
          <w:szCs w:val="21"/>
        </w:rPr>
        <w:t>6.</w:t>
      </w:r>
      <w:r>
        <w:rPr>
          <w:rFonts w:hint="eastAsia" w:ascii="宋体" w:hAnsi="宋体" w:cs="宋体"/>
          <w:color w:val="auto"/>
          <w:szCs w:val="21"/>
          <w:lang w:val="en-US" w:eastAsia="zh-CN"/>
        </w:rPr>
        <w:t>3中小企业政策性扣除计算方法</w:t>
      </w:r>
      <w:r>
        <w:rPr>
          <w:rFonts w:hint="eastAsia" w:ascii="宋体" w:hAnsi="宋体" w:cs="宋体"/>
          <w:color w:val="auto"/>
        </w:rPr>
        <w:t>。</w:t>
      </w:r>
    </w:p>
    <w:p w14:paraId="0D486FD2">
      <w:pPr>
        <w:spacing w:line="360" w:lineRule="auto"/>
        <w:ind w:firstLine="369" w:firstLineChars="176"/>
        <w:rPr>
          <w:rFonts w:ascii="宋体" w:hAnsi="宋体"/>
          <w:bCs/>
          <w:color w:val="auto"/>
          <w:szCs w:val="21"/>
        </w:rPr>
      </w:pPr>
      <w:r>
        <w:rPr>
          <w:rFonts w:hint="eastAsia" w:ascii="宋体" w:hAnsi="宋体" w:cs="宋体"/>
          <w:color w:val="auto"/>
          <w:szCs w:val="21"/>
        </w:rPr>
        <w:t>根据《政府采购促进中小企业发展管理办法》（财库〔2020〕46号）的规定和</w:t>
      </w:r>
      <w:r>
        <w:rPr>
          <w:rFonts w:hint="eastAsia" w:ascii="宋体" w:hAnsi="宋体" w:cs="宋体"/>
          <w:bCs/>
          <w:color w:val="auto"/>
          <w:kern w:val="0"/>
          <w:szCs w:val="21"/>
        </w:rPr>
        <w:t>《广西壮族自治区财政厅关于持续优化政府采购营商环境推动高质量发展的通知》（桂财采〔2024〕55号）的规定。</w:t>
      </w:r>
      <w:r>
        <w:rPr>
          <w:rFonts w:hint="eastAsia" w:ascii="宋体" w:hAnsi="宋体" w:cs="宋体"/>
          <w:color w:val="auto"/>
          <w:szCs w:val="21"/>
        </w:rPr>
        <w:t>供应商在其响应文件中提供《中小企业声明函》，</w:t>
      </w:r>
      <w:r>
        <w:rPr>
          <w:rFonts w:hint="eastAsia" w:ascii="宋体" w:hAnsi="宋体"/>
          <w:bCs/>
          <w:color w:val="auto"/>
          <w:szCs w:val="21"/>
        </w:rPr>
        <w:t>且其竞标全部货物由小微企业制造的</w:t>
      </w:r>
      <w:r>
        <w:rPr>
          <w:rFonts w:hint="eastAsia" w:ascii="宋体" w:hAnsi="宋体" w:cs="宋体"/>
          <w:color w:val="auto"/>
          <w:szCs w:val="21"/>
        </w:rPr>
        <w:t>，</w:t>
      </w:r>
      <w:r>
        <w:rPr>
          <w:rFonts w:hint="eastAsia" w:ascii="宋体" w:hAnsi="宋体"/>
          <w:bCs/>
          <w:color w:val="auto"/>
          <w:szCs w:val="21"/>
        </w:rPr>
        <w:t>对供应商的竞标报价给予20%的扣除，扣除后的价格为评审价，即评审价=竞标报价×（1-2</w:t>
      </w:r>
      <w:r>
        <w:rPr>
          <w:rFonts w:ascii="宋体" w:hAnsi="宋体"/>
          <w:bCs/>
          <w:color w:val="auto"/>
          <w:szCs w:val="21"/>
        </w:rPr>
        <w:t>0</w:t>
      </w:r>
      <w:r>
        <w:rPr>
          <w:rFonts w:hint="eastAsia" w:ascii="宋体" w:hAnsi="宋体"/>
          <w:bCs/>
          <w:color w:val="auto"/>
          <w:szCs w:val="21"/>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bCs/>
          <w:color w:val="auto"/>
          <w:szCs w:val="21"/>
          <w:u w:val="single"/>
        </w:rPr>
        <w:t>6%</w:t>
      </w:r>
      <w:r>
        <w:rPr>
          <w:rFonts w:hint="eastAsia" w:ascii="宋体" w:hAnsi="宋体"/>
          <w:bCs/>
          <w:color w:val="auto"/>
          <w:szCs w:val="21"/>
        </w:rPr>
        <w:t>（范围为4%-6%） 的扣除，用扣除后的价格参加评审，扣除后的价格为评审价，即评审价=竞标报价×（1-</w:t>
      </w:r>
      <w:r>
        <w:rPr>
          <w:rFonts w:ascii="宋体" w:hAnsi="宋体"/>
          <w:bCs/>
          <w:color w:val="auto"/>
          <w:szCs w:val="21"/>
          <w:u w:val="single"/>
        </w:rPr>
        <w:t xml:space="preserve"> </w:t>
      </w:r>
      <w:r>
        <w:rPr>
          <w:rFonts w:hint="eastAsia" w:ascii="宋体" w:hAnsi="宋体"/>
          <w:bCs/>
          <w:color w:val="auto"/>
          <w:szCs w:val="21"/>
          <w:u w:val="single"/>
        </w:rPr>
        <w:t>6</w:t>
      </w:r>
      <w:r>
        <w:rPr>
          <w:rFonts w:hint="eastAsia" w:ascii="宋体" w:hAnsi="宋体"/>
          <w:bCs/>
          <w:color w:val="auto"/>
          <w:szCs w:val="21"/>
        </w:rPr>
        <w:t>%）。</w:t>
      </w:r>
    </w:p>
    <w:p w14:paraId="6B5434A1">
      <w:pPr>
        <w:spacing w:line="360" w:lineRule="auto"/>
        <w:ind w:firstLine="420" w:firstLineChars="200"/>
        <w:rPr>
          <w:rFonts w:ascii="宋体" w:hAnsi="宋体" w:cs="宋体"/>
          <w:color w:val="auto"/>
          <w:szCs w:val="21"/>
        </w:rPr>
      </w:pPr>
      <w:r>
        <w:rPr>
          <w:rFonts w:ascii="宋体" w:hAnsi="宋体" w:cs="宋体"/>
          <w:color w:val="auto"/>
          <w:szCs w:val="21"/>
        </w:rPr>
        <w:t>6.</w:t>
      </w:r>
      <w:r>
        <w:rPr>
          <w:rFonts w:hint="eastAsia" w:ascii="宋体" w:hAnsi="宋体" w:cs="宋体"/>
          <w:color w:val="auto"/>
          <w:szCs w:val="21"/>
          <w:lang w:val="en-US" w:eastAsia="zh-CN"/>
        </w:rPr>
        <w:t>4</w:t>
      </w:r>
      <w:r>
        <w:rPr>
          <w:rFonts w:hint="eastAsia" w:ascii="宋体" w:hAnsi="宋体" w:cs="宋体"/>
          <w:color w:val="auto"/>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bCs/>
          <w:color w:val="auto"/>
          <w:szCs w:val="21"/>
        </w:rPr>
        <w:t>监狱企业属于小型、微型企业的，</w:t>
      </w:r>
      <w:r>
        <w:rPr>
          <w:rFonts w:hint="eastAsia" w:ascii="宋体" w:hAnsi="宋体" w:cs="宋体"/>
          <w:color w:val="auto"/>
          <w:szCs w:val="21"/>
        </w:rPr>
        <w:t>不重复享受政策。</w:t>
      </w:r>
    </w:p>
    <w:p w14:paraId="7986931F">
      <w:pPr>
        <w:spacing w:line="360" w:lineRule="auto"/>
        <w:ind w:firstLine="420" w:firstLineChars="200"/>
        <w:rPr>
          <w:rFonts w:hint="eastAsia" w:ascii="宋体" w:hAnsi="宋体" w:cs="宋体"/>
          <w:color w:val="auto"/>
        </w:rPr>
      </w:pPr>
      <w:r>
        <w:rPr>
          <w:rFonts w:ascii="宋体" w:hAnsi="宋体" w:cs="宋体"/>
          <w:color w:val="auto"/>
          <w:szCs w:val="21"/>
        </w:rPr>
        <w:t>6.</w:t>
      </w:r>
      <w:r>
        <w:rPr>
          <w:rFonts w:hint="eastAsia" w:ascii="宋体" w:hAnsi="宋体" w:cs="宋体"/>
          <w:color w:val="auto"/>
          <w:szCs w:val="21"/>
          <w:lang w:val="en-US" w:eastAsia="zh-CN"/>
        </w:rPr>
        <w:t>5</w:t>
      </w:r>
      <w:r>
        <w:rPr>
          <w:rFonts w:hint="eastAsia" w:ascii="宋体" w:hAnsi="宋体" w:cs="宋体"/>
          <w:color w:val="auto"/>
          <w:szCs w:val="21"/>
        </w:rPr>
        <w:t>按照《关于促进残疾人就业政府采购政策的通知》（财库〔2017〕141号）的规定，残疾人福利性单位视同小型、微型企业，享受预留份额、评审中价格扣除等</w:t>
      </w:r>
      <w:r>
        <w:rPr>
          <w:rFonts w:hint="eastAsia" w:ascii="宋体" w:hAnsi="宋体" w:cs="宋体"/>
          <w:color w:val="auto"/>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08B98CA">
      <w:pPr>
        <w:spacing w:line="360" w:lineRule="auto"/>
        <w:ind w:firstLine="420" w:firstLineChars="200"/>
        <w:rPr>
          <w:rFonts w:hint="eastAsia" w:ascii="宋体" w:hAnsi="宋体"/>
          <w:color w:val="auto"/>
          <w:szCs w:val="21"/>
        </w:rPr>
      </w:pPr>
      <w:r>
        <w:rPr>
          <w:rFonts w:hint="eastAsia" w:ascii="宋体" w:hAnsi="宋体"/>
          <w:color w:val="auto"/>
          <w:szCs w:val="21"/>
        </w:rPr>
        <w:t>6</w:t>
      </w:r>
      <w:r>
        <w:rPr>
          <w:rFonts w:ascii="宋体" w:hAnsi="宋体"/>
          <w:color w:val="auto"/>
          <w:szCs w:val="21"/>
        </w:rPr>
        <w:t>.6</w:t>
      </w:r>
      <w:r>
        <w:rPr>
          <w:rFonts w:hint="eastAsia" w:ascii="宋体" w:hAnsi="宋体"/>
          <w:color w:val="auto"/>
          <w:szCs w:val="21"/>
        </w:rPr>
        <w:t>本国产品政策性扣除计算方法。</w:t>
      </w:r>
    </w:p>
    <w:p w14:paraId="25E9C906">
      <w:pPr>
        <w:spacing w:line="360" w:lineRule="auto"/>
        <w:ind w:firstLine="420" w:firstLineChars="200"/>
        <w:rPr>
          <w:rFonts w:hint="eastAsia" w:ascii="宋体" w:hAnsi="宋体"/>
          <w:color w:val="auto"/>
          <w:szCs w:val="21"/>
        </w:rPr>
      </w:pPr>
      <w:r>
        <w:rPr>
          <w:rFonts w:hint="eastAsia" w:ascii="宋体" w:hAnsi="宋体"/>
          <w:color w:val="auto"/>
          <w:szCs w:val="21"/>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7409358F">
      <w:pPr>
        <w:spacing w:line="360" w:lineRule="auto"/>
        <w:ind w:firstLine="420" w:firstLineChars="200"/>
        <w:rPr>
          <w:rFonts w:ascii="宋体" w:hAnsi="宋体"/>
          <w:color w:val="auto"/>
          <w:szCs w:val="21"/>
        </w:rPr>
      </w:pPr>
      <w:r>
        <w:rPr>
          <w:rFonts w:hint="eastAsia" w:ascii="宋体" w:hAnsi="宋体"/>
          <w:color w:val="auto"/>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bookmarkStart w:id="63" w:name="OLE_LINK4"/>
      <w:bookmarkStart w:id="64" w:name="OLE_LINK3"/>
      <w:r>
        <w:rPr>
          <w:rFonts w:hint="eastAsia" w:hAnsi="宋体"/>
          <w:color w:val="auto"/>
        </w:rPr>
        <w:t>未达到80%，不享受价格评审优惠。</w:t>
      </w:r>
      <w:bookmarkEnd w:id="63"/>
      <w:bookmarkEnd w:id="64"/>
    </w:p>
    <w:p w14:paraId="707AEADD">
      <w:pPr>
        <w:spacing w:line="360" w:lineRule="auto"/>
        <w:ind w:firstLine="420" w:firstLineChars="200"/>
        <w:rPr>
          <w:rFonts w:hint="eastAsia" w:ascii="宋体" w:hAnsi="宋体"/>
          <w:color w:val="auto"/>
          <w:szCs w:val="21"/>
        </w:rPr>
      </w:pPr>
      <w:r>
        <w:rPr>
          <w:rFonts w:hint="eastAsia" w:hAnsi="宋体"/>
          <w:color w:val="auto"/>
        </w:rPr>
        <w:t>如果所有参与竞争的供应商均可享受本国产品价格评审优惠，则统一不进行价格扣除。</w:t>
      </w:r>
    </w:p>
    <w:p w14:paraId="305BF296">
      <w:pPr>
        <w:spacing w:line="360" w:lineRule="auto"/>
        <w:ind w:firstLine="420" w:firstLineChars="200"/>
        <w:rPr>
          <w:rFonts w:hint="eastAsia" w:ascii="宋体" w:hAnsi="宋体"/>
          <w:color w:val="auto"/>
          <w:szCs w:val="21"/>
        </w:rPr>
      </w:pPr>
      <w:r>
        <w:rPr>
          <w:rFonts w:hint="eastAsia" w:ascii="宋体" w:hAnsi="宋体"/>
          <w:color w:val="auto"/>
          <w:szCs w:val="21"/>
        </w:rPr>
        <w:t>供应商在其响应文件中提供《关于符合本国产品标准的声明函》或财政部会同有关部门规定的有关证明文件，出具符合要求的《声明函》或有关证明文件的，该产品视为本国产品。</w:t>
      </w:r>
    </w:p>
    <w:p w14:paraId="50304AAF">
      <w:pPr>
        <w:spacing w:line="360" w:lineRule="auto"/>
        <w:ind w:firstLine="420" w:firstLineChars="200"/>
        <w:rPr>
          <w:rFonts w:ascii="宋体" w:hAnsi="宋体" w:cs="宋体"/>
          <w:color w:val="auto"/>
          <w:szCs w:val="21"/>
        </w:rPr>
      </w:pPr>
      <w:r>
        <w:rPr>
          <w:rFonts w:hint="eastAsia" w:ascii="宋体" w:hAnsi="宋体"/>
          <w:color w:val="auto"/>
          <w:szCs w:val="21"/>
        </w:rPr>
        <w:t>6</w:t>
      </w:r>
      <w:r>
        <w:rPr>
          <w:rFonts w:ascii="宋体" w:hAnsi="宋体"/>
          <w:color w:val="auto"/>
          <w:szCs w:val="21"/>
        </w:rPr>
        <w:t>.7</w:t>
      </w:r>
      <w:r>
        <w:rPr>
          <w:rFonts w:hint="eastAsia" w:ascii="宋体" w:hAnsi="宋体"/>
          <w:color w:val="auto"/>
          <w:szCs w:val="21"/>
        </w:rPr>
        <w:t>中小企业政策性折扣与本国产品政策性折扣进行叠加计算，用扣除后的价格参加评审。即评审价=竞标报价-</w:t>
      </w:r>
      <w:r>
        <w:rPr>
          <w:rFonts w:hint="eastAsia" w:hAnsi="宋体" w:cs="Courier New"/>
          <w:bCs/>
          <w:color w:val="auto"/>
        </w:rPr>
        <w:t>中小企业政策性</w:t>
      </w:r>
      <w:r>
        <w:rPr>
          <w:rFonts w:hint="eastAsia" w:ascii="宋体" w:hAnsi="宋体"/>
          <w:color w:val="auto"/>
          <w:szCs w:val="21"/>
        </w:rPr>
        <w:t>折扣</w:t>
      </w:r>
      <w:r>
        <w:rPr>
          <w:rFonts w:hint="eastAsia" w:ascii="宋体" w:hAnsi="宋体"/>
          <w:color w:val="auto"/>
          <w:szCs w:val="21"/>
        </w:rPr>
        <w:t>-</w:t>
      </w:r>
      <w:r>
        <w:rPr>
          <w:rFonts w:hint="eastAsia" w:ascii="宋体" w:hAnsi="宋体"/>
          <w:color w:val="auto"/>
          <w:szCs w:val="21"/>
        </w:rPr>
        <w:t>本国产品政策性折扣</w:t>
      </w:r>
      <w:r>
        <w:rPr>
          <w:rFonts w:hint="eastAsia" w:ascii="宋体" w:hAnsi="宋体"/>
          <w:color w:val="auto"/>
          <w:szCs w:val="21"/>
        </w:rPr>
        <w:t>，除上述情况外，评审价=竞标报价。</w:t>
      </w:r>
    </w:p>
    <w:p w14:paraId="61E8954A">
      <w:pPr>
        <w:spacing w:line="360" w:lineRule="auto"/>
        <w:jc w:val="center"/>
        <w:rPr>
          <w:rFonts w:ascii="宋体" w:hAnsi="宋体"/>
          <w:b/>
          <w:color w:val="auto"/>
          <w:sz w:val="32"/>
          <w:szCs w:val="32"/>
        </w:rPr>
      </w:pPr>
      <w:r>
        <w:rPr>
          <w:rFonts w:hint="eastAsia" w:ascii="宋体" w:hAnsi="宋体"/>
          <w:b/>
          <w:color w:val="auto"/>
          <w:sz w:val="32"/>
          <w:szCs w:val="32"/>
        </w:rPr>
        <w:t>二、评定成交的标准</w:t>
      </w:r>
    </w:p>
    <w:p w14:paraId="4D62B1A8">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7.</w:t>
      </w:r>
      <w:r>
        <w:rPr>
          <w:rFonts w:hint="eastAsia" w:ascii="黑体" w:hAnsi="黑体" w:eastAsia="黑体" w:cs="宋体"/>
          <w:b/>
          <w:bCs/>
          <w:color w:val="auto"/>
          <w:sz w:val="24"/>
        </w:rPr>
        <w:t xml:space="preserve"> 成交候选人推荐</w:t>
      </w:r>
    </w:p>
    <w:p w14:paraId="2090AC49">
      <w:pPr>
        <w:spacing w:line="360" w:lineRule="auto"/>
        <w:ind w:firstLine="420" w:firstLineChars="200"/>
        <w:contextualSpacing/>
        <w:rPr>
          <w:color w:val="auto"/>
        </w:rPr>
      </w:pPr>
      <w:r>
        <w:rPr>
          <w:rFonts w:hint="eastAsia" w:ascii="宋体" w:hAnsi="宋体" w:cs="宋体"/>
          <w:color w:val="auto"/>
        </w:rPr>
        <w:t>谈判小组应当从质量和服务均能满足谈判文件实质性要求的供应商中，按照评审价由低到高的顺序提出不超过3名成交候选供应商（评审价相同时，按照最后报价由低到高顺序依次推荐；最后报价相同时，由谈判小组按“供应商须知前附表”第2</w:t>
      </w:r>
      <w:r>
        <w:rPr>
          <w:rFonts w:ascii="宋体" w:hAnsi="宋体" w:cs="宋体"/>
          <w:color w:val="auto"/>
        </w:rPr>
        <w:t>6</w:t>
      </w:r>
      <w:r>
        <w:rPr>
          <w:rFonts w:hint="eastAsia" w:ascii="宋体" w:hAnsi="宋体" w:cs="宋体"/>
          <w:color w:val="auto"/>
        </w:rPr>
        <w:t>条规定的顺序推荐），并编写评审报告，评审报告</w:t>
      </w:r>
      <w:r>
        <w:rPr>
          <w:rFonts w:hint="eastAsia" w:hAnsi="宋体"/>
          <w:color w:val="auto"/>
        </w:rPr>
        <w:t>通过电子交易平台向采购人、采购代理机构提交。</w:t>
      </w:r>
    </w:p>
    <w:p w14:paraId="133B26DE">
      <w:pPr>
        <w:rPr>
          <w:color w:val="auto"/>
        </w:rPr>
      </w:pPr>
    </w:p>
    <w:p w14:paraId="7CDD2BCB">
      <w:pPr>
        <w:rPr>
          <w:color w:val="auto"/>
        </w:rPr>
      </w:pPr>
    </w:p>
    <w:p w14:paraId="7AF800F4">
      <w:pPr>
        <w:pStyle w:val="90"/>
        <w:rPr>
          <w:color w:val="auto"/>
        </w:rPr>
      </w:pPr>
    </w:p>
    <w:p w14:paraId="5F33E2F1">
      <w:pPr>
        <w:pStyle w:val="90"/>
        <w:rPr>
          <w:color w:val="auto"/>
        </w:rPr>
      </w:pPr>
    </w:p>
    <w:p w14:paraId="4BAA561E">
      <w:pPr>
        <w:pStyle w:val="90"/>
        <w:rPr>
          <w:color w:val="auto"/>
        </w:rPr>
      </w:pPr>
    </w:p>
    <w:p w14:paraId="1F771D33">
      <w:pPr>
        <w:pStyle w:val="90"/>
        <w:rPr>
          <w:color w:val="auto"/>
        </w:rPr>
      </w:pPr>
    </w:p>
    <w:p w14:paraId="1ED9DDB3">
      <w:pPr>
        <w:pStyle w:val="90"/>
        <w:rPr>
          <w:color w:val="auto"/>
        </w:rPr>
      </w:pPr>
    </w:p>
    <w:p w14:paraId="2B13B2F0">
      <w:pPr>
        <w:pStyle w:val="90"/>
        <w:rPr>
          <w:color w:val="auto"/>
        </w:rPr>
      </w:pPr>
    </w:p>
    <w:p w14:paraId="49DAE654">
      <w:pPr>
        <w:pStyle w:val="90"/>
        <w:rPr>
          <w:color w:val="auto"/>
        </w:rPr>
      </w:pPr>
    </w:p>
    <w:p w14:paraId="31604DF6">
      <w:pPr>
        <w:pStyle w:val="90"/>
        <w:rPr>
          <w:color w:val="auto"/>
        </w:rPr>
      </w:pPr>
    </w:p>
    <w:p w14:paraId="4B772410">
      <w:pPr>
        <w:pStyle w:val="90"/>
        <w:rPr>
          <w:color w:val="auto"/>
        </w:rPr>
      </w:pPr>
    </w:p>
    <w:p w14:paraId="7381892B">
      <w:pPr>
        <w:pStyle w:val="90"/>
        <w:rPr>
          <w:color w:val="auto"/>
        </w:rPr>
      </w:pPr>
    </w:p>
    <w:p w14:paraId="0A59590A">
      <w:pPr>
        <w:pStyle w:val="90"/>
        <w:rPr>
          <w:color w:val="auto"/>
        </w:rPr>
      </w:pPr>
    </w:p>
    <w:p w14:paraId="5B8D7B6C">
      <w:pPr>
        <w:pStyle w:val="90"/>
        <w:rPr>
          <w:color w:val="auto"/>
        </w:rPr>
      </w:pPr>
    </w:p>
    <w:p w14:paraId="0A465580">
      <w:pPr>
        <w:pStyle w:val="90"/>
        <w:rPr>
          <w:color w:val="auto"/>
        </w:rPr>
      </w:pPr>
    </w:p>
    <w:p w14:paraId="4C6E2A48">
      <w:pPr>
        <w:pStyle w:val="90"/>
        <w:rPr>
          <w:color w:val="auto"/>
        </w:rPr>
      </w:pPr>
    </w:p>
    <w:p w14:paraId="30956FE7">
      <w:pPr>
        <w:pStyle w:val="90"/>
        <w:rPr>
          <w:color w:val="auto"/>
        </w:rPr>
      </w:pPr>
    </w:p>
    <w:p w14:paraId="06A9AB9D">
      <w:pPr>
        <w:pStyle w:val="90"/>
        <w:rPr>
          <w:color w:val="auto"/>
        </w:rPr>
      </w:pPr>
    </w:p>
    <w:p w14:paraId="4D1A9EAC">
      <w:pPr>
        <w:pStyle w:val="90"/>
        <w:rPr>
          <w:color w:val="auto"/>
        </w:rPr>
      </w:pPr>
    </w:p>
    <w:p w14:paraId="40259482">
      <w:pPr>
        <w:pStyle w:val="90"/>
        <w:rPr>
          <w:color w:val="auto"/>
        </w:rPr>
      </w:pPr>
    </w:p>
    <w:p w14:paraId="57E4E78E">
      <w:pPr>
        <w:pStyle w:val="90"/>
        <w:rPr>
          <w:color w:val="auto"/>
        </w:rPr>
      </w:pPr>
    </w:p>
    <w:p w14:paraId="4A8725DA">
      <w:pPr>
        <w:pStyle w:val="90"/>
        <w:rPr>
          <w:color w:val="auto"/>
        </w:rPr>
      </w:pPr>
    </w:p>
    <w:p w14:paraId="2D31039D">
      <w:pPr>
        <w:rPr>
          <w:color w:val="auto"/>
        </w:rPr>
      </w:pPr>
    </w:p>
    <w:p w14:paraId="2AE9F9E6">
      <w:pPr>
        <w:rPr>
          <w:color w:val="auto"/>
        </w:rPr>
      </w:pPr>
    </w:p>
    <w:p w14:paraId="3FEB0062">
      <w:pPr>
        <w:rPr>
          <w:color w:val="auto"/>
        </w:rPr>
      </w:pPr>
    </w:p>
    <w:p w14:paraId="12362589">
      <w:pPr>
        <w:rPr>
          <w:color w:val="auto"/>
        </w:rPr>
      </w:pPr>
    </w:p>
    <w:p w14:paraId="373C0F70">
      <w:pPr>
        <w:rPr>
          <w:color w:val="auto"/>
        </w:rPr>
      </w:pPr>
    </w:p>
    <w:p w14:paraId="4F1C04BB">
      <w:pPr>
        <w:rPr>
          <w:color w:val="auto"/>
        </w:rPr>
      </w:pPr>
    </w:p>
    <w:p w14:paraId="77189278">
      <w:pPr>
        <w:rPr>
          <w:color w:val="auto"/>
        </w:rPr>
      </w:pPr>
    </w:p>
    <w:p w14:paraId="5132D9B6">
      <w:pPr>
        <w:pStyle w:val="9"/>
        <w:jc w:val="center"/>
        <w:rPr>
          <w:color w:val="auto"/>
        </w:rPr>
      </w:pPr>
      <w:bookmarkStart w:id="65" w:name="_Toc29999"/>
      <w:r>
        <w:rPr>
          <w:rFonts w:hint="eastAsia"/>
          <w:color w:val="auto"/>
        </w:rPr>
        <w:t>第五章 响应文件格式</w:t>
      </w:r>
      <w:bookmarkEnd w:id="65"/>
    </w:p>
    <w:p w14:paraId="627C7B24">
      <w:pPr>
        <w:spacing w:line="240" w:lineRule="atLeast"/>
        <w:rPr>
          <w:rFonts w:ascii="宋体" w:hAnsi="宋体"/>
          <w:b/>
          <w:color w:val="auto"/>
          <w:sz w:val="32"/>
          <w:szCs w:val="32"/>
        </w:rPr>
      </w:pPr>
    </w:p>
    <w:p w14:paraId="0519E4F5">
      <w:pPr>
        <w:spacing w:line="240" w:lineRule="atLeast"/>
        <w:rPr>
          <w:rFonts w:ascii="宋体" w:hAnsi="宋体"/>
          <w:b/>
          <w:color w:val="auto"/>
          <w:sz w:val="32"/>
          <w:szCs w:val="32"/>
        </w:rPr>
      </w:pPr>
    </w:p>
    <w:p w14:paraId="4CCAEF1E">
      <w:pPr>
        <w:spacing w:line="240" w:lineRule="atLeast"/>
        <w:rPr>
          <w:rFonts w:ascii="宋体" w:hAnsi="宋体"/>
          <w:b/>
          <w:color w:val="auto"/>
          <w:sz w:val="32"/>
          <w:szCs w:val="32"/>
        </w:rPr>
      </w:pPr>
    </w:p>
    <w:p w14:paraId="3FE7377E">
      <w:pPr>
        <w:spacing w:line="240" w:lineRule="atLeast"/>
        <w:rPr>
          <w:rFonts w:ascii="宋体" w:hAnsi="宋体"/>
          <w:b/>
          <w:color w:val="auto"/>
          <w:sz w:val="32"/>
          <w:szCs w:val="32"/>
        </w:rPr>
      </w:pPr>
    </w:p>
    <w:p w14:paraId="353C002B">
      <w:pPr>
        <w:spacing w:line="240" w:lineRule="atLeast"/>
        <w:rPr>
          <w:rFonts w:ascii="宋体" w:hAnsi="宋体"/>
          <w:b/>
          <w:color w:val="auto"/>
          <w:sz w:val="32"/>
          <w:szCs w:val="32"/>
        </w:rPr>
      </w:pPr>
    </w:p>
    <w:p w14:paraId="61BBFB6A">
      <w:pPr>
        <w:spacing w:line="240" w:lineRule="atLeast"/>
        <w:rPr>
          <w:rFonts w:ascii="宋体" w:hAnsi="宋体"/>
          <w:b/>
          <w:color w:val="auto"/>
          <w:sz w:val="32"/>
          <w:szCs w:val="32"/>
        </w:rPr>
      </w:pPr>
    </w:p>
    <w:p w14:paraId="4B68E2F8">
      <w:pPr>
        <w:spacing w:line="240" w:lineRule="atLeast"/>
        <w:rPr>
          <w:rFonts w:ascii="宋体" w:hAnsi="宋体"/>
          <w:b/>
          <w:color w:val="auto"/>
          <w:sz w:val="32"/>
          <w:szCs w:val="32"/>
        </w:rPr>
      </w:pPr>
    </w:p>
    <w:p w14:paraId="15003C25">
      <w:pPr>
        <w:spacing w:line="240" w:lineRule="atLeast"/>
        <w:rPr>
          <w:rFonts w:ascii="宋体" w:hAnsi="宋体"/>
          <w:b/>
          <w:color w:val="auto"/>
          <w:sz w:val="32"/>
          <w:szCs w:val="32"/>
        </w:rPr>
      </w:pPr>
    </w:p>
    <w:p w14:paraId="3A688B40">
      <w:pPr>
        <w:spacing w:line="240" w:lineRule="atLeast"/>
        <w:rPr>
          <w:rFonts w:ascii="宋体" w:hAnsi="宋体"/>
          <w:b/>
          <w:color w:val="auto"/>
          <w:sz w:val="32"/>
          <w:szCs w:val="32"/>
        </w:rPr>
      </w:pPr>
    </w:p>
    <w:p w14:paraId="07F4869A">
      <w:pPr>
        <w:spacing w:line="240" w:lineRule="atLeast"/>
        <w:rPr>
          <w:rFonts w:ascii="宋体" w:hAnsi="宋体"/>
          <w:b/>
          <w:color w:val="auto"/>
          <w:sz w:val="32"/>
          <w:szCs w:val="32"/>
        </w:rPr>
      </w:pPr>
    </w:p>
    <w:p w14:paraId="68855A66">
      <w:pPr>
        <w:spacing w:line="240" w:lineRule="atLeast"/>
        <w:rPr>
          <w:rFonts w:ascii="宋体" w:hAnsi="宋体"/>
          <w:b/>
          <w:color w:val="auto"/>
          <w:sz w:val="32"/>
          <w:szCs w:val="32"/>
        </w:rPr>
      </w:pPr>
    </w:p>
    <w:p w14:paraId="3142BBF0">
      <w:pPr>
        <w:spacing w:line="240" w:lineRule="atLeast"/>
        <w:rPr>
          <w:rFonts w:ascii="宋体" w:hAnsi="宋体"/>
          <w:b/>
          <w:color w:val="auto"/>
          <w:sz w:val="32"/>
          <w:szCs w:val="32"/>
        </w:rPr>
      </w:pPr>
    </w:p>
    <w:p w14:paraId="23420EBB">
      <w:pPr>
        <w:spacing w:line="240" w:lineRule="atLeast"/>
        <w:rPr>
          <w:rFonts w:ascii="宋体" w:hAnsi="宋体"/>
          <w:b/>
          <w:color w:val="auto"/>
          <w:sz w:val="32"/>
          <w:szCs w:val="32"/>
        </w:rPr>
      </w:pPr>
    </w:p>
    <w:p w14:paraId="21D9E159">
      <w:pPr>
        <w:spacing w:line="240" w:lineRule="atLeast"/>
        <w:rPr>
          <w:rFonts w:ascii="宋体" w:hAnsi="宋体"/>
          <w:b/>
          <w:color w:val="auto"/>
          <w:sz w:val="32"/>
          <w:szCs w:val="32"/>
        </w:rPr>
      </w:pPr>
    </w:p>
    <w:p w14:paraId="1D586B44">
      <w:pPr>
        <w:spacing w:before="50" w:after="50"/>
        <w:outlineLvl w:val="1"/>
        <w:rPr>
          <w:rFonts w:ascii="宋体" w:hAnsi="宋体"/>
          <w:b/>
          <w:bCs/>
          <w:color w:val="auto"/>
          <w:sz w:val="24"/>
        </w:rPr>
      </w:pPr>
    </w:p>
    <w:p w14:paraId="791A3499">
      <w:pPr>
        <w:rPr>
          <w:b/>
          <w:color w:val="auto"/>
          <w:sz w:val="32"/>
          <w:szCs w:val="32"/>
        </w:rPr>
      </w:pPr>
    </w:p>
    <w:p w14:paraId="625987F8">
      <w:pPr>
        <w:rPr>
          <w:b/>
          <w:color w:val="auto"/>
          <w:sz w:val="32"/>
          <w:szCs w:val="32"/>
        </w:rPr>
      </w:pPr>
    </w:p>
    <w:p w14:paraId="2BCABB0D">
      <w:pPr>
        <w:rPr>
          <w:b/>
          <w:color w:val="auto"/>
          <w:sz w:val="32"/>
          <w:szCs w:val="32"/>
        </w:rPr>
      </w:pPr>
      <w:r>
        <w:rPr>
          <w:rFonts w:hint="eastAsia"/>
          <w:b/>
          <w:color w:val="auto"/>
          <w:sz w:val="32"/>
          <w:szCs w:val="32"/>
        </w:rPr>
        <w:t>一、资格证明文件格式</w:t>
      </w:r>
    </w:p>
    <w:p w14:paraId="09C47ED1">
      <w:pPr>
        <w:spacing w:before="120" w:after="50" w:line="360" w:lineRule="auto"/>
        <w:jc w:val="left"/>
        <w:rPr>
          <w:rFonts w:ascii="宋体" w:hAnsi="宋体"/>
          <w:b/>
          <w:color w:val="auto"/>
          <w:sz w:val="24"/>
        </w:rPr>
      </w:pPr>
      <w:r>
        <w:rPr>
          <w:rFonts w:hint="eastAsia" w:ascii="宋体" w:hAnsi="宋体"/>
          <w:b/>
          <w:color w:val="auto"/>
          <w:sz w:val="32"/>
          <w:szCs w:val="32"/>
        </w:rPr>
        <w:t>1.资格证明文件封面格式：</w:t>
      </w:r>
      <w:r>
        <w:rPr>
          <w:rFonts w:hint="eastAsia" w:ascii="宋体" w:hAnsi="宋体"/>
          <w:b/>
          <w:color w:val="auto"/>
          <w:sz w:val="24"/>
        </w:rPr>
        <w:t xml:space="preserve"> </w:t>
      </w:r>
    </w:p>
    <w:p w14:paraId="585B99F2">
      <w:pPr>
        <w:spacing w:before="120" w:after="50"/>
        <w:rPr>
          <w:rFonts w:ascii="宋体" w:hAnsi="宋体"/>
          <w:bCs/>
          <w:color w:val="auto"/>
          <w:sz w:val="32"/>
          <w:szCs w:val="20"/>
        </w:rPr>
      </w:pPr>
      <w:r>
        <w:rPr>
          <w:rFonts w:hint="eastAsia" w:ascii="宋体" w:hAnsi="宋体"/>
          <w:color w:val="auto"/>
          <w:sz w:val="24"/>
        </w:rPr>
        <w:t xml:space="preserve">                                                    </w:t>
      </w:r>
    </w:p>
    <w:p w14:paraId="76A9FE58">
      <w:pPr>
        <w:spacing w:before="120" w:after="50"/>
        <w:jc w:val="center"/>
        <w:rPr>
          <w:rFonts w:ascii="宋体" w:hAnsi="宋体"/>
          <w:color w:val="auto"/>
          <w:sz w:val="44"/>
          <w:szCs w:val="44"/>
        </w:rPr>
      </w:pPr>
      <w:r>
        <w:rPr>
          <w:rFonts w:hint="eastAsia" w:ascii="宋体" w:hAnsi="宋体"/>
          <w:color w:val="auto"/>
          <w:sz w:val="44"/>
          <w:szCs w:val="44"/>
        </w:rPr>
        <w:t>电 子 响 应 文 件</w:t>
      </w:r>
    </w:p>
    <w:p w14:paraId="58BD1269">
      <w:pPr>
        <w:spacing w:before="120" w:after="50"/>
        <w:rPr>
          <w:rFonts w:ascii="宋体" w:hAnsi="宋体"/>
          <w:color w:val="auto"/>
          <w:sz w:val="24"/>
          <w:szCs w:val="20"/>
        </w:rPr>
      </w:pPr>
    </w:p>
    <w:p w14:paraId="0EA44627">
      <w:pPr>
        <w:spacing w:before="120" w:after="50"/>
        <w:jc w:val="center"/>
        <w:rPr>
          <w:rFonts w:ascii="Arial Unicode MS" w:hAnsi="Arial Unicode MS" w:eastAsia="Arial Unicode MS" w:cs="Arial Unicode MS"/>
          <w:bCs/>
          <w:color w:val="auto"/>
          <w:sz w:val="44"/>
          <w:szCs w:val="44"/>
        </w:rPr>
      </w:pPr>
      <w:r>
        <w:rPr>
          <w:rFonts w:hint="eastAsia" w:ascii="Arial Unicode MS" w:hAnsi="Arial Unicode MS" w:eastAsia="Arial Unicode MS" w:cs="Arial Unicode MS"/>
          <w:bCs/>
          <w:color w:val="auto"/>
          <w:sz w:val="44"/>
          <w:szCs w:val="44"/>
        </w:rPr>
        <w:t>资  格  证  明  文  件</w:t>
      </w:r>
    </w:p>
    <w:p w14:paraId="0ED83977">
      <w:pPr>
        <w:spacing w:before="120" w:after="50"/>
        <w:rPr>
          <w:rFonts w:ascii="宋体" w:hAnsi="宋体"/>
          <w:bCs/>
          <w:color w:val="auto"/>
          <w:sz w:val="24"/>
          <w:szCs w:val="20"/>
        </w:rPr>
      </w:pPr>
    </w:p>
    <w:p w14:paraId="0D6CAE3F">
      <w:pPr>
        <w:spacing w:before="120" w:after="50"/>
        <w:rPr>
          <w:rFonts w:ascii="宋体" w:hAnsi="宋体"/>
          <w:bCs/>
          <w:color w:val="auto"/>
          <w:sz w:val="24"/>
          <w:szCs w:val="20"/>
        </w:rPr>
      </w:pPr>
    </w:p>
    <w:p w14:paraId="3F91FC52">
      <w:pPr>
        <w:spacing w:before="120" w:after="50"/>
        <w:rPr>
          <w:rFonts w:ascii="宋体" w:hAnsi="宋体"/>
          <w:bCs/>
          <w:color w:val="auto"/>
          <w:sz w:val="24"/>
          <w:szCs w:val="20"/>
        </w:rPr>
      </w:pPr>
    </w:p>
    <w:p w14:paraId="1DC0787A">
      <w:pPr>
        <w:spacing w:before="120" w:after="50"/>
        <w:rPr>
          <w:rFonts w:ascii="宋体" w:hAnsi="宋体"/>
          <w:bCs/>
          <w:color w:val="auto"/>
          <w:sz w:val="24"/>
          <w:szCs w:val="20"/>
        </w:rPr>
      </w:pPr>
    </w:p>
    <w:p w14:paraId="72FCE742">
      <w:pPr>
        <w:spacing w:before="120" w:after="50"/>
        <w:rPr>
          <w:rFonts w:ascii="宋体" w:hAnsi="宋体"/>
          <w:bCs/>
          <w:color w:val="auto"/>
          <w:sz w:val="24"/>
          <w:szCs w:val="20"/>
        </w:rPr>
      </w:pPr>
    </w:p>
    <w:p w14:paraId="60A10DE0">
      <w:pPr>
        <w:spacing w:before="12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项目名称：</w:t>
      </w:r>
    </w:p>
    <w:p w14:paraId="7714A368">
      <w:pPr>
        <w:spacing w:before="120" w:after="50"/>
        <w:ind w:firstLine="720" w:firstLineChars="225"/>
        <w:rPr>
          <w:rFonts w:ascii="宋体" w:hAnsi="宋体" w:cs="仿宋_GB2312"/>
          <w:bCs/>
          <w:color w:val="auto"/>
          <w:sz w:val="32"/>
          <w:szCs w:val="32"/>
        </w:rPr>
      </w:pPr>
    </w:p>
    <w:p w14:paraId="0BC4067A">
      <w:pPr>
        <w:spacing w:before="120" w:after="50"/>
        <w:ind w:firstLine="720" w:firstLineChars="225"/>
        <w:rPr>
          <w:rFonts w:ascii="宋体" w:hAnsi="宋体" w:cs="仿宋_GB2312"/>
          <w:bCs/>
          <w:color w:val="auto"/>
          <w:sz w:val="32"/>
          <w:szCs w:val="32"/>
        </w:rPr>
      </w:pPr>
      <w:r>
        <w:rPr>
          <w:rFonts w:hint="eastAsia" w:ascii="宋体" w:hAnsi="宋体" w:cs="仿宋_GB2312"/>
          <w:bCs/>
          <w:color w:val="auto"/>
          <w:sz w:val="32"/>
          <w:szCs w:val="32"/>
        </w:rPr>
        <w:t>项目编号：</w:t>
      </w:r>
    </w:p>
    <w:p w14:paraId="4A78753F">
      <w:pPr>
        <w:spacing w:before="120" w:after="50"/>
        <w:ind w:firstLine="720" w:firstLineChars="225"/>
        <w:rPr>
          <w:rFonts w:ascii="宋体" w:hAnsi="宋体" w:cs="仿宋_GB2312"/>
          <w:bCs/>
          <w:color w:val="auto"/>
          <w:sz w:val="32"/>
          <w:szCs w:val="32"/>
        </w:rPr>
      </w:pPr>
      <w:r>
        <w:rPr>
          <w:rFonts w:hint="eastAsia" w:ascii="宋体" w:hAnsi="宋体" w:cs="仿宋_GB2312"/>
          <w:bCs/>
          <w:color w:val="auto"/>
          <w:sz w:val="32"/>
          <w:szCs w:val="32"/>
        </w:rPr>
        <w:t xml:space="preserve"> </w:t>
      </w:r>
    </w:p>
    <w:p w14:paraId="1153BAD1">
      <w:pPr>
        <w:spacing w:before="120" w:after="50"/>
        <w:ind w:firstLine="720" w:firstLineChars="225"/>
        <w:rPr>
          <w:rFonts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4B81FAB3">
      <w:pPr>
        <w:spacing w:before="120" w:after="50"/>
        <w:ind w:firstLine="720" w:firstLineChars="225"/>
        <w:rPr>
          <w:rFonts w:ascii="宋体" w:hAnsi="宋体" w:cs="仿宋_GB2312"/>
          <w:bCs/>
          <w:color w:val="auto"/>
          <w:sz w:val="32"/>
          <w:szCs w:val="32"/>
        </w:rPr>
      </w:pPr>
    </w:p>
    <w:p w14:paraId="255D8E25">
      <w:pPr>
        <w:pStyle w:val="14"/>
        <w:spacing w:before="50" w:after="50"/>
        <w:ind w:firstLine="720" w:firstLineChars="225"/>
        <w:rPr>
          <w:rFonts w:ascii="宋体" w:hAnsi="宋体" w:cs="仿宋_GB2312"/>
          <w:bCs/>
          <w:color w:val="auto"/>
          <w:sz w:val="32"/>
          <w:szCs w:val="32"/>
        </w:rPr>
      </w:pPr>
      <w:r>
        <w:rPr>
          <w:rFonts w:hint="eastAsia" w:ascii="宋体" w:hAnsi="宋体" w:cs="仿宋_GB2312"/>
          <w:bCs/>
          <w:color w:val="auto"/>
          <w:sz w:val="32"/>
          <w:szCs w:val="32"/>
        </w:rPr>
        <w:t>供应商名称：</w:t>
      </w:r>
    </w:p>
    <w:p w14:paraId="0F4DD0FD">
      <w:pPr>
        <w:spacing w:before="120" w:after="50"/>
        <w:ind w:firstLine="640" w:firstLineChars="200"/>
        <w:rPr>
          <w:rFonts w:ascii="宋体" w:hAnsi="宋体" w:cs="仿宋_GB2312"/>
          <w:bCs/>
          <w:color w:val="auto"/>
          <w:sz w:val="32"/>
          <w:szCs w:val="32"/>
        </w:rPr>
      </w:pPr>
    </w:p>
    <w:p w14:paraId="69063360">
      <w:pPr>
        <w:pStyle w:val="14"/>
        <w:spacing w:before="50" w:after="50"/>
        <w:ind w:firstLine="720" w:firstLineChars="225"/>
        <w:rPr>
          <w:rFonts w:ascii="宋体" w:hAnsi="宋体" w:cs="仿宋_GB2312"/>
          <w:bCs/>
          <w:color w:val="auto"/>
          <w:sz w:val="32"/>
          <w:szCs w:val="32"/>
        </w:rPr>
      </w:pPr>
    </w:p>
    <w:p w14:paraId="3FC30BD7">
      <w:pPr>
        <w:pStyle w:val="14"/>
        <w:spacing w:before="50" w:after="50"/>
        <w:ind w:firstLine="720" w:firstLineChars="225"/>
        <w:rPr>
          <w:rFonts w:ascii="宋体" w:hAnsi="宋体" w:cs="仿宋_GB2312"/>
          <w:bCs/>
          <w:color w:val="auto"/>
          <w:sz w:val="32"/>
          <w:szCs w:val="32"/>
        </w:rPr>
      </w:pPr>
    </w:p>
    <w:p w14:paraId="1ADE2BBE">
      <w:pPr>
        <w:pStyle w:val="14"/>
        <w:spacing w:before="50" w:after="50"/>
        <w:ind w:firstLine="1280" w:firstLineChars="400"/>
        <w:rPr>
          <w:rFonts w:ascii="宋体" w:hAnsi="宋体" w:cs="仿宋_GB2312"/>
          <w:bCs/>
          <w:color w:val="auto"/>
          <w:sz w:val="32"/>
          <w:szCs w:val="32"/>
        </w:rPr>
      </w:pPr>
    </w:p>
    <w:p w14:paraId="6224F0F4">
      <w:pPr>
        <w:spacing w:before="120" w:after="50"/>
        <w:jc w:val="center"/>
        <w:rPr>
          <w:rFonts w:ascii="宋体" w:hAnsi="宋体" w:cs="仿宋_GB2312"/>
          <w:color w:val="auto"/>
          <w:sz w:val="32"/>
          <w:szCs w:val="32"/>
        </w:rPr>
      </w:pPr>
      <w:r>
        <w:rPr>
          <w:rFonts w:hint="eastAsia" w:ascii="宋体" w:hAnsi="宋体" w:cs="仿宋_GB2312"/>
          <w:color w:val="auto"/>
          <w:sz w:val="32"/>
          <w:szCs w:val="32"/>
        </w:rPr>
        <w:t>年    月    日</w:t>
      </w:r>
    </w:p>
    <w:p w14:paraId="4C077C9F">
      <w:pPr>
        <w:spacing w:before="120" w:after="50" w:line="360" w:lineRule="auto"/>
        <w:ind w:left="142"/>
        <w:jc w:val="left"/>
        <w:rPr>
          <w:rFonts w:ascii="宋体" w:hAnsi="宋体"/>
          <w:b/>
          <w:bCs/>
          <w:color w:val="auto"/>
          <w:sz w:val="32"/>
          <w:szCs w:val="32"/>
        </w:rPr>
      </w:pPr>
      <w:r>
        <w:rPr>
          <w:rFonts w:ascii="宋体" w:hAnsi="宋体"/>
          <w:color w:val="auto"/>
          <w:sz w:val="24"/>
        </w:rPr>
        <w:br w:type="page"/>
      </w:r>
      <w:r>
        <w:rPr>
          <w:rFonts w:hint="eastAsia" w:ascii="宋体" w:hAnsi="宋体"/>
          <w:b/>
          <w:bCs/>
          <w:color w:val="auto"/>
          <w:sz w:val="32"/>
          <w:szCs w:val="32"/>
        </w:rPr>
        <w:t>2.资格证明文件目录</w:t>
      </w:r>
    </w:p>
    <w:p w14:paraId="6C134D46">
      <w:pPr>
        <w:spacing w:before="120" w:after="50" w:line="360" w:lineRule="auto"/>
        <w:ind w:firstLine="645"/>
        <w:rPr>
          <w:rFonts w:ascii="宋体" w:hAnsi="宋体"/>
          <w:color w:val="auto"/>
          <w:sz w:val="32"/>
          <w:szCs w:val="32"/>
        </w:rPr>
      </w:pPr>
      <w:r>
        <w:rPr>
          <w:rFonts w:hint="eastAsia" w:ascii="宋体" w:hAnsi="宋体"/>
          <w:color w:val="auto"/>
          <w:sz w:val="32"/>
          <w:szCs w:val="32"/>
        </w:rPr>
        <w:t>根据谈判文件规定及供应商提供的材料自行编写目录（部分格式后附）。</w:t>
      </w:r>
    </w:p>
    <w:p w14:paraId="4263E922">
      <w:pPr>
        <w:pStyle w:val="90"/>
        <w:rPr>
          <w:rFonts w:ascii="宋体" w:hAnsi="宋体"/>
          <w:color w:val="auto"/>
          <w:sz w:val="32"/>
          <w:szCs w:val="32"/>
        </w:rPr>
      </w:pPr>
    </w:p>
    <w:p w14:paraId="11EE2DBC">
      <w:pPr>
        <w:pStyle w:val="90"/>
        <w:rPr>
          <w:rFonts w:ascii="宋体" w:hAnsi="宋体"/>
          <w:color w:val="auto"/>
          <w:sz w:val="32"/>
          <w:szCs w:val="32"/>
        </w:rPr>
      </w:pPr>
    </w:p>
    <w:p w14:paraId="5C6DBC6F">
      <w:pPr>
        <w:pStyle w:val="90"/>
        <w:rPr>
          <w:rFonts w:ascii="宋体" w:hAnsi="宋体"/>
          <w:color w:val="auto"/>
          <w:sz w:val="32"/>
          <w:szCs w:val="32"/>
        </w:rPr>
      </w:pPr>
    </w:p>
    <w:p w14:paraId="55C37A3E">
      <w:pPr>
        <w:pStyle w:val="90"/>
        <w:rPr>
          <w:rFonts w:ascii="宋体" w:hAnsi="宋体"/>
          <w:color w:val="auto"/>
          <w:sz w:val="32"/>
          <w:szCs w:val="32"/>
        </w:rPr>
      </w:pPr>
    </w:p>
    <w:p w14:paraId="6DA12C6A">
      <w:pPr>
        <w:pStyle w:val="90"/>
        <w:rPr>
          <w:rFonts w:ascii="宋体" w:hAnsi="宋体"/>
          <w:color w:val="auto"/>
          <w:sz w:val="32"/>
          <w:szCs w:val="32"/>
        </w:rPr>
      </w:pPr>
    </w:p>
    <w:p w14:paraId="66BC1798">
      <w:pPr>
        <w:pStyle w:val="90"/>
        <w:rPr>
          <w:rFonts w:ascii="宋体" w:hAnsi="宋体"/>
          <w:color w:val="auto"/>
          <w:sz w:val="32"/>
          <w:szCs w:val="32"/>
        </w:rPr>
      </w:pPr>
    </w:p>
    <w:p w14:paraId="3EE19B69">
      <w:pPr>
        <w:pStyle w:val="90"/>
        <w:rPr>
          <w:rFonts w:ascii="宋体" w:hAnsi="宋体"/>
          <w:color w:val="auto"/>
          <w:sz w:val="32"/>
          <w:szCs w:val="32"/>
        </w:rPr>
      </w:pPr>
    </w:p>
    <w:p w14:paraId="7A4EB1FB">
      <w:pPr>
        <w:pStyle w:val="90"/>
        <w:rPr>
          <w:rFonts w:ascii="宋体" w:hAnsi="宋体"/>
          <w:color w:val="auto"/>
          <w:sz w:val="32"/>
          <w:szCs w:val="32"/>
        </w:rPr>
      </w:pPr>
    </w:p>
    <w:p w14:paraId="2455402E">
      <w:pPr>
        <w:pStyle w:val="90"/>
        <w:rPr>
          <w:rFonts w:ascii="宋体" w:hAnsi="宋体"/>
          <w:color w:val="auto"/>
          <w:sz w:val="32"/>
          <w:szCs w:val="32"/>
        </w:rPr>
      </w:pPr>
    </w:p>
    <w:p w14:paraId="2E6A844B">
      <w:pPr>
        <w:pStyle w:val="90"/>
        <w:rPr>
          <w:rFonts w:ascii="宋体" w:hAnsi="宋体"/>
          <w:color w:val="auto"/>
          <w:sz w:val="32"/>
          <w:szCs w:val="32"/>
        </w:rPr>
      </w:pPr>
    </w:p>
    <w:p w14:paraId="4E9E65A8">
      <w:pPr>
        <w:pStyle w:val="90"/>
        <w:rPr>
          <w:rFonts w:ascii="宋体" w:hAnsi="宋体"/>
          <w:color w:val="auto"/>
          <w:sz w:val="32"/>
          <w:szCs w:val="32"/>
        </w:rPr>
      </w:pPr>
    </w:p>
    <w:p w14:paraId="23E8AC6C">
      <w:pPr>
        <w:pStyle w:val="90"/>
        <w:rPr>
          <w:rFonts w:ascii="宋体" w:hAnsi="宋体"/>
          <w:color w:val="auto"/>
          <w:sz w:val="32"/>
          <w:szCs w:val="32"/>
        </w:rPr>
      </w:pPr>
    </w:p>
    <w:p w14:paraId="243FC6B3">
      <w:pPr>
        <w:pStyle w:val="90"/>
        <w:rPr>
          <w:rFonts w:ascii="宋体" w:hAnsi="宋体"/>
          <w:color w:val="auto"/>
          <w:sz w:val="32"/>
          <w:szCs w:val="32"/>
        </w:rPr>
      </w:pPr>
    </w:p>
    <w:p w14:paraId="71EA0E93">
      <w:pPr>
        <w:pStyle w:val="90"/>
        <w:rPr>
          <w:rFonts w:ascii="宋体" w:hAnsi="宋体"/>
          <w:color w:val="auto"/>
          <w:sz w:val="32"/>
          <w:szCs w:val="32"/>
        </w:rPr>
      </w:pPr>
    </w:p>
    <w:p w14:paraId="18B7CE74">
      <w:pPr>
        <w:pStyle w:val="90"/>
        <w:rPr>
          <w:rFonts w:ascii="宋体" w:hAnsi="宋体"/>
          <w:color w:val="auto"/>
          <w:sz w:val="32"/>
          <w:szCs w:val="32"/>
        </w:rPr>
      </w:pPr>
    </w:p>
    <w:p w14:paraId="2A884117">
      <w:pPr>
        <w:pStyle w:val="90"/>
        <w:rPr>
          <w:rFonts w:ascii="宋体" w:hAnsi="宋体"/>
          <w:color w:val="auto"/>
          <w:sz w:val="32"/>
          <w:szCs w:val="32"/>
        </w:rPr>
      </w:pPr>
    </w:p>
    <w:p w14:paraId="1E69C404">
      <w:pPr>
        <w:pStyle w:val="90"/>
        <w:rPr>
          <w:rFonts w:ascii="宋体" w:hAnsi="宋体"/>
          <w:color w:val="auto"/>
          <w:sz w:val="32"/>
          <w:szCs w:val="32"/>
        </w:rPr>
      </w:pPr>
    </w:p>
    <w:p w14:paraId="4923F34B">
      <w:pPr>
        <w:pStyle w:val="90"/>
        <w:rPr>
          <w:rFonts w:ascii="宋体" w:hAnsi="宋体"/>
          <w:color w:val="auto"/>
          <w:sz w:val="32"/>
          <w:szCs w:val="32"/>
        </w:rPr>
      </w:pPr>
    </w:p>
    <w:p w14:paraId="337CC2FD">
      <w:pPr>
        <w:pStyle w:val="90"/>
        <w:rPr>
          <w:rFonts w:ascii="宋体" w:hAnsi="宋体"/>
          <w:color w:val="auto"/>
          <w:sz w:val="32"/>
          <w:szCs w:val="32"/>
        </w:rPr>
      </w:pPr>
    </w:p>
    <w:p w14:paraId="39D87CFC">
      <w:pPr>
        <w:pStyle w:val="90"/>
        <w:rPr>
          <w:rFonts w:ascii="宋体" w:hAnsi="宋体"/>
          <w:color w:val="auto"/>
          <w:sz w:val="32"/>
          <w:szCs w:val="32"/>
        </w:rPr>
      </w:pPr>
    </w:p>
    <w:p w14:paraId="64513A23">
      <w:pPr>
        <w:pStyle w:val="90"/>
        <w:rPr>
          <w:rFonts w:ascii="宋体" w:hAnsi="宋体"/>
          <w:color w:val="auto"/>
          <w:sz w:val="32"/>
          <w:szCs w:val="32"/>
        </w:rPr>
      </w:pPr>
    </w:p>
    <w:p w14:paraId="6A83B86A">
      <w:pPr>
        <w:spacing w:before="120" w:after="50" w:line="360" w:lineRule="auto"/>
        <w:rPr>
          <w:rFonts w:ascii="宋体" w:hAnsi="宋体"/>
          <w:color w:val="auto"/>
          <w:sz w:val="24"/>
          <w:szCs w:val="20"/>
        </w:rPr>
      </w:pPr>
      <w:r>
        <w:rPr>
          <w:rFonts w:ascii="宋体" w:hAnsi="宋体"/>
          <w:color w:val="auto"/>
          <w:sz w:val="24"/>
          <w:szCs w:val="20"/>
        </w:rPr>
        <w:t xml:space="preserve"> </w:t>
      </w:r>
    </w:p>
    <w:p w14:paraId="2338E725">
      <w:pPr>
        <w:spacing w:line="360" w:lineRule="auto"/>
        <w:rPr>
          <w:rFonts w:ascii="宋体" w:hAnsi="宋体"/>
          <w:color w:val="auto"/>
          <w:szCs w:val="21"/>
        </w:rPr>
      </w:pPr>
    </w:p>
    <w:p w14:paraId="31572B55">
      <w:pPr>
        <w:spacing w:line="360" w:lineRule="auto"/>
        <w:rPr>
          <w:rFonts w:ascii="宋体" w:hAnsi="宋体"/>
          <w:color w:val="auto"/>
          <w:szCs w:val="21"/>
        </w:rPr>
      </w:pPr>
    </w:p>
    <w:p w14:paraId="6AC3D3CF">
      <w:pPr>
        <w:spacing w:line="360" w:lineRule="auto"/>
        <w:rPr>
          <w:rFonts w:ascii="宋体" w:hAnsi="宋体"/>
          <w:color w:val="auto"/>
          <w:szCs w:val="21"/>
        </w:rPr>
      </w:pPr>
    </w:p>
    <w:p w14:paraId="29FAB52A">
      <w:pPr>
        <w:spacing w:line="360" w:lineRule="auto"/>
        <w:rPr>
          <w:rFonts w:ascii="宋体" w:hAnsi="宋体"/>
          <w:color w:val="auto"/>
          <w:szCs w:val="21"/>
        </w:rPr>
      </w:pPr>
    </w:p>
    <w:p w14:paraId="4AB9D3FB">
      <w:pPr>
        <w:spacing w:line="300" w:lineRule="auto"/>
        <w:rPr>
          <w:rFonts w:ascii="宋体" w:hAnsi="宋体"/>
          <w:color w:val="auto"/>
          <w:szCs w:val="21"/>
        </w:rPr>
      </w:pPr>
    </w:p>
    <w:p w14:paraId="30C64AAF">
      <w:pPr>
        <w:spacing w:line="300" w:lineRule="auto"/>
        <w:rPr>
          <w:rFonts w:ascii="宋体" w:hAnsi="宋体"/>
          <w:color w:val="auto"/>
          <w:szCs w:val="21"/>
        </w:rPr>
      </w:pPr>
    </w:p>
    <w:p w14:paraId="38EBE961">
      <w:pPr>
        <w:widowControl/>
        <w:spacing w:line="440" w:lineRule="exact"/>
        <w:jc w:val="center"/>
        <w:rPr>
          <w:rFonts w:ascii="宋体" w:hAnsi="宋体"/>
          <w:b/>
          <w:color w:val="auto"/>
          <w:sz w:val="32"/>
          <w:szCs w:val="32"/>
        </w:rPr>
      </w:pPr>
    </w:p>
    <w:p w14:paraId="3A24AA66">
      <w:pPr>
        <w:widowControl/>
        <w:spacing w:line="440" w:lineRule="exact"/>
        <w:jc w:val="center"/>
        <w:rPr>
          <w:color w:val="auto"/>
          <w:sz w:val="32"/>
          <w:szCs w:val="32"/>
        </w:rPr>
      </w:pPr>
      <w:r>
        <w:rPr>
          <w:rFonts w:hint="eastAsia" w:ascii="宋体" w:hAnsi="宋体"/>
          <w:b/>
          <w:color w:val="auto"/>
          <w:sz w:val="32"/>
          <w:szCs w:val="32"/>
        </w:rPr>
        <w:t>崇左市政府采购供应商信用承诺函（格式）</w:t>
      </w:r>
    </w:p>
    <w:p w14:paraId="6B1BB3C4">
      <w:pPr>
        <w:widowControl/>
        <w:spacing w:line="440" w:lineRule="exact"/>
        <w:jc w:val="left"/>
        <w:rPr>
          <w:rFonts w:ascii="仿宋_GB2312" w:hAnsi="仿宋_GB2312" w:eastAsia="仿宋_GB2312" w:cs="仿宋_GB2312"/>
          <w:color w:val="auto"/>
          <w:kern w:val="0"/>
          <w:sz w:val="32"/>
          <w:szCs w:val="32"/>
          <w:lang w:bidi="ar"/>
        </w:rPr>
      </w:pPr>
    </w:p>
    <w:p w14:paraId="49FB1A54">
      <w:pPr>
        <w:widowControl/>
        <w:spacing w:line="440" w:lineRule="exact"/>
        <w:rPr>
          <w:rFonts w:ascii="宋体" w:hAnsi="宋体" w:cs="宋体"/>
          <w:color w:val="auto"/>
          <w:sz w:val="24"/>
          <w:u w:val="single"/>
        </w:rPr>
      </w:pPr>
      <w:r>
        <w:rPr>
          <w:rFonts w:hint="eastAsia" w:ascii="宋体" w:hAnsi="宋体" w:cs="宋体"/>
          <w:color w:val="auto"/>
          <w:kern w:val="0"/>
          <w:sz w:val="24"/>
          <w:lang w:bidi="ar"/>
        </w:rPr>
        <w:t>致</w:t>
      </w:r>
      <w:r>
        <w:rPr>
          <w:rFonts w:hint="eastAsia" w:ascii="宋体" w:hAnsi="宋体" w:cs="宋体"/>
          <w:color w:val="auto"/>
          <w:kern w:val="0"/>
          <w:sz w:val="24"/>
          <w:u w:val="single"/>
          <w:lang w:bidi="ar"/>
        </w:rPr>
        <w:t>（采购代理机构名称）：</w:t>
      </w:r>
    </w:p>
    <w:p w14:paraId="59B26308">
      <w:pPr>
        <w:widowControl/>
        <w:spacing w:line="440" w:lineRule="exact"/>
        <w:ind w:firstLine="480" w:firstLineChars="200"/>
        <w:rPr>
          <w:rFonts w:ascii="宋体" w:hAnsi="宋体" w:cs="宋体"/>
          <w:color w:val="auto"/>
          <w:spacing w:val="-6"/>
          <w:sz w:val="24"/>
        </w:rPr>
      </w:pPr>
      <w:r>
        <w:rPr>
          <w:rFonts w:hint="eastAsia" w:ascii="宋体" w:hAnsi="宋体" w:cs="宋体"/>
          <w:color w:val="auto"/>
          <w:kern w:val="0"/>
          <w:sz w:val="24"/>
          <w:lang w:bidi="ar"/>
        </w:rPr>
        <w:t>我方自愿参加</w:t>
      </w:r>
      <w:r>
        <w:rPr>
          <w:rFonts w:hint="eastAsia" w:ascii="宋体" w:hAnsi="宋体" w:cs="宋体"/>
          <w:color w:val="auto"/>
          <w:kern w:val="0"/>
          <w:sz w:val="24"/>
          <w:u w:val="single"/>
          <w:lang w:bidi="ar"/>
        </w:rPr>
        <w:t xml:space="preserve"> （项目名称） </w:t>
      </w:r>
      <w:r>
        <w:rPr>
          <w:rFonts w:hint="eastAsia" w:ascii="宋体" w:hAnsi="宋体" w:cs="宋体"/>
          <w:color w:val="auto"/>
          <w:kern w:val="0"/>
          <w:sz w:val="24"/>
          <w:lang w:bidi="ar"/>
        </w:rPr>
        <w:t>项目</w:t>
      </w:r>
      <w:r>
        <w:rPr>
          <w:rFonts w:hint="eastAsia" w:ascii="宋体" w:hAnsi="宋体" w:cs="宋体"/>
          <w:color w:val="auto"/>
          <w:spacing w:val="6"/>
          <w:sz w:val="24"/>
        </w:rPr>
        <w:t>（项目编号：</w:t>
      </w:r>
      <w:r>
        <w:rPr>
          <w:rFonts w:hint="eastAsia" w:ascii="宋体" w:hAnsi="宋体" w:cs="宋体"/>
          <w:color w:val="auto"/>
          <w:spacing w:val="6"/>
          <w:sz w:val="24"/>
          <w:u w:val="single"/>
        </w:rPr>
        <w:t xml:space="preserve">         </w:t>
      </w:r>
      <w:r>
        <w:rPr>
          <w:rFonts w:hint="eastAsia" w:ascii="宋体" w:hAnsi="宋体" w:cs="宋体"/>
          <w:color w:val="auto"/>
          <w:spacing w:val="6"/>
          <w:sz w:val="24"/>
        </w:rPr>
        <w:t>）</w:t>
      </w:r>
      <w:r>
        <w:rPr>
          <w:rFonts w:hint="eastAsia" w:ascii="宋体" w:hAnsi="宋体" w:cs="宋体"/>
          <w:color w:val="auto"/>
          <w:kern w:val="0"/>
          <w:sz w:val="24"/>
          <w:lang w:bidi="ar"/>
        </w:rPr>
        <w:t>的政府采购活动，严格遵守《中华人民共和国政府采购法》及相关法律法规，依法诚信经营，无条件遵守本次政府采购活动的各项规定，并郑重承诺</w:t>
      </w:r>
      <w:r>
        <w:rPr>
          <w:rFonts w:hint="eastAsia" w:ascii="宋体" w:hAnsi="宋体" w:cs="宋体"/>
          <w:color w:val="auto"/>
          <w:spacing w:val="-6"/>
          <w:kern w:val="0"/>
          <w:sz w:val="24"/>
          <w:lang w:bidi="ar"/>
        </w:rPr>
        <w:t xml:space="preserve">： </w:t>
      </w:r>
    </w:p>
    <w:p w14:paraId="4C0097DF">
      <w:pPr>
        <w:widowControl/>
        <w:spacing w:line="440" w:lineRule="exact"/>
        <w:ind w:firstLine="480" w:firstLineChars="200"/>
        <w:rPr>
          <w:rFonts w:ascii="宋体" w:hAnsi="宋体" w:cs="宋体"/>
          <w:color w:val="auto"/>
          <w:kern w:val="0"/>
          <w:sz w:val="24"/>
          <w:lang w:bidi="ar"/>
        </w:rPr>
      </w:pPr>
      <w:r>
        <w:rPr>
          <w:rFonts w:hint="eastAsia" w:ascii="宋体" w:hAnsi="宋体" w:cs="宋体"/>
          <w:color w:val="auto"/>
          <w:kern w:val="0"/>
          <w:sz w:val="24"/>
          <w:lang w:bidi="ar"/>
        </w:rPr>
        <w:t>1.我方</w:t>
      </w:r>
      <w:r>
        <w:rPr>
          <w:rFonts w:hint="eastAsia" w:ascii="宋体" w:hAnsi="宋体" w:cs="宋体"/>
          <w:color w:val="auto"/>
          <w:spacing w:val="6"/>
          <w:sz w:val="24"/>
        </w:rPr>
        <w:t>具有独立承担民事责任的能力或我方属于银行、保险、石油石化、电力、电信等有行业特殊情况的法人的分支机构在参加本次政府采购活动前已取得总公司的授权。</w:t>
      </w:r>
    </w:p>
    <w:p w14:paraId="318C633D">
      <w:pPr>
        <w:widowControl/>
        <w:spacing w:line="440" w:lineRule="exact"/>
        <w:ind w:firstLine="480" w:firstLineChars="200"/>
        <w:rPr>
          <w:rFonts w:ascii="宋体" w:hAnsi="宋体" w:cs="宋体"/>
          <w:color w:val="auto"/>
          <w:sz w:val="24"/>
        </w:rPr>
      </w:pPr>
      <w:r>
        <w:rPr>
          <w:rFonts w:hint="eastAsia" w:ascii="宋体" w:hAnsi="宋体" w:cs="宋体"/>
          <w:color w:val="auto"/>
          <w:kern w:val="0"/>
          <w:sz w:val="24"/>
          <w:lang w:bidi="ar"/>
        </w:rPr>
        <w:t xml:space="preserve">2.我方具有符合采购文件资格要求的财务状况报告。 </w:t>
      </w:r>
    </w:p>
    <w:p w14:paraId="70A5833A">
      <w:pPr>
        <w:widowControl/>
        <w:spacing w:line="440" w:lineRule="exact"/>
        <w:ind w:firstLine="456" w:firstLineChars="200"/>
        <w:rPr>
          <w:rFonts w:ascii="宋体" w:hAnsi="宋体" w:cs="宋体"/>
          <w:color w:val="auto"/>
          <w:spacing w:val="-17"/>
          <w:sz w:val="24"/>
        </w:rPr>
      </w:pPr>
      <w:r>
        <w:rPr>
          <w:rFonts w:hint="eastAsia" w:ascii="宋体" w:hAnsi="宋体" w:cs="宋体"/>
          <w:color w:val="auto"/>
          <w:spacing w:val="-6"/>
          <w:kern w:val="0"/>
          <w:sz w:val="24"/>
          <w:lang w:bidi="ar"/>
        </w:rPr>
        <w:t>3.我方具有符合采购文件资格要求的依法缴纳税收和社会保障资金的良好记录。</w:t>
      </w:r>
      <w:r>
        <w:rPr>
          <w:rFonts w:hint="eastAsia" w:ascii="宋体" w:hAnsi="宋体" w:cs="宋体"/>
          <w:color w:val="auto"/>
          <w:spacing w:val="-17"/>
          <w:kern w:val="0"/>
          <w:sz w:val="24"/>
          <w:lang w:bidi="ar"/>
        </w:rPr>
        <w:t xml:space="preserve"> </w:t>
      </w:r>
    </w:p>
    <w:p w14:paraId="1703337B">
      <w:pPr>
        <w:widowControl/>
        <w:spacing w:line="440" w:lineRule="exact"/>
        <w:ind w:firstLine="480" w:firstLineChars="200"/>
        <w:rPr>
          <w:rFonts w:ascii="宋体" w:hAnsi="宋体" w:cs="宋体"/>
          <w:color w:val="auto"/>
          <w:sz w:val="24"/>
        </w:rPr>
      </w:pPr>
      <w:r>
        <w:rPr>
          <w:rFonts w:hint="eastAsia" w:ascii="宋体" w:hAnsi="宋体" w:cs="宋体"/>
          <w:color w:val="auto"/>
          <w:kern w:val="0"/>
          <w:sz w:val="24"/>
          <w:lang w:bidi="ar"/>
        </w:rPr>
        <w:t xml:space="preserve">4.我方具有符合采购文件资格要求和履行合同所必需的设备和专业技术能力。 </w:t>
      </w:r>
    </w:p>
    <w:p w14:paraId="40300AC0">
      <w:pPr>
        <w:widowControl/>
        <w:spacing w:line="440" w:lineRule="exact"/>
        <w:ind w:firstLine="480" w:firstLineChars="200"/>
        <w:rPr>
          <w:rFonts w:ascii="宋体" w:hAnsi="宋体" w:cs="宋体"/>
          <w:color w:val="auto"/>
          <w:sz w:val="24"/>
        </w:rPr>
      </w:pPr>
      <w:r>
        <w:rPr>
          <w:rFonts w:hint="eastAsia" w:ascii="宋体" w:hAnsi="宋体" w:cs="宋体"/>
          <w:color w:val="auto"/>
          <w:kern w:val="0"/>
          <w:sz w:val="24"/>
          <w:lang w:bidi="ar"/>
        </w:rPr>
        <w:t xml:space="preserve">5.我方参加政府采购活动前3年内在经营活动中没有重大违法记录。 </w:t>
      </w:r>
    </w:p>
    <w:p w14:paraId="21AD9410">
      <w:pPr>
        <w:widowControl/>
        <w:spacing w:line="440" w:lineRule="exact"/>
        <w:ind w:firstLine="480" w:firstLineChars="200"/>
        <w:rPr>
          <w:rFonts w:ascii="宋体" w:hAnsi="宋体" w:cs="宋体"/>
          <w:color w:val="auto"/>
          <w:kern w:val="0"/>
          <w:sz w:val="24"/>
          <w:lang w:bidi="ar"/>
        </w:rPr>
      </w:pPr>
      <w:r>
        <w:rPr>
          <w:rFonts w:hint="eastAsia" w:ascii="宋体" w:hAnsi="宋体" w:cs="宋体"/>
          <w:color w:val="auto"/>
          <w:kern w:val="0"/>
          <w:sz w:val="24"/>
          <w:lang w:bidi="ar"/>
        </w:rPr>
        <w:t>我方对以上承诺内容的真实性负责。如有虚假，将依法承担相应责任。</w:t>
      </w:r>
    </w:p>
    <w:p w14:paraId="5CF9E9AA">
      <w:pPr>
        <w:widowControl/>
        <w:spacing w:line="440" w:lineRule="exact"/>
        <w:ind w:firstLine="480" w:firstLineChars="200"/>
        <w:rPr>
          <w:rFonts w:ascii="宋体" w:hAnsi="宋体" w:cs="宋体"/>
          <w:color w:val="auto"/>
          <w:kern w:val="0"/>
          <w:sz w:val="24"/>
          <w:lang w:bidi="ar"/>
        </w:rPr>
      </w:pPr>
    </w:p>
    <w:p w14:paraId="4AB17544">
      <w:pPr>
        <w:widowControl/>
        <w:spacing w:line="440" w:lineRule="exact"/>
        <w:ind w:firstLine="480" w:firstLineChars="200"/>
        <w:rPr>
          <w:rFonts w:ascii="宋体" w:hAnsi="宋体" w:cs="宋体"/>
          <w:color w:val="auto"/>
          <w:kern w:val="0"/>
          <w:sz w:val="24"/>
          <w:lang w:bidi="ar"/>
        </w:rPr>
      </w:pPr>
    </w:p>
    <w:p w14:paraId="53F51C4C">
      <w:pPr>
        <w:widowControl/>
        <w:spacing w:line="440" w:lineRule="exact"/>
        <w:ind w:firstLine="3600" w:firstLineChars="1500"/>
        <w:jc w:val="left"/>
        <w:rPr>
          <w:rFonts w:ascii="宋体" w:hAnsi="宋体" w:cs="宋体"/>
          <w:color w:val="auto"/>
          <w:sz w:val="24"/>
        </w:rPr>
      </w:pPr>
      <w:r>
        <w:rPr>
          <w:rFonts w:hint="eastAsia" w:ascii="宋体" w:hAnsi="宋体" w:cs="宋体"/>
          <w:color w:val="auto"/>
          <w:kern w:val="0"/>
          <w:sz w:val="24"/>
          <w:lang w:bidi="ar"/>
        </w:rPr>
        <w:t xml:space="preserve">供应商名称（盖章）： </w:t>
      </w:r>
    </w:p>
    <w:p w14:paraId="41B54FC5">
      <w:pPr>
        <w:tabs>
          <w:tab w:val="left" w:pos="7560"/>
        </w:tabs>
        <w:spacing w:line="440" w:lineRule="exact"/>
        <w:ind w:firstLine="3600" w:firstLineChars="1500"/>
        <w:jc w:val="left"/>
        <w:rPr>
          <w:rFonts w:ascii="宋体" w:hAnsi="宋体" w:cs="宋体"/>
          <w:color w:val="auto"/>
          <w:kern w:val="0"/>
          <w:sz w:val="24"/>
          <w:lang w:bidi="ar"/>
        </w:rPr>
      </w:pPr>
      <w:r>
        <w:rPr>
          <w:rFonts w:hint="eastAsia" w:ascii="宋体" w:hAnsi="宋体" w:cs="宋体"/>
          <w:color w:val="auto"/>
          <w:kern w:val="0"/>
          <w:sz w:val="24"/>
          <w:lang w:bidi="ar"/>
        </w:rPr>
        <w:t>日期：</w:t>
      </w:r>
    </w:p>
    <w:p w14:paraId="764693C9">
      <w:pPr>
        <w:pStyle w:val="45"/>
        <w:widowControl/>
        <w:wordWrap w:val="0"/>
        <w:spacing w:line="560" w:lineRule="exact"/>
        <w:rPr>
          <w:rFonts w:ascii="宋体" w:hAnsi="宋体" w:cs="宋体"/>
          <w:color w:val="auto"/>
          <w:lang w:bidi="ar"/>
        </w:rPr>
      </w:pPr>
    </w:p>
    <w:p w14:paraId="001B663D">
      <w:pPr>
        <w:pStyle w:val="45"/>
        <w:widowControl/>
        <w:wordWrap w:val="0"/>
        <w:spacing w:line="400" w:lineRule="exact"/>
        <w:rPr>
          <w:rFonts w:ascii="宋体" w:hAnsi="宋体" w:cs="宋体"/>
          <w:color w:val="auto"/>
        </w:rPr>
      </w:pPr>
      <w:r>
        <w:rPr>
          <w:rFonts w:hint="eastAsia" w:ascii="宋体" w:hAnsi="宋体" w:cs="宋体"/>
          <w:color w:val="auto"/>
          <w:lang w:bidi="ar"/>
        </w:rPr>
        <w:t>注：1.</w:t>
      </w:r>
      <w:r>
        <w:rPr>
          <w:rFonts w:hint="eastAsia" w:ascii="宋体" w:hAnsi="宋体" w:cs="宋体"/>
          <w:color w:val="auto"/>
        </w:rPr>
        <w:t>参与政府采购活动的供应商可按第1点的内容：“</w:t>
      </w:r>
      <w:r>
        <w:rPr>
          <w:rFonts w:hint="eastAsia" w:ascii="宋体" w:hAnsi="宋体" w:cs="宋体"/>
          <w:color w:val="auto"/>
          <w:lang w:bidi="ar"/>
        </w:rPr>
        <w:t>我方</w:t>
      </w:r>
      <w:r>
        <w:rPr>
          <w:rFonts w:hint="eastAsia" w:ascii="宋体" w:hAnsi="宋体" w:cs="宋体"/>
          <w:color w:val="auto"/>
          <w:spacing w:val="6"/>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cs="宋体"/>
          <w:color w:val="auto"/>
          <w:lang w:bidi="ar"/>
        </w:rPr>
        <w:t>我方</w:t>
      </w:r>
      <w:r>
        <w:rPr>
          <w:rFonts w:hint="eastAsia" w:ascii="宋体" w:hAnsi="宋体" w:cs="宋体"/>
          <w:color w:val="auto"/>
          <w:spacing w:val="6"/>
        </w:rPr>
        <w:t>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14:paraId="38525545">
      <w:pPr>
        <w:spacing w:line="300" w:lineRule="auto"/>
        <w:rPr>
          <w:rFonts w:ascii="宋体" w:hAnsi="宋体"/>
          <w:color w:val="auto"/>
          <w:szCs w:val="21"/>
        </w:rPr>
      </w:pPr>
    </w:p>
    <w:p w14:paraId="20E33DF9">
      <w:pPr>
        <w:spacing w:line="300" w:lineRule="auto"/>
        <w:rPr>
          <w:rFonts w:ascii="宋体" w:hAnsi="宋体"/>
          <w:color w:val="auto"/>
          <w:szCs w:val="21"/>
        </w:rPr>
      </w:pPr>
    </w:p>
    <w:p w14:paraId="1442D41B">
      <w:pPr>
        <w:spacing w:line="300" w:lineRule="auto"/>
        <w:rPr>
          <w:rFonts w:ascii="宋体" w:hAnsi="宋体"/>
          <w:color w:val="auto"/>
          <w:szCs w:val="21"/>
        </w:rPr>
      </w:pPr>
    </w:p>
    <w:p w14:paraId="46603E1B">
      <w:pPr>
        <w:spacing w:line="300" w:lineRule="auto"/>
        <w:rPr>
          <w:rFonts w:ascii="宋体" w:hAnsi="宋体"/>
          <w:color w:val="auto"/>
          <w:szCs w:val="21"/>
        </w:rPr>
      </w:pPr>
    </w:p>
    <w:p w14:paraId="1865B635">
      <w:pPr>
        <w:spacing w:before="120" w:after="50"/>
        <w:jc w:val="center"/>
        <w:rPr>
          <w:rFonts w:ascii="宋体" w:hAnsi="宋体"/>
          <w:b/>
          <w:color w:val="auto"/>
          <w:sz w:val="32"/>
          <w:szCs w:val="32"/>
        </w:rPr>
      </w:pPr>
      <w:r>
        <w:rPr>
          <w:rFonts w:ascii="宋体" w:hAnsi="宋体"/>
          <w:b/>
          <w:color w:val="auto"/>
          <w:sz w:val="32"/>
          <w:szCs w:val="32"/>
        </w:rPr>
        <w:br w:type="page"/>
      </w:r>
      <w:r>
        <w:rPr>
          <w:rFonts w:hint="eastAsia" w:ascii="宋体" w:hAnsi="宋体"/>
          <w:b/>
          <w:color w:val="auto"/>
          <w:sz w:val="32"/>
          <w:szCs w:val="32"/>
        </w:rPr>
        <w:t>供应商直接控股、管理关系信息表</w:t>
      </w:r>
    </w:p>
    <w:p w14:paraId="0ED6F091">
      <w:pPr>
        <w:spacing w:before="120" w:after="50"/>
        <w:jc w:val="center"/>
        <w:rPr>
          <w:rFonts w:ascii="宋体" w:hAnsi="宋体"/>
          <w:b/>
          <w:color w:val="auto"/>
          <w:sz w:val="32"/>
          <w:szCs w:val="32"/>
        </w:rPr>
      </w:pPr>
    </w:p>
    <w:p w14:paraId="5C772514">
      <w:pPr>
        <w:spacing w:before="120" w:after="50"/>
        <w:jc w:val="center"/>
        <w:rPr>
          <w:rFonts w:ascii="宋体" w:hAnsi="宋体"/>
          <w:b/>
          <w:color w:val="auto"/>
          <w:sz w:val="32"/>
          <w:szCs w:val="32"/>
        </w:rPr>
      </w:pPr>
      <w:r>
        <w:rPr>
          <w:rFonts w:hint="eastAsia" w:ascii="宋体" w:hAnsi="宋体"/>
          <w:b/>
          <w:color w:val="auto"/>
          <w:sz w:val="32"/>
          <w:szCs w:val="32"/>
        </w:rPr>
        <w:t>供应商直接控股股东信息表</w:t>
      </w:r>
    </w:p>
    <w:p w14:paraId="24BF54C7">
      <w:pPr>
        <w:spacing w:before="50" w:after="120"/>
        <w:jc w:val="center"/>
        <w:rPr>
          <w:rFonts w:ascii="宋体" w:hAnsi="宋体"/>
          <w:b/>
          <w:color w:val="auto"/>
          <w:sz w:val="32"/>
          <w:szCs w:val="32"/>
        </w:rPr>
      </w:pPr>
    </w:p>
    <w:tbl>
      <w:tblPr>
        <w:tblStyle w:val="6"/>
        <w:tblW w:w="0" w:type="auto"/>
        <w:jc w:val="center"/>
        <w:shd w:val="clear" w:color="auto" w:fill="FBFBFB"/>
        <w:tblLayout w:type="fixed"/>
        <w:tblCellMar>
          <w:top w:w="120" w:type="dxa"/>
          <w:left w:w="120" w:type="dxa"/>
          <w:bottom w:w="120" w:type="dxa"/>
          <w:right w:w="120" w:type="dxa"/>
        </w:tblCellMar>
      </w:tblPr>
      <w:tblGrid>
        <w:gridCol w:w="880"/>
        <w:gridCol w:w="2655"/>
        <w:gridCol w:w="1455"/>
        <w:gridCol w:w="4287"/>
        <w:gridCol w:w="870"/>
      </w:tblGrid>
      <w:tr w14:paraId="23CF099B">
        <w:tblPrEx>
          <w:shd w:val="clear" w:color="auto" w:fill="FBFBFB"/>
          <w:tblCellMar>
            <w:top w:w="120" w:type="dxa"/>
            <w:left w:w="120" w:type="dxa"/>
            <w:bottom w:w="120" w:type="dxa"/>
            <w:right w:w="12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CEE7FA3">
            <w:pPr>
              <w:widowControl/>
              <w:spacing w:line="360" w:lineRule="auto"/>
              <w:jc w:val="center"/>
              <w:rPr>
                <w:rFonts w:ascii="宋体" w:hAnsi="宋体" w:cs="宋体"/>
                <w:b/>
                <w:bCs/>
                <w:color w:val="auto"/>
                <w:kern w:val="0"/>
                <w:sz w:val="28"/>
                <w:szCs w:val="28"/>
              </w:rPr>
            </w:pPr>
            <w:r>
              <w:rPr>
                <w:rFonts w:hint="eastAsia" w:ascii="宋体" w:hAnsi="宋体" w:cs="宋体"/>
                <w:b/>
                <w:bCs/>
                <w:color w:val="auto"/>
                <w:kern w:val="0"/>
                <w:sz w:val="28"/>
                <w:szCs w:val="28"/>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5C8621F">
            <w:pPr>
              <w:widowControl/>
              <w:spacing w:line="360" w:lineRule="auto"/>
              <w:jc w:val="center"/>
              <w:rPr>
                <w:rFonts w:ascii="宋体" w:hAnsi="宋体" w:cs="宋体"/>
                <w:b/>
                <w:bCs/>
                <w:color w:val="auto"/>
                <w:kern w:val="0"/>
                <w:sz w:val="28"/>
                <w:szCs w:val="28"/>
              </w:rPr>
            </w:pPr>
            <w:r>
              <w:rPr>
                <w:rFonts w:hint="eastAsia" w:ascii="宋体" w:hAnsi="宋体" w:cs="宋体"/>
                <w:b/>
                <w:bCs/>
                <w:color w:val="auto"/>
                <w:kern w:val="0"/>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294E12B">
            <w:pPr>
              <w:widowControl/>
              <w:spacing w:line="360" w:lineRule="auto"/>
              <w:jc w:val="center"/>
              <w:rPr>
                <w:rFonts w:ascii="宋体" w:hAnsi="宋体" w:cs="宋体"/>
                <w:b/>
                <w:bCs/>
                <w:color w:val="auto"/>
                <w:kern w:val="0"/>
                <w:sz w:val="28"/>
                <w:szCs w:val="28"/>
              </w:rPr>
            </w:pPr>
            <w:r>
              <w:rPr>
                <w:rFonts w:hint="eastAsia" w:ascii="宋体" w:hAnsi="宋体" w:cs="宋体"/>
                <w:b/>
                <w:bCs/>
                <w:color w:val="auto"/>
                <w:kern w:val="0"/>
                <w:sz w:val="28"/>
                <w:szCs w:val="28"/>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3869093">
            <w:pPr>
              <w:widowControl/>
              <w:spacing w:line="360" w:lineRule="auto"/>
              <w:jc w:val="center"/>
              <w:rPr>
                <w:rFonts w:ascii="宋体" w:hAnsi="宋体" w:cs="宋体"/>
                <w:b/>
                <w:bCs/>
                <w:color w:val="auto"/>
                <w:kern w:val="0"/>
                <w:sz w:val="28"/>
                <w:szCs w:val="28"/>
              </w:rPr>
            </w:pPr>
            <w:r>
              <w:rPr>
                <w:rFonts w:hint="eastAsia" w:ascii="宋体" w:hAnsi="宋体" w:cs="宋体"/>
                <w:b/>
                <w:bCs/>
                <w:color w:val="auto"/>
                <w:kern w:val="0"/>
                <w:sz w:val="28"/>
                <w:szCs w:val="28"/>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9F97F45">
            <w:pPr>
              <w:widowControl/>
              <w:spacing w:line="360" w:lineRule="auto"/>
              <w:jc w:val="center"/>
              <w:rPr>
                <w:rFonts w:ascii="宋体" w:hAnsi="宋体" w:cs="宋体"/>
                <w:b/>
                <w:bCs/>
                <w:color w:val="auto"/>
                <w:kern w:val="0"/>
                <w:sz w:val="28"/>
                <w:szCs w:val="28"/>
              </w:rPr>
            </w:pPr>
            <w:r>
              <w:rPr>
                <w:rFonts w:hint="eastAsia" w:ascii="宋体" w:hAnsi="宋体" w:cs="宋体"/>
                <w:b/>
                <w:bCs/>
                <w:color w:val="auto"/>
                <w:kern w:val="0"/>
                <w:sz w:val="28"/>
                <w:szCs w:val="28"/>
              </w:rPr>
              <w:t>备注</w:t>
            </w:r>
          </w:p>
        </w:tc>
      </w:tr>
      <w:tr w14:paraId="54BAA463">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B0BB37">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8DBC28">
            <w:pPr>
              <w:widowControl/>
              <w:spacing w:line="360" w:lineRule="auto"/>
              <w:jc w:val="center"/>
              <w:rPr>
                <w:rFonts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CD4FAD">
            <w:pPr>
              <w:widowControl/>
              <w:spacing w:line="360" w:lineRule="auto"/>
              <w:jc w:val="center"/>
              <w:rPr>
                <w:rFonts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4C1C59">
            <w:pPr>
              <w:widowControl/>
              <w:spacing w:line="360" w:lineRule="auto"/>
              <w:jc w:val="center"/>
              <w:rPr>
                <w:rFonts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DD138B">
            <w:pPr>
              <w:widowControl/>
              <w:spacing w:line="360" w:lineRule="auto"/>
              <w:jc w:val="center"/>
              <w:rPr>
                <w:rFonts w:ascii="宋体" w:hAnsi="宋体" w:cs="宋体"/>
                <w:color w:val="auto"/>
                <w:kern w:val="0"/>
                <w:sz w:val="28"/>
                <w:szCs w:val="28"/>
              </w:rPr>
            </w:pPr>
          </w:p>
        </w:tc>
      </w:tr>
      <w:tr w14:paraId="6CB4BA30">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944165">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FED942">
            <w:pPr>
              <w:widowControl/>
              <w:spacing w:line="360" w:lineRule="auto"/>
              <w:jc w:val="center"/>
              <w:rPr>
                <w:rFonts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52B538">
            <w:pPr>
              <w:widowControl/>
              <w:spacing w:line="360" w:lineRule="auto"/>
              <w:jc w:val="center"/>
              <w:rPr>
                <w:rFonts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1076CF">
            <w:pPr>
              <w:widowControl/>
              <w:spacing w:line="360" w:lineRule="auto"/>
              <w:jc w:val="center"/>
              <w:rPr>
                <w:rFonts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6A5CEE">
            <w:pPr>
              <w:widowControl/>
              <w:spacing w:line="360" w:lineRule="auto"/>
              <w:jc w:val="center"/>
              <w:rPr>
                <w:rFonts w:ascii="宋体" w:hAnsi="宋体" w:cs="宋体"/>
                <w:color w:val="auto"/>
                <w:kern w:val="0"/>
                <w:sz w:val="28"/>
                <w:szCs w:val="28"/>
              </w:rPr>
            </w:pPr>
          </w:p>
        </w:tc>
      </w:tr>
      <w:tr w14:paraId="365BD858">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9F4D7A">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67AFE7">
            <w:pPr>
              <w:widowControl/>
              <w:spacing w:line="360" w:lineRule="auto"/>
              <w:jc w:val="center"/>
              <w:rPr>
                <w:rFonts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57CC79">
            <w:pPr>
              <w:widowControl/>
              <w:spacing w:line="360" w:lineRule="auto"/>
              <w:jc w:val="center"/>
              <w:rPr>
                <w:rFonts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DE7E11">
            <w:pPr>
              <w:widowControl/>
              <w:spacing w:line="360" w:lineRule="auto"/>
              <w:jc w:val="center"/>
              <w:rPr>
                <w:rFonts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A3B691">
            <w:pPr>
              <w:widowControl/>
              <w:spacing w:line="360" w:lineRule="auto"/>
              <w:jc w:val="center"/>
              <w:rPr>
                <w:rFonts w:ascii="宋体" w:hAnsi="宋体" w:cs="宋体"/>
                <w:color w:val="auto"/>
                <w:kern w:val="0"/>
                <w:sz w:val="28"/>
                <w:szCs w:val="28"/>
              </w:rPr>
            </w:pPr>
          </w:p>
        </w:tc>
      </w:tr>
      <w:tr w14:paraId="009629ED">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61D6C7">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3BBAA6">
            <w:pPr>
              <w:widowControl/>
              <w:spacing w:line="360" w:lineRule="auto"/>
              <w:jc w:val="center"/>
              <w:rPr>
                <w:rFonts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343019">
            <w:pPr>
              <w:widowControl/>
              <w:spacing w:line="360" w:lineRule="auto"/>
              <w:jc w:val="center"/>
              <w:rPr>
                <w:rFonts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7CE899">
            <w:pPr>
              <w:widowControl/>
              <w:spacing w:line="360" w:lineRule="auto"/>
              <w:jc w:val="center"/>
              <w:rPr>
                <w:rFonts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F2F6D3">
            <w:pPr>
              <w:widowControl/>
              <w:spacing w:line="360" w:lineRule="auto"/>
              <w:jc w:val="center"/>
              <w:rPr>
                <w:rFonts w:ascii="宋体" w:hAnsi="宋体" w:cs="宋体"/>
                <w:color w:val="auto"/>
                <w:kern w:val="0"/>
                <w:sz w:val="28"/>
                <w:szCs w:val="28"/>
              </w:rPr>
            </w:pPr>
          </w:p>
        </w:tc>
      </w:tr>
    </w:tbl>
    <w:p w14:paraId="3DDB879A">
      <w:pPr>
        <w:spacing w:line="360" w:lineRule="auto"/>
        <w:contextualSpacing/>
        <w:jc w:val="left"/>
        <w:rPr>
          <w:rFonts w:ascii="宋体" w:hAnsi="宋体" w:cs="宋体"/>
          <w:color w:val="auto"/>
          <w:sz w:val="24"/>
        </w:rPr>
      </w:pPr>
      <w:r>
        <w:rPr>
          <w:rFonts w:hint="eastAsia" w:ascii="宋体" w:hAnsi="宋体" w:cs="宋体"/>
          <w:color w:val="auto"/>
          <w:sz w:val="24"/>
        </w:rPr>
        <w:t>注：</w:t>
      </w:r>
    </w:p>
    <w:p w14:paraId="70E9F341">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1.直接控股股东：是指其出资额占有限责任公司资本总额50%以上或者其持有的股份占股份有限公司股份总额50%以上的股东；其出资额或者持有股份的比例虽然不足50%，但依其出资额或者持有的股份所享有的表决权已足以对股东会、股东会的决议产生重大影响的股东。</w:t>
      </w:r>
    </w:p>
    <w:p w14:paraId="68AE8C13">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14:paraId="4FBC38A1">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3.供应商不存在直接控股股东的，</w:t>
      </w:r>
      <w:r>
        <w:rPr>
          <w:rFonts w:hint="eastAsia" w:ascii="宋体" w:hAnsi="宋体"/>
          <w:color w:val="auto"/>
          <w:sz w:val="24"/>
        </w:rPr>
        <w:t>则在“直接控股股东名称”填“无”</w:t>
      </w:r>
      <w:r>
        <w:rPr>
          <w:rFonts w:hint="eastAsia" w:ascii="宋体" w:hAnsi="宋体" w:cs="宋体"/>
          <w:color w:val="auto"/>
          <w:sz w:val="24"/>
        </w:rPr>
        <w:t>。</w:t>
      </w:r>
    </w:p>
    <w:p w14:paraId="1ED9E1A1">
      <w:pPr>
        <w:spacing w:line="360" w:lineRule="auto"/>
        <w:ind w:firstLine="420" w:firstLineChars="200"/>
        <w:contextualSpacing/>
        <w:jc w:val="left"/>
        <w:rPr>
          <w:rFonts w:ascii="宋体" w:hAnsi="宋体" w:cs="宋体"/>
          <w:color w:val="auto"/>
          <w:szCs w:val="21"/>
        </w:rPr>
      </w:pPr>
    </w:p>
    <w:p w14:paraId="2C655FB9">
      <w:pPr>
        <w:spacing w:line="360" w:lineRule="auto"/>
        <w:ind w:firstLine="560" w:firstLineChars="200"/>
        <w:contextualSpacing/>
        <w:jc w:val="left"/>
        <w:rPr>
          <w:rFonts w:ascii="宋体" w:hAnsi="宋体" w:cs="宋体"/>
          <w:color w:val="auto"/>
          <w:sz w:val="28"/>
          <w:szCs w:val="28"/>
        </w:rPr>
      </w:pPr>
    </w:p>
    <w:p w14:paraId="669998CC">
      <w:pPr>
        <w:spacing w:line="360" w:lineRule="auto"/>
        <w:ind w:right="480"/>
        <w:contextualSpacing/>
        <w:jc w:val="center"/>
        <w:rPr>
          <w:rFonts w:ascii="宋体" w:hAnsi="宋体" w:cs="宋体"/>
          <w:color w:val="auto"/>
          <w:sz w:val="24"/>
          <w:u w:val="single"/>
        </w:rPr>
      </w:pPr>
      <w:r>
        <w:rPr>
          <w:rFonts w:hint="eastAsia" w:ascii="宋体" w:hAnsi="宋体" w:cs="宋体"/>
          <w:color w:val="auto"/>
          <w:sz w:val="24"/>
        </w:rPr>
        <w:t xml:space="preserve"> </w:t>
      </w:r>
      <w:r>
        <w:rPr>
          <w:rFonts w:ascii="宋体" w:hAnsi="宋体" w:cs="宋体"/>
          <w:color w:val="auto"/>
          <w:sz w:val="24"/>
        </w:rPr>
        <w:t xml:space="preserve">       </w:t>
      </w:r>
      <w:r>
        <w:rPr>
          <w:rFonts w:hint="eastAsia" w:ascii="宋体" w:hAnsi="宋体" w:cs="宋体"/>
          <w:color w:val="auto"/>
          <w:sz w:val="24"/>
        </w:rPr>
        <w:t>法定代表人或者委托代理人</w:t>
      </w:r>
      <w:r>
        <w:rPr>
          <w:rFonts w:hint="eastAsia" w:ascii="宋体" w:hAnsi="宋体"/>
          <w:color w:val="auto"/>
          <w:sz w:val="24"/>
        </w:rPr>
        <w:t>（签字或者电子签名）</w:t>
      </w:r>
      <w:r>
        <w:rPr>
          <w:rFonts w:hint="eastAsia" w:ascii="宋体" w:hAnsi="宋体" w:cs="宋体"/>
          <w:color w:val="auto"/>
          <w:sz w:val="24"/>
        </w:rPr>
        <w:t>：</w:t>
      </w:r>
      <w:r>
        <w:rPr>
          <w:rFonts w:hint="eastAsia" w:ascii="宋体" w:hAnsi="宋体" w:cs="宋体"/>
          <w:color w:val="auto"/>
          <w:sz w:val="24"/>
          <w:u w:val="single"/>
        </w:rPr>
        <w:t xml:space="preserve"> </w:t>
      </w:r>
      <w:r>
        <w:rPr>
          <w:rFonts w:ascii="宋体" w:hAnsi="宋体" w:cs="宋体"/>
          <w:color w:val="auto"/>
          <w:sz w:val="24"/>
          <w:u w:val="single"/>
        </w:rPr>
        <w:t xml:space="preserve">                   </w:t>
      </w:r>
    </w:p>
    <w:p w14:paraId="2A0E5449">
      <w:pPr>
        <w:spacing w:line="360" w:lineRule="auto"/>
        <w:ind w:right="480" w:firstLine="3000" w:firstLineChars="1250"/>
        <w:contextualSpacing/>
        <w:rPr>
          <w:rFonts w:ascii="宋体" w:hAnsi="宋体" w:cs="宋体"/>
          <w:color w:val="auto"/>
          <w:sz w:val="24"/>
          <w:u w:val="single"/>
        </w:rPr>
      </w:pPr>
      <w:r>
        <w:rPr>
          <w:rFonts w:hint="eastAsia" w:ascii="宋体" w:hAnsi="宋体" w:cs="宋体"/>
          <w:color w:val="auto"/>
          <w:sz w:val="24"/>
        </w:rPr>
        <w:t>供应商</w:t>
      </w:r>
      <w:r>
        <w:rPr>
          <w:rFonts w:hint="eastAsia" w:ascii="宋体" w:hAnsi="宋体"/>
          <w:color w:val="auto"/>
          <w:sz w:val="24"/>
        </w:rPr>
        <w:t>（电子签章）</w:t>
      </w:r>
      <w:r>
        <w:rPr>
          <w:rFonts w:hint="eastAsia" w:ascii="宋体" w:hAnsi="宋体" w:cs="宋体"/>
          <w:color w:val="auto"/>
          <w:sz w:val="24"/>
        </w:rPr>
        <w:t xml:space="preserve">： </w:t>
      </w:r>
      <w:r>
        <w:rPr>
          <w:rFonts w:hint="eastAsia" w:ascii="宋体" w:hAnsi="宋体" w:cs="宋体"/>
          <w:color w:val="auto"/>
          <w:sz w:val="24"/>
          <w:u w:val="single"/>
        </w:rPr>
        <w:t xml:space="preserve">                              </w:t>
      </w:r>
    </w:p>
    <w:p w14:paraId="1E406C33">
      <w:pPr>
        <w:spacing w:line="360" w:lineRule="auto"/>
        <w:ind w:right="480" w:firstLine="5280" w:firstLineChars="2200"/>
        <w:contextualSpacing/>
        <w:rPr>
          <w:rFonts w:ascii="宋体" w:hAnsi="宋体" w:cs="宋体"/>
          <w:color w:val="auto"/>
          <w:sz w:val="28"/>
          <w:szCs w:val="28"/>
        </w:rPr>
      </w:pPr>
      <w:r>
        <w:rPr>
          <w:rFonts w:hint="eastAsia" w:ascii="宋体" w:hAnsi="宋体" w:cs="宋体"/>
          <w:color w:val="auto"/>
          <w:sz w:val="24"/>
        </w:rPr>
        <w:t>年    月    日</w:t>
      </w:r>
    </w:p>
    <w:p w14:paraId="044347A5">
      <w:pPr>
        <w:jc w:val="center"/>
        <w:rPr>
          <w:rFonts w:ascii="宋体" w:hAnsi="宋体"/>
          <w:b/>
          <w:color w:val="auto"/>
          <w:sz w:val="28"/>
          <w:szCs w:val="28"/>
        </w:rPr>
      </w:pPr>
      <w:r>
        <w:rPr>
          <w:rFonts w:ascii="宋体" w:hAnsi="宋体"/>
          <w:b/>
          <w:color w:val="auto"/>
          <w:sz w:val="28"/>
          <w:szCs w:val="28"/>
        </w:rPr>
        <w:br w:type="page"/>
      </w:r>
    </w:p>
    <w:p w14:paraId="09A3FEAF">
      <w:pPr>
        <w:jc w:val="center"/>
        <w:rPr>
          <w:rFonts w:ascii="宋体" w:hAnsi="宋体"/>
          <w:b/>
          <w:color w:val="auto"/>
          <w:sz w:val="32"/>
          <w:szCs w:val="32"/>
        </w:rPr>
      </w:pPr>
      <w:r>
        <w:rPr>
          <w:rFonts w:hint="eastAsia" w:ascii="宋体" w:hAnsi="宋体"/>
          <w:b/>
          <w:color w:val="auto"/>
          <w:sz w:val="32"/>
          <w:szCs w:val="32"/>
        </w:rPr>
        <w:t>供应商直接管理关系信息表</w:t>
      </w:r>
    </w:p>
    <w:p w14:paraId="441728AC">
      <w:pPr>
        <w:jc w:val="center"/>
        <w:rPr>
          <w:rFonts w:ascii="宋体" w:hAnsi="宋体"/>
          <w:b/>
          <w:color w:val="auto"/>
          <w:sz w:val="32"/>
          <w:szCs w:val="32"/>
        </w:rPr>
      </w:pPr>
    </w:p>
    <w:tbl>
      <w:tblPr>
        <w:tblStyle w:val="6"/>
        <w:tblW w:w="0" w:type="auto"/>
        <w:jc w:val="center"/>
        <w:shd w:val="clear" w:color="auto" w:fill="FBFBFB"/>
        <w:tblLayout w:type="fixed"/>
        <w:tblCellMar>
          <w:top w:w="120" w:type="dxa"/>
          <w:left w:w="120" w:type="dxa"/>
          <w:bottom w:w="120" w:type="dxa"/>
          <w:right w:w="120" w:type="dxa"/>
        </w:tblCellMar>
      </w:tblPr>
      <w:tblGrid>
        <w:gridCol w:w="808"/>
        <w:gridCol w:w="3600"/>
        <w:gridCol w:w="3555"/>
        <w:gridCol w:w="1689"/>
      </w:tblGrid>
      <w:tr w14:paraId="552AAC7B">
        <w:tblPrEx>
          <w:shd w:val="clear" w:color="auto" w:fill="FBFBFB"/>
          <w:tblCellMar>
            <w:top w:w="120" w:type="dxa"/>
            <w:left w:w="120" w:type="dxa"/>
            <w:bottom w:w="120" w:type="dxa"/>
            <w:right w:w="12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5744037">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83A4521">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1960D5B">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FB90D71">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备注</w:t>
            </w:r>
          </w:p>
        </w:tc>
      </w:tr>
      <w:tr w14:paraId="795ABAB6">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CF03E1">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8B25AF">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95168A">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A84920">
            <w:pPr>
              <w:widowControl/>
              <w:wordWrap w:val="0"/>
              <w:spacing w:line="200" w:lineRule="atLeast"/>
              <w:jc w:val="center"/>
              <w:rPr>
                <w:rFonts w:ascii="宋体" w:hAnsi="宋体" w:cs="宋体"/>
                <w:color w:val="auto"/>
                <w:kern w:val="0"/>
                <w:sz w:val="28"/>
                <w:szCs w:val="28"/>
              </w:rPr>
            </w:pPr>
          </w:p>
        </w:tc>
      </w:tr>
      <w:tr w14:paraId="290281D5">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3E259F">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EDD9D5">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EE75AF">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66F22F">
            <w:pPr>
              <w:widowControl/>
              <w:wordWrap w:val="0"/>
              <w:spacing w:line="200" w:lineRule="atLeast"/>
              <w:jc w:val="center"/>
              <w:rPr>
                <w:rFonts w:ascii="宋体" w:hAnsi="宋体" w:cs="宋体"/>
                <w:color w:val="auto"/>
                <w:kern w:val="0"/>
                <w:sz w:val="28"/>
                <w:szCs w:val="28"/>
              </w:rPr>
            </w:pPr>
          </w:p>
        </w:tc>
      </w:tr>
      <w:tr w14:paraId="11142D20">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D123C9">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3A6BDC">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48E773">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1D9EB2">
            <w:pPr>
              <w:widowControl/>
              <w:wordWrap w:val="0"/>
              <w:spacing w:line="200" w:lineRule="atLeast"/>
              <w:jc w:val="center"/>
              <w:rPr>
                <w:rFonts w:ascii="宋体" w:hAnsi="宋体" w:cs="宋体"/>
                <w:color w:val="auto"/>
                <w:kern w:val="0"/>
                <w:sz w:val="28"/>
                <w:szCs w:val="28"/>
              </w:rPr>
            </w:pPr>
          </w:p>
        </w:tc>
      </w:tr>
      <w:tr w14:paraId="29C632F0">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E4A6CD">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938348">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777E13">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D7981B">
            <w:pPr>
              <w:widowControl/>
              <w:wordWrap w:val="0"/>
              <w:spacing w:line="200" w:lineRule="atLeast"/>
              <w:jc w:val="center"/>
              <w:rPr>
                <w:rFonts w:ascii="宋体" w:hAnsi="宋体" w:cs="宋体"/>
                <w:color w:val="auto"/>
                <w:kern w:val="0"/>
                <w:sz w:val="28"/>
                <w:szCs w:val="28"/>
              </w:rPr>
            </w:pPr>
          </w:p>
        </w:tc>
      </w:tr>
    </w:tbl>
    <w:p w14:paraId="21C8CB14">
      <w:pPr>
        <w:spacing w:line="360" w:lineRule="auto"/>
        <w:contextualSpacing/>
        <w:jc w:val="left"/>
        <w:rPr>
          <w:rFonts w:ascii="宋体" w:hAnsi="宋体"/>
          <w:color w:val="auto"/>
          <w:sz w:val="24"/>
        </w:rPr>
      </w:pPr>
      <w:r>
        <w:rPr>
          <w:rFonts w:hint="eastAsia" w:ascii="宋体" w:hAnsi="宋体"/>
          <w:color w:val="auto"/>
          <w:sz w:val="24"/>
        </w:rPr>
        <w:t>注：</w:t>
      </w:r>
    </w:p>
    <w:p w14:paraId="38826E2A">
      <w:pPr>
        <w:spacing w:line="360" w:lineRule="auto"/>
        <w:ind w:firstLine="480" w:firstLineChars="200"/>
        <w:contextualSpacing/>
        <w:jc w:val="left"/>
        <w:rPr>
          <w:rFonts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14:paraId="1ECD3BEF">
      <w:pPr>
        <w:spacing w:line="360" w:lineRule="auto"/>
        <w:ind w:firstLine="480" w:firstLineChars="200"/>
        <w:contextualSpacing/>
        <w:jc w:val="left"/>
        <w:rPr>
          <w:rFonts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14:paraId="50D95969">
      <w:pPr>
        <w:spacing w:line="360" w:lineRule="auto"/>
        <w:ind w:firstLine="480" w:firstLineChars="200"/>
        <w:contextualSpacing/>
        <w:jc w:val="left"/>
        <w:rPr>
          <w:rFonts w:ascii="宋体" w:hAnsi="宋体"/>
          <w:color w:val="auto"/>
          <w:sz w:val="24"/>
        </w:rPr>
      </w:pPr>
      <w:r>
        <w:rPr>
          <w:rFonts w:hint="eastAsia" w:ascii="宋体" w:hAnsi="宋体"/>
          <w:color w:val="auto"/>
          <w:sz w:val="24"/>
        </w:rPr>
        <w:t>3.供应商不存在直接管理关系的，则在“直接管理关系单位名称”填“无”。</w:t>
      </w:r>
    </w:p>
    <w:p w14:paraId="3928D3F7">
      <w:pPr>
        <w:spacing w:line="360" w:lineRule="auto"/>
        <w:contextualSpacing/>
        <w:jc w:val="left"/>
        <w:rPr>
          <w:rFonts w:ascii="宋体" w:hAnsi="宋体"/>
          <w:color w:val="auto"/>
          <w:sz w:val="28"/>
          <w:szCs w:val="28"/>
        </w:rPr>
      </w:pPr>
    </w:p>
    <w:p w14:paraId="54BAE469">
      <w:pPr>
        <w:spacing w:line="360" w:lineRule="auto"/>
        <w:contextualSpacing/>
        <w:jc w:val="left"/>
        <w:rPr>
          <w:rFonts w:ascii="宋体" w:hAnsi="宋体"/>
          <w:color w:val="auto"/>
          <w:sz w:val="28"/>
          <w:szCs w:val="28"/>
        </w:rPr>
      </w:pPr>
    </w:p>
    <w:p w14:paraId="323D722E">
      <w:pPr>
        <w:spacing w:line="360" w:lineRule="auto"/>
        <w:contextualSpacing/>
        <w:jc w:val="left"/>
        <w:rPr>
          <w:color w:val="auto"/>
          <w:sz w:val="28"/>
          <w:szCs w:val="28"/>
        </w:rPr>
      </w:pPr>
    </w:p>
    <w:p w14:paraId="2AF014E6">
      <w:pPr>
        <w:spacing w:line="360" w:lineRule="auto"/>
        <w:contextualSpacing/>
        <w:jc w:val="left"/>
        <w:rPr>
          <w:color w:val="auto"/>
          <w:sz w:val="28"/>
          <w:szCs w:val="28"/>
        </w:rPr>
      </w:pPr>
    </w:p>
    <w:p w14:paraId="11820D4F">
      <w:pPr>
        <w:spacing w:line="360" w:lineRule="auto"/>
        <w:contextualSpacing/>
        <w:jc w:val="left"/>
        <w:rPr>
          <w:color w:val="auto"/>
          <w:sz w:val="28"/>
          <w:szCs w:val="28"/>
        </w:rPr>
      </w:pPr>
    </w:p>
    <w:p w14:paraId="404DA341">
      <w:pPr>
        <w:spacing w:line="360" w:lineRule="auto"/>
        <w:contextualSpacing/>
        <w:jc w:val="left"/>
        <w:rPr>
          <w:rFonts w:ascii="宋体" w:hAnsi="宋体"/>
          <w:color w:val="auto"/>
          <w:sz w:val="28"/>
          <w:szCs w:val="28"/>
        </w:rPr>
      </w:pPr>
    </w:p>
    <w:p w14:paraId="72A9C314">
      <w:pPr>
        <w:spacing w:line="360" w:lineRule="auto"/>
        <w:ind w:right="480"/>
        <w:contextualSpacing/>
        <w:jc w:val="center"/>
        <w:rPr>
          <w:rFonts w:ascii="宋体" w:hAnsi="宋体"/>
          <w:color w:val="auto"/>
          <w:sz w:val="24"/>
          <w:u w:val="single"/>
        </w:rPr>
      </w:pP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法定代表人或者委托代理人（签字或者电子签名）：</w:t>
      </w:r>
      <w:r>
        <w:rPr>
          <w:rFonts w:hint="eastAsia" w:ascii="宋体" w:hAnsi="宋体"/>
          <w:color w:val="auto"/>
          <w:sz w:val="24"/>
          <w:u w:val="single"/>
        </w:rPr>
        <w:t xml:space="preserve"> </w:t>
      </w:r>
      <w:r>
        <w:rPr>
          <w:rFonts w:ascii="宋体" w:hAnsi="宋体"/>
          <w:color w:val="auto"/>
          <w:sz w:val="24"/>
          <w:u w:val="single"/>
        </w:rPr>
        <w:t xml:space="preserve">                  </w:t>
      </w:r>
    </w:p>
    <w:p w14:paraId="6814AD44">
      <w:pPr>
        <w:spacing w:line="360" w:lineRule="auto"/>
        <w:ind w:right="480" w:firstLine="3360" w:firstLineChars="1400"/>
        <w:contextualSpacing/>
        <w:rPr>
          <w:rFonts w:ascii="宋体" w:hAnsi="宋体"/>
          <w:color w:val="auto"/>
          <w:sz w:val="24"/>
        </w:rPr>
      </w:pPr>
      <w:r>
        <w:rPr>
          <w:rFonts w:hint="eastAsia" w:ascii="宋体" w:hAnsi="宋体"/>
          <w:color w:val="auto"/>
          <w:sz w:val="24"/>
        </w:rPr>
        <w:t>供应商（电子签章）：</w:t>
      </w:r>
      <w:r>
        <w:rPr>
          <w:rFonts w:hint="eastAsia" w:ascii="宋体" w:hAnsi="宋体"/>
          <w:color w:val="auto"/>
          <w:sz w:val="24"/>
          <w:u w:val="single"/>
        </w:rPr>
        <w:t xml:space="preserve">                </w:t>
      </w:r>
    </w:p>
    <w:p w14:paraId="2B4F8054">
      <w:pPr>
        <w:spacing w:line="360" w:lineRule="auto"/>
        <w:ind w:right="480" w:firstLine="240" w:firstLineChars="100"/>
        <w:contextualSpacing/>
        <w:jc w:val="center"/>
        <w:rPr>
          <w:rFonts w:ascii="宋体" w:hAnsi="宋体"/>
          <w:color w:val="auto"/>
          <w:sz w:val="28"/>
          <w:szCs w:val="28"/>
        </w:rPr>
      </w:pPr>
      <w:r>
        <w:rPr>
          <w:rFonts w:hint="eastAsia" w:ascii="宋体" w:hAnsi="宋体"/>
          <w:color w:val="auto"/>
          <w:sz w:val="24"/>
        </w:rPr>
        <w:t xml:space="preserve">                                        年    月    日</w:t>
      </w:r>
    </w:p>
    <w:p w14:paraId="6C5157FE">
      <w:pPr>
        <w:spacing w:line="320" w:lineRule="exact"/>
        <w:jc w:val="center"/>
        <w:rPr>
          <w:rFonts w:ascii="Arial Unicode MS" w:hAnsi="宋体" w:eastAsia="Arial Unicode MS"/>
          <w:b/>
          <w:color w:val="auto"/>
          <w:sz w:val="32"/>
          <w:szCs w:val="32"/>
        </w:rPr>
      </w:pPr>
      <w:r>
        <w:rPr>
          <w:rFonts w:ascii="宋体" w:hAnsi="宋体"/>
          <w:b/>
          <w:color w:val="auto"/>
          <w:sz w:val="32"/>
          <w:szCs w:val="32"/>
        </w:rPr>
        <w:br w:type="page"/>
      </w:r>
      <w:r>
        <w:rPr>
          <w:rFonts w:hint="eastAsia" w:ascii="Arial Unicode MS" w:hAnsi="宋体" w:eastAsia="Arial Unicode MS"/>
          <w:b/>
          <w:color w:val="auto"/>
          <w:sz w:val="32"/>
          <w:szCs w:val="32"/>
        </w:rPr>
        <w:t>竞标声明</w:t>
      </w:r>
    </w:p>
    <w:p w14:paraId="22A9F745">
      <w:pPr>
        <w:spacing w:line="320" w:lineRule="exact"/>
        <w:jc w:val="center"/>
        <w:rPr>
          <w:rFonts w:ascii="宋体" w:hAnsi="宋体"/>
          <w:color w:val="auto"/>
          <w:sz w:val="24"/>
          <w:szCs w:val="20"/>
        </w:rPr>
      </w:pPr>
    </w:p>
    <w:p w14:paraId="12C1FE01">
      <w:pPr>
        <w:spacing w:line="360" w:lineRule="auto"/>
        <w:contextualSpacing/>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（采购人名称）</w:t>
      </w:r>
      <w:r>
        <w:rPr>
          <w:rFonts w:hint="eastAsia" w:ascii="宋体" w:hAnsi="宋体" w:cs="宋体"/>
          <w:color w:val="auto"/>
          <w:sz w:val="24"/>
        </w:rPr>
        <w:t>：</w:t>
      </w:r>
    </w:p>
    <w:p w14:paraId="4B10091B">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我方</w:t>
      </w: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14:paraId="7DEEA6E9">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w:t>
      </w:r>
      <w:r>
        <w:rPr>
          <w:rFonts w:hint="eastAsia" w:ascii="宋体" w:hAnsi="宋体" w:cs="宋体"/>
          <w:color w:val="auto"/>
          <w:sz w:val="24"/>
        </w:rPr>
        <w:t>项目的竞标，为便于贵方公正、择优地确定成交供应商及其竞标产品和服务，我方就本次竞标有关事项郑重声明如下：</w:t>
      </w:r>
    </w:p>
    <w:p w14:paraId="40D67A35">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1.我方向贵方提交的所有响应文件、资料都是准确的和真实的。</w:t>
      </w:r>
    </w:p>
    <w:p w14:paraId="55B5818E">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14:paraId="3DEF2921">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3.在此，我方宣布同意如下：</w:t>
      </w:r>
    </w:p>
    <w:p w14:paraId="164493C5">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（1）将按照谈判文件的约定履行合同责任和义务；</w:t>
      </w:r>
    </w:p>
    <w:p w14:paraId="01998C28">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（2）已详细审查全部谈判文件，包括补遗文件（如有）；</w:t>
      </w:r>
    </w:p>
    <w:p w14:paraId="11204A6A">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（3）同意提供按照贵方可能要求的与谈判有关的一切数据或者资料；</w:t>
      </w:r>
    </w:p>
    <w:p w14:paraId="1713A2F9">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（4）响应谈判文件规定的竞标有效期。</w:t>
      </w:r>
    </w:p>
    <w:p w14:paraId="4D08EFC8">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4.我方承诺符合《中华人民共和国政府采购法》第二十二条规定：</w:t>
      </w:r>
    </w:p>
    <w:p w14:paraId="395EFD80">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（1）具有独立承担民事责任的能力；</w:t>
      </w:r>
    </w:p>
    <w:p w14:paraId="472307AD">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（2）具有良好的商业信誉和健全的财务会计制度；</w:t>
      </w:r>
    </w:p>
    <w:p w14:paraId="57857C9D">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（3）具有履行合同所必需的设备和专业技术能力；</w:t>
      </w:r>
    </w:p>
    <w:p w14:paraId="4DEBDC3B">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（4）有依法缴纳税收和社会保障资金的良好记录；</w:t>
      </w:r>
    </w:p>
    <w:p w14:paraId="619A6269">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（5）参加政府采购活动前三年内，在经营活动中没有重大违法记录；</w:t>
      </w:r>
    </w:p>
    <w:p w14:paraId="1F2778B8">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（6）法律、行政法规规定的其他条件。</w:t>
      </w:r>
    </w:p>
    <w:p w14:paraId="07F88120">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96E1651">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46BCA85">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14:paraId="6DBFE4CD">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DE5AE73">
      <w:pPr>
        <w:pStyle w:val="31"/>
        <w:spacing w:line="360" w:lineRule="auto"/>
        <w:ind w:firstLine="480" w:firstLineChars="200"/>
        <w:contextualSpacing/>
        <w:rPr>
          <w:rFonts w:hAnsi="宋体" w:cs="宋体"/>
          <w:color w:val="auto"/>
          <w:sz w:val="24"/>
          <w:szCs w:val="24"/>
          <w:u w:val="single"/>
        </w:rPr>
      </w:pPr>
      <w:r>
        <w:rPr>
          <w:rFonts w:hint="eastAsia" w:hAnsi="宋体" w:cs="宋体"/>
          <w:color w:val="auto"/>
          <w:sz w:val="24"/>
          <w:szCs w:val="24"/>
        </w:rPr>
        <w:t>7.与本谈判有关的一切正式往来信函请寄：</w:t>
      </w:r>
      <w:r>
        <w:rPr>
          <w:rFonts w:hint="eastAsia" w:hAnsi="宋体" w:cs="宋体"/>
          <w:color w:val="auto"/>
          <w:sz w:val="24"/>
          <w:szCs w:val="24"/>
          <w:u w:val="single"/>
        </w:rPr>
        <w:t xml:space="preserve">                  </w:t>
      </w:r>
      <w:r>
        <w:rPr>
          <w:rFonts w:hint="eastAsia" w:hAnsi="宋体" w:cs="宋体"/>
          <w:color w:val="auto"/>
          <w:sz w:val="24"/>
          <w:szCs w:val="24"/>
        </w:rPr>
        <w:t>邮政编号：</w:t>
      </w:r>
      <w:r>
        <w:rPr>
          <w:rFonts w:hint="eastAsia" w:hAnsi="宋体" w:cs="宋体"/>
          <w:color w:val="auto"/>
          <w:sz w:val="24"/>
          <w:szCs w:val="24"/>
          <w:u w:val="single"/>
        </w:rPr>
        <w:t xml:space="preserve">    </w:t>
      </w:r>
    </w:p>
    <w:p w14:paraId="662C8DAB">
      <w:pPr>
        <w:pStyle w:val="31"/>
        <w:spacing w:line="360" w:lineRule="auto"/>
        <w:ind w:firstLine="480" w:firstLineChars="200"/>
        <w:contextualSpacing/>
        <w:rPr>
          <w:rFonts w:hAnsi="宋体" w:cs="宋体"/>
          <w:color w:val="auto"/>
          <w:sz w:val="24"/>
          <w:szCs w:val="24"/>
        </w:rPr>
      </w:pPr>
      <w:r>
        <w:rPr>
          <w:rFonts w:hint="eastAsia" w:hAnsi="宋体" w:cs="宋体"/>
          <w:color w:val="auto"/>
          <w:sz w:val="24"/>
          <w:szCs w:val="24"/>
        </w:rPr>
        <w:t>电话/传真：</w:t>
      </w:r>
      <w:r>
        <w:rPr>
          <w:rFonts w:hint="eastAsia" w:hAnsi="宋体" w:cs="宋体"/>
          <w:color w:val="auto"/>
          <w:sz w:val="24"/>
          <w:szCs w:val="24"/>
          <w:u w:val="single"/>
        </w:rPr>
        <w:t xml:space="preserve">                        </w:t>
      </w:r>
      <w:r>
        <w:rPr>
          <w:rFonts w:hint="eastAsia" w:hAnsi="宋体" w:cs="宋体"/>
          <w:color w:val="auto"/>
          <w:sz w:val="24"/>
          <w:szCs w:val="24"/>
        </w:rPr>
        <w:t xml:space="preserve"> 电子邮箱：</w:t>
      </w:r>
      <w:r>
        <w:rPr>
          <w:rFonts w:hint="eastAsia" w:hAnsi="宋体" w:cs="宋体"/>
          <w:color w:val="auto"/>
          <w:sz w:val="24"/>
          <w:szCs w:val="24"/>
          <w:u w:val="single"/>
        </w:rPr>
        <w:t xml:space="preserve">             </w:t>
      </w:r>
      <w:r>
        <w:rPr>
          <w:rFonts w:hint="eastAsia" w:hAnsi="宋体" w:cs="宋体"/>
          <w:color w:val="auto"/>
          <w:sz w:val="24"/>
          <w:szCs w:val="24"/>
        </w:rPr>
        <w:t xml:space="preserve">    </w:t>
      </w:r>
    </w:p>
    <w:p w14:paraId="61196C12">
      <w:pPr>
        <w:pStyle w:val="30"/>
        <w:tabs>
          <w:tab w:val="left" w:pos="939"/>
        </w:tabs>
        <w:spacing w:line="360" w:lineRule="auto"/>
        <w:ind w:left="141" w:leftChars="67" w:firstLine="360" w:firstLineChars="150"/>
        <w:rPr>
          <w:rFonts w:ascii="宋体" w:hAnsi="宋体" w:cs="宋体"/>
          <w:color w:val="auto"/>
          <w:sz w:val="24"/>
        </w:rPr>
      </w:pPr>
      <w:r>
        <w:rPr>
          <w:rFonts w:hint="eastAsia" w:ascii="宋体" w:hAnsi="宋体" w:cs="宋体"/>
          <w:color w:val="auto"/>
          <w:sz w:val="24"/>
        </w:rPr>
        <w:t>开户银行：</w:t>
      </w:r>
      <w:r>
        <w:rPr>
          <w:rFonts w:hint="eastAsia" w:ascii="宋体" w:hAnsi="宋体" w:cs="宋体"/>
          <w:color w:val="auto"/>
          <w:sz w:val="24"/>
          <w:u w:val="single"/>
        </w:rPr>
        <w:t xml:space="preserve">                         </w:t>
      </w:r>
      <w:r>
        <w:rPr>
          <w:rFonts w:hint="eastAsia" w:ascii="宋体" w:hAnsi="宋体" w:cs="宋体"/>
          <w:color w:val="auto"/>
          <w:sz w:val="24"/>
        </w:rPr>
        <w:t xml:space="preserve">  账号/行号：</w:t>
      </w:r>
      <w:r>
        <w:rPr>
          <w:rFonts w:hint="eastAsia" w:ascii="宋体" w:hAnsi="宋体" w:cs="宋体"/>
          <w:color w:val="auto"/>
          <w:sz w:val="24"/>
          <w:u w:val="single"/>
        </w:rPr>
        <w:t xml:space="preserve">           </w:t>
      </w:r>
    </w:p>
    <w:p w14:paraId="0D066FF8">
      <w:pPr>
        <w:pStyle w:val="30"/>
        <w:tabs>
          <w:tab w:val="left" w:pos="939"/>
        </w:tabs>
        <w:spacing w:line="360" w:lineRule="auto"/>
        <w:ind w:left="141" w:leftChars="67" w:firstLine="360" w:firstLineChars="150"/>
        <w:rPr>
          <w:rFonts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14:paraId="40E56E22">
      <w:pPr>
        <w:pStyle w:val="30"/>
        <w:tabs>
          <w:tab w:val="left" w:pos="939"/>
        </w:tabs>
        <w:spacing w:line="360" w:lineRule="auto"/>
        <w:ind w:left="141" w:leftChars="67" w:firstLine="360" w:firstLineChars="150"/>
        <w:rPr>
          <w:rFonts w:ascii="宋体" w:hAnsi="宋体" w:cs="宋体"/>
          <w:color w:val="auto"/>
          <w:szCs w:val="21"/>
        </w:rPr>
      </w:pPr>
      <w:r>
        <w:rPr>
          <w:rFonts w:hint="eastAsia" w:ascii="宋体" w:hAnsi="宋体" w:cs="宋体"/>
          <w:color w:val="auto"/>
          <w:sz w:val="24"/>
        </w:rPr>
        <w:t>特此承诺。</w:t>
      </w:r>
    </w:p>
    <w:p w14:paraId="1BE668C2">
      <w:pPr>
        <w:spacing w:line="360" w:lineRule="auto"/>
        <w:contextualSpacing/>
        <w:jc w:val="left"/>
        <w:rPr>
          <w:rFonts w:ascii="宋体" w:hAnsi="宋体"/>
          <w:b/>
          <w:color w:val="auto"/>
          <w:sz w:val="24"/>
        </w:rPr>
      </w:pPr>
      <w:r>
        <w:rPr>
          <w:rFonts w:hint="eastAsia" w:ascii="宋体" w:hAnsi="宋体"/>
          <w:b/>
          <w:color w:val="auto"/>
          <w:sz w:val="24"/>
        </w:rPr>
        <w:t xml:space="preserve">    注：如为联合体竞标，盖章处须加盖联合体各方公章并由联合体各方法定代表人分别签署，否则响应文件按无效处理。</w:t>
      </w:r>
    </w:p>
    <w:p w14:paraId="46936455">
      <w:pPr>
        <w:spacing w:line="360" w:lineRule="auto"/>
        <w:contextualSpacing/>
        <w:jc w:val="left"/>
        <w:rPr>
          <w:rFonts w:ascii="宋体" w:hAnsi="宋体" w:cs="宋体"/>
          <w:color w:val="auto"/>
          <w:szCs w:val="21"/>
        </w:rPr>
      </w:pPr>
    </w:p>
    <w:p w14:paraId="79555DFA">
      <w:pPr>
        <w:spacing w:line="360" w:lineRule="auto"/>
        <w:ind w:firstLine="1575" w:firstLineChars="750"/>
        <w:contextualSpacing/>
        <w:rPr>
          <w:color w:val="auto"/>
        </w:rPr>
      </w:pPr>
      <w:r>
        <w:rPr>
          <w:rFonts w:hint="eastAsia"/>
          <w:color w:val="auto"/>
        </w:rPr>
        <w:t>法定代表人（</w:t>
      </w:r>
      <w:r>
        <w:rPr>
          <w:rFonts w:hint="eastAsia" w:ascii="宋体" w:hAnsi="宋体"/>
          <w:color w:val="auto"/>
          <w:sz w:val="24"/>
        </w:rPr>
        <w:t>签字或者盖章或者电子签名</w:t>
      </w:r>
      <w:r>
        <w:rPr>
          <w:rFonts w:hint="eastAsia"/>
          <w:color w:val="auto"/>
        </w:rPr>
        <w:t>）：</w:t>
      </w:r>
      <w:r>
        <w:rPr>
          <w:rFonts w:hint="eastAsia"/>
          <w:color w:val="auto"/>
          <w:u w:val="single"/>
        </w:rPr>
        <w:t xml:space="preserve">           </w:t>
      </w:r>
      <w:r>
        <w:rPr>
          <w:rFonts w:hint="eastAsia"/>
          <w:color w:val="auto"/>
        </w:rPr>
        <w:t xml:space="preserve">                                     </w:t>
      </w:r>
    </w:p>
    <w:p w14:paraId="6701D2A9">
      <w:pPr>
        <w:spacing w:line="360" w:lineRule="auto"/>
        <w:ind w:firstLine="3780" w:firstLineChars="1800"/>
        <w:contextualSpacing/>
        <w:rPr>
          <w:rFonts w:ascii="宋体" w:hAnsi="宋体" w:cs="宋体"/>
          <w:color w:val="auto"/>
          <w:szCs w:val="21"/>
          <w:u w:val="single"/>
        </w:rPr>
      </w:pPr>
      <w:r>
        <w:rPr>
          <w:rFonts w:hint="eastAsia"/>
          <w:color w:val="auto"/>
        </w:rPr>
        <w:t>供应商（电子签章）：</w:t>
      </w:r>
      <w:r>
        <w:rPr>
          <w:rFonts w:hint="eastAsia"/>
          <w:color w:val="auto"/>
          <w:u w:val="single"/>
        </w:rPr>
        <w:t xml:space="preserve">                               </w:t>
      </w:r>
      <w:r>
        <w:rPr>
          <w:rFonts w:hint="eastAsia"/>
          <w:color w:val="auto"/>
        </w:rPr>
        <w:t xml:space="preserve">       </w:t>
      </w:r>
      <w:r>
        <w:rPr>
          <w:rFonts w:hint="eastAsia" w:ascii="宋体" w:hAnsi="宋体" w:cs="宋体"/>
          <w:color w:val="auto"/>
          <w:szCs w:val="21"/>
        </w:rPr>
        <w:t xml:space="preserve">    </w:t>
      </w:r>
    </w:p>
    <w:p w14:paraId="41566B79">
      <w:pPr>
        <w:spacing w:line="360" w:lineRule="auto"/>
        <w:ind w:right="482" w:firstLine="210" w:firstLineChars="100"/>
        <w:contextualSpacing/>
        <w:jc w:val="center"/>
        <w:rPr>
          <w:rFonts w:ascii="宋体" w:hAnsi="宋体"/>
          <w:color w:val="auto"/>
          <w:szCs w:val="21"/>
        </w:rPr>
      </w:pPr>
      <w:r>
        <w:rPr>
          <w:rFonts w:hint="eastAsia" w:ascii="宋体" w:hAnsi="宋体" w:cs="宋体"/>
          <w:color w:val="auto"/>
          <w:szCs w:val="21"/>
        </w:rPr>
        <w:t xml:space="preserve">                                                        </w:t>
      </w:r>
      <w:r>
        <w:rPr>
          <w:rFonts w:hint="eastAsia"/>
          <w:color w:val="auto"/>
        </w:rPr>
        <w:t xml:space="preserve"> 年    月    日 </w:t>
      </w:r>
    </w:p>
    <w:p w14:paraId="20098B63">
      <w:pPr>
        <w:pStyle w:val="14"/>
        <w:overflowPunct w:val="0"/>
        <w:spacing w:line="520" w:lineRule="exact"/>
        <w:ind w:firstLine="0"/>
        <w:jc w:val="center"/>
        <w:rPr>
          <w:rFonts w:ascii="Arial Unicode MS" w:hAnsi="Arial Unicode MS" w:eastAsia="Arial Unicode MS" w:cs="Arial Unicode MS"/>
          <w:color w:val="auto"/>
          <w:sz w:val="32"/>
          <w:szCs w:val="32"/>
        </w:rPr>
      </w:pPr>
      <w:r>
        <w:rPr>
          <w:rFonts w:hint="eastAsia" w:ascii="Arial Unicode MS" w:hAnsi="Arial Unicode MS" w:eastAsia="Arial Unicode MS" w:cs="Arial Unicode MS"/>
          <w:color w:val="auto"/>
          <w:sz w:val="32"/>
          <w:szCs w:val="32"/>
        </w:rPr>
        <w:br w:type="page"/>
      </w:r>
      <w:r>
        <w:rPr>
          <w:rFonts w:hint="eastAsia" w:ascii="Arial Unicode MS" w:hAnsi="Arial Unicode MS" w:eastAsia="Arial Unicode MS" w:cs="Arial Unicode MS"/>
          <w:color w:val="auto"/>
          <w:sz w:val="32"/>
          <w:szCs w:val="32"/>
        </w:rPr>
        <w:t>联合体竞标协议书</w:t>
      </w:r>
    </w:p>
    <w:p w14:paraId="3844F67B">
      <w:pPr>
        <w:pStyle w:val="14"/>
        <w:overflowPunct w:val="0"/>
        <w:spacing w:line="360" w:lineRule="auto"/>
        <w:ind w:firstLine="0"/>
        <w:contextualSpacing/>
        <w:rPr>
          <w:rFonts w:ascii="宋体" w:hAnsi="宋体"/>
          <w:color w:val="auto"/>
          <w:sz w:val="24"/>
          <w:szCs w:val="24"/>
        </w:rPr>
      </w:pPr>
    </w:p>
    <w:p w14:paraId="5334E5A5">
      <w:pPr>
        <w:pStyle w:val="14"/>
        <w:overflowPunct w:val="0"/>
        <w:spacing w:line="360" w:lineRule="auto"/>
        <w:ind w:firstLine="480" w:firstLineChars="200"/>
        <w:contextualSpacing/>
        <w:rPr>
          <w:rFonts w:ascii="宋体" w:hAnsi="宋体" w:cs="仿宋_GB2312"/>
          <w:color w:val="auto"/>
          <w:sz w:val="24"/>
          <w:szCs w:val="24"/>
        </w:rPr>
      </w:pPr>
      <w:r>
        <w:rPr>
          <w:rFonts w:hint="eastAsia" w:ascii="宋体" w:hAnsi="宋体" w:cs="仿宋_GB2312"/>
          <w:color w:val="auto"/>
          <w:sz w:val="24"/>
          <w:szCs w:val="24"/>
          <w:u w:val="single"/>
        </w:rPr>
        <w:t xml:space="preserve">      </w:t>
      </w:r>
      <w:r>
        <w:rPr>
          <w:rFonts w:hint="eastAsia" w:ascii="宋体" w:hAnsi="宋体" w:cs="仿宋_GB2312"/>
          <w:color w:val="auto"/>
          <w:sz w:val="24"/>
          <w:szCs w:val="24"/>
        </w:rPr>
        <w:t>（所有成员单位名称）自愿组成</w:t>
      </w:r>
      <w:r>
        <w:rPr>
          <w:rFonts w:hint="eastAsia" w:ascii="宋体" w:hAnsi="宋体" w:cs="仿宋_GB2312"/>
          <w:color w:val="auto"/>
          <w:sz w:val="24"/>
          <w:szCs w:val="24"/>
          <w:u w:val="single"/>
        </w:rPr>
        <w:t xml:space="preserve">      </w:t>
      </w:r>
      <w:r>
        <w:rPr>
          <w:rFonts w:hint="eastAsia" w:ascii="宋体" w:hAnsi="宋体" w:cs="仿宋_GB2312"/>
          <w:color w:val="auto"/>
          <w:sz w:val="24"/>
          <w:szCs w:val="24"/>
        </w:rPr>
        <w:t>（联合体名称）联合体，共同参加</w:t>
      </w:r>
      <w:r>
        <w:rPr>
          <w:rFonts w:hint="eastAsia" w:ascii="宋体" w:hAnsi="宋体" w:cs="仿宋_GB2312"/>
          <w:color w:val="auto"/>
          <w:sz w:val="24"/>
          <w:szCs w:val="24"/>
          <w:u w:val="single"/>
        </w:rPr>
        <w:t xml:space="preserve">      </w:t>
      </w:r>
      <w:r>
        <w:rPr>
          <w:rFonts w:hint="eastAsia" w:ascii="宋体" w:hAnsi="宋体" w:cs="仿宋_GB2312"/>
          <w:color w:val="auto"/>
          <w:sz w:val="24"/>
          <w:szCs w:val="24"/>
        </w:rPr>
        <w:t>（项目名称）采购项目竞标。现就联合体竞标事宜订立如下协议。</w:t>
      </w:r>
    </w:p>
    <w:p w14:paraId="59745F00">
      <w:pPr>
        <w:pStyle w:val="14"/>
        <w:overflowPunct w:val="0"/>
        <w:spacing w:line="360" w:lineRule="auto"/>
        <w:ind w:firstLine="480" w:firstLineChars="200"/>
        <w:contextualSpacing/>
        <w:rPr>
          <w:rFonts w:ascii="宋体" w:hAnsi="宋体" w:cs="仿宋_GB2312"/>
          <w:color w:val="auto"/>
          <w:sz w:val="24"/>
          <w:szCs w:val="24"/>
        </w:rPr>
      </w:pPr>
      <w:r>
        <w:rPr>
          <w:rFonts w:hint="eastAsia" w:ascii="宋体" w:hAnsi="宋体" w:cs="仿宋_GB2312"/>
          <w:color w:val="auto"/>
          <w:sz w:val="24"/>
          <w:szCs w:val="24"/>
        </w:rPr>
        <w:t>1.</w:t>
      </w:r>
      <w:r>
        <w:rPr>
          <w:rFonts w:hint="eastAsia" w:ascii="宋体" w:hAnsi="宋体" w:cs="仿宋_GB2312"/>
          <w:color w:val="auto"/>
          <w:sz w:val="24"/>
          <w:szCs w:val="24"/>
          <w:u w:val="single"/>
        </w:rPr>
        <w:t xml:space="preserve"> </w:t>
      </w:r>
      <w:r>
        <w:rPr>
          <w:rFonts w:hint="eastAsia" w:ascii="宋体" w:hAnsi="宋体" w:cs="仿宋_GB2312"/>
          <w:color w:val="auto"/>
          <w:sz w:val="24"/>
          <w:szCs w:val="24"/>
          <w:u w:val="single"/>
        </w:rPr>
        <w:tab/>
      </w:r>
      <w:r>
        <w:rPr>
          <w:rFonts w:hint="eastAsia" w:ascii="宋体" w:hAnsi="宋体" w:cs="仿宋_GB2312"/>
          <w:color w:val="auto"/>
          <w:sz w:val="24"/>
          <w:szCs w:val="24"/>
          <w:u w:val="single"/>
        </w:rPr>
        <w:t xml:space="preserve">   </w:t>
      </w:r>
      <w:r>
        <w:rPr>
          <w:rFonts w:hint="eastAsia" w:ascii="宋体" w:hAnsi="宋体" w:cs="仿宋_GB2312"/>
          <w:color w:val="auto"/>
          <w:sz w:val="24"/>
          <w:szCs w:val="24"/>
        </w:rPr>
        <w:t>（某成员单位名称）为</w:t>
      </w:r>
      <w:r>
        <w:rPr>
          <w:rFonts w:hint="eastAsia" w:ascii="宋体" w:hAnsi="宋体" w:cs="仿宋_GB2312"/>
          <w:color w:val="auto"/>
          <w:sz w:val="24"/>
          <w:szCs w:val="24"/>
          <w:u w:val="single"/>
        </w:rPr>
        <w:t xml:space="preserve">     </w:t>
      </w:r>
      <w:r>
        <w:rPr>
          <w:rFonts w:hint="eastAsia" w:ascii="宋体" w:hAnsi="宋体" w:cs="仿宋_GB2312"/>
          <w:color w:val="auto"/>
          <w:sz w:val="24"/>
          <w:szCs w:val="24"/>
        </w:rPr>
        <w:t>（联合体名称）牵头人。</w:t>
      </w:r>
    </w:p>
    <w:p w14:paraId="38B4A8AA">
      <w:pPr>
        <w:pStyle w:val="14"/>
        <w:overflowPunct w:val="0"/>
        <w:spacing w:line="360" w:lineRule="auto"/>
        <w:ind w:firstLine="480" w:firstLineChars="200"/>
        <w:contextualSpacing/>
        <w:rPr>
          <w:rFonts w:ascii="宋体" w:hAnsi="宋体" w:cs="仿宋_GB2312"/>
          <w:color w:val="auto"/>
          <w:sz w:val="24"/>
          <w:szCs w:val="24"/>
        </w:rPr>
      </w:pPr>
      <w:r>
        <w:rPr>
          <w:rFonts w:hint="eastAsia" w:ascii="宋体" w:hAnsi="宋体" w:cs="仿宋_GB2312"/>
          <w:color w:val="auto"/>
          <w:sz w:val="24"/>
          <w:szCs w:val="24"/>
        </w:rPr>
        <w:t>2.联合体各成员授权牵头人代表联合体参加竞标活动，签署文件及对文件的盖章，提交和接收相关的资料、信息及指示，进行合同谈判活动，负责合同实施阶段的组织和协调工作，以及处理与本竞标项目有关的一切事宜。</w:t>
      </w:r>
    </w:p>
    <w:p w14:paraId="5FF425A0">
      <w:pPr>
        <w:pStyle w:val="14"/>
        <w:overflowPunct w:val="0"/>
        <w:spacing w:line="360" w:lineRule="auto"/>
        <w:ind w:firstLine="480" w:firstLineChars="200"/>
        <w:contextualSpacing/>
        <w:rPr>
          <w:rFonts w:ascii="宋体" w:hAnsi="宋体" w:cs="仿宋_GB2312"/>
          <w:color w:val="auto"/>
          <w:sz w:val="24"/>
          <w:szCs w:val="24"/>
        </w:rPr>
      </w:pPr>
      <w:r>
        <w:rPr>
          <w:rFonts w:hint="eastAsia" w:ascii="宋体" w:hAnsi="宋体" w:cs="仿宋_GB2312"/>
          <w:color w:val="auto"/>
          <w:sz w:val="24"/>
          <w:szCs w:val="24"/>
        </w:rPr>
        <w:t>3.联合体牵头人在本项目中签署和盖章的一切文件和处理的一切事宜，联合体各成员均予以承认。联合体各成员将严格按照谈判文件、响应文件和合同的要求全面履行义务，并向采购人承担连带责任。</w:t>
      </w:r>
    </w:p>
    <w:p w14:paraId="448CE8A9">
      <w:pPr>
        <w:pStyle w:val="14"/>
        <w:overflowPunct w:val="0"/>
        <w:spacing w:line="360" w:lineRule="auto"/>
        <w:ind w:firstLine="480" w:firstLineChars="200"/>
        <w:contextualSpacing/>
        <w:rPr>
          <w:rFonts w:ascii="宋体" w:hAnsi="宋体" w:cs="仿宋_GB2312"/>
          <w:color w:val="auto"/>
          <w:sz w:val="24"/>
          <w:szCs w:val="24"/>
        </w:rPr>
      </w:pPr>
      <w:r>
        <w:rPr>
          <w:rFonts w:hint="eastAsia" w:ascii="宋体" w:hAnsi="宋体" w:cs="仿宋_GB2312"/>
          <w:color w:val="auto"/>
          <w:sz w:val="24"/>
          <w:szCs w:val="24"/>
        </w:rPr>
        <w:t>4.联合体各成员单位内部的职责分工如下：</w:t>
      </w:r>
      <w:r>
        <w:rPr>
          <w:rFonts w:hint="eastAsia" w:ascii="宋体" w:hAnsi="宋体" w:cs="仿宋_GB2312"/>
          <w:color w:val="auto"/>
          <w:sz w:val="24"/>
          <w:szCs w:val="24"/>
          <w:u w:val="single"/>
        </w:rPr>
        <w:t xml:space="preserve">       </w:t>
      </w:r>
      <w:r>
        <w:rPr>
          <w:rFonts w:hint="eastAsia" w:ascii="宋体" w:hAnsi="宋体" w:cs="仿宋_GB2312"/>
          <w:color w:val="auto"/>
          <w:sz w:val="24"/>
          <w:szCs w:val="24"/>
        </w:rPr>
        <w:t>。</w:t>
      </w:r>
    </w:p>
    <w:p w14:paraId="221F6F9F">
      <w:pPr>
        <w:pStyle w:val="14"/>
        <w:overflowPunct w:val="0"/>
        <w:spacing w:line="360" w:lineRule="auto"/>
        <w:ind w:firstLine="480" w:firstLineChars="200"/>
        <w:contextualSpacing/>
        <w:rPr>
          <w:rFonts w:ascii="宋体" w:hAnsi="宋体" w:cs="仿宋_GB2312"/>
          <w:color w:val="auto"/>
          <w:sz w:val="24"/>
          <w:szCs w:val="24"/>
        </w:rPr>
      </w:pPr>
      <w:r>
        <w:rPr>
          <w:rFonts w:hint="eastAsia" w:ascii="宋体" w:hAnsi="宋体" w:cs="仿宋_GB2312"/>
          <w:color w:val="auto"/>
          <w:sz w:val="24"/>
          <w:szCs w:val="24"/>
        </w:rPr>
        <w:t>5.本</w:t>
      </w:r>
      <w:r>
        <w:rPr>
          <w:rFonts w:hint="eastAsia" w:ascii="宋体" w:hAnsi="宋体" w:cs="仿宋_GB2312"/>
          <w:color w:val="auto"/>
          <w:spacing w:val="-6"/>
          <w:sz w:val="24"/>
          <w:szCs w:val="24"/>
        </w:rPr>
        <w:t>协议书自所有成员单位法定代表人或者其委托代理人签字或者加盖单位公章之日起生效，合同履行完毕后自动失效。</w:t>
      </w:r>
    </w:p>
    <w:p w14:paraId="09D71B25">
      <w:pPr>
        <w:pStyle w:val="14"/>
        <w:overflowPunct w:val="0"/>
        <w:spacing w:line="360" w:lineRule="auto"/>
        <w:ind w:firstLine="480" w:firstLineChars="200"/>
        <w:contextualSpacing/>
        <w:rPr>
          <w:rFonts w:ascii="宋体" w:hAnsi="宋体" w:cs="仿宋_GB2312"/>
          <w:color w:val="auto"/>
          <w:sz w:val="24"/>
          <w:szCs w:val="24"/>
        </w:rPr>
      </w:pPr>
      <w:r>
        <w:rPr>
          <w:rFonts w:hint="eastAsia" w:ascii="宋体" w:hAnsi="宋体" w:cs="仿宋_GB2312"/>
          <w:color w:val="auto"/>
          <w:sz w:val="24"/>
          <w:szCs w:val="24"/>
        </w:rPr>
        <w:t>6.本协议书一式</w:t>
      </w:r>
      <w:r>
        <w:rPr>
          <w:rFonts w:hint="eastAsia" w:ascii="宋体" w:hAnsi="宋体" w:cs="仿宋_GB2312"/>
          <w:color w:val="auto"/>
          <w:sz w:val="24"/>
          <w:szCs w:val="24"/>
          <w:u w:val="single"/>
        </w:rPr>
        <w:t xml:space="preserve"> </w:t>
      </w:r>
      <w:r>
        <w:rPr>
          <w:rFonts w:hint="eastAsia" w:ascii="宋体" w:hAnsi="宋体" w:cs="仿宋_GB2312"/>
          <w:color w:val="auto"/>
          <w:sz w:val="24"/>
          <w:szCs w:val="24"/>
          <w:u w:val="single"/>
        </w:rPr>
        <w:tab/>
      </w:r>
      <w:r>
        <w:rPr>
          <w:rFonts w:hint="eastAsia" w:ascii="宋体" w:hAnsi="宋体" w:cs="仿宋_GB2312"/>
          <w:color w:val="auto"/>
          <w:sz w:val="24"/>
          <w:szCs w:val="24"/>
        </w:rPr>
        <w:t>份，联合体成员和采购人各执一份。</w:t>
      </w:r>
    </w:p>
    <w:p w14:paraId="1B0C1E7D">
      <w:pPr>
        <w:pStyle w:val="14"/>
        <w:overflowPunct w:val="0"/>
        <w:spacing w:line="360" w:lineRule="auto"/>
        <w:ind w:firstLine="480" w:firstLineChars="200"/>
        <w:contextualSpacing/>
        <w:rPr>
          <w:rFonts w:ascii="宋体" w:hAnsi="宋体" w:cs="仿宋_GB2312"/>
          <w:color w:val="auto"/>
          <w:sz w:val="24"/>
          <w:szCs w:val="24"/>
        </w:rPr>
      </w:pPr>
      <w:r>
        <w:rPr>
          <w:rFonts w:hint="eastAsia" w:ascii="宋体" w:hAnsi="宋体" w:cs="仿宋_GB2312"/>
          <w:color w:val="auto"/>
          <w:sz w:val="24"/>
          <w:szCs w:val="24"/>
        </w:rPr>
        <w:t>注：本协议书应附法定代表人身份证明书；有委托代理的，应附授权委托书（格式自拟）。</w:t>
      </w:r>
    </w:p>
    <w:p w14:paraId="794AB4A0">
      <w:pPr>
        <w:pStyle w:val="14"/>
        <w:overflowPunct w:val="0"/>
        <w:spacing w:line="360" w:lineRule="auto"/>
        <w:ind w:firstLineChars="175"/>
        <w:contextualSpacing/>
        <w:rPr>
          <w:rFonts w:ascii="宋体" w:hAnsi="宋体" w:cs="仿宋_GB2312"/>
          <w:color w:val="auto"/>
          <w:sz w:val="24"/>
          <w:szCs w:val="24"/>
        </w:rPr>
      </w:pPr>
    </w:p>
    <w:p w14:paraId="3259B07E">
      <w:pPr>
        <w:pStyle w:val="14"/>
        <w:overflowPunct w:val="0"/>
        <w:spacing w:line="360" w:lineRule="auto"/>
        <w:ind w:firstLine="0"/>
        <w:contextualSpacing/>
        <w:rPr>
          <w:rFonts w:ascii="宋体" w:hAnsi="宋体" w:cs="仿宋_GB2312"/>
          <w:color w:val="auto"/>
          <w:sz w:val="24"/>
          <w:szCs w:val="24"/>
        </w:rPr>
      </w:pPr>
      <w:r>
        <w:rPr>
          <w:rFonts w:hint="eastAsia" w:ascii="宋体" w:hAnsi="宋体" w:cs="仿宋_GB2312"/>
          <w:color w:val="auto"/>
          <w:sz w:val="24"/>
          <w:szCs w:val="24"/>
        </w:rPr>
        <w:t>联合体牵头人名称（电子签章）：</w:t>
      </w:r>
    </w:p>
    <w:p w14:paraId="3A5ABFD0">
      <w:pPr>
        <w:pStyle w:val="14"/>
        <w:overflowPunct w:val="0"/>
        <w:spacing w:line="360" w:lineRule="auto"/>
        <w:ind w:firstLine="0"/>
        <w:contextualSpacing/>
        <w:rPr>
          <w:rFonts w:ascii="宋体" w:hAnsi="宋体" w:cs="仿宋_GB2312"/>
          <w:color w:val="auto"/>
          <w:sz w:val="24"/>
          <w:szCs w:val="24"/>
        </w:rPr>
      </w:pPr>
      <w:r>
        <w:rPr>
          <w:rFonts w:hint="eastAsia" w:ascii="宋体" w:hAnsi="宋体" w:cs="仿宋_GB2312"/>
          <w:color w:val="auto"/>
          <w:sz w:val="24"/>
          <w:szCs w:val="24"/>
        </w:rPr>
        <w:t>法定代表人或者其委托代理人（签字或者电子签名）：</w:t>
      </w:r>
    </w:p>
    <w:p w14:paraId="5AE62609">
      <w:pPr>
        <w:pStyle w:val="14"/>
        <w:overflowPunct w:val="0"/>
        <w:spacing w:line="360" w:lineRule="auto"/>
        <w:ind w:firstLine="0"/>
        <w:contextualSpacing/>
        <w:rPr>
          <w:rFonts w:ascii="宋体" w:hAnsi="宋体" w:cs="仿宋_GB2312"/>
          <w:color w:val="auto"/>
          <w:sz w:val="24"/>
          <w:szCs w:val="24"/>
        </w:rPr>
      </w:pPr>
    </w:p>
    <w:p w14:paraId="78D967D3">
      <w:pPr>
        <w:pStyle w:val="14"/>
        <w:overflowPunct w:val="0"/>
        <w:spacing w:line="360" w:lineRule="auto"/>
        <w:ind w:firstLine="0"/>
        <w:contextualSpacing/>
        <w:rPr>
          <w:rFonts w:ascii="宋体" w:hAnsi="宋体" w:cs="仿宋_GB2312"/>
          <w:color w:val="auto"/>
          <w:sz w:val="24"/>
          <w:szCs w:val="24"/>
        </w:rPr>
      </w:pPr>
      <w:r>
        <w:rPr>
          <w:rFonts w:hint="eastAsia" w:ascii="宋体" w:hAnsi="宋体" w:cs="仿宋_GB2312"/>
          <w:color w:val="auto"/>
          <w:sz w:val="24"/>
          <w:szCs w:val="24"/>
        </w:rPr>
        <w:t>联合体成员名称（加盖公章或者电子签章）：</w:t>
      </w:r>
    </w:p>
    <w:p w14:paraId="4FD69551">
      <w:pPr>
        <w:pStyle w:val="14"/>
        <w:overflowPunct w:val="0"/>
        <w:spacing w:line="360" w:lineRule="auto"/>
        <w:ind w:firstLine="0"/>
        <w:contextualSpacing/>
        <w:rPr>
          <w:rFonts w:ascii="宋体" w:hAnsi="宋体" w:cs="仿宋_GB2312"/>
          <w:color w:val="auto"/>
          <w:sz w:val="24"/>
          <w:szCs w:val="24"/>
        </w:rPr>
      </w:pPr>
      <w:r>
        <w:rPr>
          <w:rFonts w:hint="eastAsia" w:ascii="宋体" w:hAnsi="宋体" w:cs="仿宋_GB2312"/>
          <w:color w:val="auto"/>
          <w:sz w:val="24"/>
          <w:szCs w:val="24"/>
        </w:rPr>
        <w:t>法定代表人或者其委托代理人（签字或者电子签名）：</w:t>
      </w:r>
    </w:p>
    <w:p w14:paraId="24C6537A">
      <w:pPr>
        <w:pStyle w:val="14"/>
        <w:overflowPunct w:val="0"/>
        <w:spacing w:line="360" w:lineRule="auto"/>
        <w:ind w:firstLine="0"/>
        <w:contextualSpacing/>
        <w:rPr>
          <w:rFonts w:ascii="宋体" w:hAnsi="宋体" w:cs="仿宋_GB2312"/>
          <w:color w:val="auto"/>
          <w:sz w:val="24"/>
          <w:szCs w:val="24"/>
        </w:rPr>
      </w:pPr>
    </w:p>
    <w:p w14:paraId="2D4D6C68">
      <w:pPr>
        <w:pStyle w:val="14"/>
        <w:overflowPunct w:val="0"/>
        <w:spacing w:line="360" w:lineRule="auto"/>
        <w:ind w:firstLine="0"/>
        <w:contextualSpacing/>
        <w:rPr>
          <w:rFonts w:ascii="宋体" w:hAnsi="宋体" w:cs="仿宋_GB2312"/>
          <w:color w:val="auto"/>
          <w:sz w:val="24"/>
          <w:szCs w:val="24"/>
        </w:rPr>
      </w:pPr>
      <w:r>
        <w:rPr>
          <w:rFonts w:hint="eastAsia" w:ascii="宋体" w:hAnsi="宋体" w:cs="仿宋_GB2312"/>
          <w:color w:val="auto"/>
          <w:sz w:val="24"/>
          <w:szCs w:val="24"/>
        </w:rPr>
        <w:t>联合体成员名称（加盖公章或者电子签章）：</w:t>
      </w:r>
    </w:p>
    <w:p w14:paraId="637F3B88">
      <w:pPr>
        <w:pStyle w:val="14"/>
        <w:overflowPunct w:val="0"/>
        <w:spacing w:line="360" w:lineRule="auto"/>
        <w:ind w:firstLine="0"/>
        <w:contextualSpacing/>
        <w:rPr>
          <w:rFonts w:ascii="宋体" w:hAnsi="宋体" w:cs="仿宋_GB2312"/>
          <w:color w:val="auto"/>
          <w:sz w:val="24"/>
          <w:szCs w:val="24"/>
        </w:rPr>
      </w:pPr>
      <w:r>
        <w:rPr>
          <w:rFonts w:hint="eastAsia" w:ascii="宋体" w:hAnsi="宋体" w:cs="仿宋_GB2312"/>
          <w:color w:val="auto"/>
          <w:sz w:val="24"/>
          <w:szCs w:val="24"/>
        </w:rPr>
        <w:t>法定代表人或者其委托代理人（签字或者电子签名）：</w:t>
      </w:r>
    </w:p>
    <w:p w14:paraId="17151E79">
      <w:pPr>
        <w:pStyle w:val="14"/>
        <w:overflowPunct w:val="0"/>
        <w:spacing w:line="360" w:lineRule="auto"/>
        <w:ind w:firstLine="0"/>
        <w:contextualSpacing/>
        <w:rPr>
          <w:rFonts w:ascii="宋体" w:hAnsi="宋体" w:cs="仿宋_GB2312"/>
          <w:color w:val="auto"/>
          <w:sz w:val="24"/>
          <w:szCs w:val="24"/>
        </w:rPr>
      </w:pPr>
      <w:r>
        <w:rPr>
          <w:rFonts w:hint="eastAsia" w:ascii="宋体" w:hAnsi="宋体" w:cs="仿宋_GB2312"/>
          <w:color w:val="auto"/>
          <w:sz w:val="24"/>
          <w:szCs w:val="24"/>
        </w:rPr>
        <w:t>……</w:t>
      </w:r>
    </w:p>
    <w:p w14:paraId="4364E1A7">
      <w:pPr>
        <w:spacing w:line="360" w:lineRule="auto"/>
        <w:contextualSpacing/>
        <w:rPr>
          <w:rFonts w:ascii="宋体" w:hAnsi="宋体" w:cs="仿宋_GB2312"/>
          <w:color w:val="auto"/>
          <w:sz w:val="24"/>
        </w:rPr>
      </w:pPr>
    </w:p>
    <w:p w14:paraId="1C3DE52B">
      <w:pPr>
        <w:spacing w:line="360" w:lineRule="auto"/>
        <w:contextualSpacing/>
        <w:rPr>
          <w:rFonts w:ascii="宋体" w:hAnsi="宋体" w:cs="仿宋_GB2312"/>
          <w:color w:val="auto"/>
          <w:sz w:val="24"/>
        </w:rPr>
      </w:pPr>
    </w:p>
    <w:p w14:paraId="2BD102B5">
      <w:pPr>
        <w:spacing w:line="360" w:lineRule="auto"/>
        <w:contextualSpacing/>
        <w:jc w:val="right"/>
        <w:rPr>
          <w:rFonts w:ascii="宋体" w:hAnsi="宋体" w:cs="仿宋_GB2312"/>
          <w:color w:val="auto"/>
          <w:sz w:val="24"/>
        </w:rPr>
      </w:pPr>
      <w:r>
        <w:rPr>
          <w:rFonts w:hint="eastAsia" w:ascii="宋体" w:hAnsi="宋体" w:cs="仿宋_GB2312"/>
          <w:color w:val="auto"/>
          <w:sz w:val="24"/>
        </w:rPr>
        <w:t>日期：    年   月   日</w:t>
      </w:r>
      <w:r>
        <w:rPr>
          <w:rFonts w:hint="eastAsia" w:ascii="仿宋_GB2312" w:hAnsi="仿宋_GB2312" w:eastAsia="仿宋_GB2312" w:cs="仿宋_GB2312"/>
          <w:color w:val="auto"/>
          <w:sz w:val="32"/>
          <w:szCs w:val="32"/>
        </w:rPr>
        <w:t xml:space="preserve"> </w:t>
      </w:r>
    </w:p>
    <w:p w14:paraId="260917C9">
      <w:pPr>
        <w:spacing w:line="360" w:lineRule="auto"/>
        <w:ind w:right="420"/>
        <w:contextualSpacing/>
        <w:jc w:val="left"/>
        <w:rPr>
          <w:rFonts w:ascii="宋体" w:hAnsi="宋体"/>
          <w:b/>
          <w:color w:val="auto"/>
          <w:sz w:val="32"/>
          <w:szCs w:val="32"/>
        </w:rPr>
      </w:pPr>
      <w:r>
        <w:rPr>
          <w:rFonts w:ascii="宋体" w:hAnsi="宋体"/>
          <w:color w:val="auto"/>
          <w:szCs w:val="21"/>
        </w:rPr>
        <w:br w:type="page"/>
      </w:r>
      <w:r>
        <w:rPr>
          <w:rFonts w:hint="eastAsia" w:ascii="宋体" w:hAnsi="宋体"/>
          <w:b/>
          <w:bCs/>
          <w:color w:val="auto"/>
          <w:sz w:val="32"/>
          <w:szCs w:val="32"/>
        </w:rPr>
        <w:t>二、</w:t>
      </w:r>
      <w:r>
        <w:rPr>
          <w:rFonts w:hint="eastAsia" w:ascii="宋体" w:hAnsi="宋体"/>
          <w:b/>
          <w:color w:val="auto"/>
          <w:sz w:val="32"/>
          <w:szCs w:val="32"/>
        </w:rPr>
        <w:t xml:space="preserve">报价商务技术文件格式 </w:t>
      </w:r>
    </w:p>
    <w:p w14:paraId="4622D060">
      <w:pPr>
        <w:spacing w:before="120" w:after="50" w:line="360" w:lineRule="auto"/>
        <w:jc w:val="left"/>
        <w:rPr>
          <w:rFonts w:ascii="宋体" w:hAnsi="宋体"/>
          <w:b/>
          <w:color w:val="auto"/>
          <w:sz w:val="32"/>
          <w:szCs w:val="32"/>
        </w:rPr>
      </w:pPr>
      <w:r>
        <w:rPr>
          <w:rFonts w:hint="eastAsia" w:ascii="宋体" w:hAnsi="宋体"/>
          <w:b/>
          <w:color w:val="auto"/>
          <w:sz w:val="32"/>
          <w:szCs w:val="32"/>
        </w:rPr>
        <w:t>1.报价商务技术文件封面格式</w:t>
      </w:r>
    </w:p>
    <w:p w14:paraId="7245A3D8">
      <w:pPr>
        <w:spacing w:before="120" w:after="50"/>
        <w:rPr>
          <w:rFonts w:ascii="宋体" w:hAnsi="宋体"/>
          <w:bCs/>
          <w:color w:val="auto"/>
          <w:sz w:val="32"/>
          <w:szCs w:val="20"/>
        </w:rPr>
      </w:pPr>
      <w:r>
        <w:rPr>
          <w:rFonts w:hint="eastAsia" w:ascii="宋体" w:hAnsi="宋体"/>
          <w:color w:val="auto"/>
          <w:sz w:val="24"/>
        </w:rPr>
        <w:t xml:space="preserve">                                                    </w:t>
      </w:r>
    </w:p>
    <w:p w14:paraId="1338BF43">
      <w:pPr>
        <w:spacing w:before="120" w:after="50"/>
        <w:jc w:val="center"/>
        <w:rPr>
          <w:rFonts w:ascii="宋体" w:hAnsi="宋体"/>
          <w:color w:val="auto"/>
          <w:sz w:val="24"/>
          <w:szCs w:val="20"/>
        </w:rPr>
      </w:pPr>
      <w:r>
        <w:rPr>
          <w:rFonts w:hint="eastAsia" w:ascii="宋体" w:hAnsi="宋体"/>
          <w:color w:val="auto"/>
          <w:sz w:val="44"/>
          <w:szCs w:val="44"/>
        </w:rPr>
        <w:t>电 子 响 应 文 件</w:t>
      </w:r>
    </w:p>
    <w:p w14:paraId="300F430C">
      <w:pPr>
        <w:spacing w:before="120" w:after="50"/>
        <w:rPr>
          <w:rFonts w:ascii="宋体" w:hAnsi="宋体"/>
          <w:color w:val="auto"/>
          <w:sz w:val="24"/>
          <w:szCs w:val="20"/>
        </w:rPr>
      </w:pPr>
    </w:p>
    <w:p w14:paraId="3DE3F17F">
      <w:pPr>
        <w:spacing w:before="120" w:after="50"/>
        <w:rPr>
          <w:rFonts w:ascii="宋体" w:hAnsi="宋体"/>
          <w:color w:val="auto"/>
          <w:sz w:val="24"/>
          <w:szCs w:val="20"/>
        </w:rPr>
      </w:pPr>
    </w:p>
    <w:p w14:paraId="5D749B66">
      <w:pPr>
        <w:spacing w:before="120" w:after="50"/>
        <w:jc w:val="center"/>
        <w:rPr>
          <w:rFonts w:ascii="Arial Unicode MS" w:hAnsi="Arial Unicode MS" w:eastAsia="Arial Unicode MS" w:cs="Arial Unicode MS"/>
          <w:bCs/>
          <w:color w:val="auto"/>
          <w:sz w:val="44"/>
          <w:szCs w:val="44"/>
        </w:rPr>
      </w:pPr>
      <w:r>
        <w:rPr>
          <w:rFonts w:hint="eastAsia" w:ascii="Arial Unicode MS" w:hAnsi="Arial Unicode MS" w:eastAsia="Arial Unicode MS" w:cs="Arial Unicode MS"/>
          <w:bCs/>
          <w:color w:val="auto"/>
          <w:sz w:val="44"/>
          <w:szCs w:val="44"/>
        </w:rPr>
        <w:t>报  价  商  务  技  术  文  件</w:t>
      </w:r>
    </w:p>
    <w:p w14:paraId="500E721F">
      <w:pPr>
        <w:spacing w:before="120" w:after="50"/>
        <w:rPr>
          <w:rFonts w:ascii="宋体" w:hAnsi="宋体"/>
          <w:bCs/>
          <w:color w:val="auto"/>
          <w:sz w:val="24"/>
          <w:szCs w:val="20"/>
        </w:rPr>
      </w:pPr>
    </w:p>
    <w:p w14:paraId="573A221F">
      <w:pPr>
        <w:spacing w:before="120" w:after="50"/>
        <w:rPr>
          <w:rFonts w:ascii="宋体" w:hAnsi="宋体"/>
          <w:bCs/>
          <w:color w:val="auto"/>
          <w:sz w:val="24"/>
          <w:szCs w:val="20"/>
        </w:rPr>
      </w:pPr>
    </w:p>
    <w:p w14:paraId="3418C634">
      <w:pPr>
        <w:spacing w:before="120" w:after="50"/>
        <w:rPr>
          <w:rFonts w:ascii="宋体" w:hAnsi="宋体"/>
          <w:bCs/>
          <w:color w:val="auto"/>
          <w:sz w:val="24"/>
          <w:szCs w:val="20"/>
        </w:rPr>
      </w:pPr>
    </w:p>
    <w:p w14:paraId="2A1DCDF9">
      <w:pPr>
        <w:spacing w:before="120" w:after="50"/>
        <w:rPr>
          <w:rFonts w:ascii="宋体" w:hAnsi="宋体"/>
          <w:bCs/>
          <w:color w:val="auto"/>
          <w:sz w:val="24"/>
          <w:szCs w:val="20"/>
        </w:rPr>
      </w:pPr>
    </w:p>
    <w:p w14:paraId="293F3E40">
      <w:pPr>
        <w:spacing w:before="120" w:after="50"/>
        <w:rPr>
          <w:rFonts w:ascii="宋体" w:hAnsi="宋体"/>
          <w:bCs/>
          <w:color w:val="auto"/>
          <w:sz w:val="24"/>
          <w:szCs w:val="20"/>
        </w:rPr>
      </w:pPr>
    </w:p>
    <w:p w14:paraId="59115EBE">
      <w:pPr>
        <w:spacing w:before="12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项目名称：</w:t>
      </w:r>
    </w:p>
    <w:p w14:paraId="21408133">
      <w:pPr>
        <w:spacing w:before="120" w:after="50"/>
        <w:ind w:firstLine="720" w:firstLineChars="225"/>
        <w:rPr>
          <w:rFonts w:ascii="宋体" w:hAnsi="宋体" w:cs="仿宋_GB2312"/>
          <w:bCs/>
          <w:color w:val="auto"/>
          <w:sz w:val="32"/>
          <w:szCs w:val="32"/>
        </w:rPr>
      </w:pPr>
    </w:p>
    <w:p w14:paraId="6C089F47">
      <w:pPr>
        <w:spacing w:before="12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项目编号：</w:t>
      </w:r>
    </w:p>
    <w:p w14:paraId="64E4BFF8">
      <w:pPr>
        <w:spacing w:before="120" w:after="50"/>
        <w:ind w:firstLine="720" w:firstLineChars="225"/>
        <w:rPr>
          <w:rFonts w:ascii="宋体" w:hAnsi="宋体" w:cs="仿宋_GB2312"/>
          <w:bCs/>
          <w:color w:val="auto"/>
          <w:sz w:val="32"/>
          <w:szCs w:val="32"/>
        </w:rPr>
      </w:pPr>
      <w:r>
        <w:rPr>
          <w:rFonts w:hint="eastAsia" w:ascii="宋体" w:hAnsi="宋体" w:cs="仿宋_GB2312"/>
          <w:bCs/>
          <w:color w:val="auto"/>
          <w:sz w:val="32"/>
          <w:szCs w:val="32"/>
        </w:rPr>
        <w:t xml:space="preserve"> </w:t>
      </w:r>
    </w:p>
    <w:p w14:paraId="40A19885">
      <w:pPr>
        <w:spacing w:before="12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13AE16E8">
      <w:pPr>
        <w:spacing w:before="120" w:after="50"/>
        <w:ind w:firstLine="720" w:firstLineChars="225"/>
        <w:rPr>
          <w:rFonts w:ascii="宋体" w:hAnsi="宋体" w:cs="仿宋_GB2312"/>
          <w:bCs/>
          <w:color w:val="auto"/>
          <w:sz w:val="32"/>
          <w:szCs w:val="32"/>
        </w:rPr>
      </w:pPr>
    </w:p>
    <w:p w14:paraId="58EC4DF1">
      <w:pPr>
        <w:pStyle w:val="14"/>
        <w:spacing w:before="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供应商名称：</w:t>
      </w:r>
    </w:p>
    <w:p w14:paraId="2F0572F3">
      <w:pPr>
        <w:pStyle w:val="14"/>
        <w:spacing w:before="50" w:after="50"/>
        <w:ind w:firstLine="640" w:firstLineChars="200"/>
        <w:rPr>
          <w:rFonts w:ascii="宋体" w:hAnsi="宋体" w:cs="仿宋_GB2312"/>
          <w:bCs/>
          <w:color w:val="auto"/>
          <w:sz w:val="32"/>
          <w:szCs w:val="32"/>
        </w:rPr>
      </w:pPr>
    </w:p>
    <w:p w14:paraId="02D02EF7">
      <w:pPr>
        <w:pStyle w:val="14"/>
        <w:spacing w:before="50" w:after="50"/>
        <w:ind w:firstLine="720" w:firstLineChars="225"/>
        <w:rPr>
          <w:rFonts w:ascii="宋体" w:hAnsi="宋体" w:cs="仿宋_GB2312"/>
          <w:bCs/>
          <w:color w:val="auto"/>
          <w:sz w:val="32"/>
          <w:szCs w:val="32"/>
        </w:rPr>
      </w:pPr>
    </w:p>
    <w:p w14:paraId="0A4C785E">
      <w:pPr>
        <w:pStyle w:val="14"/>
        <w:spacing w:before="50" w:after="50"/>
        <w:ind w:firstLine="0"/>
        <w:rPr>
          <w:rFonts w:ascii="宋体" w:hAnsi="宋体" w:cs="仿宋_GB2312"/>
          <w:bCs/>
          <w:color w:val="auto"/>
          <w:sz w:val="32"/>
          <w:szCs w:val="32"/>
        </w:rPr>
      </w:pPr>
    </w:p>
    <w:p w14:paraId="31571BC5">
      <w:pPr>
        <w:pStyle w:val="14"/>
        <w:spacing w:before="50" w:after="50"/>
        <w:ind w:firstLine="1280" w:firstLineChars="400"/>
        <w:rPr>
          <w:rFonts w:ascii="宋体" w:hAnsi="宋体" w:cs="仿宋_GB2312"/>
          <w:bCs/>
          <w:color w:val="auto"/>
          <w:sz w:val="32"/>
          <w:szCs w:val="32"/>
        </w:rPr>
      </w:pPr>
    </w:p>
    <w:p w14:paraId="03E356F2">
      <w:pPr>
        <w:spacing w:before="120" w:after="50"/>
        <w:jc w:val="center"/>
        <w:rPr>
          <w:rFonts w:ascii="宋体" w:hAnsi="宋体" w:cs="仿宋_GB2312"/>
          <w:color w:val="auto"/>
          <w:sz w:val="32"/>
          <w:szCs w:val="32"/>
        </w:rPr>
      </w:pPr>
      <w:r>
        <w:rPr>
          <w:rFonts w:hint="eastAsia" w:ascii="宋体" w:hAnsi="宋体" w:cs="仿宋_GB2312"/>
          <w:color w:val="auto"/>
          <w:sz w:val="32"/>
          <w:szCs w:val="32"/>
        </w:rPr>
        <w:t>年    月    日</w:t>
      </w:r>
    </w:p>
    <w:p w14:paraId="1AEA4170">
      <w:pPr>
        <w:spacing w:before="120" w:after="50" w:line="360" w:lineRule="auto"/>
        <w:ind w:left="142"/>
        <w:jc w:val="left"/>
        <w:rPr>
          <w:rFonts w:ascii="宋体" w:hAnsi="宋体"/>
          <w:b/>
          <w:bCs/>
          <w:color w:val="auto"/>
          <w:sz w:val="24"/>
        </w:rPr>
      </w:pPr>
      <w:r>
        <w:rPr>
          <w:rFonts w:ascii="宋体" w:hAnsi="宋体"/>
          <w:color w:val="auto"/>
          <w:sz w:val="24"/>
        </w:rPr>
        <w:br w:type="page"/>
      </w:r>
      <w:r>
        <w:rPr>
          <w:rFonts w:hint="eastAsia" w:ascii="宋体" w:hAnsi="宋体"/>
          <w:b/>
          <w:bCs/>
          <w:color w:val="auto"/>
          <w:sz w:val="32"/>
          <w:szCs w:val="32"/>
        </w:rPr>
        <w:t>2.报价商务技术文件目录</w:t>
      </w:r>
    </w:p>
    <w:p w14:paraId="5BF669B8">
      <w:pPr>
        <w:spacing w:before="120" w:after="50" w:line="360" w:lineRule="auto"/>
        <w:ind w:firstLine="640" w:firstLineChars="200"/>
        <w:rPr>
          <w:rFonts w:ascii="宋体" w:hAnsi="宋体"/>
          <w:color w:val="auto"/>
          <w:sz w:val="32"/>
          <w:szCs w:val="32"/>
        </w:rPr>
      </w:pPr>
      <w:r>
        <w:rPr>
          <w:rFonts w:hint="eastAsia" w:ascii="宋体" w:hAnsi="宋体"/>
          <w:color w:val="auto"/>
          <w:sz w:val="32"/>
          <w:szCs w:val="32"/>
        </w:rPr>
        <w:t>根据谈判文件规定及供应商提供的材料自行编写目录（部分格式后附）。</w:t>
      </w:r>
    </w:p>
    <w:p w14:paraId="6FBA0CDA">
      <w:pPr>
        <w:spacing w:line="400" w:lineRule="exact"/>
        <w:rPr>
          <w:rFonts w:ascii="仿宋_GB2312" w:hAnsi="仿宋_GB2312" w:eastAsia="仿宋_GB2312" w:cs="仿宋_GB2312"/>
          <w:color w:val="auto"/>
          <w:sz w:val="32"/>
          <w:szCs w:val="32"/>
        </w:rPr>
      </w:pPr>
    </w:p>
    <w:p w14:paraId="384ACB07">
      <w:pPr>
        <w:spacing w:line="520" w:lineRule="exact"/>
        <w:jc w:val="center"/>
        <w:rPr>
          <w:rFonts w:ascii="仿宋_GB2312" w:hAnsi="仿宋_GB2312" w:eastAsia="仿宋_GB2312" w:cs="仿宋_GB2312"/>
          <w:color w:val="auto"/>
          <w:sz w:val="32"/>
          <w:szCs w:val="32"/>
        </w:rPr>
      </w:pPr>
      <w:r>
        <w:rPr>
          <w:rFonts w:hint="eastAsia" w:ascii="Arial Unicode MS" w:hAnsi="Arial Unicode MS" w:eastAsia="Arial Unicode MS" w:cs="Arial Unicode MS"/>
          <w:color w:val="auto"/>
          <w:sz w:val="44"/>
          <w:szCs w:val="44"/>
        </w:rPr>
        <w:br w:type="page"/>
      </w:r>
      <w:r>
        <w:rPr>
          <w:rFonts w:hint="eastAsia" w:ascii="Arial Unicode MS" w:hAnsi="Arial Unicode MS" w:eastAsia="Arial Unicode MS" w:cs="Arial Unicode MS"/>
          <w:color w:val="auto"/>
          <w:sz w:val="44"/>
          <w:szCs w:val="44"/>
        </w:rPr>
        <w:t>无串通竞标行为的承诺函</w:t>
      </w:r>
    </w:p>
    <w:p w14:paraId="56E89D73">
      <w:pPr>
        <w:spacing w:line="360" w:lineRule="auto"/>
        <w:ind w:firstLine="640" w:firstLineChars="200"/>
        <w:contextualSpacing/>
        <w:rPr>
          <w:rFonts w:ascii="仿宋_GB2312" w:hAnsi="仿宋_GB2312" w:eastAsia="仿宋_GB2312" w:cs="仿宋_GB2312"/>
          <w:color w:val="auto"/>
          <w:sz w:val="32"/>
          <w:szCs w:val="32"/>
        </w:rPr>
      </w:pPr>
    </w:p>
    <w:p w14:paraId="1F384780">
      <w:pPr>
        <w:spacing w:line="360" w:lineRule="auto"/>
        <w:ind w:firstLine="482" w:firstLineChars="200"/>
        <w:contextualSpacing/>
        <w:rPr>
          <w:rFonts w:ascii="宋体" w:hAnsi="宋体" w:cs="仿宋_GB2312"/>
          <w:b/>
          <w:bCs/>
          <w:color w:val="auto"/>
          <w:sz w:val="24"/>
        </w:rPr>
      </w:pPr>
      <w:r>
        <w:rPr>
          <w:rFonts w:hint="eastAsia" w:ascii="宋体" w:hAnsi="宋体" w:cs="仿宋_GB2312"/>
          <w:b/>
          <w:bCs/>
          <w:color w:val="auto"/>
          <w:sz w:val="24"/>
        </w:rPr>
        <w:t>一、我方承诺无下列相互串通竞标的情形：</w:t>
      </w:r>
    </w:p>
    <w:p w14:paraId="2DDFAEB2">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1.不同供应商的响应文件由同一单位或者个人编制；</w:t>
      </w:r>
    </w:p>
    <w:p w14:paraId="7F6CC111">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2.不同供应商委托同一单位或者个人办理竞标事宜；</w:t>
      </w:r>
    </w:p>
    <w:p w14:paraId="3EF83F3D">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3.不同的供应商的响应文件载明的项目管理员为同一个人；</w:t>
      </w:r>
    </w:p>
    <w:p w14:paraId="517A7AE9">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4.不</w:t>
      </w:r>
      <w:r>
        <w:rPr>
          <w:rFonts w:hint="eastAsia" w:ascii="宋体" w:hAnsi="宋体" w:cs="仿宋_GB2312"/>
          <w:color w:val="auto"/>
          <w:spacing w:val="-6"/>
          <w:sz w:val="24"/>
        </w:rPr>
        <w:t>同供应商的响应文件异常一致或者竞标报价呈规律性差异；</w:t>
      </w:r>
    </w:p>
    <w:p w14:paraId="2C583A37">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5.不同供应商的响应文件相互混装；</w:t>
      </w:r>
    </w:p>
    <w:p w14:paraId="0BC94881">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6.不同供应商的竞标保证金从同一单位或者个人账户转出。</w:t>
      </w:r>
    </w:p>
    <w:p w14:paraId="53619A64">
      <w:pPr>
        <w:spacing w:line="360" w:lineRule="auto"/>
        <w:ind w:firstLine="482" w:firstLineChars="200"/>
        <w:contextualSpacing/>
        <w:rPr>
          <w:rFonts w:ascii="宋体" w:hAnsi="宋体" w:cs="仿宋_GB2312"/>
          <w:b/>
          <w:bCs/>
          <w:color w:val="auto"/>
          <w:sz w:val="24"/>
        </w:rPr>
      </w:pPr>
      <w:r>
        <w:rPr>
          <w:rFonts w:hint="eastAsia" w:ascii="宋体" w:hAnsi="宋体" w:cs="仿宋_GB2312"/>
          <w:b/>
          <w:bCs/>
          <w:color w:val="auto"/>
          <w:sz w:val="24"/>
        </w:rPr>
        <w:t>二、我方承诺无下列恶意串通的情形：</w:t>
      </w:r>
    </w:p>
    <w:p w14:paraId="46A9D4D0">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1.供应商直接或者间接从采购人或者采购代理机构处获得其他供应商的相关信息并修改其响应文件；</w:t>
      </w:r>
    </w:p>
    <w:p w14:paraId="608E031D">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2.供应商按照采购人或者采购代理机构的授意撤换、修改响应文件；</w:t>
      </w:r>
    </w:p>
    <w:p w14:paraId="67B4CE80">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3.供</w:t>
      </w:r>
      <w:r>
        <w:rPr>
          <w:rFonts w:hint="eastAsia" w:ascii="宋体" w:hAnsi="宋体" w:cs="仿宋_GB2312"/>
          <w:color w:val="auto"/>
          <w:spacing w:val="-6"/>
          <w:sz w:val="24"/>
        </w:rPr>
        <w:t>应商之间协商报价、技术方案等响应文件的实质性内容；</w:t>
      </w:r>
    </w:p>
    <w:p w14:paraId="4B4DAF6E">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4.属于同一集团、协会、商会等组织成员的供应商按照该组织要求协同参加政府采购活动；</w:t>
      </w:r>
    </w:p>
    <w:p w14:paraId="7C85B328">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5.供应商之间事先约定一致抬高或者压低竞标报价，或者在竞争性谈判项目中事先约定轮流以高价位或者低价位成交，或者事先约定由某一特定供应商成交，然后再参加竞标；</w:t>
      </w:r>
    </w:p>
    <w:p w14:paraId="5248E6D5">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6.供应商之间商定部分供应商放弃参加政府采购活动或者放弃成交；</w:t>
      </w:r>
    </w:p>
    <w:p w14:paraId="638BF9D0">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7.供应商与采购人或者采购代理机构之间、供应商相互之间，为</w:t>
      </w:r>
      <w:r>
        <w:rPr>
          <w:rFonts w:hint="eastAsia" w:ascii="宋体" w:hAnsi="宋体" w:cs="仿宋_GB2312"/>
          <w:color w:val="auto"/>
          <w:spacing w:val="-6"/>
          <w:sz w:val="24"/>
        </w:rPr>
        <w:t>谋求特定供应商成交或者排斥其他供应商的其他串通行为。</w:t>
      </w:r>
    </w:p>
    <w:p w14:paraId="1A400C6D">
      <w:pPr>
        <w:spacing w:line="360" w:lineRule="auto"/>
        <w:ind w:firstLine="480" w:firstLineChars="200"/>
        <w:contextualSpacing/>
        <w:rPr>
          <w:rFonts w:ascii="宋体" w:hAnsi="宋体" w:cs="仿宋_GB2312"/>
          <w:color w:val="auto"/>
          <w:sz w:val="24"/>
        </w:rPr>
      </w:pPr>
    </w:p>
    <w:p w14:paraId="72FA24A1">
      <w:pPr>
        <w:spacing w:line="360" w:lineRule="auto"/>
        <w:ind w:firstLine="482" w:firstLineChars="200"/>
        <w:contextualSpacing/>
        <w:rPr>
          <w:rFonts w:ascii="宋体" w:hAnsi="宋体" w:cs="仿宋_GB2312"/>
          <w:b/>
          <w:bCs/>
          <w:color w:val="auto"/>
          <w:sz w:val="24"/>
        </w:rPr>
      </w:pPr>
      <w:r>
        <w:rPr>
          <w:rFonts w:hint="eastAsia" w:ascii="宋体" w:hAnsi="宋体" w:cs="仿宋_GB2312"/>
          <w:b/>
          <w:bCs/>
          <w:color w:val="auto"/>
          <w:sz w:val="24"/>
        </w:rPr>
        <w:t>以上情形一经核查属实，我方愿意承担一切后果，并不再寻求任何旨在减轻或者免除法律责任的辩解。</w:t>
      </w:r>
    </w:p>
    <w:p w14:paraId="7D28BCF9">
      <w:pPr>
        <w:spacing w:line="360" w:lineRule="auto"/>
        <w:ind w:firstLine="480" w:firstLineChars="200"/>
        <w:contextualSpacing/>
        <w:rPr>
          <w:rFonts w:ascii="宋体" w:hAnsi="宋体" w:cs="仿宋_GB2312"/>
          <w:color w:val="auto"/>
          <w:sz w:val="24"/>
        </w:rPr>
      </w:pPr>
    </w:p>
    <w:p w14:paraId="1513A5EE">
      <w:pPr>
        <w:spacing w:line="360" w:lineRule="auto"/>
        <w:contextualSpacing/>
        <w:rPr>
          <w:rFonts w:ascii="宋体" w:hAnsi="宋体" w:cs="仿宋_GB2312"/>
          <w:color w:val="auto"/>
          <w:sz w:val="24"/>
        </w:rPr>
      </w:pPr>
    </w:p>
    <w:p w14:paraId="1601584F">
      <w:pPr>
        <w:spacing w:line="360" w:lineRule="auto"/>
        <w:ind w:firstLine="3600" w:firstLineChars="1500"/>
        <w:contextualSpacing/>
        <w:rPr>
          <w:rFonts w:ascii="宋体" w:hAnsi="宋体" w:cs="仿宋_GB2312"/>
          <w:color w:val="auto"/>
          <w:sz w:val="24"/>
        </w:rPr>
      </w:pPr>
      <w:r>
        <w:rPr>
          <w:rFonts w:hint="eastAsia" w:ascii="宋体" w:hAnsi="宋体" w:cs="仿宋_GB2312"/>
          <w:color w:val="auto"/>
          <w:sz w:val="24"/>
        </w:rPr>
        <w:t>供应商（电子签章）：</w:t>
      </w:r>
    </w:p>
    <w:p w14:paraId="6FDCFB7F">
      <w:pPr>
        <w:spacing w:line="360" w:lineRule="auto"/>
        <w:ind w:firstLine="480" w:firstLineChars="200"/>
        <w:contextualSpacing/>
        <w:jc w:val="center"/>
        <w:rPr>
          <w:rFonts w:ascii="宋体" w:hAnsi="宋体" w:cs="仿宋_GB2312"/>
          <w:color w:val="auto"/>
          <w:sz w:val="24"/>
        </w:rPr>
      </w:pPr>
      <w:r>
        <w:rPr>
          <w:rFonts w:hint="eastAsia" w:ascii="宋体" w:hAnsi="宋体" w:cs="仿宋_GB2312"/>
          <w:color w:val="auto"/>
          <w:sz w:val="24"/>
        </w:rPr>
        <w:t xml:space="preserve">                               年   月   日</w:t>
      </w:r>
    </w:p>
    <w:p w14:paraId="2B771C3B">
      <w:pPr>
        <w:spacing w:line="360" w:lineRule="auto"/>
        <w:ind w:firstLine="640" w:firstLineChars="200"/>
        <w:contextualSpacing/>
        <w:jc w:val="center"/>
        <w:rPr>
          <w:rFonts w:ascii="宋体" w:hAnsi="宋体" w:cs="仿宋_GB2312"/>
          <w:color w:val="auto"/>
          <w:sz w:val="32"/>
          <w:szCs w:val="32"/>
        </w:rPr>
      </w:pPr>
    </w:p>
    <w:p w14:paraId="2A82FE06">
      <w:pPr>
        <w:tabs>
          <w:tab w:val="left" w:pos="3479"/>
        </w:tabs>
        <w:spacing w:line="520" w:lineRule="exact"/>
        <w:jc w:val="center"/>
        <w:rPr>
          <w:rFonts w:ascii="Arial Unicode MS" w:hAnsi="Arial Unicode MS" w:eastAsia="Arial Unicode MS" w:cs="Arial Unicode MS"/>
          <w:bCs/>
          <w:color w:val="auto"/>
          <w:sz w:val="32"/>
          <w:szCs w:val="32"/>
        </w:rPr>
      </w:pPr>
      <w:r>
        <w:rPr>
          <w:rFonts w:hint="eastAsia" w:ascii="Arial Unicode MS" w:hAnsi="Arial Unicode MS" w:eastAsia="Arial Unicode MS" w:cs="Arial Unicode MS"/>
          <w:bCs/>
          <w:color w:val="auto"/>
          <w:sz w:val="44"/>
          <w:szCs w:val="44"/>
        </w:rPr>
        <w:t>竞  标  报  价  表</w:t>
      </w:r>
    </w:p>
    <w:p w14:paraId="44DDE41E">
      <w:pPr>
        <w:spacing w:line="520" w:lineRule="exact"/>
        <w:jc w:val="center"/>
        <w:rPr>
          <w:rFonts w:ascii="Arial Unicode MS" w:hAnsi="Arial Unicode MS" w:eastAsia="Arial Unicode MS" w:cs="Arial Unicode MS"/>
          <w:bCs/>
          <w:color w:val="auto"/>
          <w:sz w:val="32"/>
          <w:szCs w:val="32"/>
        </w:rPr>
      </w:pPr>
    </w:p>
    <w:p w14:paraId="567B8048">
      <w:pPr>
        <w:spacing w:before="50" w:after="50" w:line="360" w:lineRule="auto"/>
        <w:rPr>
          <w:rFonts w:ascii="宋体" w:hAnsi="宋体" w:cs="仿宋_GB2312"/>
          <w:color w:val="auto"/>
          <w:sz w:val="24"/>
        </w:rPr>
      </w:pPr>
      <w:r>
        <w:rPr>
          <w:rFonts w:hint="eastAsia" w:ascii="宋体" w:hAnsi="宋体" w:cs="仿宋_GB2312"/>
          <w:color w:val="auto"/>
          <w:sz w:val="24"/>
        </w:rPr>
        <w:t>项目名称：</w:t>
      </w:r>
      <w:r>
        <w:rPr>
          <w:rFonts w:hint="eastAsia" w:ascii="宋体" w:hAnsi="宋体" w:cs="仿宋_GB2312"/>
          <w:color w:val="auto"/>
          <w:sz w:val="24"/>
          <w:u w:val="single"/>
        </w:rPr>
        <w:t xml:space="preserve">                </w:t>
      </w:r>
      <w:r>
        <w:rPr>
          <w:rFonts w:hint="eastAsia" w:ascii="宋体" w:hAnsi="宋体" w:cs="仿宋_GB2312"/>
          <w:color w:val="auto"/>
          <w:sz w:val="24"/>
        </w:rPr>
        <w:t>项目编号：</w:t>
      </w:r>
      <w:r>
        <w:rPr>
          <w:rFonts w:hint="eastAsia" w:ascii="宋体" w:hAnsi="宋体" w:cs="仿宋_GB2312"/>
          <w:color w:val="auto"/>
          <w:sz w:val="24"/>
          <w:u w:val="single"/>
        </w:rPr>
        <w:t xml:space="preserve">               </w:t>
      </w:r>
      <w:r>
        <w:rPr>
          <w:rFonts w:hint="eastAsia" w:ascii="宋体" w:hAnsi="宋体" w:cs="仿宋_GB2312"/>
          <w:color w:val="auto"/>
          <w:sz w:val="24"/>
        </w:rPr>
        <w:t xml:space="preserve"> 分标（如有）：</w:t>
      </w:r>
      <w:r>
        <w:rPr>
          <w:rFonts w:hint="eastAsia" w:ascii="宋体" w:hAnsi="宋体" w:cs="仿宋_GB2312"/>
          <w:color w:val="auto"/>
          <w:sz w:val="24"/>
          <w:u w:val="single"/>
        </w:rPr>
        <w:t xml:space="preserve">            </w:t>
      </w:r>
    </w:p>
    <w:p w14:paraId="5ED245AE">
      <w:pPr>
        <w:spacing w:before="50" w:after="50" w:line="360" w:lineRule="auto"/>
        <w:rPr>
          <w:rFonts w:ascii="宋体" w:hAnsi="宋体" w:cs="仿宋_GB2312"/>
          <w:color w:val="auto"/>
          <w:sz w:val="24"/>
        </w:rPr>
      </w:pPr>
      <w:r>
        <w:rPr>
          <w:rFonts w:hint="eastAsia" w:ascii="宋体" w:hAnsi="宋体" w:cs="仿宋_GB2312"/>
          <w:color w:val="auto"/>
          <w:sz w:val="24"/>
        </w:rPr>
        <w:t>供应商名称：</w:t>
      </w:r>
      <w:r>
        <w:rPr>
          <w:rFonts w:hint="eastAsia" w:ascii="宋体" w:hAnsi="宋体" w:cs="仿宋_GB2312"/>
          <w:color w:val="auto"/>
          <w:sz w:val="24"/>
          <w:u w:val="single"/>
        </w:rPr>
        <w:t xml:space="preserve">              </w:t>
      </w:r>
      <w:r>
        <w:rPr>
          <w:rFonts w:hint="eastAsia" w:ascii="宋体" w:hAnsi="宋体" w:cs="仿宋_GB2312"/>
          <w:color w:val="auto"/>
          <w:sz w:val="24"/>
        </w:rPr>
        <w:t xml:space="preserve">          单位：元</w:t>
      </w:r>
    </w:p>
    <w:tbl>
      <w:tblPr>
        <w:tblStyle w:val="6"/>
        <w:tblW w:w="8859"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084"/>
        <w:gridCol w:w="1119"/>
        <w:gridCol w:w="1841"/>
        <w:gridCol w:w="2095"/>
      </w:tblGrid>
      <w:tr w14:paraId="11A61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0C98417D">
            <w:pPr>
              <w:spacing w:line="400" w:lineRule="exact"/>
              <w:jc w:val="center"/>
              <w:rPr>
                <w:rFonts w:ascii="宋体" w:hAnsi="宋体" w:cs="宋体"/>
                <w:color w:val="auto"/>
                <w:szCs w:val="21"/>
              </w:rPr>
            </w:pPr>
            <w:r>
              <w:rPr>
                <w:rFonts w:hint="eastAsia" w:ascii="宋体" w:hAnsi="宋体" w:cs="宋体"/>
                <w:color w:val="auto"/>
                <w:szCs w:val="21"/>
              </w:rPr>
              <w:t>序号</w:t>
            </w:r>
          </w:p>
        </w:tc>
        <w:tc>
          <w:tcPr>
            <w:tcW w:w="3084" w:type="dxa"/>
            <w:tcBorders>
              <w:top w:val="single" w:color="auto" w:sz="4" w:space="0"/>
              <w:left w:val="single" w:color="auto" w:sz="4" w:space="0"/>
              <w:bottom w:val="single" w:color="auto" w:sz="4" w:space="0"/>
              <w:right w:val="single" w:color="auto" w:sz="4" w:space="0"/>
            </w:tcBorders>
            <w:vAlign w:val="center"/>
          </w:tcPr>
          <w:p w14:paraId="4909EEB2">
            <w:pPr>
              <w:spacing w:line="400" w:lineRule="exact"/>
              <w:jc w:val="center"/>
              <w:rPr>
                <w:rFonts w:ascii="宋体" w:hAnsi="宋体" w:cs="宋体"/>
                <w:color w:val="auto"/>
                <w:szCs w:val="21"/>
              </w:rPr>
            </w:pPr>
            <w:r>
              <w:rPr>
                <w:rFonts w:hint="eastAsia" w:ascii="宋体" w:hAnsi="宋体" w:cs="宋体"/>
                <w:color w:val="auto"/>
                <w:szCs w:val="21"/>
              </w:rPr>
              <w:t>标的名称</w:t>
            </w:r>
          </w:p>
        </w:tc>
        <w:tc>
          <w:tcPr>
            <w:tcW w:w="1119" w:type="dxa"/>
            <w:tcBorders>
              <w:top w:val="single" w:color="auto" w:sz="4" w:space="0"/>
              <w:left w:val="single" w:color="auto" w:sz="4" w:space="0"/>
              <w:bottom w:val="single" w:color="auto" w:sz="4" w:space="0"/>
              <w:right w:val="single" w:color="auto" w:sz="4" w:space="0"/>
            </w:tcBorders>
            <w:vAlign w:val="center"/>
          </w:tcPr>
          <w:p w14:paraId="358FEE4A">
            <w:pPr>
              <w:spacing w:line="400" w:lineRule="exact"/>
              <w:jc w:val="center"/>
              <w:rPr>
                <w:rFonts w:ascii="宋体" w:hAnsi="宋体" w:cs="宋体"/>
                <w:color w:val="auto"/>
                <w:szCs w:val="21"/>
              </w:rPr>
            </w:pPr>
            <w:r>
              <w:rPr>
                <w:rFonts w:hint="eastAsia" w:ascii="宋体" w:hAnsi="宋体" w:cs="宋体"/>
                <w:color w:val="auto"/>
                <w:szCs w:val="21"/>
              </w:rPr>
              <w:t>数量</w:t>
            </w:r>
          </w:p>
        </w:tc>
        <w:tc>
          <w:tcPr>
            <w:tcW w:w="1841" w:type="dxa"/>
            <w:tcBorders>
              <w:top w:val="single" w:color="auto" w:sz="4" w:space="0"/>
              <w:left w:val="single" w:color="auto" w:sz="4" w:space="0"/>
              <w:bottom w:val="single" w:color="auto" w:sz="4" w:space="0"/>
              <w:right w:val="single" w:color="auto" w:sz="4" w:space="0"/>
            </w:tcBorders>
            <w:vAlign w:val="center"/>
          </w:tcPr>
          <w:p w14:paraId="6641B58F">
            <w:pPr>
              <w:pStyle w:val="3"/>
              <w:rPr>
                <w:rFonts w:ascii="宋体" w:hAnsi="宋体" w:cs="宋体"/>
                <w:color w:val="auto"/>
                <w:szCs w:val="21"/>
              </w:rPr>
            </w:pPr>
            <w:r>
              <w:rPr>
                <w:rFonts w:hint="eastAsia" w:ascii="宋体" w:hAnsi="宋体" w:cs="宋体"/>
                <w:color w:val="auto"/>
                <w:szCs w:val="21"/>
              </w:rPr>
              <w:t>单价（</w:t>
            </w:r>
            <w:r>
              <w:rPr>
                <w:rFonts w:hint="eastAsia"/>
                <w:color w:val="auto"/>
              </w:rPr>
              <w:t>元/人</w:t>
            </w:r>
            <w:r>
              <w:rPr>
                <w:rFonts w:hint="eastAsia" w:ascii="宋体" w:hAnsi="宋体" w:cs="宋体"/>
                <w:color w:val="auto"/>
                <w:szCs w:val="21"/>
              </w:rPr>
              <w:t>）</w:t>
            </w:r>
          </w:p>
        </w:tc>
        <w:tc>
          <w:tcPr>
            <w:tcW w:w="2095" w:type="dxa"/>
            <w:tcBorders>
              <w:top w:val="single" w:color="auto" w:sz="4" w:space="0"/>
              <w:left w:val="single" w:color="auto" w:sz="4" w:space="0"/>
              <w:bottom w:val="single" w:color="auto" w:sz="4" w:space="0"/>
              <w:right w:val="single" w:color="auto" w:sz="4" w:space="0"/>
            </w:tcBorders>
            <w:vAlign w:val="center"/>
          </w:tcPr>
          <w:p w14:paraId="701DDE42">
            <w:pPr>
              <w:spacing w:line="400" w:lineRule="exact"/>
              <w:jc w:val="center"/>
              <w:rPr>
                <w:rFonts w:ascii="宋体" w:hAnsi="宋体" w:cs="宋体"/>
                <w:color w:val="auto"/>
                <w:szCs w:val="21"/>
              </w:rPr>
            </w:pPr>
            <w:r>
              <w:rPr>
                <w:rFonts w:hint="eastAsia" w:ascii="宋体" w:hAnsi="宋体" w:cs="宋体"/>
                <w:color w:val="auto"/>
                <w:szCs w:val="21"/>
              </w:rPr>
              <w:t>总价（元）</w:t>
            </w:r>
          </w:p>
        </w:tc>
      </w:tr>
      <w:tr w14:paraId="7C02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2CD90B77">
            <w:pPr>
              <w:spacing w:line="400" w:lineRule="exact"/>
              <w:jc w:val="center"/>
              <w:rPr>
                <w:rFonts w:ascii="宋体" w:hAnsi="宋体" w:cs="宋体"/>
                <w:color w:val="auto"/>
                <w:szCs w:val="21"/>
              </w:rPr>
            </w:pPr>
            <w:r>
              <w:rPr>
                <w:rFonts w:hint="eastAsia" w:ascii="宋体" w:hAnsi="宋体" w:cs="宋体"/>
                <w:color w:val="auto"/>
                <w:szCs w:val="21"/>
              </w:rPr>
              <w:t>1</w:t>
            </w:r>
          </w:p>
        </w:tc>
        <w:tc>
          <w:tcPr>
            <w:tcW w:w="3084" w:type="dxa"/>
            <w:tcBorders>
              <w:top w:val="single" w:color="auto" w:sz="4" w:space="0"/>
              <w:left w:val="single" w:color="auto" w:sz="4" w:space="0"/>
              <w:bottom w:val="single" w:color="auto" w:sz="4" w:space="0"/>
              <w:right w:val="single" w:color="auto" w:sz="4" w:space="0"/>
            </w:tcBorders>
            <w:vAlign w:val="center"/>
          </w:tcPr>
          <w:p w14:paraId="098C5D58">
            <w:pPr>
              <w:spacing w:line="400" w:lineRule="exact"/>
              <w:jc w:val="center"/>
              <w:rPr>
                <w:rFonts w:ascii="宋体" w:hAnsi="宋体" w:cs="宋体"/>
                <w:color w:val="auto"/>
                <w:szCs w:val="21"/>
              </w:rPr>
            </w:pPr>
            <w:r>
              <w:rPr>
                <w:rFonts w:hint="eastAsia" w:ascii="宋体" w:hAnsi="宋体" w:cs="宋体"/>
                <w:color w:val="auto"/>
                <w:szCs w:val="21"/>
              </w:rPr>
              <w:t>崇左市人民医院2026年度残疾人劳务派遣服务项目</w:t>
            </w:r>
          </w:p>
        </w:tc>
        <w:tc>
          <w:tcPr>
            <w:tcW w:w="1119" w:type="dxa"/>
            <w:tcBorders>
              <w:top w:val="single" w:color="auto" w:sz="4" w:space="0"/>
              <w:left w:val="single" w:color="auto" w:sz="4" w:space="0"/>
              <w:bottom w:val="single" w:color="auto" w:sz="4" w:space="0"/>
              <w:right w:val="single" w:color="auto" w:sz="4" w:space="0"/>
            </w:tcBorders>
            <w:vAlign w:val="center"/>
          </w:tcPr>
          <w:p w14:paraId="66A54BC0">
            <w:pPr>
              <w:spacing w:line="400" w:lineRule="exact"/>
              <w:jc w:val="center"/>
              <w:rPr>
                <w:rFonts w:ascii="宋体" w:hAnsi="宋体" w:cs="宋体"/>
                <w:color w:val="auto"/>
                <w:szCs w:val="21"/>
              </w:rPr>
            </w:pPr>
            <w:r>
              <w:rPr>
                <w:rFonts w:hint="eastAsia" w:ascii="宋体" w:hAnsi="宋体" w:cs="宋体"/>
                <w:color w:val="auto"/>
                <w:szCs w:val="21"/>
              </w:rPr>
              <w:t>12人</w:t>
            </w:r>
          </w:p>
        </w:tc>
        <w:tc>
          <w:tcPr>
            <w:tcW w:w="1841" w:type="dxa"/>
            <w:tcBorders>
              <w:top w:val="single" w:color="auto" w:sz="4" w:space="0"/>
              <w:left w:val="single" w:color="auto" w:sz="4" w:space="0"/>
              <w:bottom w:val="single" w:color="auto" w:sz="4" w:space="0"/>
              <w:right w:val="single" w:color="auto" w:sz="4" w:space="0"/>
            </w:tcBorders>
            <w:vAlign w:val="center"/>
          </w:tcPr>
          <w:p w14:paraId="22D28C56">
            <w:pPr>
              <w:spacing w:line="400" w:lineRule="exact"/>
              <w:jc w:val="center"/>
              <w:rPr>
                <w:rFonts w:ascii="宋体" w:hAnsi="宋体" w:cs="宋体"/>
                <w:color w:val="auto"/>
                <w:szCs w:val="21"/>
              </w:rPr>
            </w:pPr>
          </w:p>
        </w:tc>
        <w:tc>
          <w:tcPr>
            <w:tcW w:w="2095" w:type="dxa"/>
            <w:tcBorders>
              <w:top w:val="single" w:color="auto" w:sz="4" w:space="0"/>
              <w:left w:val="single" w:color="auto" w:sz="4" w:space="0"/>
              <w:bottom w:val="single" w:color="auto" w:sz="4" w:space="0"/>
              <w:right w:val="single" w:color="auto" w:sz="4" w:space="0"/>
            </w:tcBorders>
            <w:vAlign w:val="center"/>
          </w:tcPr>
          <w:p w14:paraId="2BB9E407">
            <w:pPr>
              <w:spacing w:line="400" w:lineRule="exact"/>
              <w:jc w:val="center"/>
              <w:rPr>
                <w:rFonts w:ascii="宋体" w:hAnsi="宋体" w:cs="宋体"/>
                <w:color w:val="auto"/>
                <w:szCs w:val="21"/>
              </w:rPr>
            </w:pPr>
          </w:p>
        </w:tc>
      </w:tr>
      <w:tr w14:paraId="448CB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859" w:type="dxa"/>
            <w:gridSpan w:val="5"/>
            <w:tcBorders>
              <w:top w:val="single" w:color="auto" w:sz="4" w:space="0"/>
              <w:left w:val="single" w:color="auto" w:sz="4" w:space="0"/>
              <w:bottom w:val="single" w:color="auto" w:sz="4" w:space="0"/>
              <w:right w:val="single" w:color="auto" w:sz="4" w:space="0"/>
            </w:tcBorders>
            <w:vAlign w:val="center"/>
          </w:tcPr>
          <w:p w14:paraId="791150AC">
            <w:pPr>
              <w:pStyle w:val="31"/>
              <w:spacing w:line="400" w:lineRule="exact"/>
              <w:rPr>
                <w:rFonts w:ascii="新宋体" w:hAnsi="新宋体" w:eastAsia="新宋体" w:cs="新宋体"/>
                <w:color w:val="auto"/>
              </w:rPr>
            </w:pPr>
            <w:r>
              <w:rPr>
                <w:rFonts w:hint="eastAsia" w:ascii="新宋体" w:hAnsi="新宋体" w:eastAsia="新宋体" w:cs="新宋体"/>
                <w:color w:val="auto"/>
              </w:rPr>
              <w:t>磋商报价（人民币）：大写</w:t>
            </w:r>
            <w:r>
              <w:rPr>
                <w:rFonts w:hint="eastAsia" w:ascii="新宋体" w:hAnsi="新宋体" w:eastAsia="新宋体" w:cs="新宋体"/>
                <w:bCs/>
                <w:color w:val="auto"/>
                <w:u w:val="single"/>
              </w:rPr>
              <w:t xml:space="preserve">                   元</w:t>
            </w:r>
            <w:r>
              <w:rPr>
                <w:rFonts w:hint="eastAsia" w:ascii="新宋体" w:hAnsi="新宋体" w:eastAsia="新宋体" w:cs="新宋体"/>
                <w:bCs/>
                <w:color w:val="auto"/>
              </w:rPr>
              <w:t xml:space="preserve"> （￥</w:t>
            </w:r>
            <w:r>
              <w:rPr>
                <w:rFonts w:hint="eastAsia" w:ascii="新宋体" w:hAnsi="新宋体" w:eastAsia="新宋体" w:cs="新宋体"/>
                <w:bCs/>
                <w:color w:val="auto"/>
                <w:u w:val="single"/>
              </w:rPr>
              <w:t xml:space="preserve">        </w:t>
            </w:r>
            <w:r>
              <w:rPr>
                <w:rFonts w:hint="eastAsia" w:ascii="新宋体" w:hAnsi="新宋体" w:eastAsia="新宋体" w:cs="新宋体"/>
                <w:bCs/>
                <w:color w:val="auto"/>
              </w:rPr>
              <w:t>）</w:t>
            </w:r>
          </w:p>
        </w:tc>
      </w:tr>
      <w:tr w14:paraId="7D718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859" w:type="dxa"/>
            <w:gridSpan w:val="5"/>
            <w:tcBorders>
              <w:top w:val="single" w:color="auto" w:sz="4" w:space="0"/>
              <w:left w:val="single" w:color="auto" w:sz="4" w:space="0"/>
              <w:bottom w:val="single" w:color="auto" w:sz="4" w:space="0"/>
              <w:right w:val="single" w:color="auto" w:sz="4" w:space="0"/>
            </w:tcBorders>
            <w:vAlign w:val="center"/>
          </w:tcPr>
          <w:p w14:paraId="06507281">
            <w:pPr>
              <w:spacing w:line="400" w:lineRule="exact"/>
              <w:rPr>
                <w:rFonts w:ascii="新宋体" w:hAnsi="新宋体" w:eastAsia="新宋体" w:cs="新宋体"/>
                <w:color w:val="auto"/>
                <w:szCs w:val="21"/>
              </w:rPr>
            </w:pPr>
            <w:r>
              <w:rPr>
                <w:rFonts w:hint="eastAsia" w:ascii="宋体" w:hAnsi="宋体"/>
                <w:color w:val="auto"/>
                <w:szCs w:val="21"/>
              </w:rPr>
              <w:t>合同履行期限：自签订合同之日起1年。</w:t>
            </w:r>
            <w:r>
              <w:rPr>
                <w:rFonts w:hint="eastAsia" w:ascii="新宋体" w:hAnsi="新宋体" w:eastAsia="新宋体" w:cs="新宋体"/>
                <w:color w:val="auto"/>
                <w:szCs w:val="21"/>
              </w:rPr>
              <w:t xml:space="preserve"> </w:t>
            </w:r>
          </w:p>
        </w:tc>
      </w:tr>
      <w:tr w14:paraId="2836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859" w:type="dxa"/>
            <w:gridSpan w:val="5"/>
            <w:tcBorders>
              <w:top w:val="single" w:color="auto" w:sz="4" w:space="0"/>
              <w:left w:val="single" w:color="auto" w:sz="4" w:space="0"/>
              <w:bottom w:val="single" w:color="auto" w:sz="4" w:space="0"/>
              <w:right w:val="single" w:color="auto" w:sz="4" w:space="0"/>
            </w:tcBorders>
            <w:vAlign w:val="center"/>
          </w:tcPr>
          <w:p w14:paraId="52092C3F">
            <w:pPr>
              <w:spacing w:line="400" w:lineRule="exact"/>
              <w:rPr>
                <w:rFonts w:hint="eastAsia" w:ascii="宋体" w:hAnsi="宋体"/>
                <w:color w:val="auto"/>
                <w:szCs w:val="21"/>
              </w:rPr>
            </w:pPr>
            <w:r>
              <w:rPr>
                <w:rFonts w:hint="eastAsia" w:ascii="宋体" w:hAnsi="宋体" w:cs="仿宋_GB2312"/>
                <w:color w:val="auto"/>
                <w:sz w:val="24"/>
                <w:u w:val="single"/>
              </w:rPr>
              <w:t>响应产品中，属于本国产品总值为¥       （具体明细详见附表，附表格式自拟），占响应产品的比例为    %。</w:t>
            </w:r>
          </w:p>
        </w:tc>
      </w:tr>
    </w:tbl>
    <w:p w14:paraId="06042779">
      <w:pPr>
        <w:spacing w:before="50" w:after="50" w:line="360" w:lineRule="auto"/>
        <w:rPr>
          <w:rFonts w:ascii="宋体" w:hAnsi="宋体" w:cs="仿宋_GB2312"/>
          <w:color w:val="auto"/>
          <w:sz w:val="24"/>
        </w:rPr>
      </w:pPr>
    </w:p>
    <w:p w14:paraId="5301D67F">
      <w:pPr>
        <w:spacing w:line="360" w:lineRule="auto"/>
        <w:contextualSpacing/>
        <w:jc w:val="left"/>
        <w:rPr>
          <w:rFonts w:ascii="宋体" w:hAnsi="宋体" w:cs="仿宋_GB2312"/>
          <w:color w:val="auto"/>
          <w:sz w:val="24"/>
        </w:rPr>
      </w:pPr>
      <w:r>
        <w:rPr>
          <w:rFonts w:hint="eastAsia" w:ascii="宋体" w:hAnsi="宋体" w:cs="仿宋_GB2312"/>
          <w:color w:val="auto"/>
          <w:sz w:val="24"/>
        </w:rPr>
        <w:t xml:space="preserve">注： </w:t>
      </w:r>
    </w:p>
    <w:p w14:paraId="57DA4717">
      <w:pPr>
        <w:spacing w:line="360" w:lineRule="auto"/>
        <w:ind w:firstLine="480" w:firstLineChars="200"/>
        <w:contextualSpacing/>
        <w:jc w:val="left"/>
        <w:rPr>
          <w:rFonts w:ascii="宋体" w:hAnsi="宋体" w:cs="仿宋_GB2312"/>
          <w:color w:val="auto"/>
          <w:sz w:val="24"/>
        </w:rPr>
      </w:pPr>
      <w:r>
        <w:rPr>
          <w:rFonts w:hint="eastAsia" w:ascii="宋体" w:hAnsi="宋体" w:cs="仿宋_GB2312"/>
          <w:color w:val="auto"/>
          <w:sz w:val="24"/>
        </w:rPr>
        <w:t>1</w:t>
      </w:r>
      <w:r>
        <w:rPr>
          <w:rFonts w:ascii="宋体" w:hAnsi="宋体" w:cs="仿宋_GB2312"/>
          <w:color w:val="auto"/>
          <w:sz w:val="24"/>
        </w:rPr>
        <w:t>.</w:t>
      </w:r>
      <w:r>
        <w:rPr>
          <w:rFonts w:hint="eastAsia" w:ascii="宋体" w:hAnsi="宋体"/>
          <w:color w:val="auto"/>
          <w:sz w:val="24"/>
        </w:rPr>
        <w:t xml:space="preserve"> 以上竞标报价表中“标的名称、数量及单位、品牌、规格型号、制造商、原产地”必须如实填写完整，品牌、规格型号没有则填无，填写有缺漏</w:t>
      </w:r>
      <w:r>
        <w:rPr>
          <w:rFonts w:hint="eastAsia" w:ascii="宋体" w:hAnsi="宋体"/>
          <w:bCs/>
          <w:color w:val="auto"/>
          <w:sz w:val="24"/>
        </w:rPr>
        <w:t>的，</w:t>
      </w:r>
      <w:r>
        <w:rPr>
          <w:rFonts w:hint="eastAsia" w:ascii="宋体" w:hAnsi="宋体" w:cs="仿宋_GB2312"/>
          <w:b/>
          <w:color w:val="auto"/>
          <w:sz w:val="24"/>
        </w:rPr>
        <w:t>其响应文件按无效处理</w:t>
      </w:r>
      <w:r>
        <w:rPr>
          <w:rFonts w:hint="eastAsia" w:ascii="宋体" w:hAnsi="宋体"/>
          <w:b/>
          <w:color w:val="auto"/>
          <w:sz w:val="24"/>
        </w:rPr>
        <w:t>。</w:t>
      </w:r>
    </w:p>
    <w:p w14:paraId="4205CA23">
      <w:pPr>
        <w:spacing w:line="360" w:lineRule="auto"/>
        <w:ind w:firstLine="480" w:firstLineChars="200"/>
        <w:contextualSpacing/>
        <w:jc w:val="left"/>
        <w:rPr>
          <w:rFonts w:ascii="宋体" w:hAnsi="宋体" w:cs="仿宋_GB2312"/>
          <w:color w:val="auto"/>
          <w:sz w:val="24"/>
        </w:rPr>
      </w:pPr>
      <w:r>
        <w:rPr>
          <w:rFonts w:ascii="宋体" w:hAnsi="宋体" w:cs="仿宋_GB2312"/>
          <w:color w:val="auto"/>
          <w:sz w:val="24"/>
        </w:rPr>
        <w:t>2</w:t>
      </w:r>
      <w:r>
        <w:rPr>
          <w:rFonts w:hint="eastAsia" w:ascii="宋体" w:hAnsi="宋体" w:cs="仿宋_GB2312"/>
          <w:color w:val="auto"/>
          <w:sz w:val="24"/>
        </w:rPr>
        <w:t>.供应商的报价表必须加盖供应商电子签章并由法定代表人或者委托代理人签字或者电子签名，</w:t>
      </w:r>
      <w:r>
        <w:rPr>
          <w:rFonts w:hint="eastAsia" w:ascii="宋体" w:hAnsi="宋体" w:cs="仿宋_GB2312"/>
          <w:b/>
          <w:color w:val="auto"/>
          <w:sz w:val="24"/>
        </w:rPr>
        <w:t>否则其响应文件按无效处理</w:t>
      </w:r>
      <w:r>
        <w:rPr>
          <w:rFonts w:hint="eastAsia" w:ascii="宋体" w:hAnsi="宋体" w:cs="仿宋_GB2312"/>
          <w:color w:val="auto"/>
          <w:sz w:val="24"/>
        </w:rPr>
        <w:t>。</w:t>
      </w:r>
    </w:p>
    <w:p w14:paraId="00BB0941">
      <w:pPr>
        <w:spacing w:line="360" w:lineRule="auto"/>
        <w:ind w:firstLine="480" w:firstLineChars="200"/>
        <w:contextualSpacing/>
        <w:jc w:val="left"/>
        <w:rPr>
          <w:rFonts w:ascii="宋体" w:hAnsi="宋体" w:cs="仿宋_GB2312"/>
          <w:b/>
          <w:color w:val="auto"/>
          <w:sz w:val="24"/>
        </w:rPr>
      </w:pPr>
      <w:r>
        <w:rPr>
          <w:rFonts w:ascii="宋体" w:hAnsi="宋体" w:cs="仿宋_GB2312"/>
          <w:bCs/>
          <w:color w:val="auto"/>
          <w:sz w:val="24"/>
        </w:rPr>
        <w:t>3</w:t>
      </w:r>
      <w:r>
        <w:rPr>
          <w:rFonts w:hint="eastAsia" w:ascii="宋体" w:hAnsi="宋体" w:cs="仿宋_GB2312"/>
          <w:bCs/>
          <w:color w:val="auto"/>
          <w:sz w:val="24"/>
        </w:rPr>
        <w:t>.</w:t>
      </w:r>
      <w:r>
        <w:rPr>
          <w:rFonts w:hint="eastAsia" w:ascii="宋体" w:hAnsi="宋体" w:cs="仿宋_GB2312"/>
          <w:color w:val="auto"/>
          <w:sz w:val="24"/>
        </w:rPr>
        <w:t>报价一经涂改，应在涂改处加盖供应商公章或者加盖电子签章或者由法定代表人或者授权委托人签字</w:t>
      </w:r>
      <w:r>
        <w:rPr>
          <w:rFonts w:hint="eastAsia" w:ascii="宋体" w:hAnsi="宋体"/>
          <w:color w:val="auto"/>
          <w:sz w:val="24"/>
        </w:rPr>
        <w:t>（或者电子签名）</w:t>
      </w:r>
      <w:r>
        <w:rPr>
          <w:rFonts w:hint="eastAsia" w:ascii="宋体" w:hAnsi="宋体" w:cs="仿宋_GB2312"/>
          <w:b/>
          <w:color w:val="auto"/>
          <w:sz w:val="24"/>
        </w:rPr>
        <w:t>，否则其响应文件按无效处理。</w:t>
      </w:r>
    </w:p>
    <w:p w14:paraId="5ABA7350">
      <w:pPr>
        <w:spacing w:line="360" w:lineRule="auto"/>
        <w:ind w:firstLine="480" w:firstLineChars="200"/>
        <w:contextualSpacing/>
        <w:jc w:val="left"/>
        <w:rPr>
          <w:rFonts w:ascii="宋体" w:hAnsi="宋体" w:cs="仿宋_GB2312"/>
          <w:b/>
          <w:color w:val="auto"/>
          <w:sz w:val="24"/>
        </w:rPr>
      </w:pPr>
      <w:r>
        <w:rPr>
          <w:rFonts w:ascii="宋体" w:hAnsi="宋体" w:cs="仿宋_GB2312"/>
          <w:color w:val="auto"/>
          <w:sz w:val="24"/>
        </w:rPr>
        <w:t>4</w:t>
      </w:r>
      <w:r>
        <w:rPr>
          <w:rFonts w:hint="eastAsia" w:ascii="宋体" w:hAnsi="宋体" w:cs="仿宋_GB2312"/>
          <w:color w:val="auto"/>
          <w:sz w:val="24"/>
        </w:rPr>
        <w:t>.</w:t>
      </w:r>
      <w:r>
        <w:rPr>
          <w:rFonts w:hint="eastAsia" w:ascii="宋体" w:hAnsi="宋体" w:cs="仿宋_GB2312"/>
          <w:color w:val="auto"/>
          <w:spacing w:val="-6"/>
          <w:sz w:val="24"/>
        </w:rPr>
        <w:t>如有多分标，分别列明各分标的报价表，</w:t>
      </w:r>
      <w:r>
        <w:rPr>
          <w:rFonts w:hint="eastAsia" w:ascii="宋体" w:hAnsi="宋体" w:cs="仿宋_GB2312"/>
          <w:b/>
          <w:color w:val="auto"/>
          <w:spacing w:val="-6"/>
          <w:sz w:val="24"/>
        </w:rPr>
        <w:t>否则其响应文件按无效处理。</w:t>
      </w:r>
    </w:p>
    <w:p w14:paraId="188DC725">
      <w:pPr>
        <w:spacing w:line="360" w:lineRule="auto"/>
        <w:ind w:right="-817" w:rightChars="-389" w:firstLine="2640" w:firstLineChars="1100"/>
        <w:contextualSpacing/>
        <w:rPr>
          <w:rFonts w:ascii="宋体" w:hAnsi="宋体" w:cs="仿宋_GB2312"/>
          <w:color w:val="auto"/>
          <w:sz w:val="24"/>
        </w:rPr>
      </w:pPr>
    </w:p>
    <w:p w14:paraId="1DEACB0C">
      <w:pPr>
        <w:spacing w:line="360" w:lineRule="auto"/>
        <w:ind w:right="-817" w:rightChars="-389" w:firstLine="2640" w:firstLineChars="1100"/>
        <w:contextualSpacing/>
        <w:rPr>
          <w:rFonts w:ascii="宋体" w:hAnsi="宋体" w:cs="仿宋_GB2312"/>
          <w:color w:val="auto"/>
          <w:sz w:val="24"/>
        </w:rPr>
      </w:pPr>
      <w:r>
        <w:rPr>
          <w:rFonts w:hint="eastAsia" w:ascii="宋体" w:hAnsi="宋体" w:cs="仿宋_GB2312"/>
          <w:color w:val="auto"/>
          <w:sz w:val="24"/>
        </w:rPr>
        <w:t xml:space="preserve">法定代表人或者委托代理人（签字或者电子签名）：                    </w:t>
      </w:r>
    </w:p>
    <w:p w14:paraId="6DDA2CA0">
      <w:pPr>
        <w:spacing w:line="360" w:lineRule="auto"/>
        <w:ind w:right="-817" w:rightChars="-389" w:firstLine="2640" w:firstLineChars="1100"/>
        <w:contextualSpacing/>
        <w:rPr>
          <w:rFonts w:ascii="宋体" w:hAnsi="宋体" w:cs="仿宋_GB2312"/>
          <w:color w:val="auto"/>
          <w:sz w:val="24"/>
        </w:rPr>
      </w:pPr>
      <w:r>
        <w:rPr>
          <w:rFonts w:hint="eastAsia" w:ascii="宋体" w:hAnsi="宋体" w:cs="仿宋_GB2312"/>
          <w:color w:val="auto"/>
          <w:sz w:val="24"/>
        </w:rPr>
        <w:t xml:space="preserve">供应商（电子签章）：      </w:t>
      </w:r>
    </w:p>
    <w:p w14:paraId="76524160">
      <w:pPr>
        <w:spacing w:line="360" w:lineRule="auto"/>
        <w:ind w:right="-817" w:rightChars="-389" w:firstLine="4080" w:firstLineChars="1700"/>
        <w:contextualSpacing/>
        <w:rPr>
          <w:rFonts w:hint="eastAsia" w:ascii="宋体" w:hAnsi="宋体" w:cs="仿宋_GB2312"/>
          <w:color w:val="auto"/>
          <w:sz w:val="24"/>
        </w:rPr>
      </w:pPr>
      <w:r>
        <w:rPr>
          <w:rFonts w:hint="eastAsia" w:ascii="宋体" w:hAnsi="宋体" w:cs="仿宋_GB2312"/>
          <w:color w:val="auto"/>
          <w:sz w:val="24"/>
        </w:rPr>
        <w:t>日期：   年   月   日</w:t>
      </w:r>
    </w:p>
    <w:p w14:paraId="4BFAA3AC">
      <w:pPr>
        <w:spacing w:line="360" w:lineRule="auto"/>
        <w:ind w:right="-817" w:rightChars="-389" w:firstLine="4080" w:firstLineChars="1700"/>
        <w:contextualSpacing/>
        <w:rPr>
          <w:rFonts w:hint="eastAsia" w:ascii="宋体" w:hAnsi="宋体" w:cs="仿宋_GB2312"/>
          <w:color w:val="auto"/>
          <w:sz w:val="24"/>
        </w:rPr>
      </w:pPr>
    </w:p>
    <w:p w14:paraId="6DF713E8">
      <w:pPr>
        <w:spacing w:line="360" w:lineRule="auto"/>
        <w:ind w:right="-817" w:rightChars="-389" w:firstLine="4080" w:firstLineChars="1700"/>
        <w:contextualSpacing/>
        <w:rPr>
          <w:rFonts w:hint="eastAsia" w:ascii="宋体" w:hAnsi="宋体" w:cs="仿宋_GB2312"/>
          <w:color w:val="auto"/>
          <w:sz w:val="24"/>
        </w:rPr>
      </w:pPr>
    </w:p>
    <w:p w14:paraId="729C002C">
      <w:pPr>
        <w:spacing w:line="360" w:lineRule="auto"/>
        <w:ind w:right="-817" w:rightChars="-389" w:firstLine="4080" w:firstLineChars="1700"/>
        <w:contextualSpacing/>
        <w:rPr>
          <w:rFonts w:hint="eastAsia" w:ascii="宋体" w:hAnsi="宋体" w:cs="仿宋_GB2312"/>
          <w:color w:val="auto"/>
          <w:sz w:val="24"/>
        </w:rPr>
      </w:pPr>
    </w:p>
    <w:p w14:paraId="13E87FF9">
      <w:pPr>
        <w:spacing w:line="360" w:lineRule="auto"/>
        <w:ind w:right="-817" w:rightChars="-389" w:firstLine="4080" w:firstLineChars="1700"/>
        <w:contextualSpacing/>
        <w:rPr>
          <w:rFonts w:hint="eastAsia" w:ascii="宋体" w:hAnsi="宋体" w:cs="仿宋_GB2312"/>
          <w:color w:val="auto"/>
          <w:sz w:val="24"/>
        </w:rPr>
      </w:pPr>
    </w:p>
    <w:p w14:paraId="01DC1481">
      <w:pPr>
        <w:widowControl/>
        <w:shd w:val="clear" w:color="auto" w:fill="FFFFFF"/>
        <w:jc w:val="center"/>
        <w:rPr>
          <w:rFonts w:hint="eastAsia" w:ascii="宋体" w:hAnsi="宋体" w:cs="宋体"/>
          <w:b/>
          <w:bCs/>
          <w:color w:val="auto"/>
          <w:kern w:val="0"/>
          <w:sz w:val="36"/>
          <w:szCs w:val="36"/>
        </w:rPr>
      </w:pPr>
    </w:p>
    <w:p w14:paraId="3EE97C36">
      <w:pPr>
        <w:widowControl/>
        <w:shd w:val="clear" w:color="auto" w:fill="FFFFFF"/>
        <w:jc w:val="center"/>
        <w:rPr>
          <w:rFonts w:ascii="宋体" w:hAnsi="宋体" w:cs="宋体"/>
          <w:color w:val="auto"/>
          <w:kern w:val="0"/>
          <w:sz w:val="36"/>
          <w:szCs w:val="36"/>
        </w:rPr>
      </w:pPr>
      <w:r>
        <w:rPr>
          <w:rFonts w:hint="eastAsia" w:ascii="宋体" w:hAnsi="宋体" w:cs="宋体"/>
          <w:b/>
          <w:bCs/>
          <w:color w:val="auto"/>
          <w:kern w:val="0"/>
          <w:sz w:val="36"/>
          <w:szCs w:val="36"/>
        </w:rPr>
        <w:t>关于符合本国产品标准的声明函</w:t>
      </w:r>
    </w:p>
    <w:p w14:paraId="2F79BD1C">
      <w:pPr>
        <w:widowControl/>
        <w:shd w:val="clear" w:color="auto" w:fill="FFFFFF"/>
        <w:spacing w:before="30" w:after="30"/>
        <w:ind w:firstLine="480"/>
        <w:jc w:val="left"/>
        <w:rPr>
          <w:rFonts w:hint="eastAsia" w:ascii="宋体" w:hAnsi="宋体" w:cs="宋体"/>
          <w:color w:val="auto"/>
          <w:kern w:val="0"/>
          <w:sz w:val="24"/>
        </w:rPr>
      </w:pPr>
      <w:r>
        <w:rPr>
          <w:rFonts w:hint="eastAsia" w:ascii="宋体" w:hAnsi="宋体" w:cs="宋体"/>
          <w:color w:val="auto"/>
          <w:kern w:val="0"/>
          <w:sz w:val="24"/>
        </w:rPr>
        <w:t> </w:t>
      </w:r>
    </w:p>
    <w:p w14:paraId="65A6C062">
      <w:pPr>
        <w:widowControl/>
        <w:shd w:val="clear" w:color="auto" w:fill="FFFFFF"/>
        <w:spacing w:before="30" w:after="30"/>
        <w:ind w:firstLine="480"/>
        <w:jc w:val="left"/>
        <w:rPr>
          <w:rFonts w:hint="eastAsia" w:ascii="宋体" w:hAnsi="宋体" w:cs="宋体"/>
          <w:color w:val="auto"/>
          <w:kern w:val="0"/>
          <w:sz w:val="24"/>
        </w:rPr>
      </w:pPr>
      <w:r>
        <w:rPr>
          <w:rFonts w:hint="eastAsia" w:ascii="宋体" w:hAnsi="宋体" w:cs="宋体"/>
          <w:color w:val="auto"/>
          <w:kern w:val="0"/>
          <w:sz w:val="24"/>
        </w:rPr>
        <w:t>本公司（单位）郑重声明，根据《国务院办公厅关于在政府采购中实施本国产品标准及相关政策的通知》（国办发〔2025〕34号）的规定，本公司（单位）提供的以下产品属于本国产品。具体情况如下：</w:t>
      </w:r>
    </w:p>
    <w:p w14:paraId="43D68CC0">
      <w:pPr>
        <w:widowControl/>
        <w:shd w:val="clear" w:color="auto" w:fill="FFFFFF"/>
        <w:ind w:firstLine="480"/>
        <w:jc w:val="left"/>
        <w:rPr>
          <w:rFonts w:hint="eastAsia" w:ascii="宋体" w:hAnsi="宋体" w:cs="宋体"/>
          <w:color w:val="auto"/>
          <w:kern w:val="0"/>
          <w:sz w:val="24"/>
        </w:rPr>
      </w:pPr>
      <w:r>
        <w:rPr>
          <w:rFonts w:hint="eastAsia" w:ascii="宋体" w:hAnsi="宋体" w:cs="宋体"/>
          <w:color w:val="auto"/>
          <w:kern w:val="0"/>
          <w:sz w:val="24"/>
        </w:rPr>
        <w:t>1.</w:t>
      </w:r>
      <w:r>
        <w:rPr>
          <w:rFonts w:hint="eastAsia" w:ascii="宋体" w:hAnsi="宋体" w:cs="宋体"/>
          <w:i/>
          <w:iCs/>
          <w:color w:val="auto"/>
          <w:kern w:val="0"/>
          <w:sz w:val="24"/>
        </w:rPr>
        <w:t>（产品名称1）</w:t>
      </w:r>
      <w:r>
        <w:rPr>
          <w:rFonts w:hint="eastAsia" w:ascii="宋体" w:hAnsi="宋体" w:cs="宋体"/>
          <w:i/>
          <w:iCs/>
          <w:color w:val="auto"/>
          <w:kern w:val="0"/>
          <w:sz w:val="18"/>
          <w:szCs w:val="18"/>
          <w:vertAlign w:val="superscript"/>
        </w:rPr>
        <w:t>1</w:t>
      </w:r>
      <w:r>
        <w:rPr>
          <w:rFonts w:hint="eastAsia" w:ascii="宋体" w:hAnsi="宋体" w:cs="宋体"/>
          <w:color w:val="auto"/>
          <w:kern w:val="0"/>
          <w:sz w:val="24"/>
        </w:rPr>
        <w:t>，生产厂为</w:t>
      </w:r>
      <w:r>
        <w:rPr>
          <w:rFonts w:hint="eastAsia" w:ascii="宋体" w:hAnsi="宋体" w:cs="宋体"/>
          <w:i/>
          <w:iCs/>
          <w:color w:val="auto"/>
          <w:kern w:val="0"/>
          <w:sz w:val="24"/>
        </w:rPr>
        <w:t>（厂名）</w:t>
      </w:r>
      <w:r>
        <w:rPr>
          <w:rFonts w:hint="eastAsia" w:ascii="宋体" w:hAnsi="宋体" w:cs="宋体"/>
          <w:i/>
          <w:iCs/>
          <w:color w:val="auto"/>
          <w:kern w:val="0"/>
          <w:sz w:val="18"/>
          <w:szCs w:val="18"/>
          <w:vertAlign w:val="superscript"/>
        </w:rPr>
        <w:t>2</w:t>
      </w:r>
      <w:r>
        <w:rPr>
          <w:rFonts w:hint="eastAsia" w:ascii="宋体" w:hAnsi="宋体" w:cs="宋体"/>
          <w:color w:val="auto"/>
          <w:kern w:val="0"/>
          <w:sz w:val="24"/>
        </w:rPr>
        <w:t>，厂址为</w:t>
      </w:r>
      <w:r>
        <w:rPr>
          <w:rFonts w:hint="eastAsia" w:ascii="宋体" w:hAnsi="宋体" w:cs="宋体"/>
          <w:i/>
          <w:iCs/>
          <w:color w:val="auto"/>
          <w:kern w:val="0"/>
          <w:sz w:val="24"/>
        </w:rPr>
        <w:t>（生产厂址）</w:t>
      </w:r>
      <w:r>
        <w:rPr>
          <w:rFonts w:hint="eastAsia" w:ascii="宋体" w:hAnsi="宋体" w:cs="宋体"/>
          <w:color w:val="auto"/>
          <w:kern w:val="0"/>
          <w:sz w:val="24"/>
        </w:rPr>
        <w:t>。</w:t>
      </w:r>
      <w:r>
        <w:rPr>
          <w:rFonts w:hint="eastAsia" w:ascii="宋体" w:hAnsi="宋体" w:cs="宋体"/>
          <w:i/>
          <w:iCs/>
          <w:color w:val="auto"/>
          <w:kern w:val="0"/>
          <w:sz w:val="24"/>
        </w:rPr>
        <w:t>（产品名称1）</w:t>
      </w:r>
      <w:r>
        <w:rPr>
          <w:rFonts w:hint="eastAsia" w:ascii="宋体" w:hAnsi="宋体" w:cs="宋体"/>
          <w:color w:val="auto"/>
          <w:kern w:val="0"/>
          <w:sz w:val="24"/>
        </w:rPr>
        <w:t>的中国境内生产的组件成本占比≥</w:t>
      </w:r>
      <w:r>
        <w:rPr>
          <w:rFonts w:hint="eastAsia" w:ascii="宋体" w:hAnsi="宋体" w:cs="宋体"/>
          <w:i/>
          <w:iCs/>
          <w:color w:val="auto"/>
          <w:kern w:val="0"/>
          <w:sz w:val="24"/>
        </w:rPr>
        <w:t>（规定比例）</w:t>
      </w:r>
      <w:r>
        <w:rPr>
          <w:rFonts w:hint="eastAsia" w:ascii="宋体" w:hAnsi="宋体" w:cs="宋体"/>
          <w:i/>
          <w:iCs/>
          <w:color w:val="auto"/>
          <w:kern w:val="0"/>
          <w:sz w:val="18"/>
          <w:szCs w:val="18"/>
          <w:vertAlign w:val="superscript"/>
        </w:rPr>
        <w:t>3</w:t>
      </w:r>
      <w:r>
        <w:rPr>
          <w:rFonts w:hint="eastAsia" w:ascii="宋体" w:hAnsi="宋体" w:cs="宋体"/>
          <w:color w:val="auto"/>
          <w:kern w:val="0"/>
          <w:sz w:val="24"/>
        </w:rPr>
        <w:t>。</w:t>
      </w:r>
      <w:r>
        <w:rPr>
          <w:rFonts w:hint="eastAsia" w:ascii="宋体" w:hAnsi="宋体" w:cs="宋体"/>
          <w:i/>
          <w:iCs/>
          <w:color w:val="auto"/>
          <w:kern w:val="0"/>
          <w:sz w:val="24"/>
        </w:rPr>
        <w:t>（产品名称1）</w:t>
      </w:r>
      <w:r>
        <w:rPr>
          <w:rFonts w:hint="eastAsia" w:ascii="宋体" w:hAnsi="宋体" w:cs="宋体"/>
          <w:color w:val="auto"/>
          <w:kern w:val="0"/>
          <w:sz w:val="24"/>
        </w:rPr>
        <w:t>的</w:t>
      </w:r>
      <w:r>
        <w:rPr>
          <w:rFonts w:hint="eastAsia" w:ascii="宋体" w:hAnsi="宋体" w:cs="宋体"/>
          <w:i/>
          <w:iCs/>
          <w:color w:val="auto"/>
          <w:kern w:val="0"/>
          <w:sz w:val="24"/>
        </w:rPr>
        <w:t>（关键组件）</w:t>
      </w:r>
      <w:r>
        <w:rPr>
          <w:rFonts w:hint="eastAsia" w:ascii="宋体" w:hAnsi="宋体" w:cs="宋体"/>
          <w:i/>
          <w:iCs/>
          <w:color w:val="auto"/>
          <w:kern w:val="0"/>
          <w:sz w:val="18"/>
          <w:szCs w:val="18"/>
          <w:vertAlign w:val="superscript"/>
        </w:rPr>
        <w:t>4</w:t>
      </w:r>
      <w:r>
        <w:rPr>
          <w:rFonts w:hint="eastAsia" w:ascii="宋体" w:hAnsi="宋体" w:cs="宋体"/>
          <w:color w:val="auto"/>
          <w:kern w:val="0"/>
          <w:sz w:val="24"/>
        </w:rPr>
        <w:t>在中国境内生产。</w:t>
      </w:r>
      <w:r>
        <w:rPr>
          <w:rFonts w:hint="eastAsia" w:ascii="宋体" w:hAnsi="宋体" w:cs="宋体"/>
          <w:i/>
          <w:iCs/>
          <w:color w:val="auto"/>
          <w:kern w:val="0"/>
          <w:sz w:val="24"/>
        </w:rPr>
        <w:t>（产品名称1）</w:t>
      </w:r>
      <w:r>
        <w:rPr>
          <w:rFonts w:hint="eastAsia" w:ascii="宋体" w:hAnsi="宋体" w:cs="宋体"/>
          <w:color w:val="auto"/>
          <w:kern w:val="0"/>
          <w:sz w:val="24"/>
        </w:rPr>
        <w:t>的</w:t>
      </w:r>
      <w:r>
        <w:rPr>
          <w:rFonts w:hint="eastAsia" w:ascii="宋体" w:hAnsi="宋体" w:cs="宋体"/>
          <w:i/>
          <w:iCs/>
          <w:color w:val="auto"/>
          <w:kern w:val="0"/>
          <w:sz w:val="24"/>
        </w:rPr>
        <w:t>（关键工序）</w:t>
      </w:r>
      <w:r>
        <w:rPr>
          <w:rFonts w:hint="eastAsia" w:ascii="宋体" w:hAnsi="宋体" w:cs="宋体"/>
          <w:i/>
          <w:iCs/>
          <w:color w:val="auto"/>
          <w:kern w:val="0"/>
          <w:sz w:val="18"/>
          <w:szCs w:val="18"/>
          <w:vertAlign w:val="superscript"/>
        </w:rPr>
        <w:t>5</w:t>
      </w:r>
      <w:r>
        <w:rPr>
          <w:rFonts w:hint="eastAsia" w:ascii="宋体" w:hAnsi="宋体" w:cs="宋体"/>
          <w:color w:val="auto"/>
          <w:kern w:val="0"/>
          <w:sz w:val="24"/>
        </w:rPr>
        <w:t>在中国境内完成。</w:t>
      </w:r>
    </w:p>
    <w:p w14:paraId="24E5985D">
      <w:pPr>
        <w:widowControl/>
        <w:shd w:val="clear" w:color="auto" w:fill="FFFFFF"/>
        <w:ind w:firstLine="480"/>
        <w:jc w:val="left"/>
        <w:rPr>
          <w:rFonts w:hint="eastAsia" w:ascii="宋体" w:hAnsi="宋体" w:cs="宋体"/>
          <w:color w:val="auto"/>
          <w:kern w:val="0"/>
          <w:sz w:val="24"/>
        </w:rPr>
      </w:pPr>
      <w:r>
        <w:rPr>
          <w:rFonts w:hint="eastAsia" w:ascii="宋体" w:hAnsi="宋体" w:cs="宋体"/>
          <w:color w:val="auto"/>
          <w:kern w:val="0"/>
          <w:sz w:val="24"/>
        </w:rPr>
        <w:t>2.</w:t>
      </w:r>
      <w:r>
        <w:rPr>
          <w:rFonts w:hint="eastAsia" w:ascii="宋体" w:hAnsi="宋体" w:cs="宋体"/>
          <w:i/>
          <w:iCs/>
          <w:color w:val="auto"/>
          <w:kern w:val="0"/>
          <w:sz w:val="24"/>
        </w:rPr>
        <w:t>（产品名称2）</w:t>
      </w:r>
      <w:r>
        <w:rPr>
          <w:rFonts w:hint="eastAsia" w:ascii="宋体" w:hAnsi="宋体" w:cs="宋体"/>
          <w:color w:val="auto"/>
          <w:kern w:val="0"/>
          <w:sz w:val="24"/>
        </w:rPr>
        <w:t>，生产厂为</w:t>
      </w:r>
      <w:r>
        <w:rPr>
          <w:rFonts w:hint="eastAsia" w:ascii="宋体" w:hAnsi="宋体" w:cs="宋体"/>
          <w:i/>
          <w:iCs/>
          <w:color w:val="auto"/>
          <w:kern w:val="0"/>
          <w:sz w:val="24"/>
        </w:rPr>
        <w:t>（厂名）</w:t>
      </w:r>
      <w:r>
        <w:rPr>
          <w:rFonts w:hint="eastAsia" w:ascii="宋体" w:hAnsi="宋体" w:cs="宋体"/>
          <w:color w:val="auto"/>
          <w:kern w:val="0"/>
          <w:sz w:val="24"/>
        </w:rPr>
        <w:t>，厂址为</w:t>
      </w:r>
      <w:r>
        <w:rPr>
          <w:rFonts w:hint="eastAsia" w:ascii="宋体" w:hAnsi="宋体" w:cs="宋体"/>
          <w:i/>
          <w:iCs/>
          <w:color w:val="auto"/>
          <w:kern w:val="0"/>
          <w:sz w:val="24"/>
        </w:rPr>
        <w:t>（生产厂址）</w:t>
      </w:r>
      <w:r>
        <w:rPr>
          <w:rFonts w:hint="eastAsia" w:ascii="宋体" w:hAnsi="宋体" w:cs="宋体"/>
          <w:color w:val="auto"/>
          <w:kern w:val="0"/>
          <w:sz w:val="24"/>
        </w:rPr>
        <w:t>。</w:t>
      </w:r>
      <w:r>
        <w:rPr>
          <w:rFonts w:hint="eastAsia" w:ascii="宋体" w:hAnsi="宋体" w:cs="宋体"/>
          <w:i/>
          <w:iCs/>
          <w:color w:val="auto"/>
          <w:kern w:val="0"/>
          <w:sz w:val="24"/>
        </w:rPr>
        <w:t>（产品名称2）</w:t>
      </w:r>
      <w:r>
        <w:rPr>
          <w:rFonts w:hint="eastAsia" w:ascii="宋体" w:hAnsi="宋体" w:cs="宋体"/>
          <w:color w:val="auto"/>
          <w:kern w:val="0"/>
          <w:sz w:val="24"/>
        </w:rPr>
        <w:t>的中国境内生产的组件成本占比≥</w:t>
      </w:r>
      <w:r>
        <w:rPr>
          <w:rFonts w:hint="eastAsia" w:ascii="宋体" w:hAnsi="宋体" w:cs="宋体"/>
          <w:i/>
          <w:iCs/>
          <w:color w:val="auto"/>
          <w:kern w:val="0"/>
          <w:sz w:val="24"/>
        </w:rPr>
        <w:t>（规定比例）</w:t>
      </w:r>
      <w:r>
        <w:rPr>
          <w:rFonts w:hint="eastAsia" w:ascii="宋体" w:hAnsi="宋体" w:cs="宋体"/>
          <w:color w:val="auto"/>
          <w:kern w:val="0"/>
          <w:sz w:val="24"/>
        </w:rPr>
        <w:t>。</w:t>
      </w:r>
      <w:r>
        <w:rPr>
          <w:rFonts w:hint="eastAsia" w:ascii="宋体" w:hAnsi="宋体" w:cs="宋体"/>
          <w:i/>
          <w:iCs/>
          <w:color w:val="auto"/>
          <w:kern w:val="0"/>
          <w:sz w:val="24"/>
        </w:rPr>
        <w:t>（产品名称2）</w:t>
      </w:r>
      <w:r>
        <w:rPr>
          <w:rFonts w:hint="eastAsia" w:ascii="宋体" w:hAnsi="宋体" w:cs="宋体"/>
          <w:color w:val="auto"/>
          <w:kern w:val="0"/>
          <w:sz w:val="24"/>
        </w:rPr>
        <w:t>的</w:t>
      </w:r>
      <w:r>
        <w:rPr>
          <w:rFonts w:hint="eastAsia" w:ascii="宋体" w:hAnsi="宋体" w:cs="宋体"/>
          <w:i/>
          <w:iCs/>
          <w:color w:val="auto"/>
          <w:kern w:val="0"/>
          <w:sz w:val="24"/>
        </w:rPr>
        <w:t>（关键组件）</w:t>
      </w:r>
      <w:r>
        <w:rPr>
          <w:rFonts w:hint="eastAsia" w:ascii="宋体" w:hAnsi="宋体" w:cs="宋体"/>
          <w:color w:val="auto"/>
          <w:kern w:val="0"/>
          <w:sz w:val="24"/>
        </w:rPr>
        <w:t>在中国境内生产。</w:t>
      </w:r>
      <w:r>
        <w:rPr>
          <w:rFonts w:hint="eastAsia" w:ascii="宋体" w:hAnsi="宋体" w:cs="宋体"/>
          <w:i/>
          <w:iCs/>
          <w:color w:val="auto"/>
          <w:kern w:val="0"/>
          <w:sz w:val="24"/>
        </w:rPr>
        <w:t>（产品名称2）</w:t>
      </w:r>
      <w:r>
        <w:rPr>
          <w:rFonts w:hint="eastAsia" w:ascii="宋体" w:hAnsi="宋体" w:cs="宋体"/>
          <w:color w:val="auto"/>
          <w:kern w:val="0"/>
          <w:sz w:val="24"/>
        </w:rPr>
        <w:t>的</w:t>
      </w:r>
      <w:r>
        <w:rPr>
          <w:rFonts w:hint="eastAsia" w:ascii="宋体" w:hAnsi="宋体" w:cs="宋体"/>
          <w:i/>
          <w:iCs/>
          <w:color w:val="auto"/>
          <w:kern w:val="0"/>
          <w:sz w:val="24"/>
        </w:rPr>
        <w:t>（关键工序）</w:t>
      </w:r>
      <w:r>
        <w:rPr>
          <w:rFonts w:hint="eastAsia" w:ascii="宋体" w:hAnsi="宋体" w:cs="宋体"/>
          <w:color w:val="auto"/>
          <w:kern w:val="0"/>
          <w:sz w:val="24"/>
        </w:rPr>
        <w:t>在中国境内完成。</w:t>
      </w:r>
    </w:p>
    <w:p w14:paraId="3AE5956B">
      <w:pPr>
        <w:widowControl/>
        <w:shd w:val="clear" w:color="auto" w:fill="FFFFFF"/>
        <w:spacing w:before="30" w:after="30"/>
        <w:ind w:firstLine="480"/>
        <w:jc w:val="left"/>
        <w:rPr>
          <w:rFonts w:hint="eastAsia" w:ascii="宋体" w:hAnsi="宋体" w:cs="宋体"/>
          <w:color w:val="auto"/>
          <w:kern w:val="0"/>
          <w:sz w:val="24"/>
        </w:rPr>
      </w:pPr>
      <w:r>
        <w:rPr>
          <w:rFonts w:hint="eastAsia" w:ascii="宋体" w:hAnsi="宋体" w:cs="宋体"/>
          <w:color w:val="auto"/>
          <w:kern w:val="0"/>
          <w:sz w:val="24"/>
        </w:rPr>
        <w:t>……</w:t>
      </w:r>
    </w:p>
    <w:p w14:paraId="0C6BE1DA">
      <w:pPr>
        <w:widowControl/>
        <w:shd w:val="clear" w:color="auto" w:fill="FFFFFF"/>
        <w:spacing w:before="30" w:after="30"/>
        <w:ind w:firstLine="480"/>
        <w:jc w:val="left"/>
        <w:rPr>
          <w:rFonts w:hint="eastAsia" w:ascii="宋体" w:hAnsi="宋体" w:cs="宋体"/>
          <w:color w:val="auto"/>
          <w:kern w:val="0"/>
          <w:sz w:val="24"/>
        </w:rPr>
      </w:pPr>
      <w:r>
        <w:rPr>
          <w:rFonts w:hint="eastAsia" w:ascii="宋体" w:hAnsi="宋体" w:cs="宋体"/>
          <w:color w:val="auto"/>
          <w:kern w:val="0"/>
          <w:sz w:val="24"/>
        </w:rPr>
        <w:t>本公司（单位）对上述声明内容的真实性负责。如有虚假，愿承担相应法律责任。</w:t>
      </w:r>
    </w:p>
    <w:p w14:paraId="0662CA6C">
      <w:pPr>
        <w:widowControl/>
        <w:shd w:val="clear" w:color="auto" w:fill="FFFFFF"/>
        <w:spacing w:before="30" w:after="30"/>
        <w:jc w:val="left"/>
        <w:rPr>
          <w:rFonts w:hint="eastAsia" w:ascii="宋体" w:hAnsi="宋体" w:cs="宋体"/>
          <w:color w:val="auto"/>
          <w:kern w:val="0"/>
          <w:sz w:val="24"/>
        </w:rPr>
      </w:pPr>
      <w:r>
        <w:rPr>
          <w:rFonts w:hint="eastAsia" w:ascii="宋体" w:hAnsi="宋体" w:cs="宋体"/>
          <w:color w:val="auto"/>
          <w:kern w:val="0"/>
          <w:sz w:val="24"/>
        </w:rPr>
        <w:t> </w:t>
      </w:r>
    </w:p>
    <w:p w14:paraId="33E39759">
      <w:pPr>
        <w:widowControl/>
        <w:shd w:val="clear" w:color="auto" w:fill="FFFFFF"/>
        <w:spacing w:before="30" w:after="30"/>
        <w:jc w:val="right"/>
        <w:rPr>
          <w:rFonts w:hint="eastAsia" w:ascii="宋体" w:hAnsi="宋体" w:cs="宋体"/>
          <w:color w:val="auto"/>
          <w:kern w:val="0"/>
          <w:sz w:val="24"/>
        </w:rPr>
      </w:pPr>
      <w:r>
        <w:rPr>
          <w:rFonts w:hint="eastAsia" w:ascii="宋体" w:hAnsi="宋体" w:cs="宋体"/>
          <w:color w:val="auto"/>
          <w:kern w:val="0"/>
          <w:sz w:val="24"/>
        </w:rPr>
        <w:t>公司（单位）名称（盖章）：　        </w:t>
      </w:r>
    </w:p>
    <w:p w14:paraId="2BB6A051">
      <w:pPr>
        <w:widowControl/>
        <w:shd w:val="clear" w:color="auto" w:fill="FFFFFF"/>
        <w:jc w:val="right"/>
        <w:rPr>
          <w:rFonts w:hint="eastAsia" w:ascii="宋体" w:hAnsi="宋体" w:cs="宋体"/>
          <w:color w:val="auto"/>
          <w:kern w:val="0"/>
          <w:sz w:val="24"/>
        </w:rPr>
      </w:pPr>
      <w:r>
        <w:rPr>
          <w:rFonts w:hint="eastAsia" w:ascii="宋体" w:hAnsi="宋体" w:cs="宋体"/>
          <w:color w:val="auto"/>
          <w:kern w:val="0"/>
          <w:sz w:val="24"/>
        </w:rPr>
        <w:t>日期：　     年　  月　  日         </w:t>
      </w:r>
    </w:p>
    <w:p w14:paraId="057EB25E">
      <w:pPr>
        <w:widowControl/>
        <w:shd w:val="clear" w:color="auto" w:fill="FFFFFF"/>
        <w:spacing w:before="30" w:after="30"/>
        <w:jc w:val="left"/>
        <w:rPr>
          <w:rFonts w:hint="eastAsia" w:ascii="宋体" w:hAnsi="宋体" w:cs="宋体"/>
          <w:color w:val="auto"/>
          <w:kern w:val="0"/>
          <w:sz w:val="24"/>
        </w:rPr>
      </w:pPr>
      <w:r>
        <w:rPr>
          <w:rFonts w:hint="eastAsia" w:ascii="宋体" w:hAnsi="宋体" w:cs="宋体"/>
          <w:color w:val="auto"/>
          <w:kern w:val="0"/>
          <w:sz w:val="24"/>
        </w:rPr>
        <w:t>__________________</w:t>
      </w:r>
    </w:p>
    <w:p w14:paraId="0DE816DE">
      <w:pPr>
        <w:widowControl/>
        <w:shd w:val="clear" w:color="auto" w:fill="FFFFFF"/>
        <w:ind w:firstLine="480"/>
        <w:jc w:val="left"/>
        <w:rPr>
          <w:rFonts w:hint="eastAsia" w:ascii="宋体" w:hAnsi="宋体" w:cs="宋体"/>
          <w:color w:val="auto"/>
          <w:kern w:val="0"/>
          <w:szCs w:val="21"/>
        </w:rPr>
      </w:pPr>
      <w:r>
        <w:rPr>
          <w:rFonts w:hint="eastAsia" w:ascii="宋体" w:hAnsi="宋体" w:cs="宋体"/>
          <w:color w:val="auto"/>
          <w:kern w:val="0"/>
          <w:szCs w:val="21"/>
        </w:rPr>
        <w:t>1.产品如有型号，请在“产品名称”栏一并填写。</w:t>
      </w:r>
    </w:p>
    <w:p w14:paraId="51372A11">
      <w:pPr>
        <w:widowControl/>
        <w:shd w:val="clear" w:color="auto" w:fill="FFFFFF"/>
        <w:ind w:firstLine="480"/>
        <w:jc w:val="left"/>
        <w:rPr>
          <w:rFonts w:hint="eastAsia" w:ascii="宋体" w:hAnsi="宋体" w:cs="宋体"/>
          <w:color w:val="auto"/>
          <w:kern w:val="0"/>
          <w:szCs w:val="21"/>
        </w:rPr>
      </w:pPr>
      <w:r>
        <w:rPr>
          <w:rFonts w:hint="eastAsia" w:ascii="宋体" w:hAnsi="宋体" w:cs="宋体"/>
          <w:color w:val="auto"/>
          <w:kern w:val="0"/>
          <w:szCs w:val="21"/>
        </w:rPr>
        <w:t>2.生产厂名与厂址应与生产厂营业执照载明的相关信息保持一致。</w:t>
      </w:r>
    </w:p>
    <w:p w14:paraId="773C8FC9">
      <w:pPr>
        <w:widowControl/>
        <w:shd w:val="clear" w:color="auto" w:fill="FFFFFF"/>
        <w:ind w:firstLine="480"/>
        <w:jc w:val="left"/>
        <w:rPr>
          <w:rFonts w:hint="eastAsia" w:ascii="宋体" w:hAnsi="宋体" w:cs="宋体"/>
          <w:color w:val="auto"/>
          <w:kern w:val="0"/>
          <w:szCs w:val="21"/>
        </w:rPr>
      </w:pPr>
      <w:r>
        <w:rPr>
          <w:rFonts w:hint="eastAsia" w:ascii="宋体" w:hAnsi="宋体" w:cs="宋体"/>
          <w:color w:val="auto"/>
          <w:kern w:val="0"/>
          <w:szCs w:val="21"/>
        </w:rPr>
        <w:t>3.该产品的中国境内生产的组件成本占比相关要求实施前，“规定比例”栏可不填，下同。</w:t>
      </w:r>
    </w:p>
    <w:p w14:paraId="0DCD94BC">
      <w:pPr>
        <w:widowControl/>
        <w:shd w:val="clear" w:color="auto" w:fill="FFFFFF"/>
        <w:ind w:firstLine="480"/>
        <w:jc w:val="left"/>
        <w:rPr>
          <w:rFonts w:hint="eastAsia" w:ascii="宋体" w:hAnsi="宋体" w:cs="宋体"/>
          <w:color w:val="auto"/>
          <w:kern w:val="0"/>
          <w:szCs w:val="21"/>
        </w:rPr>
      </w:pPr>
      <w:r>
        <w:rPr>
          <w:rFonts w:hint="eastAsia" w:ascii="宋体" w:hAnsi="宋体" w:cs="宋体"/>
          <w:color w:val="auto"/>
          <w:kern w:val="0"/>
          <w:szCs w:val="21"/>
        </w:rPr>
        <w:t>4.该产品的关键组件要求实施前，“关键组件”栏可不填，下同。</w:t>
      </w:r>
    </w:p>
    <w:p w14:paraId="0DFF776B">
      <w:pPr>
        <w:spacing w:line="360" w:lineRule="auto"/>
        <w:contextualSpacing/>
        <w:rPr>
          <w:rFonts w:hint="eastAsia" w:ascii="宋体" w:hAnsi="宋体" w:cs="仿宋_GB2312"/>
          <w:color w:val="auto"/>
          <w:sz w:val="24"/>
        </w:rPr>
      </w:pPr>
      <w:r>
        <w:rPr>
          <w:rFonts w:hint="eastAsia" w:ascii="宋体" w:hAnsi="宋体" w:cs="宋体"/>
          <w:color w:val="auto"/>
          <w:kern w:val="0"/>
          <w:szCs w:val="21"/>
        </w:rPr>
        <w:t>5.该产品的关键工序要求实施前，“关键工序”栏可不填，下同。</w:t>
      </w:r>
    </w:p>
    <w:p w14:paraId="2ACA46A7">
      <w:pPr>
        <w:spacing w:line="360" w:lineRule="auto"/>
        <w:ind w:right="-817" w:rightChars="-389" w:firstLine="4080" w:firstLineChars="1700"/>
        <w:contextualSpacing/>
        <w:rPr>
          <w:rFonts w:hint="eastAsia" w:ascii="宋体" w:hAnsi="宋体" w:cs="仿宋_GB2312"/>
          <w:color w:val="auto"/>
          <w:sz w:val="24"/>
        </w:rPr>
      </w:pPr>
    </w:p>
    <w:p w14:paraId="2653360F">
      <w:pPr>
        <w:spacing w:before="240" w:after="120" w:line="520" w:lineRule="exact"/>
        <w:ind w:left="540"/>
        <w:jc w:val="center"/>
        <w:rPr>
          <w:rFonts w:ascii="仿宋_GB2312" w:hAnsi="仿宋_GB2312" w:eastAsia="仿宋_GB2312" w:cs="仿宋_GB2312"/>
          <w:color w:val="auto"/>
          <w:sz w:val="32"/>
          <w:szCs w:val="32"/>
        </w:rPr>
      </w:pPr>
      <w:r>
        <w:rPr>
          <w:rFonts w:hint="eastAsia" w:ascii="宋体" w:hAnsi="Courier New"/>
          <w:b/>
          <w:color w:val="auto"/>
          <w:sz w:val="32"/>
          <w:szCs w:val="32"/>
        </w:rPr>
        <w:br w:type="page"/>
      </w:r>
      <w:r>
        <w:rPr>
          <w:rFonts w:hint="eastAsia" w:ascii="Arial Unicode MS" w:hAnsi="Arial Unicode MS" w:eastAsia="Arial Unicode MS" w:cs="Arial Unicode MS"/>
          <w:bCs/>
          <w:color w:val="auto"/>
          <w:sz w:val="44"/>
          <w:szCs w:val="44"/>
        </w:rPr>
        <w:t>法定代表人证明书</w:t>
      </w:r>
    </w:p>
    <w:p w14:paraId="76FBCCF8">
      <w:pPr>
        <w:spacing w:line="360" w:lineRule="auto"/>
        <w:ind w:left="540"/>
        <w:contextualSpacing/>
        <w:rPr>
          <w:rFonts w:ascii="仿宋_GB2312" w:hAnsi="仿宋_GB2312" w:eastAsia="仿宋_GB2312" w:cs="仿宋_GB2312"/>
          <w:color w:val="auto"/>
          <w:sz w:val="32"/>
          <w:szCs w:val="32"/>
        </w:rPr>
      </w:pPr>
    </w:p>
    <w:p w14:paraId="73CE09CB">
      <w:pPr>
        <w:spacing w:line="360" w:lineRule="auto"/>
        <w:ind w:left="540"/>
        <w:contextualSpacing/>
        <w:rPr>
          <w:rFonts w:ascii="宋体" w:hAnsi="宋体" w:cs="仿宋_GB2312"/>
          <w:color w:val="auto"/>
          <w:sz w:val="24"/>
        </w:rPr>
      </w:pPr>
      <w:r>
        <w:rPr>
          <w:rFonts w:hint="eastAsia" w:ascii="宋体" w:hAnsi="宋体" w:cs="仿宋_GB2312"/>
          <w:color w:val="auto"/>
          <w:sz w:val="24"/>
        </w:rPr>
        <w:t>供应商名称：</w:t>
      </w:r>
      <w:r>
        <w:rPr>
          <w:rFonts w:hint="eastAsia" w:ascii="宋体" w:hAnsi="宋体" w:cs="仿宋_GB2312"/>
          <w:color w:val="auto"/>
          <w:sz w:val="24"/>
          <w:u w:val="single"/>
        </w:rPr>
        <w:t xml:space="preserve">                                                        </w:t>
      </w:r>
    </w:p>
    <w:p w14:paraId="5F6B30CE">
      <w:pPr>
        <w:spacing w:line="360" w:lineRule="auto"/>
        <w:ind w:left="540"/>
        <w:contextualSpacing/>
        <w:rPr>
          <w:rFonts w:ascii="宋体" w:hAnsi="宋体" w:cs="仿宋_GB2312"/>
          <w:color w:val="auto"/>
          <w:sz w:val="24"/>
        </w:rPr>
      </w:pPr>
      <w:r>
        <w:rPr>
          <w:rFonts w:hint="eastAsia" w:ascii="宋体" w:hAnsi="宋体" w:cs="仿宋_GB2312"/>
          <w:color w:val="auto"/>
          <w:sz w:val="24"/>
        </w:rPr>
        <w:t>地    址：</w:t>
      </w:r>
      <w:r>
        <w:rPr>
          <w:rFonts w:hint="eastAsia" w:ascii="宋体" w:hAnsi="宋体" w:cs="仿宋_GB2312"/>
          <w:color w:val="auto"/>
          <w:sz w:val="24"/>
          <w:u w:val="single"/>
        </w:rPr>
        <w:t xml:space="preserve">                                                        </w:t>
      </w:r>
    </w:p>
    <w:p w14:paraId="33C6DA94">
      <w:pPr>
        <w:spacing w:line="360" w:lineRule="auto"/>
        <w:ind w:left="540"/>
        <w:contextualSpacing/>
        <w:rPr>
          <w:rFonts w:ascii="宋体" w:hAnsi="宋体" w:cs="仿宋_GB2312"/>
          <w:color w:val="auto"/>
          <w:sz w:val="24"/>
        </w:rPr>
      </w:pPr>
      <w:r>
        <w:rPr>
          <w:rFonts w:hint="eastAsia" w:ascii="宋体" w:hAnsi="宋体" w:cs="仿宋_GB2312"/>
          <w:color w:val="auto"/>
          <w:sz w:val="24"/>
        </w:rPr>
        <w:t>姓    名：</w:t>
      </w:r>
      <w:r>
        <w:rPr>
          <w:rFonts w:hint="eastAsia" w:ascii="宋体" w:hAnsi="宋体" w:cs="仿宋_GB2312"/>
          <w:color w:val="auto"/>
          <w:sz w:val="24"/>
          <w:u w:val="single"/>
        </w:rPr>
        <w:t xml:space="preserve">               </w:t>
      </w:r>
      <w:r>
        <w:rPr>
          <w:rFonts w:hint="eastAsia" w:ascii="宋体" w:hAnsi="宋体" w:cs="仿宋_GB2312"/>
          <w:color w:val="auto"/>
          <w:sz w:val="24"/>
        </w:rPr>
        <w:t>性      别：</w:t>
      </w:r>
      <w:r>
        <w:rPr>
          <w:rFonts w:hint="eastAsia" w:ascii="宋体" w:hAnsi="宋体" w:cs="仿宋_GB2312"/>
          <w:color w:val="auto"/>
          <w:sz w:val="24"/>
          <w:u w:val="single"/>
        </w:rPr>
        <w:t xml:space="preserve">                </w:t>
      </w:r>
    </w:p>
    <w:p w14:paraId="47D7C5A6">
      <w:pPr>
        <w:spacing w:line="360" w:lineRule="auto"/>
        <w:ind w:left="540"/>
        <w:contextualSpacing/>
        <w:rPr>
          <w:rFonts w:ascii="宋体" w:hAnsi="宋体" w:cs="仿宋_GB2312"/>
          <w:color w:val="auto"/>
          <w:sz w:val="24"/>
          <w:u w:val="single"/>
        </w:rPr>
      </w:pPr>
      <w:r>
        <w:rPr>
          <w:rFonts w:hint="eastAsia" w:ascii="宋体" w:hAnsi="宋体" w:cs="仿宋_GB2312"/>
          <w:color w:val="auto"/>
          <w:sz w:val="24"/>
        </w:rPr>
        <w:t>年    龄：</w:t>
      </w:r>
      <w:r>
        <w:rPr>
          <w:rFonts w:hint="eastAsia" w:ascii="宋体" w:hAnsi="宋体" w:cs="仿宋_GB2312"/>
          <w:color w:val="auto"/>
          <w:sz w:val="24"/>
          <w:u w:val="single"/>
        </w:rPr>
        <w:t xml:space="preserve">               </w:t>
      </w:r>
      <w:r>
        <w:rPr>
          <w:rFonts w:hint="eastAsia" w:ascii="宋体" w:hAnsi="宋体" w:cs="仿宋_GB2312"/>
          <w:color w:val="auto"/>
          <w:sz w:val="24"/>
        </w:rPr>
        <w:t>职      务：</w:t>
      </w:r>
      <w:r>
        <w:rPr>
          <w:rFonts w:hint="eastAsia" w:ascii="宋体" w:hAnsi="宋体" w:cs="仿宋_GB2312"/>
          <w:color w:val="auto"/>
          <w:sz w:val="24"/>
          <w:u w:val="single"/>
        </w:rPr>
        <w:t xml:space="preserve">                </w:t>
      </w:r>
    </w:p>
    <w:p w14:paraId="48C14523">
      <w:pPr>
        <w:spacing w:line="360" w:lineRule="auto"/>
        <w:ind w:left="540"/>
        <w:contextualSpacing/>
        <w:rPr>
          <w:rFonts w:ascii="宋体" w:hAnsi="宋体" w:cs="仿宋_GB2312"/>
          <w:color w:val="auto"/>
          <w:sz w:val="24"/>
        </w:rPr>
      </w:pPr>
      <w:r>
        <w:rPr>
          <w:rFonts w:hint="eastAsia" w:ascii="宋体" w:hAnsi="宋体" w:cs="仿宋_GB2312"/>
          <w:color w:val="auto"/>
          <w:sz w:val="24"/>
        </w:rPr>
        <w:t>身份证号码：</w:t>
      </w:r>
      <w:r>
        <w:rPr>
          <w:rFonts w:hint="eastAsia" w:ascii="宋体" w:hAnsi="宋体" w:cs="仿宋_GB2312"/>
          <w:color w:val="auto"/>
          <w:sz w:val="24"/>
          <w:u w:val="single"/>
        </w:rPr>
        <w:t xml:space="preserve">                                        </w:t>
      </w:r>
    </w:p>
    <w:p w14:paraId="2BDEA00D">
      <w:pPr>
        <w:spacing w:line="360" w:lineRule="auto"/>
        <w:ind w:left="540"/>
        <w:contextualSpacing/>
        <w:rPr>
          <w:rFonts w:ascii="宋体" w:hAnsi="宋体" w:cs="仿宋_GB2312"/>
          <w:color w:val="auto"/>
          <w:sz w:val="24"/>
        </w:rPr>
      </w:pPr>
      <w:r>
        <w:rPr>
          <w:rFonts w:hint="eastAsia" w:ascii="宋体" w:hAnsi="宋体" w:cs="仿宋_GB2312"/>
          <w:color w:val="auto"/>
          <w:sz w:val="24"/>
        </w:rPr>
        <w:t>系</w:t>
      </w:r>
      <w:r>
        <w:rPr>
          <w:rFonts w:hint="eastAsia" w:ascii="宋体" w:hAnsi="宋体" w:cs="仿宋_GB2312"/>
          <w:color w:val="auto"/>
          <w:sz w:val="24"/>
          <w:u w:val="single"/>
        </w:rPr>
        <w:t xml:space="preserve"> </w:t>
      </w:r>
      <w:r>
        <w:rPr>
          <w:rFonts w:ascii="宋体" w:hAnsi="宋体" w:cs="仿宋_GB2312"/>
          <w:color w:val="auto"/>
          <w:sz w:val="24"/>
          <w:u w:val="single"/>
        </w:rPr>
        <w:t xml:space="preserve">   </w:t>
      </w:r>
      <w:r>
        <w:rPr>
          <w:rFonts w:hint="eastAsia" w:ascii="宋体" w:hAnsi="宋体" w:cs="仿宋_GB2312"/>
          <w:color w:val="auto"/>
          <w:sz w:val="24"/>
          <w:u w:val="single"/>
        </w:rPr>
        <w:t xml:space="preserve">（供应商名称） </w:t>
      </w:r>
      <w:r>
        <w:rPr>
          <w:rFonts w:ascii="宋体" w:hAnsi="宋体" w:cs="仿宋_GB2312"/>
          <w:color w:val="auto"/>
          <w:sz w:val="24"/>
          <w:u w:val="single"/>
        </w:rPr>
        <w:t xml:space="preserve">  </w:t>
      </w:r>
      <w:r>
        <w:rPr>
          <w:rFonts w:hint="eastAsia" w:ascii="宋体" w:hAnsi="宋体" w:cs="仿宋_GB2312"/>
          <w:color w:val="auto"/>
          <w:sz w:val="24"/>
        </w:rPr>
        <w:t>的法定代表人。</w:t>
      </w:r>
    </w:p>
    <w:p w14:paraId="7E24B693">
      <w:pPr>
        <w:spacing w:line="360" w:lineRule="auto"/>
        <w:ind w:left="540"/>
        <w:contextualSpacing/>
        <w:rPr>
          <w:rFonts w:ascii="宋体" w:hAnsi="宋体" w:cs="仿宋_GB2312"/>
          <w:color w:val="auto"/>
          <w:sz w:val="24"/>
        </w:rPr>
      </w:pPr>
      <w:r>
        <w:rPr>
          <w:rFonts w:hint="eastAsia" w:ascii="宋体" w:hAnsi="宋体" w:cs="仿宋_GB2312"/>
          <w:color w:val="auto"/>
          <w:sz w:val="24"/>
        </w:rPr>
        <w:t>特此证明。</w:t>
      </w:r>
    </w:p>
    <w:p w14:paraId="750C163D">
      <w:pPr>
        <w:spacing w:line="360" w:lineRule="auto"/>
        <w:ind w:left="540"/>
        <w:contextualSpacing/>
        <w:rPr>
          <w:rFonts w:ascii="宋体" w:hAnsi="宋体" w:cs="仿宋_GB2312"/>
          <w:color w:val="auto"/>
          <w:sz w:val="24"/>
        </w:rPr>
      </w:pPr>
    </w:p>
    <w:p w14:paraId="321E471E">
      <w:pPr>
        <w:spacing w:line="360" w:lineRule="auto"/>
        <w:ind w:left="540"/>
        <w:contextualSpacing/>
        <w:rPr>
          <w:rFonts w:ascii="宋体" w:hAnsi="宋体" w:cs="仿宋_GB2312"/>
          <w:color w:val="auto"/>
          <w:sz w:val="24"/>
        </w:rPr>
      </w:pPr>
    </w:p>
    <w:p w14:paraId="3BBF273A">
      <w:pPr>
        <w:spacing w:line="360" w:lineRule="auto"/>
        <w:ind w:left="540"/>
        <w:contextualSpacing/>
        <w:rPr>
          <w:rFonts w:ascii="宋体" w:hAnsi="宋体" w:cs="仿宋_GB2312"/>
          <w:color w:val="auto"/>
          <w:sz w:val="24"/>
        </w:rPr>
      </w:pPr>
    </w:p>
    <w:p w14:paraId="1FC52C8A">
      <w:pPr>
        <w:spacing w:line="360" w:lineRule="auto"/>
        <w:ind w:left="540"/>
        <w:contextualSpacing/>
        <w:rPr>
          <w:rFonts w:ascii="宋体" w:hAnsi="宋体" w:cs="仿宋_GB2312"/>
          <w:color w:val="auto"/>
          <w:sz w:val="24"/>
        </w:rPr>
      </w:pPr>
      <w:r>
        <w:rPr>
          <w:rFonts w:hint="eastAsia" w:ascii="宋体" w:hAnsi="宋体" w:cs="仿宋_GB2312"/>
          <w:color w:val="auto"/>
          <w:sz w:val="24"/>
        </w:rPr>
        <w:t>附件：法定代表人有效身份证正反面复印件</w:t>
      </w:r>
    </w:p>
    <w:p w14:paraId="15D1B915">
      <w:pPr>
        <w:spacing w:line="360" w:lineRule="auto"/>
        <w:ind w:left="540"/>
        <w:contextualSpacing/>
        <w:rPr>
          <w:rFonts w:ascii="宋体" w:hAnsi="宋体" w:cs="仿宋_GB2312"/>
          <w:color w:val="auto"/>
          <w:sz w:val="24"/>
        </w:rPr>
      </w:pPr>
    </w:p>
    <w:p w14:paraId="53589A7A">
      <w:pPr>
        <w:spacing w:line="360" w:lineRule="auto"/>
        <w:ind w:left="540"/>
        <w:contextualSpacing/>
        <w:jc w:val="right"/>
        <w:rPr>
          <w:rFonts w:ascii="宋体" w:hAnsi="宋体" w:cs="仿宋_GB2312"/>
          <w:color w:val="auto"/>
          <w:sz w:val="24"/>
        </w:rPr>
      </w:pPr>
      <w:r>
        <w:rPr>
          <w:rFonts w:hint="eastAsia" w:ascii="宋体" w:hAnsi="宋体" w:cs="仿宋_GB2312"/>
          <w:color w:val="auto"/>
          <w:sz w:val="24"/>
        </w:rPr>
        <w:t>供应商（电子签章）：</w:t>
      </w:r>
      <w:r>
        <w:rPr>
          <w:rFonts w:hint="eastAsia" w:ascii="宋体" w:hAnsi="宋体" w:cs="仿宋_GB2312"/>
          <w:color w:val="auto"/>
          <w:sz w:val="24"/>
          <w:u w:val="single"/>
        </w:rPr>
        <w:t xml:space="preserve">               </w:t>
      </w:r>
    </w:p>
    <w:p w14:paraId="70A00E8A">
      <w:pPr>
        <w:spacing w:line="360" w:lineRule="auto"/>
        <w:ind w:firstLine="4080" w:firstLineChars="1700"/>
        <w:contextualSpacing/>
        <w:rPr>
          <w:rFonts w:ascii="宋体" w:hAnsi="宋体" w:cs="仿宋_GB2312"/>
          <w:color w:val="auto"/>
          <w:sz w:val="24"/>
        </w:rPr>
      </w:pPr>
      <w:r>
        <w:rPr>
          <w:rFonts w:hint="eastAsia" w:ascii="宋体" w:hAnsi="宋体" w:cs="仿宋_GB2312"/>
          <w:color w:val="auto"/>
          <w:sz w:val="24"/>
          <w:u w:val="single"/>
        </w:rPr>
        <w:t xml:space="preserve">     </w:t>
      </w:r>
      <w:r>
        <w:rPr>
          <w:rFonts w:hint="eastAsia" w:ascii="宋体" w:hAnsi="宋体" w:cs="仿宋_GB2312"/>
          <w:color w:val="auto"/>
          <w:sz w:val="24"/>
        </w:rPr>
        <w:t>年</w:t>
      </w:r>
      <w:r>
        <w:rPr>
          <w:rFonts w:hint="eastAsia" w:ascii="宋体" w:hAnsi="宋体" w:cs="仿宋_GB2312"/>
          <w:color w:val="auto"/>
          <w:sz w:val="24"/>
          <w:u w:val="single"/>
        </w:rPr>
        <w:t xml:space="preserve">     </w:t>
      </w:r>
      <w:r>
        <w:rPr>
          <w:rFonts w:hint="eastAsia" w:ascii="宋体" w:hAnsi="宋体" w:cs="仿宋_GB2312"/>
          <w:color w:val="auto"/>
          <w:sz w:val="24"/>
        </w:rPr>
        <w:t>月</w:t>
      </w:r>
      <w:r>
        <w:rPr>
          <w:rFonts w:hint="eastAsia" w:ascii="宋体" w:hAnsi="宋体" w:cs="仿宋_GB2312"/>
          <w:color w:val="auto"/>
          <w:sz w:val="24"/>
          <w:u w:val="single"/>
        </w:rPr>
        <w:t xml:space="preserve">     </w:t>
      </w:r>
      <w:r>
        <w:rPr>
          <w:rFonts w:hint="eastAsia" w:ascii="宋体" w:hAnsi="宋体" w:cs="仿宋_GB2312"/>
          <w:color w:val="auto"/>
          <w:sz w:val="24"/>
        </w:rPr>
        <w:t>日</w:t>
      </w:r>
    </w:p>
    <w:p w14:paraId="3A0F8A9B">
      <w:pPr>
        <w:spacing w:line="360" w:lineRule="auto"/>
        <w:contextualSpacing/>
        <w:jc w:val="center"/>
        <w:rPr>
          <w:rFonts w:ascii="宋体" w:hAnsi="宋体" w:cs="仿宋_GB2312"/>
          <w:b/>
          <w:color w:val="auto"/>
          <w:sz w:val="24"/>
        </w:rPr>
      </w:pPr>
    </w:p>
    <w:p w14:paraId="7A38C38A">
      <w:pPr>
        <w:spacing w:line="360" w:lineRule="auto"/>
        <w:contextualSpacing/>
        <w:jc w:val="left"/>
        <w:rPr>
          <w:rFonts w:ascii="宋体" w:hAnsi="宋体" w:cs="仿宋_GB2312"/>
          <w:color w:val="auto"/>
          <w:sz w:val="24"/>
        </w:rPr>
      </w:pPr>
      <w:r>
        <w:rPr>
          <w:rFonts w:hint="eastAsia" w:ascii="宋体" w:hAnsi="宋体" w:cs="仿宋_GB2312"/>
          <w:color w:val="auto"/>
          <w:sz w:val="24"/>
        </w:rPr>
        <w:t>注：自然人竞标的无需提供，联合体竞标的只需牵头人出具。</w:t>
      </w:r>
    </w:p>
    <w:p w14:paraId="3D6C9B99">
      <w:pPr>
        <w:spacing w:line="300" w:lineRule="auto"/>
        <w:jc w:val="left"/>
        <w:rPr>
          <w:rFonts w:ascii="宋体" w:hAnsi="宋体"/>
          <w:b/>
          <w:color w:val="auto"/>
          <w:szCs w:val="21"/>
        </w:rPr>
      </w:pPr>
    </w:p>
    <w:p w14:paraId="621D0ECC">
      <w:pPr>
        <w:spacing w:line="520" w:lineRule="exact"/>
        <w:jc w:val="center"/>
        <w:rPr>
          <w:rFonts w:ascii="Arial Unicode MS" w:hAnsi="Arial Unicode MS" w:eastAsia="Arial Unicode MS" w:cs="Arial Unicode MS"/>
          <w:color w:val="auto"/>
          <w:sz w:val="44"/>
          <w:szCs w:val="44"/>
        </w:rPr>
      </w:pPr>
      <w:r>
        <w:rPr>
          <w:rFonts w:hint="eastAsia" w:ascii="Arial Unicode MS" w:hAnsi="Arial Unicode MS" w:eastAsia="Arial Unicode MS" w:cs="Arial Unicode MS"/>
          <w:color w:val="auto"/>
          <w:sz w:val="44"/>
          <w:szCs w:val="44"/>
        </w:rPr>
        <w:br w:type="page"/>
      </w:r>
      <w:r>
        <w:rPr>
          <w:rFonts w:hint="eastAsia" w:ascii="Arial Unicode MS" w:hAnsi="Arial Unicode MS" w:eastAsia="Arial Unicode MS" w:cs="Arial Unicode MS"/>
          <w:color w:val="auto"/>
          <w:sz w:val="44"/>
          <w:szCs w:val="44"/>
        </w:rPr>
        <w:t>授权委托书</w:t>
      </w:r>
    </w:p>
    <w:p w14:paraId="3ECB1EEC">
      <w:pPr>
        <w:spacing w:line="520" w:lineRule="exact"/>
        <w:jc w:val="center"/>
        <w:rPr>
          <w:rFonts w:ascii="Arial Unicode MS" w:hAnsi="Arial Unicode MS" w:eastAsia="Arial Unicode MS" w:cs="Arial Unicode MS"/>
          <w:color w:val="auto"/>
          <w:sz w:val="44"/>
          <w:szCs w:val="44"/>
        </w:rPr>
      </w:pPr>
      <w:r>
        <w:rPr>
          <w:rFonts w:hint="eastAsia" w:ascii="Arial Unicode MS" w:hAnsi="Arial Unicode MS" w:eastAsia="Arial Unicode MS" w:cs="Arial Unicode MS"/>
          <w:color w:val="auto"/>
          <w:sz w:val="44"/>
          <w:szCs w:val="44"/>
        </w:rPr>
        <w:t>（非联合体竞标格式）</w:t>
      </w:r>
    </w:p>
    <w:p w14:paraId="5B738788">
      <w:pPr>
        <w:spacing w:line="520" w:lineRule="exact"/>
        <w:jc w:val="center"/>
        <w:rPr>
          <w:rFonts w:ascii="Arial Unicode MS" w:hAnsi="Arial Unicode MS" w:eastAsia="Arial Unicode MS" w:cs="Arial Unicode MS"/>
          <w:color w:val="auto"/>
          <w:sz w:val="44"/>
          <w:szCs w:val="44"/>
        </w:rPr>
      </w:pPr>
      <w:r>
        <w:rPr>
          <w:rFonts w:hint="eastAsia" w:ascii="Arial Unicode MS" w:hAnsi="Arial Unicode MS" w:eastAsia="Arial Unicode MS" w:cs="Arial Unicode MS"/>
          <w:color w:val="auto"/>
          <w:sz w:val="44"/>
          <w:szCs w:val="44"/>
        </w:rPr>
        <w:t>（如有委托时）</w:t>
      </w:r>
    </w:p>
    <w:p w14:paraId="5879B404">
      <w:pPr>
        <w:spacing w:line="360" w:lineRule="auto"/>
        <w:contextualSpacing/>
        <w:rPr>
          <w:rFonts w:ascii="仿宋_GB2312" w:hAnsi="仿宋_GB2312" w:eastAsia="仿宋_GB2312" w:cs="仿宋_GB2312"/>
          <w:color w:val="auto"/>
          <w:sz w:val="32"/>
          <w:szCs w:val="32"/>
        </w:rPr>
      </w:pPr>
    </w:p>
    <w:p w14:paraId="5BD1E4F7">
      <w:pPr>
        <w:spacing w:line="360" w:lineRule="auto"/>
        <w:contextualSpacing/>
        <w:rPr>
          <w:rFonts w:ascii="宋体" w:hAnsi="宋体" w:cs="仿宋_GB2312"/>
          <w:color w:val="auto"/>
          <w:sz w:val="24"/>
        </w:rPr>
      </w:pPr>
      <w:r>
        <w:rPr>
          <w:rFonts w:hint="eastAsia" w:ascii="宋体" w:hAnsi="宋体" w:cs="仿宋_GB2312"/>
          <w:color w:val="auto"/>
          <w:sz w:val="24"/>
        </w:rPr>
        <w:t>致：</w:t>
      </w:r>
      <w:r>
        <w:rPr>
          <w:rFonts w:hint="eastAsia" w:ascii="宋体" w:hAnsi="宋体" w:cs="仿宋_GB2312"/>
          <w:color w:val="auto"/>
          <w:sz w:val="24"/>
          <w:u w:val="single"/>
        </w:rPr>
        <w:t>（采购人名称）</w:t>
      </w:r>
      <w:r>
        <w:rPr>
          <w:rFonts w:hint="eastAsia" w:ascii="宋体" w:hAnsi="宋体" w:cs="仿宋_GB2312"/>
          <w:color w:val="auto"/>
          <w:sz w:val="24"/>
        </w:rPr>
        <w:t>：</w:t>
      </w:r>
    </w:p>
    <w:p w14:paraId="20D0B6F7">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我</w:t>
      </w:r>
      <w:r>
        <w:rPr>
          <w:rFonts w:hint="eastAsia" w:ascii="宋体" w:hAnsi="宋体" w:cs="仿宋_GB2312"/>
          <w:color w:val="auto"/>
          <w:sz w:val="24"/>
          <w:u w:val="single"/>
        </w:rPr>
        <w:t xml:space="preserve">  （姓名）  </w:t>
      </w:r>
      <w:r>
        <w:rPr>
          <w:rFonts w:hint="eastAsia" w:ascii="宋体" w:hAnsi="宋体" w:cs="仿宋_GB2312"/>
          <w:color w:val="auto"/>
          <w:sz w:val="24"/>
        </w:rPr>
        <w:t>系</w:t>
      </w:r>
      <w:r>
        <w:rPr>
          <w:rFonts w:hint="eastAsia" w:ascii="宋体" w:hAnsi="宋体" w:cs="仿宋_GB2312"/>
          <w:color w:val="auto"/>
          <w:sz w:val="24"/>
          <w:u w:val="single"/>
        </w:rPr>
        <w:t xml:space="preserve">  （供应商名称）  </w:t>
      </w:r>
      <w:r>
        <w:rPr>
          <w:rFonts w:hint="eastAsia" w:ascii="宋体" w:hAnsi="宋体" w:cs="仿宋_GB2312"/>
          <w:color w:val="auto"/>
          <w:sz w:val="24"/>
        </w:rPr>
        <w:t>的（</w:t>
      </w:r>
      <w:r>
        <w:rPr>
          <w:rFonts w:hint="eastAsia" w:ascii="宋体" w:hAnsi="宋体" w:cs="仿宋_GB2312"/>
          <w:color w:val="auto"/>
          <w:sz w:val="24"/>
          <w:u w:val="single"/>
        </w:rPr>
        <w:sym w:font="Wingdings 2" w:char="00A3"/>
      </w:r>
      <w:r>
        <w:rPr>
          <w:rFonts w:hint="eastAsia" w:ascii="宋体" w:hAnsi="宋体" w:cs="仿宋_GB2312"/>
          <w:color w:val="auto"/>
          <w:sz w:val="24"/>
          <w:u w:val="single"/>
        </w:rPr>
        <w:t>法定代表人/□负责人/□自然人本人</w:t>
      </w:r>
      <w:r>
        <w:rPr>
          <w:rFonts w:hint="eastAsia" w:ascii="宋体" w:hAnsi="宋体" w:cs="仿宋_GB2312"/>
          <w:color w:val="auto"/>
          <w:sz w:val="24"/>
        </w:rPr>
        <w:t>），现授权</w:t>
      </w:r>
      <w:r>
        <w:rPr>
          <w:rFonts w:hint="eastAsia" w:ascii="宋体" w:hAnsi="宋体" w:cs="仿宋_GB2312"/>
          <w:color w:val="auto"/>
          <w:sz w:val="24"/>
          <w:u w:val="single"/>
        </w:rPr>
        <w:t xml:space="preserve"> （姓名） </w:t>
      </w:r>
      <w:r>
        <w:rPr>
          <w:rFonts w:hint="eastAsia" w:ascii="宋体" w:hAnsi="宋体" w:cs="仿宋_GB2312"/>
          <w:color w:val="auto"/>
          <w:sz w:val="24"/>
        </w:rPr>
        <w:t>以我方的名义参加</w:t>
      </w:r>
      <w:r>
        <w:rPr>
          <w:rFonts w:hint="eastAsia" w:ascii="宋体" w:hAnsi="宋体" w:cs="仿宋_GB2312"/>
          <w:color w:val="auto"/>
          <w:sz w:val="24"/>
          <w:u w:val="single"/>
        </w:rPr>
        <w:t xml:space="preserve">              </w:t>
      </w:r>
      <w:r>
        <w:rPr>
          <w:rFonts w:hint="eastAsia" w:ascii="宋体" w:hAnsi="宋体" w:cs="仿宋_GB2312"/>
          <w:color w:val="auto"/>
          <w:sz w:val="24"/>
        </w:rPr>
        <w:t>项目的竞标活动，并代表我方全权办理针对上述项目的所有采购程序和环节的具体事务和签署相关文件。</w:t>
      </w:r>
    </w:p>
    <w:p w14:paraId="09EFA9A1">
      <w:pPr>
        <w:spacing w:line="360" w:lineRule="auto"/>
        <w:contextualSpacing/>
        <w:rPr>
          <w:rFonts w:ascii="宋体" w:hAnsi="宋体" w:cs="仿宋_GB2312"/>
          <w:color w:val="auto"/>
          <w:sz w:val="24"/>
        </w:rPr>
      </w:pPr>
      <w:r>
        <w:rPr>
          <w:rFonts w:hint="eastAsia" w:ascii="宋体" w:hAnsi="宋体" w:cs="仿宋_GB2312"/>
          <w:color w:val="auto"/>
          <w:sz w:val="24"/>
        </w:rPr>
        <w:t xml:space="preserve">    我方对委托代理人的</w:t>
      </w:r>
      <w:r>
        <w:rPr>
          <w:rFonts w:hint="eastAsia" w:ascii="宋体" w:hAnsi="宋体"/>
          <w:color w:val="auto"/>
          <w:sz w:val="24"/>
        </w:rPr>
        <w:t>签字或者电子签名</w:t>
      </w:r>
      <w:r>
        <w:rPr>
          <w:rFonts w:hint="eastAsia" w:ascii="宋体" w:hAnsi="宋体" w:cs="仿宋_GB2312"/>
          <w:color w:val="auto"/>
          <w:sz w:val="24"/>
        </w:rPr>
        <w:t>事项负全部责任。</w:t>
      </w:r>
    </w:p>
    <w:p w14:paraId="6895CFAA">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本授权书自签署之日起生效，在撤销授权的书面通知以前，本授权书一直有效。委托代理人在授权书有效期内签署的所有文件不因授权的撤销而失效。</w:t>
      </w:r>
    </w:p>
    <w:p w14:paraId="4DE36585">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委托代理人无转委托权，特此委托。</w:t>
      </w:r>
    </w:p>
    <w:p w14:paraId="7DD8E14E">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附：法定代表人身份证明书及委托代理人有效身份证正反面复印件</w:t>
      </w:r>
    </w:p>
    <w:p w14:paraId="7BC51807">
      <w:pPr>
        <w:spacing w:line="360" w:lineRule="auto"/>
        <w:contextualSpacing/>
        <w:rPr>
          <w:rFonts w:ascii="宋体" w:hAnsi="宋体" w:cs="仿宋_GB2312"/>
          <w:color w:val="auto"/>
          <w:sz w:val="24"/>
        </w:rPr>
      </w:pPr>
    </w:p>
    <w:p w14:paraId="702865D3">
      <w:pPr>
        <w:spacing w:line="360" w:lineRule="auto"/>
        <w:contextualSpacing/>
        <w:rPr>
          <w:rFonts w:ascii="宋体" w:hAnsi="宋体" w:cs="仿宋_GB2312"/>
          <w:color w:val="auto"/>
          <w:sz w:val="24"/>
        </w:rPr>
      </w:pPr>
      <w:r>
        <w:rPr>
          <w:rFonts w:hint="eastAsia" w:ascii="宋体" w:hAnsi="宋体" w:cs="仿宋_GB2312"/>
          <w:color w:val="auto"/>
          <w:sz w:val="24"/>
        </w:rPr>
        <w:t>委托代理人（</w:t>
      </w:r>
      <w:r>
        <w:rPr>
          <w:rFonts w:hint="eastAsia" w:ascii="宋体" w:hAnsi="宋体"/>
          <w:color w:val="auto"/>
          <w:sz w:val="24"/>
        </w:rPr>
        <w:t>签字或者电子签名</w:t>
      </w:r>
      <w:r>
        <w:rPr>
          <w:rFonts w:hint="eastAsia" w:ascii="宋体" w:hAnsi="宋体" w:cs="仿宋_GB2312"/>
          <w:color w:val="auto"/>
          <w:sz w:val="24"/>
        </w:rPr>
        <w:t xml:space="preserve">）：     法定代表人（签字或者盖章或者电子签名）：                    </w:t>
      </w:r>
    </w:p>
    <w:p w14:paraId="2222A27A">
      <w:pPr>
        <w:spacing w:line="360" w:lineRule="auto"/>
        <w:contextualSpacing/>
        <w:rPr>
          <w:rFonts w:ascii="宋体" w:hAnsi="宋体" w:cs="仿宋_GB2312"/>
          <w:color w:val="auto"/>
          <w:sz w:val="24"/>
        </w:rPr>
      </w:pPr>
      <w:r>
        <w:rPr>
          <w:rFonts w:hint="eastAsia" w:ascii="宋体" w:hAnsi="宋体" w:cs="仿宋_GB2312"/>
          <w:color w:val="auto"/>
          <w:sz w:val="24"/>
        </w:rPr>
        <w:t xml:space="preserve">委托代理人身份证号码：                              </w:t>
      </w:r>
    </w:p>
    <w:p w14:paraId="354210B9">
      <w:pPr>
        <w:spacing w:line="360" w:lineRule="auto"/>
        <w:contextualSpacing/>
        <w:rPr>
          <w:rFonts w:ascii="宋体" w:hAnsi="宋体" w:cs="仿宋_GB2312"/>
          <w:color w:val="auto"/>
          <w:sz w:val="24"/>
        </w:rPr>
      </w:pPr>
      <w:r>
        <w:rPr>
          <w:rFonts w:hint="eastAsia" w:ascii="宋体" w:hAnsi="宋体" w:cs="仿宋_GB2312"/>
          <w:color w:val="auto"/>
          <w:sz w:val="24"/>
        </w:rPr>
        <w:t xml:space="preserve">                                </w:t>
      </w:r>
    </w:p>
    <w:p w14:paraId="3794EB54">
      <w:pPr>
        <w:spacing w:line="360" w:lineRule="auto"/>
        <w:contextualSpacing/>
        <w:rPr>
          <w:rFonts w:ascii="宋体" w:hAnsi="宋体" w:cs="仿宋_GB2312"/>
          <w:color w:val="auto"/>
          <w:sz w:val="24"/>
        </w:rPr>
      </w:pPr>
      <w:r>
        <w:rPr>
          <w:rFonts w:hint="eastAsia" w:ascii="宋体" w:hAnsi="宋体" w:cs="仿宋_GB2312"/>
          <w:color w:val="auto"/>
          <w:sz w:val="24"/>
        </w:rPr>
        <w:t xml:space="preserve">                         供应商（电子签章）：                      </w:t>
      </w:r>
    </w:p>
    <w:p w14:paraId="25215718">
      <w:pPr>
        <w:spacing w:line="360" w:lineRule="auto"/>
        <w:contextualSpacing/>
        <w:rPr>
          <w:rFonts w:ascii="宋体" w:hAnsi="宋体" w:cs="仿宋_GB2312"/>
          <w:color w:val="auto"/>
          <w:sz w:val="24"/>
        </w:rPr>
      </w:pPr>
      <w:r>
        <w:rPr>
          <w:rFonts w:hint="eastAsia" w:ascii="宋体" w:hAnsi="宋体" w:cs="仿宋_GB2312"/>
          <w:color w:val="auto"/>
          <w:sz w:val="24"/>
        </w:rPr>
        <w:t xml:space="preserve">                                         年    月    日</w:t>
      </w:r>
    </w:p>
    <w:p w14:paraId="3FE303D1">
      <w:pPr>
        <w:spacing w:line="360" w:lineRule="auto"/>
        <w:contextualSpacing/>
        <w:rPr>
          <w:rFonts w:ascii="宋体" w:hAnsi="宋体" w:cs="仿宋_GB2312"/>
          <w:color w:val="auto"/>
          <w:sz w:val="24"/>
        </w:rPr>
      </w:pPr>
    </w:p>
    <w:p w14:paraId="4CAEB28B">
      <w:pPr>
        <w:spacing w:line="360" w:lineRule="auto"/>
        <w:contextualSpacing/>
        <w:rPr>
          <w:rFonts w:ascii="宋体" w:hAnsi="宋体" w:cs="仿宋_GB2312"/>
          <w:color w:val="auto"/>
          <w:sz w:val="24"/>
        </w:rPr>
      </w:pPr>
      <w:r>
        <w:rPr>
          <w:rFonts w:hint="eastAsia" w:ascii="宋体" w:hAnsi="宋体" w:cs="仿宋_GB2312"/>
          <w:color w:val="auto"/>
          <w:sz w:val="24"/>
        </w:rPr>
        <w:t>注：1. 法定代表人必须在授权委托书上签字或者盖章</w:t>
      </w:r>
      <w:r>
        <w:rPr>
          <w:rFonts w:hint="eastAsia" w:ascii="宋体" w:hAnsi="宋体"/>
          <w:color w:val="auto"/>
          <w:sz w:val="24"/>
        </w:rPr>
        <w:t>或者电子签名</w:t>
      </w:r>
      <w:r>
        <w:rPr>
          <w:rFonts w:hint="eastAsia" w:ascii="宋体" w:hAnsi="宋体" w:cs="仿宋_GB2312"/>
          <w:color w:val="auto"/>
          <w:sz w:val="24"/>
        </w:rPr>
        <w:t>，委托代理人必须在授权委托书上签字或者电子签名，</w:t>
      </w:r>
      <w:r>
        <w:rPr>
          <w:rFonts w:hint="eastAsia" w:ascii="宋体" w:hAnsi="宋体" w:cs="仿宋_GB2312"/>
          <w:b/>
          <w:color w:val="auto"/>
          <w:sz w:val="24"/>
        </w:rPr>
        <w:t>否则其响应文件按无效响应处理。</w:t>
      </w:r>
    </w:p>
    <w:p w14:paraId="7D13A875">
      <w:pPr>
        <w:spacing w:line="360" w:lineRule="auto"/>
        <w:ind w:firstLine="480" w:firstLineChars="200"/>
        <w:contextualSpacing/>
        <w:jc w:val="left"/>
        <w:rPr>
          <w:rFonts w:ascii="宋体" w:hAnsi="宋体" w:cs="仿宋_GB2312"/>
          <w:color w:val="auto"/>
          <w:sz w:val="24"/>
        </w:rPr>
      </w:pPr>
      <w:r>
        <w:rPr>
          <w:rFonts w:ascii="宋体" w:hAnsi="宋体" w:cs="仿宋_GB2312"/>
          <w:color w:val="auto"/>
          <w:sz w:val="24"/>
        </w:rPr>
        <w:t>2.</w:t>
      </w:r>
      <w:r>
        <w:rPr>
          <w:rFonts w:hint="eastAsia" w:ascii="宋体" w:hAnsi="宋体" w:cs="仿宋_GB2312"/>
          <w:color w:val="auto"/>
          <w:sz w:val="24"/>
        </w:rPr>
        <w:t>法人、其他组织竞标时“我方”是指“我单位”，自然人竞标时“我方”是指“本人”。</w:t>
      </w:r>
    </w:p>
    <w:p w14:paraId="69189117">
      <w:pPr>
        <w:spacing w:line="360" w:lineRule="auto"/>
        <w:ind w:firstLine="420" w:firstLineChars="200"/>
        <w:contextualSpacing/>
        <w:jc w:val="left"/>
        <w:rPr>
          <w:rFonts w:ascii="仿宋_GB2312" w:hAnsi="仿宋_GB2312" w:eastAsia="仿宋_GB2312" w:cs="仿宋_GB2312"/>
          <w:color w:val="auto"/>
          <w:szCs w:val="21"/>
        </w:rPr>
      </w:pPr>
    </w:p>
    <w:p w14:paraId="3683420A">
      <w:pPr>
        <w:spacing w:line="500" w:lineRule="exact"/>
        <w:jc w:val="center"/>
        <w:rPr>
          <w:rFonts w:ascii="Arial Unicode MS" w:hAnsi="Arial Unicode MS" w:eastAsia="Arial Unicode MS" w:cs="Arial Unicode MS"/>
          <w:bCs/>
          <w:color w:val="auto"/>
          <w:sz w:val="44"/>
          <w:szCs w:val="44"/>
        </w:rPr>
      </w:pPr>
      <w:r>
        <w:rPr>
          <w:rFonts w:ascii="仿宋_GB2312" w:hAnsi="仿宋_GB2312" w:eastAsia="仿宋_GB2312" w:cs="仿宋_GB2312"/>
          <w:color w:val="auto"/>
          <w:szCs w:val="21"/>
        </w:rPr>
        <w:br w:type="page"/>
      </w:r>
      <w:r>
        <w:rPr>
          <w:rFonts w:hint="eastAsia" w:ascii="Arial Unicode MS" w:hAnsi="Arial Unicode MS" w:eastAsia="Arial Unicode MS" w:cs="Arial Unicode MS"/>
          <w:bCs/>
          <w:color w:val="auto"/>
          <w:sz w:val="44"/>
          <w:szCs w:val="44"/>
        </w:rPr>
        <w:t>商务要求偏离表格式</w:t>
      </w:r>
    </w:p>
    <w:p w14:paraId="33D8BCCF">
      <w:pPr>
        <w:spacing w:line="500" w:lineRule="exact"/>
        <w:jc w:val="center"/>
        <w:rPr>
          <w:rFonts w:ascii="宋体" w:hAnsi="宋体"/>
          <w:b/>
          <w:color w:val="auto"/>
          <w:sz w:val="32"/>
          <w:szCs w:val="32"/>
        </w:rPr>
      </w:pPr>
      <w:r>
        <w:rPr>
          <w:rFonts w:hint="eastAsia" w:ascii="Arial Unicode MS" w:hAnsi="Arial Unicode MS" w:eastAsia="Arial Unicode MS" w:cs="Arial Unicode MS"/>
          <w:bCs/>
          <w:color w:val="auto"/>
          <w:sz w:val="44"/>
          <w:szCs w:val="44"/>
        </w:rPr>
        <w:t>（注：按采购需求具体条款修改）</w:t>
      </w:r>
    </w:p>
    <w:p w14:paraId="1FAB4712">
      <w:pPr>
        <w:spacing w:before="50"/>
        <w:jc w:val="left"/>
        <w:rPr>
          <w:rFonts w:ascii="宋体" w:hAnsi="宋体"/>
          <w:color w:val="auto"/>
          <w:sz w:val="24"/>
        </w:rPr>
      </w:pPr>
    </w:p>
    <w:p w14:paraId="18F2DB51">
      <w:pPr>
        <w:pStyle w:val="31"/>
        <w:spacing w:line="360" w:lineRule="auto"/>
        <w:rPr>
          <w:rFonts w:hAnsi="宋体" w:cs="仿宋_GB2312"/>
          <w:color w:val="auto"/>
          <w:sz w:val="24"/>
          <w:szCs w:val="24"/>
        </w:rPr>
      </w:pPr>
      <w:r>
        <w:rPr>
          <w:rFonts w:hint="eastAsia" w:hAnsi="宋体" w:cs="仿宋_GB2312"/>
          <w:color w:val="auto"/>
          <w:sz w:val="24"/>
          <w:szCs w:val="24"/>
        </w:rPr>
        <w:t>所竞分标：</w:t>
      </w:r>
      <w:r>
        <w:rPr>
          <w:rFonts w:hint="eastAsia" w:hAnsi="宋体" w:cs="仿宋_GB2312"/>
          <w:color w:val="auto"/>
          <w:sz w:val="24"/>
          <w:szCs w:val="24"/>
          <w:u w:val="single"/>
        </w:rPr>
        <w:t xml:space="preserve">              </w:t>
      </w:r>
    </w:p>
    <w:tbl>
      <w:tblPr>
        <w:tblStyle w:val="6"/>
        <w:tblpPr w:leftFromText="180" w:rightFromText="180" w:vertAnchor="text" w:horzAnchor="margin" w:tblpY="31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5E04AC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0846A1CD">
            <w:pPr>
              <w:spacing w:before="120" w:line="360" w:lineRule="auto"/>
              <w:jc w:val="center"/>
              <w:rPr>
                <w:rFonts w:ascii="宋体" w:hAnsi="宋体" w:cs="仿宋_GB2312"/>
                <w:color w:val="auto"/>
                <w:sz w:val="24"/>
              </w:rPr>
            </w:pPr>
            <w:r>
              <w:rPr>
                <w:rFonts w:hint="eastAsia" w:ascii="宋体" w:hAnsi="宋体" w:cs="仿宋_GB2312"/>
                <w:color w:val="auto"/>
                <w:sz w:val="24"/>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609F6167">
            <w:pPr>
              <w:spacing w:before="120" w:line="360" w:lineRule="auto"/>
              <w:jc w:val="center"/>
              <w:rPr>
                <w:rFonts w:ascii="宋体" w:hAnsi="宋体" w:cs="仿宋_GB2312"/>
                <w:color w:val="auto"/>
                <w:sz w:val="24"/>
              </w:rPr>
            </w:pPr>
            <w:r>
              <w:rPr>
                <w:rFonts w:hint="eastAsia" w:ascii="宋体" w:hAnsi="宋体" w:cs="仿宋_GB2312"/>
                <w:color w:val="auto"/>
                <w:sz w:val="24"/>
              </w:rPr>
              <w:t>谈判文件商务要求</w:t>
            </w:r>
          </w:p>
        </w:tc>
        <w:tc>
          <w:tcPr>
            <w:tcW w:w="2633" w:type="dxa"/>
            <w:tcBorders>
              <w:top w:val="single" w:color="auto" w:sz="4" w:space="0"/>
              <w:left w:val="single" w:color="auto" w:sz="4" w:space="0"/>
              <w:bottom w:val="single" w:color="auto" w:sz="4" w:space="0"/>
              <w:right w:val="single" w:color="auto" w:sz="4" w:space="0"/>
            </w:tcBorders>
            <w:vAlign w:val="center"/>
          </w:tcPr>
          <w:p w14:paraId="606341D3">
            <w:pPr>
              <w:spacing w:before="120" w:line="360" w:lineRule="auto"/>
              <w:jc w:val="center"/>
              <w:rPr>
                <w:rFonts w:ascii="宋体" w:hAnsi="宋体" w:cs="仿宋_GB2312"/>
                <w:color w:val="auto"/>
                <w:sz w:val="24"/>
              </w:rPr>
            </w:pPr>
            <w:r>
              <w:rPr>
                <w:rFonts w:hint="eastAsia" w:ascii="宋体" w:hAnsi="宋体" w:cs="仿宋_GB2312"/>
                <w:color w:val="auto"/>
                <w:sz w:val="24"/>
              </w:rPr>
              <w:t>供应商的响应</w:t>
            </w:r>
          </w:p>
        </w:tc>
        <w:tc>
          <w:tcPr>
            <w:tcW w:w="1829" w:type="dxa"/>
            <w:tcBorders>
              <w:top w:val="single" w:color="auto" w:sz="4" w:space="0"/>
              <w:left w:val="single" w:color="auto" w:sz="4" w:space="0"/>
              <w:bottom w:val="single" w:color="auto" w:sz="4" w:space="0"/>
              <w:right w:val="single" w:color="auto" w:sz="4" w:space="0"/>
            </w:tcBorders>
            <w:vAlign w:val="center"/>
          </w:tcPr>
          <w:p w14:paraId="474DF175">
            <w:pPr>
              <w:spacing w:before="120" w:line="360" w:lineRule="auto"/>
              <w:jc w:val="center"/>
              <w:rPr>
                <w:rFonts w:ascii="宋体" w:hAnsi="宋体" w:cs="仿宋_GB2312"/>
                <w:color w:val="auto"/>
                <w:sz w:val="24"/>
              </w:rPr>
            </w:pPr>
            <w:r>
              <w:rPr>
                <w:rFonts w:hint="eastAsia" w:ascii="宋体" w:hAnsi="宋体" w:cs="仿宋_GB2312"/>
                <w:color w:val="auto"/>
                <w:sz w:val="24"/>
              </w:rPr>
              <w:t>偏离说明</w:t>
            </w:r>
          </w:p>
        </w:tc>
      </w:tr>
      <w:tr w14:paraId="3FEA31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178" w:type="dxa"/>
            <w:tcBorders>
              <w:top w:val="single" w:color="auto" w:sz="4" w:space="0"/>
              <w:left w:val="single" w:color="auto" w:sz="4" w:space="0"/>
              <w:bottom w:val="single" w:color="auto" w:sz="4" w:space="0"/>
              <w:right w:val="single" w:color="auto" w:sz="4" w:space="0"/>
            </w:tcBorders>
            <w:vAlign w:val="center"/>
          </w:tcPr>
          <w:p w14:paraId="341AEFF7">
            <w:pPr>
              <w:jc w:val="center"/>
              <w:rPr>
                <w:rFonts w:ascii="宋体" w:hAnsi="宋体"/>
                <w:color w:val="auto"/>
                <w:sz w:val="24"/>
              </w:rPr>
            </w:pPr>
            <w:r>
              <w:rPr>
                <w:rFonts w:hint="eastAsia" w:ascii="宋体" w:hAnsi="宋体"/>
                <w:color w:val="auto"/>
                <w:sz w:val="24"/>
              </w:rPr>
              <w:t>交付（实施）的时间（期限）和地点（范围）</w:t>
            </w:r>
          </w:p>
        </w:tc>
        <w:tc>
          <w:tcPr>
            <w:tcW w:w="2668" w:type="dxa"/>
            <w:tcBorders>
              <w:top w:val="single" w:color="auto" w:sz="4" w:space="0"/>
              <w:left w:val="single" w:color="auto" w:sz="4" w:space="0"/>
              <w:bottom w:val="single" w:color="auto" w:sz="4" w:space="0"/>
              <w:right w:val="single" w:color="auto" w:sz="4" w:space="0"/>
            </w:tcBorders>
            <w:vAlign w:val="center"/>
          </w:tcPr>
          <w:p w14:paraId="314FB6B4">
            <w:pPr>
              <w:jc w:val="center"/>
              <w:rPr>
                <w:rFonts w:ascii="宋体" w:hAnsi="宋体"/>
                <w:color w:val="auto"/>
                <w:sz w:val="24"/>
              </w:rPr>
            </w:pPr>
          </w:p>
        </w:tc>
        <w:tc>
          <w:tcPr>
            <w:tcW w:w="2633" w:type="dxa"/>
            <w:tcBorders>
              <w:top w:val="single" w:color="auto" w:sz="4" w:space="0"/>
              <w:left w:val="single" w:color="auto" w:sz="4" w:space="0"/>
              <w:bottom w:val="single" w:color="auto" w:sz="4" w:space="0"/>
              <w:right w:val="single" w:color="auto" w:sz="4" w:space="0"/>
            </w:tcBorders>
            <w:vAlign w:val="center"/>
          </w:tcPr>
          <w:p w14:paraId="46FA2544">
            <w:pPr>
              <w:spacing w:before="120" w:line="360" w:lineRule="auto"/>
              <w:jc w:val="center"/>
              <w:rPr>
                <w:rFonts w:ascii="宋体" w:hAnsi="宋体" w:cs="仿宋_GB2312"/>
                <w:color w:val="auto"/>
                <w:sz w:val="24"/>
              </w:rPr>
            </w:pPr>
          </w:p>
        </w:tc>
        <w:tc>
          <w:tcPr>
            <w:tcW w:w="1829" w:type="dxa"/>
            <w:tcBorders>
              <w:top w:val="single" w:color="auto" w:sz="4" w:space="0"/>
              <w:left w:val="single" w:color="auto" w:sz="4" w:space="0"/>
              <w:bottom w:val="single" w:color="auto" w:sz="4" w:space="0"/>
              <w:right w:val="single" w:color="auto" w:sz="4" w:space="0"/>
            </w:tcBorders>
            <w:vAlign w:val="center"/>
          </w:tcPr>
          <w:p w14:paraId="29326B6D">
            <w:pPr>
              <w:spacing w:before="120" w:line="360" w:lineRule="auto"/>
              <w:jc w:val="center"/>
              <w:rPr>
                <w:rFonts w:ascii="宋体" w:hAnsi="宋体" w:cs="仿宋_GB2312"/>
                <w:color w:val="auto"/>
                <w:sz w:val="24"/>
              </w:rPr>
            </w:pPr>
          </w:p>
        </w:tc>
      </w:tr>
      <w:tr w14:paraId="65DC88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14:paraId="0322E171">
            <w:pPr>
              <w:jc w:val="center"/>
              <w:rPr>
                <w:rFonts w:ascii="宋体" w:hAnsi="宋体"/>
                <w:color w:val="auto"/>
                <w:sz w:val="24"/>
              </w:rPr>
            </w:pPr>
            <w:r>
              <w:rPr>
                <w:rFonts w:hint="eastAsia" w:ascii="宋体" w:hAnsi="宋体"/>
                <w:color w:val="auto"/>
                <w:sz w:val="24"/>
              </w:rPr>
              <w:t>...</w:t>
            </w:r>
          </w:p>
        </w:tc>
        <w:tc>
          <w:tcPr>
            <w:tcW w:w="2668" w:type="dxa"/>
            <w:tcBorders>
              <w:top w:val="single" w:color="auto" w:sz="4" w:space="0"/>
              <w:left w:val="single" w:color="auto" w:sz="4" w:space="0"/>
              <w:bottom w:val="single" w:color="auto" w:sz="4" w:space="0"/>
              <w:right w:val="single" w:color="auto" w:sz="4" w:space="0"/>
            </w:tcBorders>
            <w:vAlign w:val="center"/>
          </w:tcPr>
          <w:p w14:paraId="59BCE592">
            <w:pPr>
              <w:jc w:val="center"/>
              <w:rPr>
                <w:rFonts w:ascii="宋体" w:hAnsi="宋体"/>
                <w:color w:val="auto"/>
                <w:sz w:val="24"/>
              </w:rPr>
            </w:pPr>
          </w:p>
        </w:tc>
        <w:tc>
          <w:tcPr>
            <w:tcW w:w="2633" w:type="dxa"/>
            <w:tcBorders>
              <w:top w:val="single" w:color="auto" w:sz="4" w:space="0"/>
              <w:left w:val="single" w:color="auto" w:sz="4" w:space="0"/>
              <w:bottom w:val="single" w:color="auto" w:sz="4" w:space="0"/>
              <w:right w:val="single" w:color="auto" w:sz="4" w:space="0"/>
            </w:tcBorders>
            <w:vAlign w:val="center"/>
          </w:tcPr>
          <w:p w14:paraId="185B1C40">
            <w:pPr>
              <w:spacing w:before="120" w:line="360" w:lineRule="auto"/>
              <w:ind w:left="43"/>
              <w:jc w:val="center"/>
              <w:rPr>
                <w:rFonts w:ascii="宋体" w:hAnsi="宋体" w:cs="仿宋_GB2312"/>
                <w:color w:val="auto"/>
                <w:sz w:val="24"/>
              </w:rPr>
            </w:pPr>
          </w:p>
        </w:tc>
        <w:tc>
          <w:tcPr>
            <w:tcW w:w="1829" w:type="dxa"/>
            <w:tcBorders>
              <w:top w:val="single" w:color="auto" w:sz="4" w:space="0"/>
              <w:left w:val="single" w:color="auto" w:sz="4" w:space="0"/>
              <w:bottom w:val="single" w:color="auto" w:sz="4" w:space="0"/>
              <w:right w:val="single" w:color="auto" w:sz="4" w:space="0"/>
            </w:tcBorders>
            <w:vAlign w:val="center"/>
          </w:tcPr>
          <w:p w14:paraId="0D173C23">
            <w:pPr>
              <w:spacing w:before="120" w:line="360" w:lineRule="auto"/>
              <w:ind w:left="43"/>
              <w:jc w:val="center"/>
              <w:rPr>
                <w:rFonts w:ascii="宋体" w:hAnsi="宋体" w:cs="仿宋_GB2312"/>
                <w:color w:val="auto"/>
                <w:sz w:val="24"/>
              </w:rPr>
            </w:pPr>
          </w:p>
        </w:tc>
      </w:tr>
      <w:tr w14:paraId="0F6F90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178" w:type="dxa"/>
            <w:tcBorders>
              <w:top w:val="single" w:color="auto" w:sz="4" w:space="0"/>
              <w:left w:val="single" w:color="auto" w:sz="4" w:space="0"/>
              <w:bottom w:val="single" w:color="auto" w:sz="4" w:space="0"/>
              <w:right w:val="single" w:color="auto" w:sz="4" w:space="0"/>
            </w:tcBorders>
            <w:vAlign w:val="center"/>
          </w:tcPr>
          <w:p w14:paraId="28C1AADA">
            <w:pPr>
              <w:spacing w:before="120" w:line="360" w:lineRule="auto"/>
              <w:jc w:val="center"/>
              <w:rPr>
                <w:rFonts w:ascii="宋体" w:hAnsi="宋体" w:cs="仿宋_GB2312"/>
                <w:color w:val="auto"/>
                <w:sz w:val="24"/>
              </w:rPr>
            </w:pPr>
            <w:r>
              <w:rPr>
                <w:rFonts w:hint="eastAsia" w:ascii="宋体" w:hAnsi="宋体" w:cs="仿宋_GB2312"/>
                <w:color w:val="auto"/>
                <w:sz w:val="24"/>
              </w:rPr>
              <w:t>…</w:t>
            </w:r>
          </w:p>
        </w:tc>
        <w:tc>
          <w:tcPr>
            <w:tcW w:w="2668" w:type="dxa"/>
            <w:tcBorders>
              <w:top w:val="single" w:color="auto" w:sz="4" w:space="0"/>
              <w:left w:val="single" w:color="auto" w:sz="4" w:space="0"/>
              <w:bottom w:val="single" w:color="auto" w:sz="4" w:space="0"/>
              <w:right w:val="single" w:color="auto" w:sz="4" w:space="0"/>
            </w:tcBorders>
            <w:vAlign w:val="center"/>
          </w:tcPr>
          <w:p w14:paraId="35AA891D">
            <w:pPr>
              <w:spacing w:before="120" w:line="360" w:lineRule="auto"/>
              <w:jc w:val="center"/>
              <w:rPr>
                <w:rFonts w:ascii="宋体" w:hAnsi="宋体" w:cs="仿宋_GB2312"/>
                <w:color w:val="auto"/>
                <w:sz w:val="24"/>
              </w:rPr>
            </w:pPr>
          </w:p>
        </w:tc>
        <w:tc>
          <w:tcPr>
            <w:tcW w:w="2633" w:type="dxa"/>
            <w:tcBorders>
              <w:top w:val="single" w:color="auto" w:sz="4" w:space="0"/>
              <w:left w:val="single" w:color="auto" w:sz="4" w:space="0"/>
              <w:bottom w:val="single" w:color="auto" w:sz="4" w:space="0"/>
              <w:right w:val="single" w:color="auto" w:sz="4" w:space="0"/>
            </w:tcBorders>
            <w:vAlign w:val="center"/>
          </w:tcPr>
          <w:p w14:paraId="58A0EA1B">
            <w:pPr>
              <w:spacing w:before="120" w:line="360" w:lineRule="auto"/>
              <w:jc w:val="center"/>
              <w:rPr>
                <w:rFonts w:ascii="宋体" w:hAnsi="宋体" w:cs="仿宋_GB2312"/>
                <w:color w:val="auto"/>
                <w:sz w:val="24"/>
              </w:rPr>
            </w:pPr>
          </w:p>
        </w:tc>
        <w:tc>
          <w:tcPr>
            <w:tcW w:w="1829" w:type="dxa"/>
            <w:tcBorders>
              <w:top w:val="single" w:color="auto" w:sz="4" w:space="0"/>
              <w:left w:val="single" w:color="auto" w:sz="4" w:space="0"/>
              <w:bottom w:val="single" w:color="auto" w:sz="4" w:space="0"/>
              <w:right w:val="single" w:color="auto" w:sz="4" w:space="0"/>
            </w:tcBorders>
            <w:vAlign w:val="center"/>
          </w:tcPr>
          <w:p w14:paraId="195E9172">
            <w:pPr>
              <w:spacing w:before="120" w:line="360" w:lineRule="auto"/>
              <w:jc w:val="center"/>
              <w:rPr>
                <w:rFonts w:ascii="宋体" w:hAnsi="宋体" w:cs="仿宋_GB2312"/>
                <w:color w:val="auto"/>
                <w:sz w:val="24"/>
              </w:rPr>
            </w:pPr>
          </w:p>
        </w:tc>
      </w:tr>
    </w:tbl>
    <w:p w14:paraId="5D641B11">
      <w:pPr>
        <w:pStyle w:val="23"/>
        <w:spacing w:after="0" w:line="360" w:lineRule="auto"/>
        <w:contextualSpacing/>
        <w:rPr>
          <w:rFonts w:ascii="宋体" w:hAnsi="宋体"/>
          <w:color w:val="auto"/>
          <w:kern w:val="0"/>
          <w:sz w:val="24"/>
          <w:szCs w:val="24"/>
        </w:rPr>
      </w:pPr>
      <w:r>
        <w:rPr>
          <w:rFonts w:hint="eastAsia" w:ascii="宋体" w:hAnsi="宋体"/>
          <w:color w:val="auto"/>
          <w:kern w:val="0"/>
          <w:sz w:val="24"/>
          <w:szCs w:val="24"/>
        </w:rPr>
        <w:t>注：</w:t>
      </w:r>
    </w:p>
    <w:p w14:paraId="36EF10CE">
      <w:pPr>
        <w:pStyle w:val="23"/>
        <w:spacing w:after="0" w:line="360" w:lineRule="auto"/>
        <w:contextualSpacing/>
        <w:rPr>
          <w:rFonts w:ascii="宋体" w:hAnsi="宋体"/>
          <w:color w:val="auto"/>
          <w:kern w:val="0"/>
          <w:sz w:val="24"/>
          <w:szCs w:val="24"/>
        </w:rPr>
      </w:pPr>
      <w:r>
        <w:rPr>
          <w:rFonts w:hint="eastAsia" w:ascii="宋体" w:hAnsi="宋体"/>
          <w:color w:val="auto"/>
          <w:kern w:val="0"/>
          <w:sz w:val="24"/>
          <w:szCs w:val="24"/>
        </w:rPr>
        <w:t>1. 说明：应对照谈判文件“第三章 采购需求”中的商务要求逐条明确响应，并作出偏离说明。</w:t>
      </w:r>
    </w:p>
    <w:p w14:paraId="0AE2D5AD">
      <w:pPr>
        <w:pStyle w:val="23"/>
        <w:spacing w:after="0" w:line="360" w:lineRule="auto"/>
        <w:contextualSpacing/>
        <w:rPr>
          <w:rFonts w:ascii="宋体" w:hAnsi="宋体"/>
          <w:color w:val="auto"/>
          <w:kern w:val="0"/>
          <w:sz w:val="24"/>
          <w:szCs w:val="24"/>
        </w:rPr>
      </w:pPr>
      <w:r>
        <w:rPr>
          <w:rFonts w:hint="eastAsia" w:ascii="宋体" w:hAnsi="宋体"/>
          <w:color w:val="auto"/>
          <w:kern w:val="0"/>
          <w:sz w:val="24"/>
          <w:szCs w:val="24"/>
        </w:rPr>
        <w:t>2.供应商应根据自身的承诺，对照谈判文件要求在“偏离说明”中注明“正偏离”“负偏离”或者“无偏离”。既不属于“正偏离”也不属于“负偏离”即为“无偏离”。</w:t>
      </w:r>
    </w:p>
    <w:p w14:paraId="03C274C6">
      <w:pPr>
        <w:spacing w:line="360" w:lineRule="auto"/>
        <w:contextualSpacing/>
        <w:jc w:val="left"/>
        <w:rPr>
          <w:rFonts w:ascii="宋体" w:hAnsi="宋体" w:cs="仿宋_GB2312"/>
          <w:color w:val="auto"/>
          <w:sz w:val="24"/>
          <w:u w:val="single"/>
        </w:rPr>
      </w:pPr>
    </w:p>
    <w:p w14:paraId="113FCE80">
      <w:pPr>
        <w:spacing w:line="360" w:lineRule="auto"/>
        <w:contextualSpacing/>
        <w:jc w:val="left"/>
        <w:rPr>
          <w:rFonts w:ascii="宋体" w:hAnsi="宋体" w:cs="仿宋_GB2312"/>
          <w:color w:val="auto"/>
          <w:sz w:val="24"/>
          <w:u w:val="single"/>
        </w:rPr>
      </w:pPr>
    </w:p>
    <w:p w14:paraId="7E2451B0">
      <w:pPr>
        <w:spacing w:line="360" w:lineRule="auto"/>
        <w:ind w:right="-817" w:rightChars="-389"/>
        <w:contextualSpacing/>
        <w:rPr>
          <w:rFonts w:ascii="宋体" w:hAnsi="宋体" w:cs="仿宋_GB2312"/>
          <w:color w:val="auto"/>
          <w:sz w:val="24"/>
        </w:rPr>
      </w:pPr>
    </w:p>
    <w:p w14:paraId="0DE9F305">
      <w:pPr>
        <w:spacing w:line="360" w:lineRule="auto"/>
        <w:ind w:right="-817" w:rightChars="-389"/>
        <w:contextualSpacing/>
        <w:jc w:val="center"/>
        <w:rPr>
          <w:rFonts w:ascii="宋体" w:hAnsi="宋体" w:cs="仿宋_GB2312"/>
          <w:color w:val="auto"/>
          <w:sz w:val="24"/>
        </w:rPr>
      </w:pPr>
      <w:r>
        <w:rPr>
          <w:rFonts w:hint="eastAsia" w:ascii="宋体" w:hAnsi="宋体" w:cs="仿宋_GB2312"/>
          <w:color w:val="auto"/>
          <w:sz w:val="24"/>
        </w:rPr>
        <w:t>法定代表人或者委托代理人（签字或者电子签名）：</w:t>
      </w:r>
    </w:p>
    <w:p w14:paraId="549B6ED8">
      <w:pPr>
        <w:spacing w:line="360" w:lineRule="auto"/>
        <w:ind w:right="-817" w:rightChars="-389" w:firstLine="2880" w:firstLineChars="1200"/>
        <w:contextualSpacing/>
        <w:rPr>
          <w:rFonts w:ascii="宋体" w:hAnsi="宋体" w:cs="仿宋_GB2312"/>
          <w:color w:val="auto"/>
          <w:sz w:val="24"/>
        </w:rPr>
      </w:pPr>
      <w:r>
        <w:rPr>
          <w:rFonts w:hint="eastAsia" w:ascii="宋体" w:hAnsi="宋体" w:cs="仿宋_GB2312"/>
          <w:color w:val="auto"/>
          <w:sz w:val="24"/>
        </w:rPr>
        <w:t xml:space="preserve">供应商（电子签章）：      </w:t>
      </w:r>
    </w:p>
    <w:p w14:paraId="2002FF84">
      <w:pPr>
        <w:spacing w:line="360" w:lineRule="auto"/>
        <w:ind w:right="-817" w:rightChars="-389" w:firstLine="2880" w:firstLineChars="1200"/>
        <w:contextualSpacing/>
        <w:rPr>
          <w:rFonts w:ascii="宋体" w:hAnsi="宋体" w:cs="仿宋_GB2312"/>
          <w:color w:val="auto"/>
          <w:sz w:val="24"/>
        </w:rPr>
      </w:pPr>
      <w:r>
        <w:rPr>
          <w:rFonts w:hint="eastAsia" w:ascii="宋体" w:hAnsi="宋体" w:cs="仿宋_GB2312"/>
          <w:color w:val="auto"/>
          <w:sz w:val="24"/>
        </w:rPr>
        <w:t>日期：   年   月   日</w:t>
      </w:r>
    </w:p>
    <w:p w14:paraId="6FD24047">
      <w:pPr>
        <w:spacing w:line="520" w:lineRule="exact"/>
        <w:ind w:firstLine="7040" w:firstLineChars="1600"/>
        <w:jc w:val="center"/>
        <w:rPr>
          <w:rFonts w:ascii="Arial Unicode MS" w:hAnsi="Arial Unicode MS" w:eastAsia="Arial Unicode MS" w:cs="Arial Unicode MS"/>
          <w:bCs/>
          <w:color w:val="auto"/>
          <w:sz w:val="44"/>
          <w:szCs w:val="44"/>
        </w:rPr>
      </w:pPr>
    </w:p>
    <w:p w14:paraId="71832DED">
      <w:pPr>
        <w:spacing w:line="360" w:lineRule="auto"/>
        <w:ind w:right="-817" w:rightChars="-389" w:firstLine="5280" w:firstLineChars="1200"/>
        <w:contextualSpacing/>
        <w:rPr>
          <w:rFonts w:ascii="宋体" w:hAnsi="宋体"/>
          <w:color w:val="auto"/>
          <w:szCs w:val="21"/>
          <w:u w:val="single"/>
        </w:rPr>
      </w:pPr>
      <w:r>
        <w:rPr>
          <w:rFonts w:ascii="Arial Unicode MS" w:hAnsi="Arial Unicode MS" w:eastAsia="Arial Unicode MS" w:cs="Arial Unicode MS"/>
          <w:bCs/>
          <w:color w:val="auto"/>
          <w:sz w:val="44"/>
          <w:szCs w:val="44"/>
        </w:rPr>
        <w:br w:type="page"/>
      </w:r>
    </w:p>
    <w:p w14:paraId="18890AF1">
      <w:pPr>
        <w:spacing w:line="300" w:lineRule="auto"/>
        <w:jc w:val="center"/>
        <w:rPr>
          <w:rFonts w:ascii="Arial Unicode MS" w:hAnsi="Arial Unicode MS" w:eastAsia="Arial Unicode MS" w:cs="Arial Unicode MS"/>
          <w:bCs/>
          <w:color w:val="auto"/>
          <w:sz w:val="44"/>
          <w:szCs w:val="44"/>
        </w:rPr>
      </w:pPr>
      <w:r>
        <w:rPr>
          <w:rFonts w:hint="eastAsia" w:ascii="Arial Unicode MS" w:hAnsi="Arial Unicode MS" w:eastAsia="Arial Unicode MS" w:cs="Arial Unicode MS"/>
          <w:bCs/>
          <w:color w:val="auto"/>
          <w:sz w:val="44"/>
          <w:szCs w:val="44"/>
        </w:rPr>
        <w:t>技术要求偏离表</w:t>
      </w:r>
    </w:p>
    <w:p w14:paraId="533C260E">
      <w:pPr>
        <w:spacing w:line="520" w:lineRule="exact"/>
        <w:rPr>
          <w:rFonts w:ascii="仿宋_GB2312" w:hAnsi="仿宋_GB2312" w:eastAsia="仿宋_GB2312" w:cs="仿宋_GB2312"/>
          <w:color w:val="auto"/>
          <w:sz w:val="32"/>
          <w:szCs w:val="32"/>
        </w:rPr>
      </w:pPr>
    </w:p>
    <w:p w14:paraId="6A6C3519">
      <w:pPr>
        <w:spacing w:line="360" w:lineRule="auto"/>
        <w:rPr>
          <w:rFonts w:ascii="宋体" w:hAnsi="宋体" w:cs="仿宋_GB2312"/>
          <w:color w:val="auto"/>
          <w:sz w:val="24"/>
          <w:u w:val="single"/>
        </w:rPr>
      </w:pPr>
      <w:r>
        <w:rPr>
          <w:rFonts w:hint="eastAsia" w:ascii="宋体" w:hAnsi="宋体" w:cs="仿宋_GB2312"/>
          <w:color w:val="auto"/>
          <w:sz w:val="24"/>
        </w:rPr>
        <w:t>采购项目编号：</w:t>
      </w:r>
      <w:r>
        <w:rPr>
          <w:rFonts w:hint="eastAsia" w:ascii="宋体" w:hAnsi="宋体" w:cs="仿宋_GB2312"/>
          <w:color w:val="auto"/>
          <w:sz w:val="24"/>
          <w:u w:val="single"/>
        </w:rPr>
        <w:t xml:space="preserve">                 </w:t>
      </w:r>
    </w:p>
    <w:p w14:paraId="20D159D3">
      <w:pPr>
        <w:spacing w:line="360" w:lineRule="auto"/>
        <w:rPr>
          <w:rFonts w:ascii="宋体" w:hAnsi="宋体" w:cs="仿宋_GB2312"/>
          <w:color w:val="auto"/>
          <w:sz w:val="24"/>
        </w:rPr>
      </w:pPr>
      <w:r>
        <w:rPr>
          <w:rFonts w:hint="eastAsia" w:ascii="宋体" w:hAnsi="宋体" w:cs="仿宋_GB2312"/>
          <w:color w:val="auto"/>
          <w:sz w:val="24"/>
        </w:rPr>
        <w:t>采购项目名称：</w:t>
      </w:r>
      <w:r>
        <w:rPr>
          <w:rFonts w:hint="eastAsia" w:ascii="宋体" w:hAnsi="宋体" w:cs="仿宋_GB2312"/>
          <w:color w:val="auto"/>
          <w:sz w:val="24"/>
          <w:u w:val="single"/>
        </w:rPr>
        <w:t xml:space="preserve">                 </w:t>
      </w:r>
    </w:p>
    <w:p w14:paraId="4E9D1A52">
      <w:pPr>
        <w:spacing w:line="360" w:lineRule="auto"/>
        <w:rPr>
          <w:rFonts w:ascii="宋体" w:hAnsi="宋体" w:cs="仿宋_GB2312"/>
          <w:color w:val="auto"/>
          <w:sz w:val="24"/>
          <w:u w:val="single"/>
        </w:rPr>
      </w:pPr>
      <w:r>
        <w:rPr>
          <w:rFonts w:hint="eastAsia" w:ascii="宋体" w:hAnsi="宋体" w:cs="仿宋_GB2312"/>
          <w:color w:val="auto"/>
          <w:sz w:val="24"/>
        </w:rPr>
        <w:t>分标号：</w:t>
      </w:r>
      <w:r>
        <w:rPr>
          <w:rFonts w:hint="eastAsia" w:ascii="宋体" w:hAnsi="宋体" w:cs="仿宋_GB2312"/>
          <w:color w:val="auto"/>
          <w:sz w:val="24"/>
          <w:u w:val="single"/>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0"/>
        <w:gridCol w:w="900"/>
        <w:gridCol w:w="2989"/>
        <w:gridCol w:w="2690"/>
        <w:gridCol w:w="1467"/>
      </w:tblGrid>
      <w:tr w14:paraId="7E9089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2D4F7BCA">
            <w:pPr>
              <w:pStyle w:val="27"/>
              <w:spacing w:line="360" w:lineRule="auto"/>
              <w:ind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序号</w:t>
            </w:r>
          </w:p>
        </w:tc>
        <w:tc>
          <w:tcPr>
            <w:tcW w:w="900" w:type="dxa"/>
            <w:tcBorders>
              <w:top w:val="single" w:color="auto" w:sz="4" w:space="0"/>
              <w:left w:val="single" w:color="auto" w:sz="4" w:space="0"/>
              <w:bottom w:val="single" w:color="auto" w:sz="4" w:space="0"/>
              <w:right w:val="single" w:color="auto" w:sz="4" w:space="0"/>
            </w:tcBorders>
            <w:vAlign w:val="center"/>
          </w:tcPr>
          <w:p w14:paraId="6167097F">
            <w:pPr>
              <w:pStyle w:val="27"/>
              <w:spacing w:line="360" w:lineRule="auto"/>
              <w:ind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名称</w:t>
            </w:r>
          </w:p>
        </w:tc>
        <w:tc>
          <w:tcPr>
            <w:tcW w:w="2989" w:type="dxa"/>
            <w:tcBorders>
              <w:top w:val="single" w:color="auto" w:sz="4" w:space="0"/>
              <w:left w:val="single" w:color="auto" w:sz="4" w:space="0"/>
              <w:bottom w:val="single" w:color="auto" w:sz="4" w:space="0"/>
              <w:right w:val="single" w:color="auto" w:sz="4" w:space="0"/>
            </w:tcBorders>
            <w:vAlign w:val="center"/>
          </w:tcPr>
          <w:p w14:paraId="167F82C4">
            <w:pPr>
              <w:pStyle w:val="27"/>
              <w:spacing w:line="360" w:lineRule="auto"/>
              <w:ind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谈判文件要求</w:t>
            </w:r>
          </w:p>
        </w:tc>
        <w:tc>
          <w:tcPr>
            <w:tcW w:w="2690" w:type="dxa"/>
            <w:tcBorders>
              <w:top w:val="single" w:color="auto" w:sz="4" w:space="0"/>
              <w:left w:val="single" w:color="auto" w:sz="4" w:space="0"/>
              <w:bottom w:val="single" w:color="auto" w:sz="4" w:space="0"/>
              <w:right w:val="single" w:color="auto" w:sz="4" w:space="0"/>
            </w:tcBorders>
            <w:vAlign w:val="center"/>
          </w:tcPr>
          <w:p w14:paraId="5A18CA46">
            <w:pPr>
              <w:pStyle w:val="27"/>
              <w:spacing w:line="360" w:lineRule="auto"/>
              <w:ind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竞标响应</w:t>
            </w:r>
          </w:p>
        </w:tc>
        <w:tc>
          <w:tcPr>
            <w:tcW w:w="1467" w:type="dxa"/>
            <w:tcBorders>
              <w:top w:val="single" w:color="auto" w:sz="4" w:space="0"/>
              <w:left w:val="single" w:color="auto" w:sz="4" w:space="0"/>
              <w:bottom w:val="single" w:color="auto" w:sz="4" w:space="0"/>
              <w:right w:val="single" w:color="auto" w:sz="4" w:space="0"/>
            </w:tcBorders>
            <w:vAlign w:val="center"/>
          </w:tcPr>
          <w:p w14:paraId="3D3694E5">
            <w:pPr>
              <w:pStyle w:val="27"/>
              <w:spacing w:line="360" w:lineRule="auto"/>
              <w:ind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偏离说明</w:t>
            </w:r>
          </w:p>
        </w:tc>
      </w:tr>
      <w:tr w14:paraId="18B28F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56B84401">
            <w:pPr>
              <w:pStyle w:val="27"/>
              <w:spacing w:line="360" w:lineRule="auto"/>
              <w:ind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1</w:t>
            </w:r>
          </w:p>
        </w:tc>
        <w:tc>
          <w:tcPr>
            <w:tcW w:w="900" w:type="dxa"/>
            <w:tcBorders>
              <w:top w:val="single" w:color="auto" w:sz="4" w:space="0"/>
              <w:left w:val="single" w:color="auto" w:sz="4" w:space="0"/>
              <w:bottom w:val="single" w:color="auto" w:sz="4" w:space="0"/>
              <w:right w:val="single" w:color="auto" w:sz="4" w:space="0"/>
            </w:tcBorders>
            <w:vAlign w:val="center"/>
          </w:tcPr>
          <w:p w14:paraId="32DA9029">
            <w:pPr>
              <w:pStyle w:val="27"/>
              <w:spacing w:line="360" w:lineRule="auto"/>
              <w:ind w:firstLine="0" w:firstLineChars="0"/>
              <w:jc w:val="center"/>
              <w:rPr>
                <w:rFonts w:ascii="宋体" w:hAnsi="宋体" w:eastAsia="宋体" w:cs="仿宋_GB2312"/>
                <w:color w:val="auto"/>
                <w:kern w:val="2"/>
                <w:sz w:val="24"/>
                <w:szCs w:val="24"/>
              </w:rPr>
            </w:pPr>
          </w:p>
        </w:tc>
        <w:tc>
          <w:tcPr>
            <w:tcW w:w="2989" w:type="dxa"/>
            <w:tcBorders>
              <w:top w:val="single" w:color="auto" w:sz="4" w:space="0"/>
              <w:left w:val="single" w:color="auto" w:sz="4" w:space="0"/>
              <w:bottom w:val="single" w:color="auto" w:sz="4" w:space="0"/>
              <w:right w:val="single" w:color="auto" w:sz="4" w:space="0"/>
            </w:tcBorders>
            <w:vAlign w:val="center"/>
          </w:tcPr>
          <w:p w14:paraId="2015A053">
            <w:pPr>
              <w:pStyle w:val="27"/>
              <w:spacing w:line="360" w:lineRule="auto"/>
              <w:ind w:firstLine="0" w:firstLineChars="0"/>
              <w:jc w:val="center"/>
              <w:rPr>
                <w:rFonts w:ascii="宋体" w:hAnsi="宋体" w:eastAsia="宋体" w:cs="仿宋_GB2312"/>
                <w:color w:val="auto"/>
                <w:kern w:val="2"/>
                <w:sz w:val="24"/>
                <w:szCs w:val="24"/>
              </w:rPr>
            </w:pPr>
          </w:p>
        </w:tc>
        <w:tc>
          <w:tcPr>
            <w:tcW w:w="2690" w:type="dxa"/>
            <w:tcBorders>
              <w:top w:val="single" w:color="auto" w:sz="4" w:space="0"/>
              <w:left w:val="single" w:color="auto" w:sz="4" w:space="0"/>
              <w:bottom w:val="single" w:color="auto" w:sz="4" w:space="0"/>
              <w:right w:val="single" w:color="auto" w:sz="4" w:space="0"/>
            </w:tcBorders>
            <w:vAlign w:val="center"/>
          </w:tcPr>
          <w:p w14:paraId="595ED830">
            <w:pPr>
              <w:pStyle w:val="27"/>
              <w:spacing w:line="360" w:lineRule="auto"/>
              <w:ind w:firstLine="0" w:firstLineChars="0"/>
              <w:jc w:val="center"/>
              <w:rPr>
                <w:rFonts w:ascii="宋体" w:hAnsi="宋体" w:eastAsia="宋体" w:cs="仿宋_GB2312"/>
                <w:color w:val="auto"/>
                <w:kern w:val="2"/>
                <w:sz w:val="24"/>
                <w:szCs w:val="24"/>
              </w:rPr>
            </w:pPr>
          </w:p>
        </w:tc>
        <w:tc>
          <w:tcPr>
            <w:tcW w:w="1467" w:type="dxa"/>
            <w:tcBorders>
              <w:top w:val="single" w:color="auto" w:sz="4" w:space="0"/>
              <w:left w:val="single" w:color="auto" w:sz="4" w:space="0"/>
              <w:bottom w:val="single" w:color="auto" w:sz="4" w:space="0"/>
              <w:right w:val="single" w:color="auto" w:sz="4" w:space="0"/>
            </w:tcBorders>
            <w:vAlign w:val="center"/>
          </w:tcPr>
          <w:p w14:paraId="6F52B4BD">
            <w:pPr>
              <w:pStyle w:val="27"/>
              <w:spacing w:line="360" w:lineRule="auto"/>
              <w:ind w:firstLine="0" w:firstLineChars="0"/>
              <w:jc w:val="center"/>
              <w:rPr>
                <w:rFonts w:ascii="宋体" w:hAnsi="宋体" w:eastAsia="宋体" w:cs="仿宋_GB2312"/>
                <w:color w:val="auto"/>
                <w:kern w:val="2"/>
                <w:sz w:val="24"/>
                <w:szCs w:val="24"/>
              </w:rPr>
            </w:pPr>
          </w:p>
        </w:tc>
      </w:tr>
      <w:tr w14:paraId="5B00D7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51D3887B">
            <w:pPr>
              <w:pStyle w:val="27"/>
              <w:spacing w:line="360" w:lineRule="auto"/>
              <w:ind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2</w:t>
            </w:r>
          </w:p>
        </w:tc>
        <w:tc>
          <w:tcPr>
            <w:tcW w:w="900" w:type="dxa"/>
            <w:tcBorders>
              <w:top w:val="single" w:color="auto" w:sz="4" w:space="0"/>
              <w:left w:val="single" w:color="auto" w:sz="4" w:space="0"/>
              <w:bottom w:val="single" w:color="auto" w:sz="4" w:space="0"/>
              <w:right w:val="single" w:color="auto" w:sz="4" w:space="0"/>
            </w:tcBorders>
            <w:vAlign w:val="center"/>
          </w:tcPr>
          <w:p w14:paraId="459B4CDE">
            <w:pPr>
              <w:pStyle w:val="27"/>
              <w:spacing w:line="360" w:lineRule="auto"/>
              <w:ind w:firstLine="0" w:firstLineChars="0"/>
              <w:jc w:val="center"/>
              <w:rPr>
                <w:rFonts w:ascii="宋体" w:hAnsi="宋体" w:eastAsia="宋体" w:cs="仿宋_GB2312"/>
                <w:color w:val="auto"/>
                <w:kern w:val="2"/>
                <w:sz w:val="24"/>
                <w:szCs w:val="24"/>
              </w:rPr>
            </w:pPr>
          </w:p>
        </w:tc>
        <w:tc>
          <w:tcPr>
            <w:tcW w:w="2989" w:type="dxa"/>
            <w:tcBorders>
              <w:top w:val="single" w:color="auto" w:sz="4" w:space="0"/>
              <w:left w:val="single" w:color="auto" w:sz="4" w:space="0"/>
              <w:bottom w:val="single" w:color="auto" w:sz="4" w:space="0"/>
              <w:right w:val="single" w:color="auto" w:sz="4" w:space="0"/>
            </w:tcBorders>
            <w:vAlign w:val="center"/>
          </w:tcPr>
          <w:p w14:paraId="2FC7C2A9">
            <w:pPr>
              <w:pStyle w:val="27"/>
              <w:spacing w:line="360" w:lineRule="auto"/>
              <w:ind w:firstLine="0" w:firstLineChars="0"/>
              <w:jc w:val="center"/>
              <w:rPr>
                <w:rFonts w:ascii="宋体" w:hAnsi="宋体" w:eastAsia="宋体" w:cs="仿宋_GB2312"/>
                <w:color w:val="auto"/>
                <w:kern w:val="2"/>
                <w:sz w:val="24"/>
                <w:szCs w:val="24"/>
              </w:rPr>
            </w:pPr>
          </w:p>
        </w:tc>
        <w:tc>
          <w:tcPr>
            <w:tcW w:w="2690" w:type="dxa"/>
            <w:tcBorders>
              <w:top w:val="single" w:color="auto" w:sz="4" w:space="0"/>
              <w:left w:val="single" w:color="auto" w:sz="4" w:space="0"/>
              <w:bottom w:val="single" w:color="auto" w:sz="4" w:space="0"/>
              <w:right w:val="single" w:color="auto" w:sz="4" w:space="0"/>
            </w:tcBorders>
            <w:vAlign w:val="center"/>
          </w:tcPr>
          <w:p w14:paraId="587198AD">
            <w:pPr>
              <w:pStyle w:val="27"/>
              <w:spacing w:line="360" w:lineRule="auto"/>
              <w:ind w:firstLine="0" w:firstLineChars="0"/>
              <w:jc w:val="center"/>
              <w:rPr>
                <w:rFonts w:ascii="宋体" w:hAnsi="宋体" w:eastAsia="宋体" w:cs="仿宋_GB2312"/>
                <w:color w:val="auto"/>
                <w:kern w:val="2"/>
                <w:sz w:val="24"/>
                <w:szCs w:val="24"/>
              </w:rPr>
            </w:pPr>
          </w:p>
        </w:tc>
        <w:tc>
          <w:tcPr>
            <w:tcW w:w="1467" w:type="dxa"/>
            <w:tcBorders>
              <w:top w:val="single" w:color="auto" w:sz="4" w:space="0"/>
              <w:left w:val="single" w:color="auto" w:sz="4" w:space="0"/>
              <w:bottom w:val="single" w:color="auto" w:sz="4" w:space="0"/>
              <w:right w:val="single" w:color="auto" w:sz="4" w:space="0"/>
            </w:tcBorders>
            <w:vAlign w:val="center"/>
          </w:tcPr>
          <w:p w14:paraId="10404D2C">
            <w:pPr>
              <w:pStyle w:val="27"/>
              <w:spacing w:line="360" w:lineRule="auto"/>
              <w:ind w:firstLine="0" w:firstLineChars="0"/>
              <w:jc w:val="center"/>
              <w:rPr>
                <w:rFonts w:ascii="宋体" w:hAnsi="宋体" w:eastAsia="宋体" w:cs="仿宋_GB2312"/>
                <w:color w:val="auto"/>
                <w:kern w:val="2"/>
                <w:sz w:val="24"/>
                <w:szCs w:val="24"/>
              </w:rPr>
            </w:pPr>
          </w:p>
        </w:tc>
      </w:tr>
      <w:tr w14:paraId="01374A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6807CCA9">
            <w:pPr>
              <w:pStyle w:val="27"/>
              <w:spacing w:line="360" w:lineRule="auto"/>
              <w:ind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3</w:t>
            </w:r>
          </w:p>
        </w:tc>
        <w:tc>
          <w:tcPr>
            <w:tcW w:w="900" w:type="dxa"/>
            <w:tcBorders>
              <w:top w:val="single" w:color="auto" w:sz="4" w:space="0"/>
              <w:left w:val="single" w:color="auto" w:sz="4" w:space="0"/>
              <w:bottom w:val="single" w:color="auto" w:sz="4" w:space="0"/>
              <w:right w:val="single" w:color="auto" w:sz="4" w:space="0"/>
            </w:tcBorders>
            <w:vAlign w:val="center"/>
          </w:tcPr>
          <w:p w14:paraId="2EA1D4A0">
            <w:pPr>
              <w:pStyle w:val="27"/>
              <w:spacing w:line="360" w:lineRule="auto"/>
              <w:ind w:firstLine="0" w:firstLineChars="0"/>
              <w:jc w:val="center"/>
              <w:rPr>
                <w:rFonts w:ascii="宋体" w:hAnsi="宋体" w:eastAsia="宋体" w:cs="仿宋_GB2312"/>
                <w:color w:val="auto"/>
                <w:kern w:val="2"/>
                <w:sz w:val="24"/>
                <w:szCs w:val="24"/>
              </w:rPr>
            </w:pPr>
          </w:p>
        </w:tc>
        <w:tc>
          <w:tcPr>
            <w:tcW w:w="2989" w:type="dxa"/>
            <w:tcBorders>
              <w:top w:val="single" w:color="auto" w:sz="4" w:space="0"/>
              <w:left w:val="single" w:color="auto" w:sz="4" w:space="0"/>
              <w:bottom w:val="single" w:color="auto" w:sz="4" w:space="0"/>
              <w:right w:val="single" w:color="auto" w:sz="4" w:space="0"/>
            </w:tcBorders>
            <w:vAlign w:val="center"/>
          </w:tcPr>
          <w:p w14:paraId="374F9618">
            <w:pPr>
              <w:pStyle w:val="27"/>
              <w:spacing w:line="360" w:lineRule="auto"/>
              <w:ind w:firstLine="0" w:firstLineChars="0"/>
              <w:jc w:val="center"/>
              <w:rPr>
                <w:rFonts w:ascii="宋体" w:hAnsi="宋体" w:eastAsia="宋体" w:cs="仿宋_GB2312"/>
                <w:color w:val="auto"/>
                <w:kern w:val="2"/>
                <w:sz w:val="24"/>
                <w:szCs w:val="24"/>
              </w:rPr>
            </w:pPr>
          </w:p>
        </w:tc>
        <w:tc>
          <w:tcPr>
            <w:tcW w:w="2690" w:type="dxa"/>
            <w:tcBorders>
              <w:top w:val="single" w:color="auto" w:sz="4" w:space="0"/>
              <w:left w:val="single" w:color="auto" w:sz="4" w:space="0"/>
              <w:bottom w:val="single" w:color="auto" w:sz="4" w:space="0"/>
              <w:right w:val="single" w:color="auto" w:sz="4" w:space="0"/>
            </w:tcBorders>
            <w:vAlign w:val="center"/>
          </w:tcPr>
          <w:p w14:paraId="5A18D003">
            <w:pPr>
              <w:pStyle w:val="27"/>
              <w:spacing w:line="360" w:lineRule="auto"/>
              <w:ind w:firstLine="0" w:firstLineChars="0"/>
              <w:jc w:val="center"/>
              <w:rPr>
                <w:rFonts w:ascii="宋体" w:hAnsi="宋体" w:eastAsia="宋体" w:cs="仿宋_GB2312"/>
                <w:color w:val="auto"/>
                <w:kern w:val="2"/>
                <w:sz w:val="24"/>
                <w:szCs w:val="24"/>
              </w:rPr>
            </w:pPr>
          </w:p>
        </w:tc>
        <w:tc>
          <w:tcPr>
            <w:tcW w:w="1467" w:type="dxa"/>
            <w:tcBorders>
              <w:top w:val="single" w:color="auto" w:sz="4" w:space="0"/>
              <w:left w:val="single" w:color="auto" w:sz="4" w:space="0"/>
              <w:bottom w:val="single" w:color="auto" w:sz="4" w:space="0"/>
              <w:right w:val="single" w:color="auto" w:sz="4" w:space="0"/>
            </w:tcBorders>
            <w:vAlign w:val="center"/>
          </w:tcPr>
          <w:p w14:paraId="3BEA7CE9">
            <w:pPr>
              <w:pStyle w:val="27"/>
              <w:spacing w:line="360" w:lineRule="auto"/>
              <w:ind w:firstLine="0" w:firstLineChars="0"/>
              <w:jc w:val="center"/>
              <w:rPr>
                <w:rFonts w:ascii="宋体" w:hAnsi="宋体" w:eastAsia="宋体" w:cs="仿宋_GB2312"/>
                <w:color w:val="auto"/>
                <w:kern w:val="2"/>
                <w:sz w:val="24"/>
                <w:szCs w:val="24"/>
              </w:rPr>
            </w:pPr>
          </w:p>
        </w:tc>
      </w:tr>
      <w:tr w14:paraId="13BCDA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2188E257">
            <w:pPr>
              <w:pStyle w:val="27"/>
              <w:spacing w:line="360" w:lineRule="auto"/>
              <w:ind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4</w:t>
            </w:r>
          </w:p>
        </w:tc>
        <w:tc>
          <w:tcPr>
            <w:tcW w:w="900" w:type="dxa"/>
            <w:tcBorders>
              <w:top w:val="single" w:color="auto" w:sz="4" w:space="0"/>
              <w:left w:val="single" w:color="auto" w:sz="4" w:space="0"/>
              <w:bottom w:val="single" w:color="auto" w:sz="4" w:space="0"/>
              <w:right w:val="single" w:color="auto" w:sz="4" w:space="0"/>
            </w:tcBorders>
            <w:vAlign w:val="center"/>
          </w:tcPr>
          <w:p w14:paraId="0340973C">
            <w:pPr>
              <w:pStyle w:val="27"/>
              <w:spacing w:line="360" w:lineRule="auto"/>
              <w:ind w:firstLine="0" w:firstLineChars="0"/>
              <w:jc w:val="center"/>
              <w:rPr>
                <w:rFonts w:ascii="宋体" w:hAnsi="宋体" w:eastAsia="宋体" w:cs="仿宋_GB2312"/>
                <w:color w:val="auto"/>
                <w:kern w:val="2"/>
                <w:sz w:val="24"/>
                <w:szCs w:val="24"/>
              </w:rPr>
            </w:pPr>
          </w:p>
        </w:tc>
        <w:tc>
          <w:tcPr>
            <w:tcW w:w="2989" w:type="dxa"/>
            <w:tcBorders>
              <w:top w:val="single" w:color="auto" w:sz="4" w:space="0"/>
              <w:left w:val="single" w:color="auto" w:sz="4" w:space="0"/>
              <w:bottom w:val="single" w:color="auto" w:sz="4" w:space="0"/>
              <w:right w:val="single" w:color="auto" w:sz="4" w:space="0"/>
            </w:tcBorders>
            <w:vAlign w:val="center"/>
          </w:tcPr>
          <w:p w14:paraId="361AD84B">
            <w:pPr>
              <w:pStyle w:val="27"/>
              <w:spacing w:line="360" w:lineRule="auto"/>
              <w:ind w:firstLine="0" w:firstLineChars="0"/>
              <w:jc w:val="center"/>
              <w:rPr>
                <w:rFonts w:ascii="宋体" w:hAnsi="宋体" w:eastAsia="宋体" w:cs="仿宋_GB2312"/>
                <w:color w:val="auto"/>
                <w:kern w:val="2"/>
                <w:sz w:val="24"/>
                <w:szCs w:val="24"/>
              </w:rPr>
            </w:pPr>
          </w:p>
        </w:tc>
        <w:tc>
          <w:tcPr>
            <w:tcW w:w="2690" w:type="dxa"/>
            <w:tcBorders>
              <w:top w:val="single" w:color="auto" w:sz="4" w:space="0"/>
              <w:left w:val="single" w:color="auto" w:sz="4" w:space="0"/>
              <w:bottom w:val="single" w:color="auto" w:sz="4" w:space="0"/>
              <w:right w:val="single" w:color="auto" w:sz="4" w:space="0"/>
            </w:tcBorders>
            <w:vAlign w:val="center"/>
          </w:tcPr>
          <w:p w14:paraId="44523218">
            <w:pPr>
              <w:pStyle w:val="27"/>
              <w:spacing w:line="360" w:lineRule="auto"/>
              <w:ind w:firstLine="0" w:firstLineChars="0"/>
              <w:jc w:val="center"/>
              <w:rPr>
                <w:rFonts w:ascii="宋体" w:hAnsi="宋体" w:eastAsia="宋体" w:cs="仿宋_GB2312"/>
                <w:color w:val="auto"/>
                <w:kern w:val="2"/>
                <w:sz w:val="24"/>
                <w:szCs w:val="24"/>
              </w:rPr>
            </w:pPr>
          </w:p>
        </w:tc>
        <w:tc>
          <w:tcPr>
            <w:tcW w:w="1467" w:type="dxa"/>
            <w:tcBorders>
              <w:top w:val="single" w:color="auto" w:sz="4" w:space="0"/>
              <w:left w:val="single" w:color="auto" w:sz="4" w:space="0"/>
              <w:bottom w:val="single" w:color="auto" w:sz="4" w:space="0"/>
              <w:right w:val="single" w:color="auto" w:sz="4" w:space="0"/>
            </w:tcBorders>
            <w:vAlign w:val="center"/>
          </w:tcPr>
          <w:p w14:paraId="02C3424B">
            <w:pPr>
              <w:pStyle w:val="27"/>
              <w:spacing w:line="360" w:lineRule="auto"/>
              <w:ind w:firstLine="0" w:firstLineChars="0"/>
              <w:jc w:val="center"/>
              <w:rPr>
                <w:rFonts w:ascii="宋体" w:hAnsi="宋体" w:eastAsia="宋体" w:cs="仿宋_GB2312"/>
                <w:color w:val="auto"/>
                <w:kern w:val="2"/>
                <w:sz w:val="24"/>
                <w:szCs w:val="24"/>
              </w:rPr>
            </w:pPr>
          </w:p>
        </w:tc>
      </w:tr>
      <w:tr w14:paraId="450386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0870D152">
            <w:pPr>
              <w:pStyle w:val="27"/>
              <w:spacing w:line="360" w:lineRule="auto"/>
              <w:ind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5</w:t>
            </w:r>
          </w:p>
        </w:tc>
        <w:tc>
          <w:tcPr>
            <w:tcW w:w="900" w:type="dxa"/>
            <w:tcBorders>
              <w:top w:val="single" w:color="auto" w:sz="4" w:space="0"/>
              <w:left w:val="single" w:color="auto" w:sz="4" w:space="0"/>
              <w:bottom w:val="single" w:color="auto" w:sz="4" w:space="0"/>
              <w:right w:val="single" w:color="auto" w:sz="4" w:space="0"/>
            </w:tcBorders>
            <w:vAlign w:val="center"/>
          </w:tcPr>
          <w:p w14:paraId="14F7718D">
            <w:pPr>
              <w:pStyle w:val="27"/>
              <w:spacing w:line="360" w:lineRule="auto"/>
              <w:ind w:firstLine="0" w:firstLineChars="0"/>
              <w:jc w:val="center"/>
              <w:rPr>
                <w:rFonts w:ascii="宋体" w:hAnsi="宋体" w:eastAsia="宋体" w:cs="仿宋_GB2312"/>
                <w:color w:val="auto"/>
                <w:kern w:val="2"/>
                <w:sz w:val="24"/>
                <w:szCs w:val="24"/>
              </w:rPr>
            </w:pPr>
          </w:p>
        </w:tc>
        <w:tc>
          <w:tcPr>
            <w:tcW w:w="2989" w:type="dxa"/>
            <w:tcBorders>
              <w:top w:val="single" w:color="auto" w:sz="4" w:space="0"/>
              <w:left w:val="single" w:color="auto" w:sz="4" w:space="0"/>
              <w:bottom w:val="single" w:color="auto" w:sz="4" w:space="0"/>
              <w:right w:val="single" w:color="auto" w:sz="4" w:space="0"/>
            </w:tcBorders>
            <w:vAlign w:val="center"/>
          </w:tcPr>
          <w:p w14:paraId="0D797A27">
            <w:pPr>
              <w:pStyle w:val="27"/>
              <w:spacing w:line="360" w:lineRule="auto"/>
              <w:ind w:firstLine="0" w:firstLineChars="0"/>
              <w:jc w:val="center"/>
              <w:rPr>
                <w:rFonts w:ascii="宋体" w:hAnsi="宋体" w:eastAsia="宋体" w:cs="仿宋_GB2312"/>
                <w:color w:val="auto"/>
                <w:kern w:val="2"/>
                <w:sz w:val="24"/>
                <w:szCs w:val="24"/>
              </w:rPr>
            </w:pPr>
          </w:p>
        </w:tc>
        <w:tc>
          <w:tcPr>
            <w:tcW w:w="2690" w:type="dxa"/>
            <w:tcBorders>
              <w:top w:val="single" w:color="auto" w:sz="4" w:space="0"/>
              <w:left w:val="single" w:color="auto" w:sz="4" w:space="0"/>
              <w:bottom w:val="single" w:color="auto" w:sz="4" w:space="0"/>
              <w:right w:val="single" w:color="auto" w:sz="4" w:space="0"/>
            </w:tcBorders>
            <w:vAlign w:val="center"/>
          </w:tcPr>
          <w:p w14:paraId="5BC66210">
            <w:pPr>
              <w:pStyle w:val="27"/>
              <w:spacing w:line="360" w:lineRule="auto"/>
              <w:ind w:firstLine="0" w:firstLineChars="0"/>
              <w:jc w:val="center"/>
              <w:rPr>
                <w:rFonts w:ascii="宋体" w:hAnsi="宋体" w:eastAsia="宋体" w:cs="仿宋_GB2312"/>
                <w:color w:val="auto"/>
                <w:kern w:val="2"/>
                <w:sz w:val="24"/>
                <w:szCs w:val="24"/>
              </w:rPr>
            </w:pPr>
          </w:p>
        </w:tc>
        <w:tc>
          <w:tcPr>
            <w:tcW w:w="1467" w:type="dxa"/>
            <w:tcBorders>
              <w:top w:val="single" w:color="auto" w:sz="4" w:space="0"/>
              <w:left w:val="single" w:color="auto" w:sz="4" w:space="0"/>
              <w:bottom w:val="single" w:color="auto" w:sz="4" w:space="0"/>
              <w:right w:val="single" w:color="auto" w:sz="4" w:space="0"/>
            </w:tcBorders>
            <w:vAlign w:val="center"/>
          </w:tcPr>
          <w:p w14:paraId="0A3083FA">
            <w:pPr>
              <w:pStyle w:val="27"/>
              <w:spacing w:line="360" w:lineRule="auto"/>
              <w:ind w:firstLine="0" w:firstLineChars="0"/>
              <w:jc w:val="center"/>
              <w:rPr>
                <w:rFonts w:ascii="宋体" w:hAnsi="宋体" w:eastAsia="宋体" w:cs="仿宋_GB2312"/>
                <w:color w:val="auto"/>
                <w:kern w:val="2"/>
                <w:sz w:val="24"/>
                <w:szCs w:val="24"/>
              </w:rPr>
            </w:pPr>
          </w:p>
        </w:tc>
      </w:tr>
      <w:tr w14:paraId="24ED23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7A565E69">
            <w:pPr>
              <w:pStyle w:val="27"/>
              <w:spacing w:line="360" w:lineRule="auto"/>
              <w:ind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w:t>
            </w:r>
          </w:p>
        </w:tc>
        <w:tc>
          <w:tcPr>
            <w:tcW w:w="900" w:type="dxa"/>
            <w:tcBorders>
              <w:top w:val="single" w:color="auto" w:sz="4" w:space="0"/>
              <w:left w:val="single" w:color="auto" w:sz="4" w:space="0"/>
              <w:bottom w:val="single" w:color="auto" w:sz="4" w:space="0"/>
              <w:right w:val="single" w:color="auto" w:sz="4" w:space="0"/>
            </w:tcBorders>
            <w:vAlign w:val="center"/>
          </w:tcPr>
          <w:p w14:paraId="7629678C">
            <w:pPr>
              <w:pStyle w:val="27"/>
              <w:spacing w:line="360" w:lineRule="auto"/>
              <w:ind w:firstLine="0" w:firstLineChars="0"/>
              <w:jc w:val="center"/>
              <w:rPr>
                <w:rFonts w:ascii="宋体" w:hAnsi="宋体" w:eastAsia="宋体" w:cs="仿宋_GB2312"/>
                <w:color w:val="auto"/>
                <w:kern w:val="2"/>
                <w:sz w:val="24"/>
                <w:szCs w:val="24"/>
              </w:rPr>
            </w:pPr>
          </w:p>
        </w:tc>
        <w:tc>
          <w:tcPr>
            <w:tcW w:w="2989" w:type="dxa"/>
            <w:tcBorders>
              <w:top w:val="single" w:color="auto" w:sz="4" w:space="0"/>
              <w:left w:val="single" w:color="auto" w:sz="4" w:space="0"/>
              <w:bottom w:val="single" w:color="auto" w:sz="4" w:space="0"/>
              <w:right w:val="single" w:color="auto" w:sz="4" w:space="0"/>
            </w:tcBorders>
            <w:vAlign w:val="center"/>
          </w:tcPr>
          <w:p w14:paraId="71F333B6">
            <w:pPr>
              <w:pStyle w:val="27"/>
              <w:spacing w:line="360" w:lineRule="auto"/>
              <w:ind w:firstLine="0" w:firstLineChars="0"/>
              <w:jc w:val="center"/>
              <w:rPr>
                <w:rFonts w:ascii="宋体" w:hAnsi="宋体" w:eastAsia="宋体" w:cs="仿宋_GB2312"/>
                <w:color w:val="auto"/>
                <w:kern w:val="2"/>
                <w:sz w:val="24"/>
                <w:szCs w:val="24"/>
              </w:rPr>
            </w:pPr>
          </w:p>
        </w:tc>
        <w:tc>
          <w:tcPr>
            <w:tcW w:w="2690" w:type="dxa"/>
            <w:tcBorders>
              <w:top w:val="single" w:color="auto" w:sz="4" w:space="0"/>
              <w:left w:val="single" w:color="auto" w:sz="4" w:space="0"/>
              <w:bottom w:val="single" w:color="auto" w:sz="4" w:space="0"/>
              <w:right w:val="single" w:color="auto" w:sz="4" w:space="0"/>
            </w:tcBorders>
            <w:vAlign w:val="center"/>
          </w:tcPr>
          <w:p w14:paraId="06660C87">
            <w:pPr>
              <w:pStyle w:val="27"/>
              <w:spacing w:line="360" w:lineRule="auto"/>
              <w:ind w:firstLine="0" w:firstLineChars="0"/>
              <w:jc w:val="center"/>
              <w:rPr>
                <w:rFonts w:ascii="宋体" w:hAnsi="宋体" w:eastAsia="宋体" w:cs="仿宋_GB2312"/>
                <w:color w:val="auto"/>
                <w:kern w:val="2"/>
                <w:sz w:val="24"/>
                <w:szCs w:val="24"/>
              </w:rPr>
            </w:pPr>
          </w:p>
        </w:tc>
        <w:tc>
          <w:tcPr>
            <w:tcW w:w="1467" w:type="dxa"/>
            <w:tcBorders>
              <w:top w:val="single" w:color="auto" w:sz="4" w:space="0"/>
              <w:left w:val="single" w:color="auto" w:sz="4" w:space="0"/>
              <w:bottom w:val="single" w:color="auto" w:sz="4" w:space="0"/>
              <w:right w:val="single" w:color="auto" w:sz="4" w:space="0"/>
            </w:tcBorders>
            <w:vAlign w:val="center"/>
          </w:tcPr>
          <w:p w14:paraId="6C3F042C">
            <w:pPr>
              <w:pStyle w:val="27"/>
              <w:spacing w:line="360" w:lineRule="auto"/>
              <w:ind w:firstLine="0" w:firstLineChars="0"/>
              <w:jc w:val="center"/>
              <w:rPr>
                <w:rFonts w:ascii="宋体" w:hAnsi="宋体" w:eastAsia="宋体" w:cs="仿宋_GB2312"/>
                <w:color w:val="auto"/>
                <w:kern w:val="2"/>
                <w:sz w:val="24"/>
                <w:szCs w:val="24"/>
              </w:rPr>
            </w:pPr>
          </w:p>
        </w:tc>
      </w:tr>
    </w:tbl>
    <w:p w14:paraId="044D24B2">
      <w:pPr>
        <w:pStyle w:val="27"/>
        <w:spacing w:line="360" w:lineRule="auto"/>
        <w:ind w:firstLine="0" w:firstLineChars="0"/>
        <w:contextualSpacing/>
        <w:rPr>
          <w:rFonts w:ascii="宋体" w:hAnsi="宋体" w:eastAsia="宋体" w:cs="仿宋_GB2312"/>
          <w:color w:val="auto"/>
          <w:sz w:val="24"/>
          <w:szCs w:val="24"/>
        </w:rPr>
      </w:pPr>
      <w:r>
        <w:rPr>
          <w:rFonts w:hint="eastAsia" w:ascii="宋体" w:hAnsi="宋体" w:eastAsia="宋体" w:cs="仿宋_GB2312"/>
          <w:color w:val="auto"/>
          <w:sz w:val="24"/>
          <w:szCs w:val="24"/>
        </w:rPr>
        <w:t>注：</w:t>
      </w:r>
    </w:p>
    <w:p w14:paraId="5D65167F">
      <w:pPr>
        <w:pStyle w:val="27"/>
        <w:spacing w:line="360" w:lineRule="auto"/>
        <w:ind w:firstLine="0" w:firstLineChars="0"/>
        <w:contextualSpacing/>
        <w:rPr>
          <w:rFonts w:ascii="宋体" w:hAnsi="宋体" w:eastAsia="宋体" w:cs="仿宋_GB2312"/>
          <w:color w:val="auto"/>
          <w:sz w:val="24"/>
          <w:szCs w:val="24"/>
        </w:rPr>
      </w:pPr>
      <w:r>
        <w:rPr>
          <w:rFonts w:hint="eastAsia" w:ascii="宋体" w:hAnsi="宋体" w:eastAsia="宋体" w:cs="仿宋_GB2312"/>
          <w:color w:val="auto"/>
          <w:sz w:val="24"/>
          <w:szCs w:val="24"/>
        </w:rPr>
        <w:t>1. 说明：应对照谈判文件“第三章 采购需求”中的技术要求逐条实质性响应，并作出偏离说明。</w:t>
      </w:r>
    </w:p>
    <w:p w14:paraId="447DEE77">
      <w:pPr>
        <w:pStyle w:val="27"/>
        <w:spacing w:line="360" w:lineRule="auto"/>
        <w:ind w:firstLine="0" w:firstLineChars="0"/>
        <w:contextualSpacing/>
        <w:rPr>
          <w:rFonts w:ascii="宋体" w:hAnsi="宋体" w:eastAsia="宋体" w:cs="仿宋_GB2312"/>
          <w:color w:val="auto"/>
          <w:sz w:val="24"/>
          <w:szCs w:val="24"/>
        </w:rPr>
      </w:pPr>
      <w:r>
        <w:rPr>
          <w:rFonts w:hint="eastAsia" w:ascii="宋体" w:hAnsi="宋体" w:eastAsia="宋体" w:cs="仿宋_GB2312"/>
          <w:color w:val="auto"/>
          <w:sz w:val="24"/>
          <w:szCs w:val="24"/>
        </w:rPr>
        <w:t>2.供应商应根据竞标设备的性能指标，对照谈判文件要求，在“偏离说明”中注明“正偏离”“负偏离”或者“无偏离”。既不属于“正偏离”也不属于“负偏离”即为“无偏离”。</w:t>
      </w:r>
    </w:p>
    <w:p w14:paraId="598A9011">
      <w:pPr>
        <w:pStyle w:val="27"/>
        <w:spacing w:line="360" w:lineRule="auto"/>
        <w:ind w:firstLine="0" w:firstLineChars="0"/>
        <w:contextualSpacing/>
        <w:rPr>
          <w:rFonts w:ascii="宋体" w:hAnsi="宋体" w:eastAsia="宋体"/>
          <w:color w:val="auto"/>
          <w:sz w:val="24"/>
          <w:szCs w:val="24"/>
        </w:rPr>
      </w:pPr>
      <w:r>
        <w:rPr>
          <w:rFonts w:hint="eastAsia" w:ascii="宋体" w:hAnsi="宋体" w:eastAsia="宋体"/>
          <w:color w:val="auto"/>
          <w:sz w:val="24"/>
          <w:szCs w:val="24"/>
        </w:rPr>
        <w:t>3.供应商认为其竞标响应有正偏离的，请在技术要求偏离表中列明，且在响应文件中提供竞标产品的彩页或</w:t>
      </w:r>
      <w:r>
        <w:rPr>
          <w:rFonts w:ascii="宋体" w:hAnsi="宋体" w:eastAsia="宋体"/>
          <w:color w:val="auto"/>
          <w:sz w:val="24"/>
          <w:szCs w:val="24"/>
        </w:rPr>
        <w:t>国家认</w:t>
      </w:r>
      <w:r>
        <w:rPr>
          <w:rFonts w:hint="eastAsia" w:ascii="宋体" w:hAnsi="宋体" w:eastAsia="宋体"/>
          <w:color w:val="auto"/>
          <w:sz w:val="24"/>
          <w:szCs w:val="24"/>
        </w:rPr>
        <w:t>可的</w:t>
      </w:r>
      <w:r>
        <w:rPr>
          <w:rFonts w:ascii="宋体" w:hAnsi="宋体" w:eastAsia="宋体"/>
          <w:color w:val="auto"/>
          <w:sz w:val="24"/>
          <w:szCs w:val="24"/>
        </w:rPr>
        <w:t>有资质的第三方检测机构出具的检测报告复印件</w:t>
      </w:r>
      <w:r>
        <w:rPr>
          <w:rFonts w:hint="eastAsia" w:ascii="宋体" w:hAnsi="宋体" w:eastAsia="宋体"/>
          <w:color w:val="auto"/>
          <w:sz w:val="24"/>
          <w:szCs w:val="24"/>
        </w:rPr>
        <w:t>或产品生产厂家出具的技术参数说明证明作为佐证，以上佐证材料均需加盖生产厂家或代理商（附生产厂家授权资料）公章。</w:t>
      </w:r>
    </w:p>
    <w:p w14:paraId="0D4A68B5">
      <w:pPr>
        <w:pStyle w:val="27"/>
        <w:spacing w:line="360" w:lineRule="auto"/>
        <w:ind w:firstLine="0" w:firstLineChars="0"/>
        <w:contextualSpacing/>
        <w:rPr>
          <w:rFonts w:ascii="宋体" w:hAnsi="宋体" w:eastAsia="宋体"/>
          <w:color w:val="auto"/>
          <w:sz w:val="24"/>
          <w:szCs w:val="24"/>
        </w:rPr>
      </w:pPr>
      <w:r>
        <w:rPr>
          <w:rFonts w:hint="eastAsia" w:ascii="宋体" w:hAnsi="宋体" w:eastAsia="宋体"/>
          <w:color w:val="auto"/>
          <w:sz w:val="24"/>
          <w:szCs w:val="24"/>
        </w:rPr>
        <w:t>4</w:t>
      </w:r>
      <w:r>
        <w:rPr>
          <w:rFonts w:ascii="宋体" w:hAnsi="宋体" w:eastAsia="宋体"/>
          <w:color w:val="auto"/>
          <w:sz w:val="24"/>
          <w:szCs w:val="24"/>
        </w:rPr>
        <w:t>.</w:t>
      </w:r>
      <w:r>
        <w:rPr>
          <w:rFonts w:hint="eastAsia" w:ascii="宋体" w:hAnsi="宋体" w:eastAsia="宋体"/>
          <w:color w:val="auto"/>
          <w:sz w:val="24"/>
          <w:szCs w:val="24"/>
        </w:rPr>
        <w:t xml:space="preserve"> 如技术要求偏离表中的竞标响应与佐证材料不一致的，以佐证材料为准。</w:t>
      </w:r>
    </w:p>
    <w:p w14:paraId="3E496F5A">
      <w:pPr>
        <w:pStyle w:val="27"/>
        <w:spacing w:line="360" w:lineRule="auto"/>
        <w:ind w:firstLine="0" w:firstLineChars="0"/>
        <w:contextualSpacing/>
        <w:rPr>
          <w:rFonts w:ascii="宋体" w:hAnsi="宋体" w:eastAsia="宋体" w:cs="仿宋_GB2312"/>
          <w:color w:val="auto"/>
          <w:sz w:val="24"/>
          <w:szCs w:val="24"/>
        </w:rPr>
      </w:pPr>
    </w:p>
    <w:p w14:paraId="1090689F">
      <w:pPr>
        <w:spacing w:line="360" w:lineRule="auto"/>
        <w:ind w:right="-817" w:rightChars="-389"/>
        <w:contextualSpacing/>
        <w:rPr>
          <w:rFonts w:ascii="宋体" w:hAnsi="宋体" w:cs="仿宋_GB2312"/>
          <w:color w:val="auto"/>
          <w:sz w:val="24"/>
        </w:rPr>
      </w:pPr>
    </w:p>
    <w:p w14:paraId="439E36CC">
      <w:pPr>
        <w:spacing w:line="360" w:lineRule="auto"/>
        <w:ind w:right="-817" w:rightChars="-389"/>
        <w:contextualSpacing/>
        <w:jc w:val="center"/>
        <w:rPr>
          <w:rFonts w:ascii="宋体" w:hAnsi="宋体" w:cs="仿宋_GB2312"/>
          <w:color w:val="auto"/>
          <w:sz w:val="24"/>
        </w:rPr>
      </w:pPr>
      <w:r>
        <w:rPr>
          <w:rFonts w:hint="eastAsia" w:ascii="宋体" w:hAnsi="宋体" w:cs="仿宋_GB2312"/>
          <w:color w:val="auto"/>
          <w:sz w:val="24"/>
        </w:rPr>
        <w:t>法定代表人或者委托代理人（签字或者电子签名）：</w:t>
      </w:r>
    </w:p>
    <w:p w14:paraId="3D1DC5DA">
      <w:pPr>
        <w:spacing w:line="360" w:lineRule="auto"/>
        <w:ind w:right="-817" w:rightChars="-389" w:firstLine="2880" w:firstLineChars="1200"/>
        <w:contextualSpacing/>
        <w:rPr>
          <w:rFonts w:ascii="宋体" w:hAnsi="宋体" w:cs="仿宋_GB2312"/>
          <w:color w:val="auto"/>
          <w:sz w:val="24"/>
        </w:rPr>
      </w:pPr>
      <w:r>
        <w:rPr>
          <w:rFonts w:hint="eastAsia" w:ascii="宋体" w:hAnsi="宋体" w:cs="仿宋_GB2312"/>
          <w:color w:val="auto"/>
          <w:sz w:val="24"/>
        </w:rPr>
        <w:t xml:space="preserve">供应商（电子签章）：      </w:t>
      </w:r>
    </w:p>
    <w:p w14:paraId="08FE7586">
      <w:pPr>
        <w:spacing w:line="360" w:lineRule="auto"/>
        <w:ind w:right="-817" w:rightChars="-389" w:firstLine="2880" w:firstLineChars="1200"/>
        <w:contextualSpacing/>
        <w:rPr>
          <w:rFonts w:ascii="仿宋_GB2312" w:hAnsi="仿宋_GB2312" w:eastAsia="仿宋_GB2312" w:cs="仿宋_GB2312"/>
          <w:color w:val="auto"/>
          <w:sz w:val="32"/>
          <w:szCs w:val="32"/>
        </w:rPr>
      </w:pPr>
      <w:r>
        <w:rPr>
          <w:rFonts w:hint="eastAsia" w:ascii="宋体" w:hAnsi="宋体" w:cs="仿宋_GB2312"/>
          <w:color w:val="auto"/>
          <w:sz w:val="24"/>
        </w:rPr>
        <w:t>日期：   年   月   日</w:t>
      </w:r>
    </w:p>
    <w:p w14:paraId="273F4049">
      <w:pPr>
        <w:spacing w:line="300" w:lineRule="auto"/>
        <w:rPr>
          <w:rFonts w:ascii="宋体" w:hAnsi="宋体"/>
          <w:color w:val="auto"/>
          <w:szCs w:val="21"/>
        </w:rPr>
      </w:pPr>
      <w:r>
        <w:rPr>
          <w:rFonts w:ascii="宋体" w:hAnsi="宋体"/>
          <w:b/>
          <w:bCs/>
          <w:color w:val="auto"/>
          <w:sz w:val="24"/>
        </w:rPr>
        <w:br w:type="page"/>
      </w:r>
      <w:r>
        <w:rPr>
          <w:rFonts w:hint="eastAsia" w:ascii="宋体" w:hAnsi="宋体"/>
          <w:b/>
          <w:bCs/>
          <w:color w:val="auto"/>
          <w:sz w:val="24"/>
        </w:rPr>
        <w:t>其他文书、文件格式</w:t>
      </w:r>
    </w:p>
    <w:p w14:paraId="3870B2D0">
      <w:pPr>
        <w:spacing w:line="300" w:lineRule="auto"/>
        <w:jc w:val="center"/>
        <w:rPr>
          <w:rFonts w:ascii="Arial Unicode MS" w:hAnsi="Arial Unicode MS" w:eastAsia="Arial Unicode MS" w:cs="Arial Unicode MS"/>
          <w:bCs/>
          <w:color w:val="auto"/>
          <w:sz w:val="44"/>
          <w:szCs w:val="44"/>
        </w:rPr>
      </w:pPr>
      <w:r>
        <w:rPr>
          <w:rFonts w:hint="eastAsia" w:ascii="Arial Unicode MS" w:hAnsi="Arial Unicode MS" w:eastAsia="Arial Unicode MS" w:cs="Arial Unicode MS"/>
          <w:bCs/>
          <w:color w:val="auto"/>
          <w:sz w:val="44"/>
          <w:szCs w:val="44"/>
        </w:rPr>
        <w:t>中小企业声明函（货物）</w:t>
      </w:r>
    </w:p>
    <w:p w14:paraId="5C965FE6">
      <w:pPr>
        <w:rPr>
          <w:color w:val="auto"/>
        </w:rPr>
      </w:pPr>
    </w:p>
    <w:p w14:paraId="1E06B215">
      <w:pPr>
        <w:pStyle w:val="25"/>
        <w:spacing w:after="0" w:line="360" w:lineRule="auto"/>
        <w:ind w:left="-426" w:right="142" w:firstLine="640"/>
        <w:contextualSpacing/>
        <w:rPr>
          <w:rFonts w:ascii="宋体" w:hAnsi="宋体"/>
          <w:color w:val="auto"/>
          <w:sz w:val="24"/>
        </w:rPr>
      </w:pPr>
      <w:r>
        <w:rPr>
          <w:rFonts w:ascii="宋体" w:hAnsi="宋体"/>
          <w:color w:val="auto"/>
          <w:sz w:val="24"/>
        </w:rPr>
        <w:t>本公司（联合体）郑重声明，根据《政府采购促进中小企业发展管理办法》（财库﹝2020﹞46号）的规定，本公司（联合体）参加</w:t>
      </w:r>
      <w:r>
        <w:rPr>
          <w:rFonts w:ascii="宋体" w:hAnsi="宋体"/>
          <w:color w:val="auto"/>
          <w:sz w:val="24"/>
          <w:u w:val="single"/>
        </w:rPr>
        <w:t>（单位名称）</w:t>
      </w:r>
      <w:r>
        <w:rPr>
          <w:rFonts w:ascii="宋体" w:hAnsi="宋体"/>
          <w:color w:val="auto"/>
          <w:sz w:val="24"/>
        </w:rPr>
        <w:t>的</w:t>
      </w:r>
      <w:r>
        <w:rPr>
          <w:rFonts w:ascii="宋体" w:hAnsi="宋体"/>
          <w:color w:val="auto"/>
          <w:sz w:val="24"/>
          <w:u w:val="single"/>
        </w:rPr>
        <w:t>（项目名称）</w:t>
      </w:r>
      <w:r>
        <w:rPr>
          <w:rFonts w:ascii="宋体" w:hAnsi="宋体"/>
          <w:color w:val="auto"/>
          <w:sz w:val="24"/>
        </w:rPr>
        <w:t>采购活动，提供的货物全部由符合政策要求的中小企业制造。相关企业（含联合体中的中小企业、签订分包意向协议的中小企业）的具体情况如下：</w:t>
      </w:r>
    </w:p>
    <w:p w14:paraId="4558A66F">
      <w:pPr>
        <w:tabs>
          <w:tab w:val="left" w:pos="1384"/>
          <w:tab w:val="left" w:pos="4562"/>
          <w:tab w:val="left" w:pos="6803"/>
        </w:tabs>
        <w:spacing w:line="360" w:lineRule="auto"/>
        <w:ind w:left="-426" w:right="-58" w:firstLine="655"/>
        <w:contextualSpacing/>
        <w:rPr>
          <w:rFonts w:ascii="宋体" w:hAnsi="宋体"/>
          <w:color w:val="auto"/>
          <w:sz w:val="24"/>
        </w:rPr>
      </w:pPr>
      <w:r>
        <w:rPr>
          <w:rFonts w:ascii="宋体" w:hAnsi="宋体"/>
          <w:color w:val="auto"/>
          <w:sz w:val="24"/>
        </w:rPr>
        <w:t>1.</w:t>
      </w:r>
      <w:r>
        <w:rPr>
          <w:rFonts w:ascii="宋体" w:hAnsi="宋体"/>
          <w:color w:val="auto"/>
          <w:sz w:val="24"/>
          <w:u w:val="single"/>
        </w:rPr>
        <w:t>（标的名称）</w:t>
      </w:r>
      <w:r>
        <w:rPr>
          <w:rFonts w:ascii="宋体" w:hAnsi="宋体"/>
          <w:color w:val="auto"/>
          <w:sz w:val="24"/>
        </w:rPr>
        <w:t>，属于</w:t>
      </w:r>
      <w:r>
        <w:rPr>
          <w:rFonts w:ascii="宋体" w:hAnsi="宋体"/>
          <w:color w:val="auto"/>
          <w:sz w:val="24"/>
          <w:u w:val="single"/>
        </w:rPr>
        <w:t>（采购文件中明确的所属行业）</w:t>
      </w:r>
      <w:r>
        <w:rPr>
          <w:rFonts w:ascii="宋体" w:hAnsi="宋体"/>
          <w:color w:val="auto"/>
          <w:sz w:val="24"/>
        </w:rPr>
        <w:t>行业；制造商为</w:t>
      </w:r>
      <w:r>
        <w:rPr>
          <w:rFonts w:ascii="宋体" w:hAnsi="宋体"/>
          <w:color w:val="auto"/>
          <w:sz w:val="24"/>
          <w:u w:val="single"/>
        </w:rPr>
        <w:t>（企业名称）</w:t>
      </w:r>
      <w:r>
        <w:rPr>
          <w:rFonts w:ascii="宋体" w:hAnsi="宋体"/>
          <w:color w:val="auto"/>
          <w:sz w:val="24"/>
        </w:rPr>
        <w:t>，从业人员</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人，营业收入为</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万元，资产总额为</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万元，属于</w:t>
      </w:r>
      <w:r>
        <w:rPr>
          <w:rFonts w:ascii="宋体" w:hAnsi="宋体"/>
          <w:color w:val="auto"/>
          <w:sz w:val="24"/>
          <w:u w:val="single"/>
        </w:rPr>
        <w:t>（中型企业、小型企业、微型企业）</w:t>
      </w:r>
      <w:r>
        <w:rPr>
          <w:rFonts w:ascii="宋体" w:hAnsi="宋体"/>
          <w:color w:val="auto"/>
          <w:sz w:val="24"/>
        </w:rPr>
        <w:t>；</w:t>
      </w:r>
    </w:p>
    <w:p w14:paraId="2942087C">
      <w:pPr>
        <w:tabs>
          <w:tab w:val="left" w:pos="1065"/>
          <w:tab w:val="left" w:pos="6477"/>
        </w:tabs>
        <w:spacing w:line="360" w:lineRule="auto"/>
        <w:ind w:left="-426" w:right="-58" w:firstLine="655"/>
        <w:contextualSpacing/>
        <w:rPr>
          <w:rFonts w:ascii="宋体" w:hAnsi="宋体"/>
          <w:color w:val="auto"/>
          <w:sz w:val="24"/>
        </w:rPr>
      </w:pPr>
      <w:r>
        <w:rPr>
          <w:rFonts w:ascii="宋体" w:hAnsi="宋体"/>
          <w:color w:val="auto"/>
          <w:sz w:val="24"/>
        </w:rPr>
        <w:t>2.</w:t>
      </w:r>
      <w:r>
        <w:rPr>
          <w:rFonts w:ascii="宋体" w:hAnsi="宋体"/>
          <w:color w:val="auto"/>
          <w:sz w:val="24"/>
          <w:u w:val="single"/>
        </w:rPr>
        <w:t>（标的名称）</w:t>
      </w:r>
      <w:r>
        <w:rPr>
          <w:rFonts w:ascii="宋体" w:hAnsi="宋体"/>
          <w:color w:val="auto"/>
          <w:sz w:val="24"/>
        </w:rPr>
        <w:t>，属于</w:t>
      </w:r>
      <w:r>
        <w:rPr>
          <w:rFonts w:ascii="宋体" w:hAnsi="宋体"/>
          <w:color w:val="auto"/>
          <w:sz w:val="24"/>
          <w:u w:val="single"/>
        </w:rPr>
        <w:t>（采购文件中明确的所属行业）</w:t>
      </w:r>
      <w:r>
        <w:rPr>
          <w:rFonts w:ascii="宋体" w:hAnsi="宋体"/>
          <w:color w:val="auto"/>
          <w:sz w:val="24"/>
        </w:rPr>
        <w:t>行业；制造商为</w:t>
      </w:r>
      <w:r>
        <w:rPr>
          <w:rFonts w:ascii="宋体" w:hAnsi="宋体"/>
          <w:color w:val="auto"/>
          <w:sz w:val="24"/>
          <w:u w:val="single"/>
        </w:rPr>
        <w:t>（企业名称）</w:t>
      </w:r>
      <w:r>
        <w:rPr>
          <w:rFonts w:ascii="宋体" w:hAnsi="宋体"/>
          <w:color w:val="auto"/>
          <w:sz w:val="24"/>
        </w:rPr>
        <w:t>，从业人员</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人，营业收入为</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万元，资产总额为</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万元，属于</w:t>
      </w:r>
      <w:r>
        <w:rPr>
          <w:rFonts w:ascii="宋体" w:hAnsi="宋体"/>
          <w:color w:val="auto"/>
          <w:sz w:val="24"/>
          <w:u w:val="single"/>
        </w:rPr>
        <w:t>（中型企业、小型企业、微型企业）</w:t>
      </w:r>
      <w:r>
        <w:rPr>
          <w:rFonts w:ascii="宋体" w:hAnsi="宋体"/>
          <w:color w:val="auto"/>
          <w:sz w:val="24"/>
        </w:rPr>
        <w:t>；</w:t>
      </w:r>
    </w:p>
    <w:p w14:paraId="44164964">
      <w:pPr>
        <w:pStyle w:val="25"/>
        <w:spacing w:after="0" w:line="360" w:lineRule="auto"/>
        <w:ind w:left="142" w:right="142"/>
        <w:contextualSpacing/>
        <w:rPr>
          <w:rFonts w:ascii="宋体" w:hAnsi="宋体"/>
          <w:color w:val="auto"/>
          <w:sz w:val="24"/>
        </w:rPr>
      </w:pPr>
      <w:r>
        <w:rPr>
          <w:rFonts w:ascii="宋体" w:hAnsi="宋体"/>
          <w:color w:val="auto"/>
          <w:sz w:val="24"/>
        </w:rPr>
        <w:t xml:space="preserve">…… </w:t>
      </w:r>
    </w:p>
    <w:p w14:paraId="75F7F648">
      <w:pPr>
        <w:pStyle w:val="25"/>
        <w:spacing w:after="0" w:line="360" w:lineRule="auto"/>
        <w:ind w:left="-405" w:leftChars="-193" w:right="142" w:firstLine="453" w:firstLineChars="189"/>
        <w:contextualSpacing/>
        <w:rPr>
          <w:rFonts w:ascii="宋体" w:hAnsi="宋体"/>
          <w:color w:val="auto"/>
          <w:sz w:val="24"/>
        </w:rPr>
      </w:pPr>
      <w:r>
        <w:rPr>
          <w:rFonts w:ascii="宋体" w:hAnsi="宋体"/>
          <w:color w:val="auto"/>
          <w:sz w:val="24"/>
        </w:rPr>
        <w:t>以上企业，不属于大企业的分支机构，不存在控股股东为大企业的情形，也不存在与大企业的负责人为同一人的情形。</w:t>
      </w:r>
    </w:p>
    <w:p w14:paraId="7E001FB5">
      <w:pPr>
        <w:pStyle w:val="25"/>
        <w:spacing w:after="0" w:line="360" w:lineRule="auto"/>
        <w:ind w:left="-426" w:right="142" w:firstLine="567"/>
        <w:contextualSpacing/>
        <w:rPr>
          <w:rFonts w:ascii="宋体" w:hAnsi="宋体"/>
          <w:color w:val="auto"/>
          <w:sz w:val="24"/>
        </w:rPr>
      </w:pPr>
      <w:r>
        <w:rPr>
          <w:rFonts w:ascii="宋体" w:hAnsi="宋体"/>
          <w:color w:val="auto"/>
          <w:sz w:val="24"/>
        </w:rPr>
        <w:t>本企业对上述声明内容的真实性负责。如有虚假，将依法承担相应责任。</w:t>
      </w:r>
    </w:p>
    <w:p w14:paraId="0CC1B4AC">
      <w:pPr>
        <w:pStyle w:val="25"/>
        <w:spacing w:after="0" w:line="360" w:lineRule="auto"/>
        <w:ind w:left="3960" w:right="1808"/>
        <w:contextualSpacing/>
        <w:rPr>
          <w:rFonts w:ascii="宋体" w:hAnsi="宋体"/>
          <w:color w:val="auto"/>
          <w:sz w:val="24"/>
        </w:rPr>
      </w:pPr>
    </w:p>
    <w:p w14:paraId="14997C47">
      <w:pPr>
        <w:pStyle w:val="25"/>
        <w:spacing w:after="0" w:line="360" w:lineRule="auto"/>
        <w:ind w:left="3960" w:right="1808"/>
        <w:contextualSpacing/>
        <w:rPr>
          <w:rFonts w:ascii="宋体" w:hAnsi="宋体"/>
          <w:color w:val="auto"/>
          <w:sz w:val="24"/>
        </w:rPr>
      </w:pPr>
      <w:r>
        <w:rPr>
          <w:rFonts w:ascii="宋体" w:hAnsi="宋体"/>
          <w:color w:val="auto"/>
          <w:sz w:val="24"/>
        </w:rPr>
        <w:t xml:space="preserve">企业名称（章）： </w:t>
      </w:r>
    </w:p>
    <w:p w14:paraId="2EAC89AA">
      <w:pPr>
        <w:pStyle w:val="25"/>
        <w:spacing w:after="0" w:line="360" w:lineRule="auto"/>
        <w:ind w:left="3960" w:right="1808"/>
        <w:contextualSpacing/>
        <w:rPr>
          <w:rFonts w:ascii="宋体" w:hAnsi="宋体"/>
          <w:color w:val="auto"/>
          <w:sz w:val="24"/>
        </w:rPr>
      </w:pPr>
      <w:r>
        <w:rPr>
          <w:rFonts w:ascii="宋体" w:hAnsi="宋体"/>
          <w:color w:val="auto"/>
          <w:sz w:val="24"/>
        </w:rPr>
        <w:t>日</w:t>
      </w:r>
      <w:r>
        <w:rPr>
          <w:rFonts w:hint="eastAsia" w:ascii="宋体" w:hAnsi="宋体"/>
          <w:color w:val="auto"/>
          <w:sz w:val="24"/>
        </w:rPr>
        <w:t xml:space="preserve"> </w:t>
      </w:r>
      <w:r>
        <w:rPr>
          <w:rFonts w:ascii="宋体" w:hAnsi="宋体"/>
          <w:color w:val="auto"/>
          <w:sz w:val="24"/>
        </w:rPr>
        <w:t>期：</w:t>
      </w:r>
    </w:p>
    <w:p w14:paraId="67B6EA07">
      <w:pPr>
        <w:pStyle w:val="25"/>
        <w:spacing w:after="0" w:line="360" w:lineRule="auto"/>
        <w:ind w:left="3960" w:right="1808"/>
        <w:contextualSpacing/>
        <w:rPr>
          <w:color w:val="auto"/>
        </w:rPr>
      </w:pPr>
    </w:p>
    <w:p w14:paraId="14BEA458">
      <w:pPr>
        <w:spacing w:line="360" w:lineRule="auto"/>
        <w:contextualSpacing/>
        <w:jc w:val="left"/>
        <w:rPr>
          <w:rFonts w:ascii="宋体" w:hAnsi="宋体" w:cs="仿宋_GB2312"/>
          <w:color w:val="auto"/>
          <w:sz w:val="24"/>
        </w:rPr>
      </w:pPr>
      <w:r>
        <w:rPr>
          <w:rFonts w:hint="eastAsia" w:ascii="宋体" w:hAnsi="宋体" w:cs="仿宋_GB2312"/>
          <w:color w:val="auto"/>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2C816056">
      <w:pPr>
        <w:spacing w:line="360" w:lineRule="auto"/>
        <w:contextualSpacing/>
        <w:jc w:val="center"/>
        <w:rPr>
          <w:rFonts w:ascii="仿宋_GB2312" w:hAnsi="仿宋_GB2312" w:eastAsia="仿宋_GB2312" w:cs="仿宋_GB2312"/>
          <w:color w:val="auto"/>
          <w:sz w:val="32"/>
          <w:szCs w:val="32"/>
        </w:rPr>
      </w:pPr>
      <w:r>
        <w:rPr>
          <w:rFonts w:ascii="宋体" w:hAnsi="宋体"/>
          <w:color w:val="auto"/>
          <w:sz w:val="24"/>
        </w:rPr>
        <w:br w:type="page"/>
      </w:r>
      <w:r>
        <w:rPr>
          <w:rFonts w:hint="eastAsia" w:ascii="Arial Unicode MS" w:hAnsi="Arial Unicode MS" w:eastAsia="Arial Unicode MS" w:cs="Arial Unicode MS"/>
          <w:color w:val="auto"/>
          <w:sz w:val="44"/>
          <w:szCs w:val="44"/>
        </w:rPr>
        <w:t>残疾人福利性单位声明函</w:t>
      </w:r>
    </w:p>
    <w:p w14:paraId="5075476F">
      <w:pPr>
        <w:spacing w:line="520" w:lineRule="exact"/>
        <w:rPr>
          <w:rFonts w:ascii="仿宋_GB2312" w:hAnsi="仿宋_GB2312" w:eastAsia="仿宋_GB2312" w:cs="仿宋_GB2312"/>
          <w:color w:val="auto"/>
          <w:sz w:val="32"/>
          <w:szCs w:val="32"/>
        </w:rPr>
      </w:pPr>
    </w:p>
    <w:p w14:paraId="17789BAE">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u w:val="single"/>
        </w:rPr>
        <w:t xml:space="preserve">       </w:t>
      </w:r>
      <w:r>
        <w:rPr>
          <w:rFonts w:hint="eastAsia" w:ascii="宋体" w:hAnsi="宋体" w:cs="仿宋_GB2312"/>
          <w:color w:val="auto"/>
          <w:sz w:val="24"/>
        </w:rPr>
        <w:t>单位的</w:t>
      </w:r>
      <w:r>
        <w:rPr>
          <w:rFonts w:hint="eastAsia" w:ascii="宋体" w:hAnsi="宋体" w:cs="仿宋_GB2312"/>
          <w:color w:val="auto"/>
          <w:sz w:val="24"/>
          <w:u w:val="single"/>
        </w:rPr>
        <w:t xml:space="preserve">        </w:t>
      </w:r>
      <w:r>
        <w:rPr>
          <w:rFonts w:hint="eastAsia" w:ascii="宋体" w:hAnsi="宋体" w:cs="仿宋_GB2312"/>
          <w:color w:val="auto"/>
          <w:sz w:val="24"/>
        </w:rPr>
        <w:t>项目采购活动提供本单位制造的货物（由本单位承担工程/提供服务），或者提供其他残疾人福利性单位制造的货物（不包括使用非残疾人福利性单位注册商标的货物）。</w:t>
      </w:r>
    </w:p>
    <w:p w14:paraId="5C14C91D">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本单位对上述声明的真实性负责。如有虚假，将依法承担相应责任。</w:t>
      </w:r>
    </w:p>
    <w:p w14:paraId="40C0A833">
      <w:pPr>
        <w:spacing w:line="360" w:lineRule="auto"/>
        <w:contextualSpacing/>
        <w:rPr>
          <w:rFonts w:ascii="宋体" w:hAnsi="宋体" w:cs="仿宋_GB2312"/>
          <w:color w:val="auto"/>
          <w:sz w:val="24"/>
        </w:rPr>
      </w:pPr>
    </w:p>
    <w:p w14:paraId="2740C288">
      <w:pPr>
        <w:spacing w:line="360" w:lineRule="auto"/>
        <w:contextualSpacing/>
        <w:rPr>
          <w:rFonts w:ascii="宋体" w:hAnsi="宋体" w:cs="仿宋_GB2312"/>
          <w:color w:val="auto"/>
          <w:sz w:val="24"/>
        </w:rPr>
      </w:pPr>
    </w:p>
    <w:p w14:paraId="63708107">
      <w:pPr>
        <w:spacing w:line="360" w:lineRule="auto"/>
        <w:contextualSpacing/>
        <w:rPr>
          <w:rFonts w:ascii="宋体" w:hAnsi="宋体" w:cs="仿宋_GB2312"/>
          <w:color w:val="auto"/>
          <w:sz w:val="24"/>
        </w:rPr>
      </w:pPr>
    </w:p>
    <w:p w14:paraId="6A980305">
      <w:pPr>
        <w:spacing w:line="360" w:lineRule="auto"/>
        <w:ind w:firstLine="2400" w:firstLineChars="1000"/>
        <w:contextualSpacing/>
        <w:rPr>
          <w:rFonts w:ascii="宋体" w:hAnsi="宋体" w:cs="仿宋_GB2312"/>
          <w:color w:val="auto"/>
          <w:sz w:val="24"/>
        </w:rPr>
      </w:pPr>
      <w:r>
        <w:rPr>
          <w:rFonts w:hint="eastAsia" w:ascii="宋体" w:hAnsi="宋体" w:cs="仿宋_GB2312"/>
          <w:color w:val="auto"/>
          <w:sz w:val="24"/>
        </w:rPr>
        <w:t>单位名称（盖章）：</w:t>
      </w:r>
    </w:p>
    <w:p w14:paraId="6B3ECEB3">
      <w:pPr>
        <w:spacing w:line="360" w:lineRule="auto"/>
        <w:ind w:firstLine="3600" w:firstLineChars="1500"/>
        <w:contextualSpacing/>
        <w:rPr>
          <w:rFonts w:ascii="宋体" w:hAnsi="宋体" w:cs="仿宋_GB2312"/>
          <w:color w:val="auto"/>
          <w:sz w:val="24"/>
        </w:rPr>
      </w:pPr>
      <w:r>
        <w:rPr>
          <w:rFonts w:hint="eastAsia" w:ascii="宋体" w:hAnsi="宋体" w:cs="仿宋_GB2312"/>
          <w:color w:val="auto"/>
          <w:sz w:val="24"/>
        </w:rPr>
        <w:t>日  期：</w:t>
      </w:r>
    </w:p>
    <w:p w14:paraId="5F590B9C">
      <w:pPr>
        <w:spacing w:line="360" w:lineRule="auto"/>
        <w:contextualSpacing/>
        <w:rPr>
          <w:rFonts w:ascii="宋体" w:hAnsi="宋体" w:cs="仿宋_GB2312"/>
          <w:color w:val="auto"/>
          <w:sz w:val="24"/>
        </w:rPr>
      </w:pPr>
    </w:p>
    <w:p w14:paraId="7EBF0D4E">
      <w:pPr>
        <w:spacing w:line="360" w:lineRule="auto"/>
        <w:contextualSpacing/>
        <w:rPr>
          <w:rFonts w:ascii="宋体" w:hAnsi="宋体" w:cs="仿宋_GB2312"/>
          <w:color w:val="auto"/>
          <w:sz w:val="24"/>
        </w:rPr>
      </w:pPr>
    </w:p>
    <w:p w14:paraId="29AF9ECF">
      <w:pPr>
        <w:spacing w:line="360" w:lineRule="auto"/>
        <w:contextualSpacing/>
        <w:rPr>
          <w:rFonts w:ascii="宋体" w:hAnsi="宋体" w:cs="仿宋_GB2312"/>
          <w:color w:val="auto"/>
          <w:sz w:val="24"/>
        </w:rPr>
      </w:pPr>
    </w:p>
    <w:p w14:paraId="150E1165">
      <w:pPr>
        <w:spacing w:line="360" w:lineRule="auto"/>
        <w:contextualSpacing/>
        <w:rPr>
          <w:rFonts w:ascii="宋体" w:hAnsi="宋体" w:cs="仿宋_GB2312"/>
          <w:color w:val="auto"/>
          <w:sz w:val="24"/>
        </w:rPr>
      </w:pPr>
      <w:r>
        <w:rPr>
          <w:rFonts w:hint="eastAsia" w:ascii="宋体" w:hAnsi="宋体" w:cs="仿宋_GB2312"/>
          <w:color w:val="auto"/>
          <w:sz w:val="24"/>
        </w:rPr>
        <w:t>注：请根据自己的真实情况出具《残疾人福利性单位声明函》。依法享受中小企业优惠政策的，采购人或者采购代理机构在公告成交结果时，同时公告其《残疾人福利性单位声明函》，接受社会监督。</w:t>
      </w:r>
    </w:p>
    <w:p w14:paraId="42A4FA3D">
      <w:pPr>
        <w:pStyle w:val="9"/>
        <w:jc w:val="center"/>
        <w:rPr>
          <w:color w:val="auto"/>
        </w:rPr>
      </w:pPr>
      <w:r>
        <w:rPr>
          <w:color w:val="auto"/>
        </w:rPr>
        <w:br w:type="page"/>
      </w:r>
      <w:bookmarkStart w:id="66" w:name="_Toc15072"/>
      <w:r>
        <w:rPr>
          <w:rFonts w:hint="eastAsia"/>
          <w:color w:val="auto"/>
        </w:rPr>
        <w:t>第六章 合同文本</w:t>
      </w:r>
      <w:bookmarkEnd w:id="66"/>
    </w:p>
    <w:p w14:paraId="546EA08B">
      <w:pPr>
        <w:spacing w:line="400" w:lineRule="exact"/>
        <w:jc w:val="center"/>
        <w:rPr>
          <w:rFonts w:ascii="宋体" w:hAnsi="宋体"/>
          <w:b/>
          <w:bCs/>
          <w:color w:val="auto"/>
          <w:sz w:val="32"/>
          <w:szCs w:val="32"/>
        </w:rPr>
      </w:pPr>
      <w:r>
        <w:rPr>
          <w:rFonts w:hint="eastAsia" w:ascii="宋体" w:hAnsi="宋体"/>
          <w:b/>
          <w:bCs/>
          <w:color w:val="auto"/>
          <w:sz w:val="32"/>
          <w:szCs w:val="32"/>
        </w:rPr>
        <w:t>《广西壮族自治区政府采购合同》</w:t>
      </w:r>
      <w:r>
        <w:rPr>
          <w:rFonts w:hint="eastAsia" w:ascii="宋体" w:hAnsi="宋体"/>
          <w:b/>
          <w:color w:val="auto"/>
          <w:sz w:val="32"/>
          <w:szCs w:val="32"/>
        </w:rPr>
        <w:t>文本</w:t>
      </w:r>
    </w:p>
    <w:p w14:paraId="0CE53C46">
      <w:pPr>
        <w:spacing w:line="400" w:lineRule="exact"/>
        <w:ind w:right="480" w:firstLine="5250" w:firstLineChars="2500"/>
        <w:rPr>
          <w:rFonts w:ascii="宋体" w:hAnsi="宋体"/>
          <w:bCs/>
          <w:color w:val="auto"/>
          <w:szCs w:val="21"/>
        </w:rPr>
      </w:pPr>
    </w:p>
    <w:p w14:paraId="143FFF62">
      <w:pPr>
        <w:spacing w:line="400" w:lineRule="exact"/>
        <w:ind w:right="480" w:firstLine="5250" w:firstLineChars="2500"/>
        <w:rPr>
          <w:rFonts w:ascii="宋体" w:hAnsi="宋体" w:cs="宋体"/>
          <w:bCs/>
          <w:color w:val="auto"/>
          <w:szCs w:val="21"/>
          <w:u w:val="single"/>
        </w:rPr>
      </w:pPr>
      <w:r>
        <w:rPr>
          <w:rFonts w:hint="eastAsia" w:ascii="宋体" w:hAnsi="宋体" w:cs="宋体"/>
          <w:bCs/>
          <w:color w:val="auto"/>
          <w:szCs w:val="21"/>
        </w:rPr>
        <w:t>合同编号：</w:t>
      </w:r>
    </w:p>
    <w:p w14:paraId="0B68568C">
      <w:pPr>
        <w:spacing w:line="400" w:lineRule="exact"/>
        <w:rPr>
          <w:rFonts w:ascii="宋体" w:hAnsi="宋体" w:cs="宋体"/>
          <w:color w:val="auto"/>
          <w:szCs w:val="21"/>
        </w:rPr>
      </w:pPr>
    </w:p>
    <w:p w14:paraId="5EBFA85A">
      <w:pPr>
        <w:spacing w:line="360" w:lineRule="auto"/>
        <w:rPr>
          <w:rFonts w:ascii="宋体" w:hAnsi="宋体"/>
          <w:color w:val="auto"/>
          <w:szCs w:val="21"/>
          <w:u w:val="single"/>
        </w:rPr>
      </w:pPr>
      <w:r>
        <w:rPr>
          <w:rFonts w:hint="eastAsia" w:ascii="宋体" w:hAnsi="宋体"/>
          <w:color w:val="auto"/>
          <w:szCs w:val="21"/>
        </w:rPr>
        <w:t>采购人（甲方）：</w:t>
      </w:r>
      <w:r>
        <w:rPr>
          <w:rFonts w:hint="eastAsia" w:ascii="宋体" w:hAnsi="宋体"/>
          <w:color w:val="auto"/>
          <w:szCs w:val="21"/>
          <w:u w:val="single"/>
        </w:rPr>
        <w:t xml:space="preserve">                     </w:t>
      </w:r>
      <w:r>
        <w:rPr>
          <w:rFonts w:hint="eastAsia" w:ascii="宋体" w:hAnsi="宋体"/>
          <w:color w:val="auto"/>
          <w:szCs w:val="21"/>
        </w:rPr>
        <w:t xml:space="preserve">  </w:t>
      </w:r>
    </w:p>
    <w:p w14:paraId="29C77D6F">
      <w:pPr>
        <w:spacing w:line="360" w:lineRule="auto"/>
        <w:rPr>
          <w:rFonts w:ascii="宋体" w:hAnsi="宋体"/>
          <w:color w:val="auto"/>
          <w:szCs w:val="21"/>
          <w:u w:val="single"/>
        </w:rPr>
      </w:pPr>
      <w:r>
        <w:rPr>
          <w:rFonts w:hint="eastAsia" w:ascii="宋体" w:hAnsi="宋体"/>
          <w:color w:val="auto"/>
          <w:szCs w:val="21"/>
        </w:rPr>
        <w:t>供应商（乙方）：</w:t>
      </w:r>
      <w:r>
        <w:rPr>
          <w:rFonts w:hint="eastAsia" w:ascii="宋体" w:hAnsi="宋体"/>
          <w:color w:val="auto"/>
          <w:szCs w:val="21"/>
          <w:u w:val="single"/>
        </w:rPr>
        <w:t xml:space="preserve">                     </w:t>
      </w:r>
    </w:p>
    <w:p w14:paraId="5902FFAB">
      <w:pPr>
        <w:spacing w:line="360" w:lineRule="auto"/>
        <w:rPr>
          <w:rFonts w:ascii="宋体" w:hAnsi="宋体"/>
          <w:color w:val="auto"/>
          <w:szCs w:val="21"/>
        </w:rPr>
      </w:pPr>
      <w:r>
        <w:rPr>
          <w:rFonts w:hint="eastAsia" w:ascii="宋体" w:hAnsi="宋体"/>
          <w:color w:val="auto"/>
          <w:spacing w:val="-20"/>
          <w:szCs w:val="21"/>
        </w:rPr>
        <w:t>采 购 计 划 号：</w:t>
      </w:r>
      <w:r>
        <w:rPr>
          <w:rFonts w:hint="eastAsia" w:ascii="宋体" w:hAnsi="宋体"/>
          <w:color w:val="auto"/>
          <w:szCs w:val="21"/>
          <w:u w:val="single"/>
        </w:rPr>
        <w:t xml:space="preserve">                         </w:t>
      </w:r>
    </w:p>
    <w:p w14:paraId="57F1815D">
      <w:pPr>
        <w:spacing w:line="360" w:lineRule="auto"/>
        <w:rPr>
          <w:rFonts w:ascii="宋体" w:hAnsi="宋体"/>
          <w:color w:val="auto"/>
          <w:szCs w:val="21"/>
          <w:u w:val="single"/>
        </w:rPr>
      </w:pPr>
      <w:r>
        <w:rPr>
          <w:rFonts w:hint="eastAsia" w:ascii="宋体" w:hAnsi="宋体"/>
          <w:color w:val="auto"/>
          <w:szCs w:val="21"/>
        </w:rPr>
        <w:t>项目名称：</w:t>
      </w:r>
      <w:r>
        <w:rPr>
          <w:rFonts w:hint="eastAsia" w:ascii="宋体" w:hAnsi="宋体"/>
          <w:color w:val="auto"/>
          <w:szCs w:val="21"/>
          <w:u w:val="single"/>
        </w:rPr>
        <w:t xml:space="preserve">                           </w:t>
      </w:r>
    </w:p>
    <w:p w14:paraId="31D35227">
      <w:pPr>
        <w:spacing w:line="360" w:lineRule="auto"/>
        <w:rPr>
          <w:rFonts w:ascii="宋体" w:hAnsi="宋体"/>
          <w:color w:val="auto"/>
          <w:szCs w:val="21"/>
          <w:u w:val="single"/>
        </w:rPr>
      </w:pPr>
      <w:r>
        <w:rPr>
          <w:rFonts w:hint="eastAsia" w:ascii="宋体" w:hAnsi="宋体"/>
          <w:color w:val="auto"/>
          <w:szCs w:val="21"/>
        </w:rPr>
        <w:t>项目编号：</w:t>
      </w:r>
      <w:r>
        <w:rPr>
          <w:rFonts w:hint="eastAsia" w:ascii="宋体" w:hAnsi="宋体"/>
          <w:color w:val="auto"/>
          <w:szCs w:val="21"/>
          <w:u w:val="single"/>
        </w:rPr>
        <w:t xml:space="preserve">                           </w:t>
      </w:r>
    </w:p>
    <w:p w14:paraId="1B183022">
      <w:pPr>
        <w:spacing w:line="360" w:lineRule="auto"/>
        <w:rPr>
          <w:rFonts w:ascii="宋体" w:hAnsi="宋体"/>
          <w:color w:val="auto"/>
        </w:rPr>
      </w:pPr>
      <w:r>
        <w:rPr>
          <w:rFonts w:hint="eastAsia" w:ascii="宋体" w:hAnsi="宋体"/>
          <w:color w:val="auto"/>
          <w:szCs w:val="21"/>
        </w:rPr>
        <w:t>合同</w:t>
      </w:r>
      <w:r>
        <w:rPr>
          <w:rFonts w:hint="eastAsia" w:ascii="宋体" w:hAnsi="宋体"/>
          <w:color w:val="auto"/>
        </w:rPr>
        <w:t>类型：</w:t>
      </w:r>
      <w:r>
        <w:rPr>
          <w:rFonts w:hint="eastAsia" w:ascii="宋体" w:hAnsi="宋体"/>
          <w:color w:val="auto"/>
          <w:u w:val="single"/>
        </w:rPr>
        <w:t>买卖合同</w:t>
      </w:r>
    </w:p>
    <w:p w14:paraId="7CC91942">
      <w:pPr>
        <w:spacing w:line="360" w:lineRule="auto"/>
        <w:rPr>
          <w:rFonts w:ascii="宋体" w:hAnsi="宋体" w:cs="宋体"/>
          <w:color w:val="auto"/>
          <w:szCs w:val="21"/>
        </w:rPr>
      </w:pPr>
      <w:r>
        <w:rPr>
          <w:rFonts w:hint="eastAsia" w:ascii="宋体" w:hAnsi="宋体" w:cs="宋体"/>
          <w:color w:val="auto"/>
          <w:szCs w:val="21"/>
        </w:rPr>
        <w:t>本合同为中小企业预留合同：</w:t>
      </w:r>
      <w:r>
        <w:rPr>
          <w:rFonts w:hint="eastAsia" w:ascii="宋体" w:hAnsi="宋体" w:cs="宋体"/>
          <w:iCs/>
          <w:color w:val="auto"/>
          <w:szCs w:val="21"/>
          <w:u w:val="single"/>
        </w:rPr>
        <w:t>（是或否）</w:t>
      </w:r>
      <w:r>
        <w:rPr>
          <w:rFonts w:hint="eastAsia" w:ascii="宋体" w:hAnsi="宋体" w:cs="宋体"/>
          <w:color w:val="auto"/>
          <w:szCs w:val="21"/>
        </w:rPr>
        <w:t>。</w:t>
      </w:r>
    </w:p>
    <w:p w14:paraId="285EFE07">
      <w:pPr>
        <w:ind w:firstLine="420"/>
        <w:rPr>
          <w:color w:val="auto"/>
        </w:rPr>
      </w:pPr>
    </w:p>
    <w:p w14:paraId="7F371FD7">
      <w:pPr>
        <w:spacing w:line="400" w:lineRule="exact"/>
        <w:ind w:firstLine="420" w:firstLineChars="200"/>
        <w:rPr>
          <w:rFonts w:ascii="宋体" w:hAnsi="宋体" w:cs="宋体"/>
          <w:color w:val="auto"/>
          <w:szCs w:val="21"/>
        </w:rPr>
      </w:pPr>
      <w:r>
        <w:rPr>
          <w:rFonts w:hint="eastAsia" w:ascii="宋体" w:hAnsi="宋体" w:cs="宋体"/>
          <w:color w:val="auto"/>
          <w:szCs w:val="21"/>
        </w:rPr>
        <w:t>根据《中华人民共和国政府采购法》《中华人民共和国民法典》等法律法规规定，按照采购文件规定条款和乙方响应文件及其承诺，甲乙双方签订本合同。</w:t>
      </w:r>
    </w:p>
    <w:p w14:paraId="5DBC79AC">
      <w:pPr>
        <w:spacing w:line="400" w:lineRule="exact"/>
        <w:ind w:firstLine="422" w:firstLineChars="200"/>
        <w:rPr>
          <w:rFonts w:ascii="宋体" w:hAnsi="宋体" w:cs="宋体"/>
          <w:b/>
          <w:color w:val="auto"/>
          <w:szCs w:val="21"/>
        </w:rPr>
      </w:pPr>
      <w:r>
        <w:rPr>
          <w:rFonts w:hint="eastAsia" w:ascii="宋体" w:hAnsi="宋体" w:cs="宋体"/>
          <w:b/>
          <w:color w:val="auto"/>
          <w:szCs w:val="21"/>
        </w:rPr>
        <w:t>第一条　合同标的</w:t>
      </w:r>
    </w:p>
    <w:p w14:paraId="700BBBED">
      <w:pPr>
        <w:spacing w:line="400" w:lineRule="exact"/>
        <w:ind w:firstLine="420" w:firstLineChars="200"/>
        <w:rPr>
          <w:rFonts w:ascii="宋体" w:hAnsi="宋体" w:cs="宋体"/>
          <w:color w:val="auto"/>
          <w:szCs w:val="21"/>
        </w:rPr>
      </w:pPr>
      <w:r>
        <w:rPr>
          <w:rFonts w:hint="eastAsia" w:ascii="宋体" w:hAnsi="宋体" w:cs="宋体"/>
          <w:color w:val="auto"/>
          <w:szCs w:val="21"/>
        </w:rPr>
        <w:t>1.项目一览表</w:t>
      </w:r>
    </w:p>
    <w:tbl>
      <w:tblPr>
        <w:tblStyle w:val="6"/>
        <w:tblW w:w="8859"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084"/>
        <w:gridCol w:w="1119"/>
        <w:gridCol w:w="1841"/>
        <w:gridCol w:w="2095"/>
      </w:tblGrid>
      <w:tr w14:paraId="3014E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04B5FE7D">
            <w:pPr>
              <w:spacing w:line="400" w:lineRule="exact"/>
              <w:jc w:val="center"/>
              <w:rPr>
                <w:rFonts w:ascii="宋体" w:hAnsi="宋体" w:cs="宋体"/>
                <w:color w:val="auto"/>
                <w:szCs w:val="21"/>
              </w:rPr>
            </w:pPr>
            <w:r>
              <w:rPr>
                <w:rFonts w:hint="eastAsia" w:ascii="宋体" w:hAnsi="宋体" w:cs="宋体"/>
                <w:color w:val="auto"/>
                <w:szCs w:val="21"/>
              </w:rPr>
              <w:t>序号</w:t>
            </w:r>
          </w:p>
        </w:tc>
        <w:tc>
          <w:tcPr>
            <w:tcW w:w="3084" w:type="dxa"/>
            <w:tcBorders>
              <w:top w:val="single" w:color="auto" w:sz="4" w:space="0"/>
              <w:left w:val="single" w:color="auto" w:sz="4" w:space="0"/>
              <w:bottom w:val="single" w:color="auto" w:sz="4" w:space="0"/>
              <w:right w:val="single" w:color="auto" w:sz="4" w:space="0"/>
            </w:tcBorders>
            <w:vAlign w:val="center"/>
          </w:tcPr>
          <w:p w14:paraId="288D316A">
            <w:pPr>
              <w:spacing w:line="400" w:lineRule="exact"/>
              <w:jc w:val="center"/>
              <w:rPr>
                <w:rFonts w:ascii="宋体" w:hAnsi="宋体" w:cs="宋体"/>
                <w:color w:val="auto"/>
                <w:szCs w:val="21"/>
              </w:rPr>
            </w:pPr>
            <w:r>
              <w:rPr>
                <w:rFonts w:hint="eastAsia" w:ascii="宋体" w:hAnsi="宋体" w:cs="宋体"/>
                <w:color w:val="auto"/>
                <w:szCs w:val="21"/>
              </w:rPr>
              <w:t>标的名称</w:t>
            </w:r>
          </w:p>
        </w:tc>
        <w:tc>
          <w:tcPr>
            <w:tcW w:w="1119" w:type="dxa"/>
            <w:tcBorders>
              <w:top w:val="single" w:color="auto" w:sz="4" w:space="0"/>
              <w:left w:val="single" w:color="auto" w:sz="4" w:space="0"/>
              <w:bottom w:val="single" w:color="auto" w:sz="4" w:space="0"/>
              <w:right w:val="single" w:color="auto" w:sz="4" w:space="0"/>
            </w:tcBorders>
            <w:vAlign w:val="center"/>
          </w:tcPr>
          <w:p w14:paraId="1459B6C8">
            <w:pPr>
              <w:spacing w:line="400" w:lineRule="exact"/>
              <w:jc w:val="center"/>
              <w:rPr>
                <w:rFonts w:ascii="宋体" w:hAnsi="宋体" w:cs="宋体"/>
                <w:color w:val="auto"/>
                <w:szCs w:val="21"/>
              </w:rPr>
            </w:pPr>
            <w:r>
              <w:rPr>
                <w:rFonts w:hint="eastAsia" w:ascii="宋体" w:hAnsi="宋体" w:cs="宋体"/>
                <w:color w:val="auto"/>
                <w:szCs w:val="21"/>
              </w:rPr>
              <w:t>数量</w:t>
            </w:r>
          </w:p>
        </w:tc>
        <w:tc>
          <w:tcPr>
            <w:tcW w:w="1841" w:type="dxa"/>
            <w:tcBorders>
              <w:top w:val="single" w:color="auto" w:sz="4" w:space="0"/>
              <w:left w:val="single" w:color="auto" w:sz="4" w:space="0"/>
              <w:bottom w:val="single" w:color="auto" w:sz="4" w:space="0"/>
              <w:right w:val="single" w:color="auto" w:sz="4" w:space="0"/>
            </w:tcBorders>
            <w:vAlign w:val="center"/>
          </w:tcPr>
          <w:p w14:paraId="5B3FF5EC">
            <w:pPr>
              <w:spacing w:line="400" w:lineRule="exact"/>
              <w:jc w:val="center"/>
              <w:rPr>
                <w:rFonts w:ascii="宋体" w:hAnsi="宋体" w:cs="宋体"/>
                <w:color w:val="auto"/>
                <w:szCs w:val="21"/>
              </w:rPr>
            </w:pPr>
            <w:r>
              <w:rPr>
                <w:rFonts w:hint="eastAsia" w:ascii="宋体" w:hAnsi="宋体" w:cs="宋体"/>
                <w:color w:val="auto"/>
                <w:szCs w:val="21"/>
              </w:rPr>
              <w:t>单价（元/人）</w:t>
            </w:r>
          </w:p>
        </w:tc>
        <w:tc>
          <w:tcPr>
            <w:tcW w:w="2095" w:type="dxa"/>
            <w:tcBorders>
              <w:top w:val="single" w:color="auto" w:sz="4" w:space="0"/>
              <w:left w:val="single" w:color="auto" w:sz="4" w:space="0"/>
              <w:bottom w:val="single" w:color="auto" w:sz="4" w:space="0"/>
              <w:right w:val="single" w:color="auto" w:sz="4" w:space="0"/>
            </w:tcBorders>
            <w:vAlign w:val="center"/>
          </w:tcPr>
          <w:p w14:paraId="17EF8EEA">
            <w:pPr>
              <w:spacing w:line="400" w:lineRule="exact"/>
              <w:jc w:val="center"/>
              <w:rPr>
                <w:rFonts w:ascii="宋体" w:hAnsi="宋体" w:cs="宋体"/>
                <w:color w:val="auto"/>
                <w:szCs w:val="21"/>
              </w:rPr>
            </w:pPr>
            <w:r>
              <w:rPr>
                <w:rFonts w:hint="eastAsia" w:ascii="宋体" w:hAnsi="宋体" w:cs="宋体"/>
                <w:color w:val="auto"/>
                <w:szCs w:val="21"/>
              </w:rPr>
              <w:t>总价（元）</w:t>
            </w:r>
          </w:p>
        </w:tc>
      </w:tr>
      <w:tr w14:paraId="19BA1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0A06B128">
            <w:pPr>
              <w:spacing w:line="400" w:lineRule="exact"/>
              <w:jc w:val="center"/>
              <w:rPr>
                <w:rFonts w:ascii="宋体" w:hAnsi="宋体" w:cs="宋体"/>
                <w:color w:val="auto"/>
                <w:szCs w:val="21"/>
              </w:rPr>
            </w:pPr>
            <w:r>
              <w:rPr>
                <w:rFonts w:hint="eastAsia" w:ascii="宋体" w:hAnsi="宋体" w:cs="宋体"/>
                <w:color w:val="auto"/>
                <w:szCs w:val="21"/>
              </w:rPr>
              <w:t>1</w:t>
            </w:r>
          </w:p>
        </w:tc>
        <w:tc>
          <w:tcPr>
            <w:tcW w:w="3084" w:type="dxa"/>
            <w:tcBorders>
              <w:top w:val="single" w:color="auto" w:sz="4" w:space="0"/>
              <w:left w:val="single" w:color="auto" w:sz="4" w:space="0"/>
              <w:bottom w:val="single" w:color="auto" w:sz="4" w:space="0"/>
              <w:right w:val="single" w:color="auto" w:sz="4" w:space="0"/>
            </w:tcBorders>
            <w:vAlign w:val="center"/>
          </w:tcPr>
          <w:p w14:paraId="6A81FF6C">
            <w:pPr>
              <w:spacing w:line="400" w:lineRule="exact"/>
              <w:jc w:val="center"/>
              <w:rPr>
                <w:rFonts w:ascii="宋体" w:hAnsi="宋体" w:cs="宋体"/>
                <w:color w:val="auto"/>
                <w:szCs w:val="21"/>
              </w:rPr>
            </w:pPr>
            <w:r>
              <w:rPr>
                <w:rFonts w:hint="eastAsia" w:ascii="宋体" w:hAnsi="宋体" w:cs="宋体"/>
                <w:color w:val="auto"/>
                <w:szCs w:val="21"/>
              </w:rPr>
              <w:t>崇左市人民医院2026年度残疾人劳务派遣服务项目</w:t>
            </w:r>
          </w:p>
        </w:tc>
        <w:tc>
          <w:tcPr>
            <w:tcW w:w="1119" w:type="dxa"/>
            <w:tcBorders>
              <w:top w:val="single" w:color="auto" w:sz="4" w:space="0"/>
              <w:left w:val="single" w:color="auto" w:sz="4" w:space="0"/>
              <w:bottom w:val="single" w:color="auto" w:sz="4" w:space="0"/>
              <w:right w:val="single" w:color="auto" w:sz="4" w:space="0"/>
            </w:tcBorders>
            <w:vAlign w:val="center"/>
          </w:tcPr>
          <w:p w14:paraId="40AD666B">
            <w:pPr>
              <w:spacing w:line="400" w:lineRule="exact"/>
              <w:jc w:val="center"/>
              <w:rPr>
                <w:rFonts w:ascii="宋体" w:hAnsi="宋体" w:cs="宋体"/>
                <w:color w:val="auto"/>
                <w:szCs w:val="21"/>
              </w:rPr>
            </w:pPr>
            <w:r>
              <w:rPr>
                <w:rFonts w:hint="eastAsia" w:ascii="宋体" w:hAnsi="宋体" w:cs="宋体"/>
                <w:color w:val="auto"/>
                <w:szCs w:val="21"/>
              </w:rPr>
              <w:t>12人</w:t>
            </w:r>
          </w:p>
        </w:tc>
        <w:tc>
          <w:tcPr>
            <w:tcW w:w="1841" w:type="dxa"/>
            <w:tcBorders>
              <w:top w:val="single" w:color="auto" w:sz="4" w:space="0"/>
              <w:left w:val="single" w:color="auto" w:sz="4" w:space="0"/>
              <w:bottom w:val="single" w:color="auto" w:sz="4" w:space="0"/>
              <w:right w:val="single" w:color="auto" w:sz="4" w:space="0"/>
            </w:tcBorders>
            <w:vAlign w:val="center"/>
          </w:tcPr>
          <w:p w14:paraId="260D783E">
            <w:pPr>
              <w:spacing w:line="400" w:lineRule="exact"/>
              <w:jc w:val="center"/>
              <w:rPr>
                <w:rFonts w:ascii="宋体" w:hAnsi="宋体" w:cs="宋体"/>
                <w:color w:val="auto"/>
                <w:szCs w:val="21"/>
              </w:rPr>
            </w:pPr>
          </w:p>
        </w:tc>
        <w:tc>
          <w:tcPr>
            <w:tcW w:w="2095" w:type="dxa"/>
            <w:tcBorders>
              <w:top w:val="single" w:color="auto" w:sz="4" w:space="0"/>
              <w:left w:val="single" w:color="auto" w:sz="4" w:space="0"/>
              <w:bottom w:val="single" w:color="auto" w:sz="4" w:space="0"/>
              <w:right w:val="single" w:color="auto" w:sz="4" w:space="0"/>
            </w:tcBorders>
            <w:vAlign w:val="center"/>
          </w:tcPr>
          <w:p w14:paraId="0DE4B6B1">
            <w:pPr>
              <w:spacing w:line="400" w:lineRule="exact"/>
              <w:jc w:val="center"/>
              <w:rPr>
                <w:rFonts w:ascii="宋体" w:hAnsi="宋体" w:cs="宋体"/>
                <w:color w:val="auto"/>
                <w:szCs w:val="21"/>
              </w:rPr>
            </w:pPr>
          </w:p>
        </w:tc>
      </w:tr>
      <w:tr w14:paraId="0205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859" w:type="dxa"/>
            <w:gridSpan w:val="5"/>
            <w:tcBorders>
              <w:top w:val="single" w:color="auto" w:sz="4" w:space="0"/>
              <w:left w:val="single" w:color="auto" w:sz="4" w:space="0"/>
              <w:bottom w:val="single" w:color="auto" w:sz="4" w:space="0"/>
              <w:right w:val="single" w:color="auto" w:sz="4" w:space="0"/>
            </w:tcBorders>
            <w:vAlign w:val="center"/>
          </w:tcPr>
          <w:p w14:paraId="030CB61F">
            <w:pPr>
              <w:pStyle w:val="97"/>
              <w:spacing w:line="400" w:lineRule="exact"/>
              <w:rPr>
                <w:rFonts w:ascii="新宋体" w:hAnsi="新宋体" w:eastAsia="新宋体" w:cs="新宋体"/>
                <w:color w:val="auto"/>
              </w:rPr>
            </w:pPr>
            <w:r>
              <w:rPr>
                <w:rFonts w:hint="eastAsia" w:ascii="新宋体" w:hAnsi="新宋体" w:eastAsia="新宋体" w:cs="新宋体"/>
                <w:color w:val="auto"/>
              </w:rPr>
              <w:t>磋商报价（人民币）：大写</w:t>
            </w:r>
            <w:r>
              <w:rPr>
                <w:rFonts w:hint="eastAsia" w:ascii="新宋体" w:hAnsi="新宋体" w:eastAsia="新宋体" w:cs="新宋体"/>
                <w:bCs/>
                <w:color w:val="auto"/>
                <w:u w:val="single"/>
              </w:rPr>
              <w:t xml:space="preserve">                   元</w:t>
            </w:r>
            <w:r>
              <w:rPr>
                <w:rFonts w:hint="eastAsia" w:ascii="新宋体" w:hAnsi="新宋体" w:eastAsia="新宋体" w:cs="新宋体"/>
                <w:bCs/>
                <w:color w:val="auto"/>
              </w:rPr>
              <w:t xml:space="preserve"> （￥</w:t>
            </w:r>
            <w:r>
              <w:rPr>
                <w:rFonts w:hint="eastAsia" w:ascii="新宋体" w:hAnsi="新宋体" w:eastAsia="新宋体" w:cs="新宋体"/>
                <w:bCs/>
                <w:color w:val="auto"/>
                <w:u w:val="single"/>
              </w:rPr>
              <w:t xml:space="preserve">        </w:t>
            </w:r>
            <w:r>
              <w:rPr>
                <w:rFonts w:hint="eastAsia" w:ascii="新宋体" w:hAnsi="新宋体" w:eastAsia="新宋体" w:cs="新宋体"/>
                <w:bCs/>
                <w:color w:val="auto"/>
              </w:rPr>
              <w:t>）</w:t>
            </w:r>
          </w:p>
        </w:tc>
      </w:tr>
      <w:tr w14:paraId="0CD9A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859" w:type="dxa"/>
            <w:gridSpan w:val="5"/>
            <w:tcBorders>
              <w:top w:val="single" w:color="auto" w:sz="4" w:space="0"/>
              <w:left w:val="single" w:color="auto" w:sz="4" w:space="0"/>
              <w:bottom w:val="single" w:color="auto" w:sz="4" w:space="0"/>
              <w:right w:val="single" w:color="auto" w:sz="4" w:space="0"/>
            </w:tcBorders>
            <w:vAlign w:val="center"/>
          </w:tcPr>
          <w:p w14:paraId="6DD85590">
            <w:pPr>
              <w:spacing w:line="400" w:lineRule="exact"/>
              <w:rPr>
                <w:rFonts w:ascii="新宋体" w:hAnsi="新宋体" w:cs="新宋体"/>
                <w:color w:val="auto"/>
                <w:szCs w:val="21"/>
              </w:rPr>
            </w:pPr>
            <w:r>
              <w:rPr>
                <w:rFonts w:hint="eastAsia" w:ascii="宋体" w:hAnsi="宋体"/>
                <w:color w:val="auto"/>
                <w:szCs w:val="21"/>
              </w:rPr>
              <w:t>合同履行期限：自签订合同之日起3年。</w:t>
            </w:r>
          </w:p>
        </w:tc>
      </w:tr>
    </w:tbl>
    <w:p w14:paraId="479D61DA">
      <w:pPr>
        <w:spacing w:line="440" w:lineRule="exact"/>
        <w:ind w:firstLine="420" w:firstLineChars="200"/>
        <w:rPr>
          <w:rFonts w:ascii="宋体" w:hAnsi="宋体" w:cs="宋体"/>
          <w:color w:val="auto"/>
          <w:szCs w:val="21"/>
        </w:rPr>
      </w:pPr>
      <w:r>
        <w:rPr>
          <w:rFonts w:hint="eastAsia" w:ascii="宋体" w:hAnsi="宋体" w:cs="宋体"/>
          <w:color w:val="auto"/>
          <w:szCs w:val="21"/>
        </w:rPr>
        <w:t>2.合同合计金额包含管理费、安全措施费、本项目的采购代理服务费、服务人员的工资、按规定缴纳的社会保险费和福利</w:t>
      </w:r>
      <w:r>
        <w:rPr>
          <w:rFonts w:hint="eastAsia" w:ascii="宋体" w:hAnsi="宋体" w:cs="宋体"/>
          <w:color w:val="auto"/>
          <w:szCs w:val="21"/>
          <w:lang w:eastAsia="zh-CN"/>
        </w:rPr>
        <w:t>费以</w:t>
      </w:r>
      <w:r>
        <w:rPr>
          <w:rFonts w:hint="eastAsia" w:ascii="宋体" w:hAnsi="宋体" w:cs="宋体"/>
          <w:color w:val="auto"/>
          <w:szCs w:val="21"/>
        </w:rPr>
        <w:t>及国</w:t>
      </w:r>
      <w:r>
        <w:rPr>
          <w:rFonts w:hint="eastAsia" w:ascii="宋体" w:hAnsi="宋体" w:cs="宋体"/>
          <w:color w:val="auto"/>
          <w:szCs w:val="21"/>
          <w:lang w:eastAsia="zh-CN"/>
        </w:rPr>
        <w:t>家和</w:t>
      </w:r>
      <w:r>
        <w:rPr>
          <w:rFonts w:hint="eastAsia" w:ascii="宋体" w:hAnsi="宋体" w:cs="宋体"/>
          <w:color w:val="auto"/>
          <w:szCs w:val="21"/>
        </w:rPr>
        <w:t>地方规定必须缴纳的费用、日常管理行政办公费、法定税费及人员培训等类似服务内容的全部费用。</w:t>
      </w:r>
    </w:p>
    <w:p w14:paraId="029B558E">
      <w:pPr>
        <w:spacing w:line="400" w:lineRule="exact"/>
        <w:ind w:firstLine="422" w:firstLineChars="200"/>
        <w:rPr>
          <w:rFonts w:ascii="宋体" w:hAnsi="宋体" w:cs="宋体"/>
          <w:b/>
          <w:color w:val="auto"/>
          <w:szCs w:val="21"/>
        </w:rPr>
      </w:pPr>
      <w:r>
        <w:rPr>
          <w:rFonts w:hint="eastAsia" w:ascii="宋体" w:hAnsi="宋体" w:cs="宋体"/>
          <w:b/>
          <w:color w:val="auto"/>
          <w:szCs w:val="21"/>
        </w:rPr>
        <w:t>第二条　质量保证</w:t>
      </w:r>
    </w:p>
    <w:p w14:paraId="37C314EB">
      <w:pPr>
        <w:spacing w:line="400" w:lineRule="exact"/>
        <w:ind w:firstLine="420" w:firstLineChars="200"/>
        <w:rPr>
          <w:rFonts w:ascii="宋体" w:hAnsi="宋体" w:cs="宋体"/>
          <w:color w:val="auto"/>
          <w:szCs w:val="21"/>
        </w:rPr>
      </w:pPr>
      <w:r>
        <w:rPr>
          <w:rFonts w:hint="eastAsia" w:ascii="宋体" w:hAnsi="宋体" w:cs="宋体"/>
          <w:color w:val="auto"/>
          <w:szCs w:val="21"/>
        </w:rPr>
        <w:t>乙方所提供的服务及服务内容必须与响应文件承诺相一致，有国家强制性标准的，还必须符合国家强制性标准的规定，没有国家强制性标准但有其他强制性标准的，必须符合其他强制性标准的规定。</w:t>
      </w:r>
    </w:p>
    <w:p w14:paraId="6E98E8CB">
      <w:pPr>
        <w:spacing w:line="400" w:lineRule="exact"/>
        <w:ind w:firstLine="422" w:firstLineChars="200"/>
        <w:rPr>
          <w:rFonts w:ascii="宋体" w:hAnsi="宋体" w:cs="宋体"/>
          <w:color w:val="auto"/>
          <w:szCs w:val="21"/>
        </w:rPr>
      </w:pPr>
      <w:r>
        <w:rPr>
          <w:rFonts w:hint="eastAsia" w:ascii="宋体" w:hAnsi="宋体" w:cs="宋体"/>
          <w:b/>
          <w:color w:val="auto"/>
          <w:szCs w:val="21"/>
        </w:rPr>
        <w:t>第三条　权利保证</w:t>
      </w:r>
    </w:p>
    <w:p w14:paraId="0E0D703B">
      <w:pPr>
        <w:spacing w:line="400" w:lineRule="exact"/>
        <w:ind w:firstLine="420" w:firstLineChars="200"/>
        <w:rPr>
          <w:rFonts w:ascii="宋体" w:hAnsi="宋体" w:cs="宋体"/>
          <w:color w:val="auto"/>
          <w:szCs w:val="21"/>
        </w:rPr>
      </w:pPr>
      <w:r>
        <w:rPr>
          <w:rFonts w:hint="eastAsia" w:ascii="宋体" w:hAnsi="宋体" w:cs="宋体"/>
          <w:color w:val="auto"/>
          <w:szCs w:val="21"/>
        </w:rPr>
        <w:t>1.乙方应保证所提供服务在使用时不会侵犯任何第三方的专利权、商标权、工业设计权等知识产权及其他合法权利，且所有权、处分权等没有受到任何限制。</w:t>
      </w:r>
    </w:p>
    <w:p w14:paraId="203277A1">
      <w:pPr>
        <w:spacing w:line="400" w:lineRule="exact"/>
        <w:ind w:firstLine="420" w:firstLineChars="200"/>
        <w:rPr>
          <w:rFonts w:ascii="宋体" w:hAnsi="宋体" w:cs="宋体"/>
          <w:color w:val="auto"/>
          <w:szCs w:val="21"/>
        </w:rPr>
      </w:pPr>
      <w:r>
        <w:rPr>
          <w:rFonts w:hint="eastAsia" w:ascii="宋体" w:hAnsi="宋体" w:cs="宋体"/>
          <w:color w:val="auto"/>
          <w:szCs w:val="21"/>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本合同履行终止、解除或者无效而解除。</w:t>
      </w:r>
    </w:p>
    <w:p w14:paraId="7ED93F04">
      <w:pPr>
        <w:spacing w:line="400" w:lineRule="exact"/>
        <w:ind w:firstLine="422" w:firstLineChars="200"/>
        <w:rPr>
          <w:rFonts w:ascii="宋体" w:hAnsi="宋体" w:cs="宋体"/>
          <w:color w:val="auto"/>
          <w:szCs w:val="21"/>
        </w:rPr>
      </w:pPr>
      <w:r>
        <w:rPr>
          <w:rFonts w:hint="eastAsia" w:ascii="宋体" w:hAnsi="宋体" w:cs="宋体"/>
          <w:b/>
          <w:color w:val="auto"/>
          <w:szCs w:val="21"/>
        </w:rPr>
        <w:t>第四条　交付和验收</w:t>
      </w:r>
    </w:p>
    <w:p w14:paraId="66F9E038">
      <w:pPr>
        <w:spacing w:line="400" w:lineRule="exact"/>
        <w:ind w:firstLine="420" w:firstLineChars="200"/>
        <w:rPr>
          <w:rFonts w:ascii="宋体" w:hAnsi="宋体" w:cs="宋体"/>
          <w:color w:val="auto"/>
          <w:szCs w:val="21"/>
        </w:rPr>
      </w:pPr>
      <w:r>
        <w:rPr>
          <w:rFonts w:hint="eastAsia" w:ascii="宋体" w:hAnsi="宋体" w:cs="宋体"/>
          <w:color w:val="auto"/>
          <w:szCs w:val="21"/>
        </w:rPr>
        <w:t>1.合同履行期限：</w:t>
      </w:r>
      <w:r>
        <w:rPr>
          <w:rFonts w:hint="eastAsia" w:ascii="宋体" w:hAnsi="宋体" w:cs="宋体"/>
          <w:color w:val="auto"/>
          <w:szCs w:val="21"/>
          <w:u w:val="single"/>
        </w:rPr>
        <w:t xml:space="preserve">               </w:t>
      </w:r>
      <w:r>
        <w:rPr>
          <w:rFonts w:hint="eastAsia" w:ascii="宋体" w:hAnsi="宋体" w:cs="宋体"/>
          <w:color w:val="auto"/>
          <w:szCs w:val="21"/>
        </w:rPr>
        <w:t>，服务地点：</w:t>
      </w:r>
      <w:r>
        <w:rPr>
          <w:rFonts w:hint="eastAsia" w:ascii="宋体" w:hAnsi="宋体" w:cs="宋体"/>
          <w:color w:val="auto"/>
          <w:szCs w:val="21"/>
          <w:u w:val="single"/>
        </w:rPr>
        <w:t xml:space="preserve">          </w:t>
      </w:r>
      <w:r>
        <w:rPr>
          <w:rFonts w:hint="eastAsia" w:ascii="宋体" w:hAnsi="宋体" w:cs="宋体"/>
          <w:color w:val="auto"/>
          <w:szCs w:val="21"/>
        </w:rPr>
        <w:t>。</w:t>
      </w:r>
    </w:p>
    <w:p w14:paraId="613AFF1F">
      <w:pPr>
        <w:spacing w:line="400" w:lineRule="exact"/>
        <w:ind w:firstLine="420" w:firstLineChars="200"/>
        <w:rPr>
          <w:rFonts w:ascii="宋体" w:hAnsi="宋体" w:cs="宋体"/>
          <w:color w:val="auto"/>
          <w:szCs w:val="21"/>
        </w:rPr>
      </w:pPr>
      <w:r>
        <w:rPr>
          <w:rFonts w:hint="eastAsia" w:ascii="宋体" w:hAnsi="宋体" w:cs="宋体"/>
          <w:color w:val="auto"/>
          <w:szCs w:val="21"/>
        </w:rPr>
        <w:t>2.乙方应按响应文件的承诺向甲方提供相应的服务，并提供所服务内容的相关技术资料。</w:t>
      </w:r>
    </w:p>
    <w:p w14:paraId="6E9AAF71">
      <w:pPr>
        <w:spacing w:line="400" w:lineRule="exact"/>
        <w:ind w:firstLine="420" w:firstLineChars="200"/>
        <w:rPr>
          <w:rFonts w:ascii="宋体" w:hAnsi="宋体" w:cs="宋体"/>
          <w:color w:val="auto"/>
          <w:szCs w:val="21"/>
        </w:rPr>
      </w:pPr>
      <w:r>
        <w:rPr>
          <w:rFonts w:hint="eastAsia" w:ascii="宋体" w:hAnsi="宋体" w:cs="宋体"/>
          <w:color w:val="auto"/>
          <w:szCs w:val="21"/>
        </w:rPr>
        <w:t>3.乙方提供不符合响应文件和本合同规定的服务成果，甲方有权拒绝接受。</w:t>
      </w:r>
    </w:p>
    <w:p w14:paraId="2E508D55">
      <w:pPr>
        <w:spacing w:line="400" w:lineRule="exact"/>
        <w:ind w:firstLine="420" w:firstLineChars="200"/>
        <w:rPr>
          <w:rFonts w:ascii="宋体" w:hAnsi="宋体" w:cs="宋体"/>
          <w:color w:val="auto"/>
          <w:szCs w:val="21"/>
        </w:rPr>
      </w:pPr>
      <w:r>
        <w:rPr>
          <w:rFonts w:hint="eastAsia" w:ascii="宋体" w:hAnsi="宋体" w:cs="宋体"/>
          <w:color w:val="auto"/>
          <w:szCs w:val="21"/>
        </w:rPr>
        <w:t>4.乙方完成服务后应及时书面通知甲方进行验收，甲方应在收到通知后七个工作日内进行验收，逾期不开始验收的，乙方可视同验收合格。验收合格后由甲乙双方签署验收单并加盖甲方公章，甲乙双方各执一份。</w:t>
      </w:r>
    </w:p>
    <w:p w14:paraId="6502E40B">
      <w:pPr>
        <w:spacing w:line="400" w:lineRule="exact"/>
        <w:ind w:firstLine="420" w:firstLineChars="200"/>
        <w:rPr>
          <w:rFonts w:ascii="宋体" w:hAnsi="宋体" w:cs="宋体"/>
          <w:color w:val="auto"/>
          <w:szCs w:val="21"/>
        </w:rPr>
      </w:pPr>
      <w:r>
        <w:rPr>
          <w:rFonts w:hint="eastAsia" w:ascii="宋体" w:hAnsi="宋体" w:cs="宋体"/>
          <w:color w:val="auto"/>
          <w:szCs w:val="21"/>
        </w:rPr>
        <w:t>5.甲乙双方应按照《广西壮族自治区政府采购项目履约验收管理办法》、双方合同、响应文件验收。</w:t>
      </w:r>
    </w:p>
    <w:p w14:paraId="6E0DF7F9">
      <w:pPr>
        <w:spacing w:line="400" w:lineRule="exact"/>
        <w:ind w:firstLine="420" w:firstLineChars="200"/>
        <w:rPr>
          <w:rFonts w:ascii="宋体" w:hAnsi="宋体" w:cs="宋体"/>
          <w:color w:val="auto"/>
          <w:szCs w:val="21"/>
        </w:rPr>
      </w:pPr>
      <w:r>
        <w:rPr>
          <w:rFonts w:hint="eastAsia" w:ascii="宋体" w:hAnsi="宋体" w:cs="宋体"/>
          <w:color w:val="auto"/>
          <w:szCs w:val="21"/>
        </w:rPr>
        <w:t>6.甲方在初步验收或者最终验收过程中如发现乙方提供的服务成果不满足响应文件及本合同规定的，可暂缓向乙方付款，直到乙方及时完善并提交相应的服务成果且经甲方验收合格后，方可办理付款。</w:t>
      </w:r>
    </w:p>
    <w:p w14:paraId="72E7EC48">
      <w:pPr>
        <w:spacing w:line="400" w:lineRule="exact"/>
        <w:ind w:firstLine="420" w:firstLineChars="200"/>
        <w:rPr>
          <w:rFonts w:ascii="宋体" w:hAnsi="宋体" w:cs="宋体"/>
          <w:color w:val="auto"/>
          <w:szCs w:val="21"/>
        </w:rPr>
      </w:pPr>
      <w:r>
        <w:rPr>
          <w:rFonts w:hint="eastAsia" w:ascii="宋体" w:hAnsi="宋体" w:cs="宋体"/>
          <w:color w:val="auto"/>
          <w:szCs w:val="21"/>
        </w:rPr>
        <w:t>7.甲方在验收时以书面形式提出异议的，乙方应自收到甲方书面异议后五个工作日内及时予以解决，否则甲方有权不出具服务验收合格单。</w:t>
      </w:r>
    </w:p>
    <w:p w14:paraId="20779B9B">
      <w:pPr>
        <w:spacing w:line="400" w:lineRule="exact"/>
        <w:ind w:firstLine="420" w:firstLineChars="200"/>
        <w:rPr>
          <w:rFonts w:ascii="宋体" w:hAnsi="宋体" w:cs="宋体"/>
          <w:color w:val="auto"/>
          <w:szCs w:val="21"/>
        </w:rPr>
      </w:pPr>
      <w:r>
        <w:rPr>
          <w:rFonts w:hint="eastAsia" w:ascii="宋体" w:hAnsi="宋体" w:cs="宋体"/>
          <w:color w:val="auto"/>
          <w:szCs w:val="21"/>
        </w:rPr>
        <w:t>8.验收标准</w:t>
      </w:r>
    </w:p>
    <w:p w14:paraId="3A880090">
      <w:pPr>
        <w:spacing w:line="440" w:lineRule="exact"/>
        <w:ind w:firstLine="420" w:firstLineChars="200"/>
        <w:rPr>
          <w:rFonts w:ascii="宋体" w:hAnsi="宋体" w:cs="宋体"/>
          <w:color w:val="auto"/>
          <w:szCs w:val="21"/>
        </w:rPr>
      </w:pPr>
      <w:r>
        <w:rPr>
          <w:rFonts w:hint="eastAsia" w:ascii="宋体" w:hAnsi="宋体" w:cs="宋体"/>
          <w:color w:val="auto"/>
          <w:szCs w:val="21"/>
        </w:rPr>
        <w:t>（1）甲方严格按采购文件上的技术要求、乙方响应文件中承诺的技术要求和国家有关标准进行验收。达不到合格标准的，视为验收不合格，并按相关规定处理、处罚。</w:t>
      </w:r>
    </w:p>
    <w:p w14:paraId="7C0EF38D">
      <w:pPr>
        <w:spacing w:line="400" w:lineRule="exact"/>
        <w:ind w:firstLine="420" w:firstLineChars="200"/>
        <w:rPr>
          <w:rFonts w:ascii="宋体" w:hAnsi="宋体" w:cs="宋体"/>
          <w:color w:val="auto"/>
          <w:szCs w:val="21"/>
        </w:rPr>
      </w:pPr>
      <w:r>
        <w:rPr>
          <w:rFonts w:hint="eastAsia" w:ascii="宋体" w:hAnsi="宋体" w:cs="宋体"/>
          <w:color w:val="auto"/>
          <w:szCs w:val="21"/>
        </w:rPr>
        <w:t>（2）本项目验收须严格按《关于印发广西壮族自治区政府采购项目履约验收管理办法的通知》[桂财采〔2015〕22号]以及《财政部关于进一步加强政府采购需求和履约验收管理的指导意见》[财库〔2016〕205号]规定执行。</w:t>
      </w:r>
    </w:p>
    <w:p w14:paraId="72E050B8">
      <w:pPr>
        <w:spacing w:line="400" w:lineRule="exact"/>
        <w:ind w:firstLine="422" w:firstLineChars="200"/>
        <w:rPr>
          <w:rFonts w:ascii="宋体" w:hAnsi="宋体" w:cs="宋体"/>
          <w:b/>
          <w:color w:val="auto"/>
          <w:szCs w:val="21"/>
        </w:rPr>
      </w:pPr>
      <w:r>
        <w:rPr>
          <w:rFonts w:hint="eastAsia" w:ascii="宋体" w:hAnsi="宋体" w:cs="宋体"/>
          <w:b/>
          <w:color w:val="auto"/>
          <w:szCs w:val="21"/>
        </w:rPr>
        <w:t>第五条  服务内容</w:t>
      </w:r>
    </w:p>
    <w:p w14:paraId="4135330D">
      <w:pPr>
        <w:spacing w:line="400" w:lineRule="exact"/>
        <w:ind w:firstLine="420" w:firstLineChars="200"/>
        <w:rPr>
          <w:rFonts w:ascii="宋体" w:hAnsi="宋体" w:cs="宋体"/>
          <w:color w:val="auto"/>
          <w:szCs w:val="21"/>
        </w:rPr>
      </w:pPr>
      <w:r>
        <w:rPr>
          <w:rFonts w:hint="eastAsia" w:ascii="宋体" w:hAnsi="宋体" w:cs="宋体"/>
          <w:color w:val="auto"/>
          <w:szCs w:val="21"/>
        </w:rPr>
        <w:t>1.安置人员需持有《中华人民共和国残疾人证》，证书上需注明视力残疾、听力残疾、言语残疾、肢体残疾、精神残疾或多重残疾等情况的人员，或持有《中华人民共和国残疾军人证》（1至8级）的人员。</w:t>
      </w:r>
    </w:p>
    <w:p w14:paraId="5B6FF8E1">
      <w:pPr>
        <w:spacing w:line="400" w:lineRule="exact"/>
        <w:ind w:firstLine="420" w:firstLineChars="200"/>
        <w:rPr>
          <w:rFonts w:ascii="宋体" w:hAnsi="宋体" w:cs="宋体"/>
          <w:color w:val="auto"/>
          <w:szCs w:val="21"/>
        </w:rPr>
      </w:pPr>
      <w:r>
        <w:rPr>
          <w:rFonts w:hint="eastAsia" w:ascii="宋体" w:hAnsi="宋体" w:cs="宋体"/>
          <w:color w:val="auto"/>
          <w:szCs w:val="21"/>
        </w:rPr>
        <w:t>2.乙方能提供办公场地集中安排残疾人就业，并具有适合残疾人工作、生活的无障碍环境和设施。</w:t>
      </w:r>
    </w:p>
    <w:p w14:paraId="28712FB8">
      <w:pPr>
        <w:spacing w:line="400" w:lineRule="exact"/>
        <w:ind w:firstLine="420" w:firstLineChars="200"/>
        <w:rPr>
          <w:rFonts w:ascii="宋体" w:hAnsi="宋体" w:cs="宋体"/>
          <w:color w:val="auto"/>
          <w:szCs w:val="21"/>
        </w:rPr>
      </w:pPr>
      <w:r>
        <w:rPr>
          <w:rFonts w:hint="eastAsia" w:ascii="宋体" w:hAnsi="宋体" w:cs="宋体"/>
          <w:color w:val="auto"/>
          <w:szCs w:val="21"/>
        </w:rPr>
        <w:t>3.乙方每月须按时完成残疾人工资发放、社会保险缴纳并在中国残疾人就业创业网络服务平台完成认证登记备案；协助医院办理残疾人就业认定、申报等相关业务。</w:t>
      </w:r>
    </w:p>
    <w:p w14:paraId="3194B2EB">
      <w:pPr>
        <w:spacing w:line="400" w:lineRule="exact"/>
        <w:ind w:firstLine="420" w:firstLineChars="200"/>
        <w:rPr>
          <w:rFonts w:ascii="宋体" w:hAnsi="宋体" w:cs="宋体"/>
          <w:color w:val="auto"/>
          <w:szCs w:val="21"/>
        </w:rPr>
      </w:pPr>
      <w:r>
        <w:rPr>
          <w:rFonts w:hint="eastAsia" w:ascii="宋体" w:hAnsi="宋体" w:cs="宋体"/>
          <w:color w:val="auto"/>
          <w:szCs w:val="21"/>
        </w:rPr>
        <w:t>4.根据申报年度残疾人审核政策为甲方准备审核材料、办理审核事宜，直到甲方在规定时间内获取上级主管部门出具的《按比例安排残疾人就业审核确认书》。</w:t>
      </w:r>
    </w:p>
    <w:p w14:paraId="12303E94">
      <w:pPr>
        <w:spacing w:line="400" w:lineRule="exact"/>
        <w:ind w:firstLine="420" w:firstLineChars="200"/>
        <w:rPr>
          <w:rFonts w:ascii="宋体" w:hAnsi="宋体" w:cs="宋体"/>
          <w:color w:val="auto"/>
          <w:szCs w:val="21"/>
        </w:rPr>
      </w:pPr>
      <w:r>
        <w:rPr>
          <w:rFonts w:hint="eastAsia" w:ascii="宋体" w:hAnsi="宋体" w:cs="宋体"/>
          <w:color w:val="auto"/>
          <w:szCs w:val="21"/>
        </w:rPr>
        <w:t>5.如医院在职员工月度有增长，乙方应根据甲方每月核定的次月在职员工人数重新协助医院核算残疾人员用工人月数，并建议甲方是否增加派遣残疾人员工。</w:t>
      </w:r>
    </w:p>
    <w:p w14:paraId="5A45602C">
      <w:pPr>
        <w:spacing w:line="440" w:lineRule="exact"/>
        <w:ind w:firstLine="422" w:firstLineChars="200"/>
        <w:rPr>
          <w:rFonts w:ascii="宋体" w:hAnsi="宋体" w:cs="宋体"/>
          <w:color w:val="auto"/>
          <w:szCs w:val="21"/>
          <w:u w:val="single"/>
        </w:rPr>
      </w:pPr>
      <w:r>
        <w:rPr>
          <w:rFonts w:hint="eastAsia" w:ascii="宋体" w:hAnsi="宋体" w:cs="宋体"/>
          <w:b/>
          <w:color w:val="auto"/>
          <w:szCs w:val="21"/>
        </w:rPr>
        <w:t>第六条  履约服务要求</w:t>
      </w:r>
    </w:p>
    <w:p w14:paraId="300BA012">
      <w:pPr>
        <w:spacing w:line="400" w:lineRule="exact"/>
        <w:ind w:firstLine="420" w:firstLineChars="200"/>
        <w:rPr>
          <w:rFonts w:ascii="宋体" w:hAnsi="宋体" w:cs="宋体"/>
          <w:color w:val="auto"/>
          <w:szCs w:val="21"/>
        </w:rPr>
      </w:pPr>
      <w:r>
        <w:rPr>
          <w:rFonts w:hint="eastAsia" w:ascii="宋体" w:hAnsi="宋体" w:cs="宋体"/>
          <w:color w:val="auto"/>
          <w:szCs w:val="21"/>
        </w:rPr>
        <w:t>1.乙方必须严格遵守《中华人民共和国劳动合同法》等相关法律法规。确保派遣员工的劳动合同、社会保险、工资支付等符合国家规定，保障员工合法权益。避免因不合规操作导致的用工风险和法律纠纷。派遣员工应具备与岗位要求相匹配的技能、资质和工作经验。</w:t>
      </w:r>
    </w:p>
    <w:p w14:paraId="17DF66C0">
      <w:pPr>
        <w:spacing w:line="400" w:lineRule="exact"/>
        <w:ind w:firstLine="420" w:firstLineChars="200"/>
        <w:rPr>
          <w:rFonts w:ascii="宋体" w:hAnsi="宋体" w:cs="宋体"/>
          <w:color w:val="auto"/>
          <w:szCs w:val="21"/>
        </w:rPr>
      </w:pPr>
      <w:r>
        <w:rPr>
          <w:rFonts w:hint="eastAsia" w:ascii="宋体" w:hAnsi="宋体" w:cs="宋体"/>
          <w:color w:val="auto"/>
          <w:szCs w:val="21"/>
        </w:rPr>
        <w:t>2.乙方应对员工进行严格的背景调查和筛选，确保无不良记录。提供必要的岗前培训，确保员工能够快速适应岗位需求。</w:t>
      </w:r>
    </w:p>
    <w:p w14:paraId="73C91175">
      <w:pPr>
        <w:spacing w:line="400" w:lineRule="exact"/>
        <w:ind w:firstLine="420" w:firstLineChars="200"/>
        <w:rPr>
          <w:rFonts w:ascii="宋体" w:hAnsi="宋体" w:cs="宋体"/>
          <w:color w:val="auto"/>
          <w:szCs w:val="21"/>
        </w:rPr>
      </w:pPr>
      <w:r>
        <w:rPr>
          <w:rFonts w:hint="eastAsia" w:ascii="宋体" w:hAnsi="宋体" w:cs="宋体"/>
          <w:color w:val="auto"/>
          <w:szCs w:val="21"/>
        </w:rPr>
        <w:t>3.乙方应设立高效的客户服务机制，及时响应用工单位的需求。在用工单位提出需求后，应在规定时间内提供合适的人员，确保用工单位的工作不受影响。对于突发问题或紧急需求，能够快速提供解决方案。</w:t>
      </w:r>
    </w:p>
    <w:p w14:paraId="54160F6B">
      <w:pPr>
        <w:spacing w:line="400" w:lineRule="exact"/>
        <w:ind w:firstLine="420" w:firstLineChars="200"/>
        <w:rPr>
          <w:rFonts w:ascii="宋体" w:hAnsi="宋体" w:cs="宋体"/>
          <w:color w:val="auto"/>
          <w:szCs w:val="21"/>
        </w:rPr>
      </w:pPr>
      <w:r>
        <w:rPr>
          <w:rFonts w:hint="eastAsia" w:ascii="宋体" w:hAnsi="宋体" w:cs="宋体"/>
          <w:color w:val="auto"/>
          <w:szCs w:val="21"/>
        </w:rPr>
        <w:t>4.乙方应建立完善的服务质量评估机制，定期收集用工单位和派遣员工的反馈。对服务质量进行持续改进，及时处理投诉和问题，确保</w:t>
      </w:r>
      <w:r>
        <w:rPr>
          <w:rFonts w:hint="eastAsia" w:ascii="宋体" w:hAnsi="宋体" w:cs="宋体"/>
          <w:color w:val="auto"/>
          <w:szCs w:val="21"/>
          <w:lang w:eastAsia="zh-CN"/>
        </w:rPr>
        <w:t>服务水平</w:t>
      </w:r>
      <w:r>
        <w:rPr>
          <w:rFonts w:hint="eastAsia" w:ascii="宋体" w:hAnsi="宋体" w:cs="宋体"/>
          <w:color w:val="auto"/>
          <w:szCs w:val="21"/>
        </w:rPr>
        <w:t>不断提升。通过绩效考核和日常管理，确保派遣员工的工作表现符合用工单位的要求。</w:t>
      </w:r>
    </w:p>
    <w:p w14:paraId="1510B926">
      <w:pPr>
        <w:spacing w:line="440" w:lineRule="exact"/>
        <w:ind w:firstLine="422" w:firstLineChars="200"/>
        <w:rPr>
          <w:rFonts w:ascii="宋体" w:hAnsi="宋体" w:cs="宋体"/>
          <w:b/>
          <w:color w:val="auto"/>
          <w:szCs w:val="21"/>
        </w:rPr>
      </w:pPr>
      <w:r>
        <w:rPr>
          <w:rFonts w:hint="eastAsia" w:ascii="宋体" w:hAnsi="宋体" w:cs="宋体"/>
          <w:b/>
          <w:color w:val="auto"/>
          <w:szCs w:val="21"/>
        </w:rPr>
        <w:t>第七条 售后服务要求</w:t>
      </w:r>
    </w:p>
    <w:p w14:paraId="7747A40C">
      <w:pPr>
        <w:spacing w:line="400" w:lineRule="exact"/>
        <w:ind w:firstLine="420" w:firstLineChars="200"/>
        <w:rPr>
          <w:rFonts w:ascii="宋体" w:hAnsi="宋体" w:cs="宋体"/>
          <w:color w:val="auto"/>
          <w:szCs w:val="21"/>
        </w:rPr>
      </w:pPr>
      <w:r>
        <w:rPr>
          <w:rFonts w:hint="eastAsia" w:ascii="宋体" w:hAnsi="宋体" w:cs="宋体"/>
          <w:color w:val="auto"/>
          <w:szCs w:val="21"/>
        </w:rPr>
        <w:t>1.处理问题响应时间：接到甲方通知起12小时内到达指定现场，不能超过5个工作日处理问题。</w:t>
      </w:r>
    </w:p>
    <w:p w14:paraId="0C0DD097">
      <w:pPr>
        <w:spacing w:line="400" w:lineRule="exact"/>
        <w:ind w:firstLine="420" w:firstLineChars="200"/>
        <w:rPr>
          <w:rFonts w:ascii="宋体" w:hAnsi="宋体" w:cs="宋体"/>
          <w:color w:val="auto"/>
          <w:szCs w:val="21"/>
        </w:rPr>
      </w:pPr>
      <w:r>
        <w:rPr>
          <w:rFonts w:hint="eastAsia" w:ascii="宋体" w:hAnsi="宋体" w:cs="宋体"/>
          <w:color w:val="auto"/>
          <w:szCs w:val="21"/>
        </w:rPr>
        <w:t>2.因派遣人员过错造成甲方经济损失的，乙方应积极协助甲方追究当事人的责任。</w:t>
      </w:r>
    </w:p>
    <w:p w14:paraId="054E42A0">
      <w:pPr>
        <w:spacing w:line="400" w:lineRule="exact"/>
        <w:ind w:firstLine="420" w:firstLineChars="200"/>
        <w:rPr>
          <w:rFonts w:ascii="宋体" w:hAnsi="宋体" w:cs="宋体"/>
          <w:color w:val="auto"/>
          <w:szCs w:val="21"/>
        </w:rPr>
      </w:pPr>
      <w:r>
        <w:rPr>
          <w:rFonts w:hint="eastAsia" w:ascii="宋体" w:hAnsi="宋体" w:cs="宋体"/>
          <w:color w:val="auto"/>
          <w:szCs w:val="21"/>
        </w:rPr>
        <w:t>3.乙方定期和不定期协助甲方了解派遣人员的思想动态、工作表现和遵纪情况，当甲方与派遣人员发生劳务纠纷时，由乙方负责处理。</w:t>
      </w:r>
    </w:p>
    <w:p w14:paraId="7F0FC507">
      <w:pPr>
        <w:spacing w:line="400" w:lineRule="exact"/>
        <w:ind w:firstLine="420" w:firstLineChars="200"/>
        <w:rPr>
          <w:rFonts w:ascii="宋体" w:hAnsi="宋体" w:cs="宋体"/>
          <w:color w:val="auto"/>
          <w:szCs w:val="21"/>
        </w:rPr>
      </w:pPr>
      <w:r>
        <w:rPr>
          <w:rFonts w:hint="eastAsia" w:ascii="宋体" w:hAnsi="宋体" w:cs="宋体"/>
          <w:color w:val="auto"/>
          <w:szCs w:val="21"/>
        </w:rPr>
        <w:t>4.乙方违反协议规定的义务，导致派遣人员的工资、社保费用没有及时、足额到账等相关责任由乙方承担，造成甲方损失的，甲方有权追偿。</w:t>
      </w:r>
    </w:p>
    <w:p w14:paraId="4DAFB842">
      <w:pPr>
        <w:spacing w:line="400" w:lineRule="exact"/>
        <w:ind w:firstLine="420" w:firstLineChars="200"/>
        <w:rPr>
          <w:rFonts w:ascii="宋体" w:hAnsi="宋体" w:cs="宋体"/>
          <w:color w:val="auto"/>
          <w:szCs w:val="21"/>
        </w:rPr>
      </w:pPr>
      <w:r>
        <w:rPr>
          <w:rFonts w:hint="eastAsia" w:ascii="宋体" w:hAnsi="宋体" w:cs="宋体"/>
          <w:color w:val="auto"/>
          <w:szCs w:val="21"/>
        </w:rPr>
        <w:t>5.甲方与乙方的派遣人员不存在劳动关系，有关的劳务争议和纠纷，由乙方与派遣人员之间协商解决，甲方协助。</w:t>
      </w:r>
    </w:p>
    <w:p w14:paraId="374FDF3D">
      <w:pPr>
        <w:spacing w:line="440" w:lineRule="exact"/>
        <w:ind w:firstLine="422" w:firstLineChars="200"/>
        <w:rPr>
          <w:rFonts w:ascii="宋体" w:hAnsi="宋体" w:cs="宋体"/>
          <w:color w:val="auto"/>
          <w:szCs w:val="21"/>
          <w:u w:val="single"/>
        </w:rPr>
      </w:pPr>
      <w:r>
        <w:rPr>
          <w:rFonts w:hint="eastAsia" w:ascii="宋体" w:hAnsi="宋体" w:cs="宋体"/>
          <w:b/>
          <w:color w:val="auto"/>
          <w:szCs w:val="21"/>
        </w:rPr>
        <w:t>第八条 付款方式</w:t>
      </w:r>
    </w:p>
    <w:p w14:paraId="688F616A">
      <w:pPr>
        <w:spacing w:line="440" w:lineRule="exact"/>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rPr>
        <w:t>本项目无预付款，乙方所提交的服务经甲方按月考核合格后，按月支付合同款。</w:t>
      </w:r>
    </w:p>
    <w:p w14:paraId="0BEC072A">
      <w:pPr>
        <w:spacing w:line="400" w:lineRule="exact"/>
        <w:ind w:firstLine="420" w:firstLineChars="200"/>
        <w:rPr>
          <w:rFonts w:ascii="宋体" w:hAnsi="宋体" w:cs="宋体"/>
          <w:color w:val="auto"/>
          <w:szCs w:val="21"/>
        </w:rPr>
      </w:pPr>
      <w:r>
        <w:rPr>
          <w:rFonts w:hint="eastAsia" w:ascii="宋体" w:hAnsi="宋体" w:cs="宋体"/>
          <w:color w:val="auto"/>
          <w:szCs w:val="21"/>
        </w:rPr>
        <w:t>3.乙方需提供合法有效的发票，如乙方提供不合法发票，由此引发的一切责任由乙方负责。</w:t>
      </w:r>
    </w:p>
    <w:p w14:paraId="019494FF">
      <w:pPr>
        <w:spacing w:line="400" w:lineRule="exact"/>
        <w:ind w:firstLine="422" w:firstLineChars="200"/>
        <w:rPr>
          <w:rFonts w:ascii="宋体" w:hAnsi="宋体" w:cs="宋体"/>
          <w:b/>
          <w:color w:val="auto"/>
          <w:szCs w:val="21"/>
        </w:rPr>
      </w:pPr>
      <w:r>
        <w:rPr>
          <w:rFonts w:hint="eastAsia" w:ascii="宋体" w:hAnsi="宋体" w:cs="宋体"/>
          <w:b/>
          <w:color w:val="auto"/>
          <w:szCs w:val="21"/>
        </w:rPr>
        <w:t>第九条　履约保证金</w:t>
      </w:r>
    </w:p>
    <w:p w14:paraId="4D24959C">
      <w:pPr>
        <w:spacing w:line="400" w:lineRule="exact"/>
        <w:ind w:firstLine="420" w:firstLineChars="200"/>
        <w:rPr>
          <w:rFonts w:ascii="宋体" w:hAnsi="宋体" w:cs="宋体"/>
          <w:color w:val="auto"/>
          <w:szCs w:val="21"/>
        </w:rPr>
      </w:pPr>
      <w:r>
        <w:rPr>
          <w:rFonts w:hint="eastAsia" w:ascii="宋体" w:hAnsi="宋体" w:cs="宋体"/>
          <w:color w:val="auto"/>
          <w:szCs w:val="21"/>
        </w:rPr>
        <w:t>履约保证金金额：按成交金额的</w:t>
      </w:r>
      <w:r>
        <w:rPr>
          <w:rFonts w:hint="eastAsia" w:ascii="宋体" w:hAnsi="宋体" w:cs="宋体"/>
          <w:color w:val="auto"/>
          <w:szCs w:val="21"/>
          <w:u w:val="single"/>
        </w:rPr>
        <w:t>0%</w:t>
      </w:r>
      <w:r>
        <w:rPr>
          <w:rFonts w:hint="eastAsia" w:ascii="宋体" w:hAnsi="宋体" w:cs="宋体"/>
          <w:color w:val="auto"/>
          <w:szCs w:val="21"/>
        </w:rPr>
        <w:t>。</w:t>
      </w:r>
    </w:p>
    <w:p w14:paraId="29BEC3B2">
      <w:pPr>
        <w:spacing w:line="400" w:lineRule="exact"/>
        <w:ind w:firstLine="420" w:firstLineChars="200"/>
        <w:rPr>
          <w:rFonts w:ascii="宋体" w:hAnsi="宋体" w:cs="宋体"/>
          <w:color w:val="auto"/>
          <w:szCs w:val="21"/>
        </w:rPr>
      </w:pPr>
      <w:r>
        <w:rPr>
          <w:rFonts w:hint="eastAsia" w:ascii="宋体" w:hAnsi="宋体" w:cs="宋体"/>
          <w:color w:val="auto"/>
          <w:szCs w:val="21"/>
        </w:rPr>
        <w:t>履约保证金递交方式：支票、汇票、本票或者金融、担保机构出具的保函等非现金方式（参照磋商保证金）。</w:t>
      </w:r>
    </w:p>
    <w:p w14:paraId="77066489">
      <w:pPr>
        <w:spacing w:line="400" w:lineRule="exact"/>
        <w:ind w:firstLine="420" w:firstLineChars="200"/>
        <w:rPr>
          <w:rFonts w:ascii="宋体" w:hAnsi="宋体" w:cs="宋体"/>
          <w:color w:val="auto"/>
          <w:szCs w:val="21"/>
        </w:rPr>
      </w:pPr>
      <w:r>
        <w:rPr>
          <w:rFonts w:hint="eastAsia" w:ascii="宋体" w:hAnsi="宋体" w:cs="宋体"/>
          <w:color w:val="auto"/>
          <w:szCs w:val="21"/>
        </w:rPr>
        <w:t>履约保证金退付方式、时间及条件：由乙方向履约保证金收取单位提供《广西壮族自治区政府采购项目合同验收书》（详见附件1）及《政府采购项目履约保证金退付意见书》（详见附件2），保证金收取单位在收到合格材料后5个工作日内办理退还手续（不计利息）。</w:t>
      </w:r>
    </w:p>
    <w:p w14:paraId="5D4822A0">
      <w:pPr>
        <w:spacing w:line="400" w:lineRule="exact"/>
        <w:ind w:firstLine="422" w:firstLineChars="200"/>
        <w:rPr>
          <w:rFonts w:ascii="宋体" w:hAnsi="宋体" w:cs="宋体"/>
          <w:b/>
          <w:color w:val="auto"/>
          <w:szCs w:val="21"/>
        </w:rPr>
      </w:pPr>
      <w:r>
        <w:rPr>
          <w:rFonts w:hint="eastAsia" w:ascii="宋体" w:hAnsi="宋体" w:cs="宋体"/>
          <w:b/>
          <w:color w:val="auto"/>
          <w:szCs w:val="21"/>
        </w:rPr>
        <w:t>第十条  税费</w:t>
      </w:r>
    </w:p>
    <w:p w14:paraId="72D18FF4">
      <w:pPr>
        <w:spacing w:line="400" w:lineRule="exact"/>
        <w:ind w:firstLine="420" w:firstLineChars="200"/>
        <w:rPr>
          <w:rFonts w:ascii="宋体" w:hAnsi="宋体" w:cs="宋体"/>
          <w:color w:val="auto"/>
          <w:szCs w:val="21"/>
        </w:rPr>
      </w:pPr>
      <w:r>
        <w:rPr>
          <w:rFonts w:hint="eastAsia" w:ascii="宋体" w:hAnsi="宋体" w:cs="宋体"/>
          <w:color w:val="auto"/>
          <w:szCs w:val="21"/>
        </w:rPr>
        <w:t>本合同执行中相关的一切税费均由乙方负担，合同另有约定的除外。</w:t>
      </w:r>
    </w:p>
    <w:p w14:paraId="514B99D8">
      <w:pPr>
        <w:spacing w:line="400" w:lineRule="exact"/>
        <w:ind w:firstLine="422" w:firstLineChars="200"/>
        <w:rPr>
          <w:rFonts w:ascii="宋体" w:hAnsi="宋体" w:cs="宋体"/>
          <w:b/>
          <w:color w:val="auto"/>
          <w:szCs w:val="21"/>
        </w:rPr>
      </w:pPr>
      <w:r>
        <w:rPr>
          <w:rFonts w:hint="eastAsia" w:ascii="宋体" w:hAnsi="宋体" w:cs="宋体"/>
          <w:b/>
          <w:color w:val="auto"/>
          <w:szCs w:val="21"/>
        </w:rPr>
        <w:t>第十一条　违约责任</w:t>
      </w:r>
    </w:p>
    <w:p w14:paraId="291C8E1F">
      <w:pPr>
        <w:spacing w:line="400" w:lineRule="exact"/>
        <w:ind w:firstLine="420" w:firstLineChars="200"/>
        <w:rPr>
          <w:rFonts w:ascii="宋体" w:hAnsi="宋体" w:cs="宋体"/>
          <w:color w:val="auto"/>
          <w:szCs w:val="21"/>
        </w:rPr>
      </w:pPr>
      <w:r>
        <w:rPr>
          <w:rFonts w:hint="eastAsia" w:ascii="宋体" w:hAnsi="宋体" w:cs="宋体"/>
          <w:color w:val="auto"/>
          <w:szCs w:val="21"/>
        </w:rPr>
        <w:t>1.除不可抗力原因外，因乙方原因没有按照合同规定的时间提供服务的，甲方可要求乙方支付违约金。每推迟一天按合同金额的3‰支付违约金，该违约金累计不超过合同金额的10%，推迟达15日的，甲方有权解除合同。</w:t>
      </w:r>
    </w:p>
    <w:p w14:paraId="5C0B445F">
      <w:pPr>
        <w:spacing w:line="400" w:lineRule="exact"/>
        <w:ind w:firstLine="420" w:firstLineChars="200"/>
        <w:rPr>
          <w:rFonts w:ascii="宋体" w:hAnsi="宋体" w:cs="宋体"/>
          <w:color w:val="auto"/>
          <w:szCs w:val="21"/>
        </w:rPr>
      </w:pPr>
      <w:r>
        <w:rPr>
          <w:rFonts w:hint="eastAsia" w:ascii="宋体" w:hAnsi="宋体" w:cs="宋体"/>
          <w:color w:val="auto"/>
          <w:szCs w:val="21"/>
        </w:rPr>
        <w:t>2.乙方提供的服务如侵犯了第三方合法权益而引发的任何纠纷或者诉讼，均由乙方负责交涉并承担全部责任。</w:t>
      </w:r>
    </w:p>
    <w:p w14:paraId="37C0CD5F">
      <w:pPr>
        <w:spacing w:line="400" w:lineRule="exact"/>
        <w:ind w:firstLine="420" w:firstLineChars="200"/>
        <w:rPr>
          <w:rFonts w:ascii="宋体" w:hAnsi="宋体" w:cs="宋体"/>
          <w:color w:val="auto"/>
          <w:szCs w:val="21"/>
        </w:rPr>
      </w:pPr>
      <w:r>
        <w:rPr>
          <w:rFonts w:hint="eastAsia" w:ascii="宋体" w:hAnsi="宋体" w:cs="宋体"/>
          <w:color w:val="auto"/>
          <w:szCs w:val="21"/>
        </w:rPr>
        <w:t>3.甲方延期付款的，每天向乙方偿付延期款额3‰滞纳金，但滞纳金累计不得超过延期款额5%。</w:t>
      </w:r>
    </w:p>
    <w:p w14:paraId="5D3027F4">
      <w:pPr>
        <w:spacing w:line="400" w:lineRule="exact"/>
        <w:ind w:firstLine="422" w:firstLineChars="200"/>
        <w:rPr>
          <w:rFonts w:ascii="宋体" w:hAnsi="宋体" w:cs="宋体"/>
          <w:b/>
          <w:color w:val="auto"/>
          <w:szCs w:val="21"/>
        </w:rPr>
      </w:pPr>
      <w:r>
        <w:rPr>
          <w:rFonts w:hint="eastAsia" w:ascii="宋体" w:hAnsi="宋体" w:cs="宋体"/>
          <w:b/>
          <w:color w:val="auto"/>
          <w:szCs w:val="21"/>
        </w:rPr>
        <w:t>第十二条  不可抗力事件处理</w:t>
      </w:r>
    </w:p>
    <w:p w14:paraId="22211FEE">
      <w:pPr>
        <w:spacing w:line="400" w:lineRule="exact"/>
        <w:ind w:firstLine="420" w:firstLineChars="200"/>
        <w:rPr>
          <w:rFonts w:ascii="宋体" w:hAnsi="宋体" w:cs="宋体"/>
          <w:color w:val="auto"/>
          <w:szCs w:val="21"/>
        </w:rPr>
      </w:pPr>
      <w:r>
        <w:rPr>
          <w:rFonts w:hint="eastAsia" w:ascii="宋体" w:hAnsi="宋体" w:cs="宋体"/>
          <w:color w:val="auto"/>
          <w:szCs w:val="21"/>
        </w:rPr>
        <w:t>1.在合同有效期内，任何一方因不可抗力事件导致不能履行合同，则合同履行期可延长，其延长期与不可抗力影响期相同。</w:t>
      </w:r>
    </w:p>
    <w:p w14:paraId="62FEC91E">
      <w:pPr>
        <w:spacing w:line="400" w:lineRule="exact"/>
        <w:ind w:firstLine="420" w:firstLineChars="200"/>
        <w:rPr>
          <w:rFonts w:ascii="宋体" w:hAnsi="宋体" w:cs="宋体"/>
          <w:color w:val="auto"/>
          <w:szCs w:val="21"/>
        </w:rPr>
      </w:pPr>
      <w:r>
        <w:rPr>
          <w:rFonts w:hint="eastAsia" w:ascii="宋体" w:hAnsi="宋体" w:cs="宋体"/>
          <w:color w:val="auto"/>
          <w:szCs w:val="21"/>
        </w:rPr>
        <w:t>2.不可抗力事件发生后，应立即通知对方，并寄送有关权威机构出具的证明。</w:t>
      </w:r>
    </w:p>
    <w:p w14:paraId="3C802173">
      <w:pPr>
        <w:spacing w:line="400" w:lineRule="exact"/>
        <w:ind w:firstLine="420" w:firstLineChars="200"/>
        <w:rPr>
          <w:rFonts w:ascii="宋体" w:hAnsi="宋体" w:cs="宋体"/>
          <w:color w:val="auto"/>
          <w:szCs w:val="21"/>
        </w:rPr>
      </w:pPr>
      <w:r>
        <w:rPr>
          <w:rFonts w:hint="eastAsia" w:ascii="宋体" w:hAnsi="宋体" w:cs="宋体"/>
          <w:color w:val="auto"/>
          <w:szCs w:val="21"/>
        </w:rPr>
        <w:t>3.不可抗力事件延续一百二十天以上，双方应通过友好协商，确定是否继续履行合同。</w:t>
      </w:r>
    </w:p>
    <w:p w14:paraId="404CE88D">
      <w:pPr>
        <w:spacing w:line="400" w:lineRule="exact"/>
        <w:ind w:firstLine="422" w:firstLineChars="200"/>
        <w:rPr>
          <w:rFonts w:ascii="宋体" w:hAnsi="宋体" w:cs="宋体"/>
          <w:color w:val="auto"/>
          <w:szCs w:val="21"/>
        </w:rPr>
      </w:pPr>
      <w:r>
        <w:rPr>
          <w:rFonts w:hint="eastAsia" w:ascii="宋体" w:hAnsi="宋体" w:cs="宋体"/>
          <w:b/>
          <w:color w:val="auto"/>
          <w:szCs w:val="21"/>
        </w:rPr>
        <w:t>第十三条  合同争议解决</w:t>
      </w:r>
    </w:p>
    <w:p w14:paraId="5334FD70">
      <w:pPr>
        <w:spacing w:line="400" w:lineRule="exact"/>
        <w:ind w:firstLine="420" w:firstLineChars="200"/>
        <w:rPr>
          <w:rFonts w:ascii="宋体" w:hAnsi="宋体" w:cs="宋体"/>
          <w:color w:val="auto"/>
          <w:szCs w:val="21"/>
        </w:rPr>
      </w:pPr>
      <w:r>
        <w:rPr>
          <w:rFonts w:hint="eastAsia" w:ascii="宋体" w:hAnsi="宋体" w:cs="宋体"/>
          <w:color w:val="auto"/>
          <w:szCs w:val="21"/>
        </w:rPr>
        <w:t>1.因服务质量问题发生争议的，应邀请国家认可的质量检测机构进行鉴定。服务符合标准的，鉴定费由甲方承担；服务不符合标准的，鉴定费由乙方承担。</w:t>
      </w:r>
    </w:p>
    <w:p w14:paraId="762BB1F7">
      <w:pPr>
        <w:spacing w:line="400" w:lineRule="exact"/>
        <w:ind w:firstLine="420" w:firstLineChars="200"/>
        <w:rPr>
          <w:rFonts w:ascii="宋体" w:hAnsi="宋体" w:cs="宋体"/>
          <w:color w:val="auto"/>
          <w:szCs w:val="21"/>
        </w:rPr>
      </w:pPr>
      <w:r>
        <w:rPr>
          <w:rFonts w:hint="eastAsia" w:ascii="宋体" w:hAnsi="宋体" w:cs="宋体"/>
          <w:color w:val="auto"/>
          <w:szCs w:val="21"/>
        </w:rPr>
        <w:t>2.因履行本合同引起的或者与本合同有关的争议，甲乙双方应首先通过友好协商解决，如果协商不能解决，可向甲方所在地有管辖权的人民法院提起诉讼。</w:t>
      </w:r>
    </w:p>
    <w:p w14:paraId="67F84E34">
      <w:pPr>
        <w:spacing w:line="400" w:lineRule="exact"/>
        <w:ind w:firstLine="420" w:firstLineChars="200"/>
        <w:rPr>
          <w:rFonts w:ascii="宋体" w:hAnsi="宋体" w:cs="宋体"/>
          <w:color w:val="auto"/>
          <w:szCs w:val="21"/>
        </w:rPr>
      </w:pPr>
      <w:r>
        <w:rPr>
          <w:rFonts w:hint="eastAsia" w:ascii="宋体" w:hAnsi="宋体" w:cs="宋体"/>
          <w:color w:val="auto"/>
          <w:szCs w:val="21"/>
        </w:rPr>
        <w:t>3.诉讼期间，本合同继续履行。</w:t>
      </w:r>
    </w:p>
    <w:p w14:paraId="69A11AAD">
      <w:pPr>
        <w:spacing w:line="400" w:lineRule="exact"/>
        <w:ind w:firstLine="422" w:firstLineChars="200"/>
        <w:rPr>
          <w:rFonts w:ascii="宋体" w:hAnsi="宋体" w:cs="宋体"/>
          <w:b/>
          <w:color w:val="auto"/>
          <w:szCs w:val="21"/>
        </w:rPr>
      </w:pPr>
      <w:r>
        <w:rPr>
          <w:rFonts w:hint="eastAsia" w:ascii="宋体" w:hAnsi="宋体" w:cs="宋体"/>
          <w:b/>
          <w:color w:val="auto"/>
          <w:szCs w:val="21"/>
        </w:rPr>
        <w:t>第十四条　合同的变更、终止与转让</w:t>
      </w:r>
    </w:p>
    <w:p w14:paraId="1C458BC5">
      <w:pPr>
        <w:spacing w:line="400" w:lineRule="exact"/>
        <w:ind w:firstLine="420" w:firstLineChars="200"/>
        <w:rPr>
          <w:rFonts w:ascii="宋体" w:hAnsi="宋体" w:cs="宋体"/>
          <w:color w:val="auto"/>
          <w:szCs w:val="21"/>
        </w:rPr>
      </w:pPr>
      <w:r>
        <w:rPr>
          <w:rFonts w:hint="eastAsia" w:ascii="宋体" w:hAnsi="宋体" w:cs="宋体"/>
          <w:color w:val="auto"/>
          <w:szCs w:val="21"/>
        </w:rPr>
        <w:t>1. 除《中华人民共和国政府采购法》第五十条规定的情形外，本合同一经签订，甲乙双方不得擅自变更、中止或者终止合同。如合同生效后乙方单方面提出终止合同，甲方有权主张不低于合同金额5%的违约金。</w:t>
      </w:r>
    </w:p>
    <w:p w14:paraId="0CE18461">
      <w:pPr>
        <w:spacing w:line="400" w:lineRule="exact"/>
        <w:ind w:firstLine="420" w:firstLineChars="200"/>
        <w:rPr>
          <w:rFonts w:ascii="宋体" w:hAnsi="宋体" w:cs="宋体"/>
          <w:color w:val="auto"/>
          <w:szCs w:val="21"/>
        </w:rPr>
      </w:pPr>
      <w:r>
        <w:rPr>
          <w:rFonts w:hint="eastAsia" w:ascii="宋体" w:hAnsi="宋体" w:cs="宋体"/>
          <w:color w:val="auto"/>
          <w:szCs w:val="21"/>
        </w:rPr>
        <w:t>2.采购合同继续履行将损害国家利益和社会公共利益的，双方当事人应当变更、中止或者终止合同。有过错的一方应当承担赔偿责任，双方都有过错的，各自承担相应的责任。</w:t>
      </w:r>
    </w:p>
    <w:p w14:paraId="40B2FA7A">
      <w:pPr>
        <w:spacing w:line="400" w:lineRule="exact"/>
        <w:ind w:firstLine="422" w:firstLineChars="200"/>
        <w:rPr>
          <w:rFonts w:ascii="宋体" w:hAnsi="宋体" w:cs="宋体"/>
          <w:b/>
          <w:color w:val="auto"/>
          <w:szCs w:val="21"/>
        </w:rPr>
      </w:pPr>
      <w:r>
        <w:rPr>
          <w:rFonts w:hint="eastAsia" w:ascii="宋体" w:hAnsi="宋体" w:cs="宋体"/>
          <w:b/>
          <w:color w:val="auto"/>
          <w:szCs w:val="21"/>
        </w:rPr>
        <w:t>第十五条　签订本合同依据</w:t>
      </w:r>
    </w:p>
    <w:p w14:paraId="54A4AA7D">
      <w:pPr>
        <w:spacing w:line="400" w:lineRule="exact"/>
        <w:ind w:firstLine="420" w:firstLineChars="200"/>
        <w:rPr>
          <w:rFonts w:ascii="宋体" w:hAnsi="宋体" w:cs="宋体"/>
          <w:color w:val="auto"/>
          <w:szCs w:val="21"/>
        </w:rPr>
      </w:pPr>
      <w:r>
        <w:rPr>
          <w:rFonts w:hint="eastAsia" w:ascii="宋体" w:hAnsi="宋体" w:cs="宋体"/>
          <w:color w:val="auto"/>
          <w:szCs w:val="21"/>
        </w:rPr>
        <w:t>1.成交通知书；</w:t>
      </w:r>
    </w:p>
    <w:p w14:paraId="01C39B80">
      <w:pPr>
        <w:spacing w:line="400" w:lineRule="exact"/>
        <w:ind w:firstLine="420" w:firstLineChars="200"/>
        <w:rPr>
          <w:rFonts w:ascii="宋体" w:hAnsi="宋体" w:cs="宋体"/>
          <w:color w:val="auto"/>
          <w:szCs w:val="21"/>
        </w:rPr>
      </w:pPr>
      <w:r>
        <w:rPr>
          <w:rFonts w:hint="eastAsia" w:ascii="宋体" w:hAnsi="宋体" w:cs="宋体"/>
          <w:color w:val="auto"/>
          <w:szCs w:val="21"/>
        </w:rPr>
        <w:t>2.竞标报价表；</w:t>
      </w:r>
    </w:p>
    <w:p w14:paraId="4FDD0A4F">
      <w:pPr>
        <w:spacing w:line="400" w:lineRule="exact"/>
        <w:ind w:firstLine="420" w:firstLineChars="200"/>
        <w:rPr>
          <w:rFonts w:ascii="宋体" w:hAnsi="宋体" w:cs="宋体"/>
          <w:color w:val="auto"/>
          <w:szCs w:val="21"/>
        </w:rPr>
      </w:pPr>
      <w:r>
        <w:rPr>
          <w:rFonts w:hint="eastAsia" w:ascii="宋体" w:hAnsi="宋体" w:cs="宋体"/>
          <w:color w:val="auto"/>
          <w:szCs w:val="21"/>
        </w:rPr>
        <w:t>3.商务条款偏离表和服务需求偏离表；</w:t>
      </w:r>
    </w:p>
    <w:p w14:paraId="16E94E47">
      <w:pPr>
        <w:spacing w:line="400" w:lineRule="exact"/>
        <w:ind w:firstLine="420" w:firstLineChars="200"/>
        <w:rPr>
          <w:rFonts w:ascii="宋体" w:hAnsi="宋体" w:cs="宋体"/>
          <w:color w:val="auto"/>
          <w:szCs w:val="21"/>
        </w:rPr>
      </w:pPr>
      <w:r>
        <w:rPr>
          <w:rFonts w:hint="eastAsia" w:ascii="宋体" w:hAnsi="宋体" w:cs="宋体"/>
          <w:color w:val="auto"/>
          <w:szCs w:val="21"/>
        </w:rPr>
        <w:t>4.响应文件中的其他相关文件。</w:t>
      </w:r>
    </w:p>
    <w:p w14:paraId="0D13F4DA">
      <w:pPr>
        <w:spacing w:line="400" w:lineRule="exact"/>
        <w:ind w:firstLine="420" w:firstLineChars="200"/>
        <w:rPr>
          <w:rFonts w:ascii="宋体" w:hAnsi="宋体" w:cs="宋体"/>
          <w:color w:val="auto"/>
          <w:szCs w:val="21"/>
        </w:rPr>
      </w:pPr>
      <w:r>
        <w:rPr>
          <w:rFonts w:hint="eastAsia" w:ascii="宋体" w:hAnsi="宋体" w:cs="宋体"/>
          <w:color w:val="auto"/>
          <w:szCs w:val="21"/>
        </w:rPr>
        <w:t>5.上述合同文件互相补充和解释。如果合同文件之间存在矛盾或者不一致之处，以上述文件的排列顺序在先者为准。</w:t>
      </w:r>
    </w:p>
    <w:p w14:paraId="61D5D1C3">
      <w:pPr>
        <w:pStyle w:val="99"/>
        <w:spacing w:line="400" w:lineRule="exact"/>
        <w:ind w:firstLine="422" w:firstLineChars="200"/>
        <w:rPr>
          <w:b/>
          <w:color w:val="auto"/>
        </w:rPr>
      </w:pPr>
      <w:r>
        <w:rPr>
          <w:rFonts w:hint="eastAsia"/>
          <w:b/>
          <w:color w:val="auto"/>
          <w:szCs w:val="21"/>
        </w:rPr>
        <w:t>第十六条　</w:t>
      </w:r>
      <w:r>
        <w:rPr>
          <w:rFonts w:hint="eastAsia"/>
          <w:b/>
          <w:color w:val="auto"/>
        </w:rPr>
        <w:t>合同生效及其它</w:t>
      </w:r>
    </w:p>
    <w:p w14:paraId="1AA7D5AE">
      <w:pPr>
        <w:spacing w:line="400" w:lineRule="exact"/>
        <w:ind w:firstLine="420" w:firstLineChars="200"/>
        <w:rPr>
          <w:rFonts w:ascii="宋体" w:hAnsi="宋体" w:cs="宋体"/>
          <w:color w:val="auto"/>
          <w:szCs w:val="21"/>
        </w:rPr>
      </w:pPr>
      <w:r>
        <w:rPr>
          <w:rFonts w:hint="eastAsia" w:ascii="宋体" w:hAnsi="宋体" w:cs="宋体"/>
          <w:color w:val="auto"/>
          <w:szCs w:val="21"/>
        </w:rPr>
        <w:t>1.合同经双方法定代表人或者委托代理人签字并加盖单位公章后生效（委托代理人签字的需后附授权委托书，格式自拟）。</w:t>
      </w:r>
    </w:p>
    <w:p w14:paraId="6B3669DF">
      <w:pPr>
        <w:spacing w:line="400" w:lineRule="exact"/>
        <w:ind w:firstLine="420" w:firstLineChars="200"/>
        <w:rPr>
          <w:rFonts w:ascii="宋体" w:hAnsi="宋体" w:cs="宋体"/>
          <w:color w:val="auto"/>
          <w:szCs w:val="21"/>
        </w:rPr>
      </w:pPr>
      <w:r>
        <w:rPr>
          <w:rFonts w:hint="eastAsia" w:ascii="宋体" w:hAnsi="宋体" w:cs="宋体"/>
          <w:color w:val="auto"/>
          <w:szCs w:val="21"/>
        </w:rPr>
        <w:t>2.合同执行中涉及采购资金和采购内容修改或者补充的，并签订书面补充协议，方可作为主合同不可分割的一部分。</w:t>
      </w:r>
    </w:p>
    <w:p w14:paraId="605BDD20">
      <w:pPr>
        <w:spacing w:line="400" w:lineRule="exact"/>
        <w:ind w:firstLine="420" w:firstLineChars="200"/>
        <w:rPr>
          <w:rFonts w:ascii="宋体" w:hAnsi="宋体" w:cs="宋体"/>
          <w:color w:val="auto"/>
          <w:szCs w:val="21"/>
        </w:rPr>
      </w:pPr>
      <w:r>
        <w:rPr>
          <w:rFonts w:hint="eastAsia" w:ascii="宋体" w:hAnsi="宋体" w:cs="宋体"/>
          <w:color w:val="auto"/>
          <w:szCs w:val="21"/>
        </w:rPr>
        <w:t>3.合同生效后，甲乙双方不得因姓名、名称的变更或者法定代表人、负责人、承办人的变动而不履行合同义务。</w:t>
      </w:r>
    </w:p>
    <w:p w14:paraId="73911AC6">
      <w:pPr>
        <w:spacing w:line="400" w:lineRule="exact"/>
        <w:ind w:firstLine="420" w:firstLineChars="200"/>
        <w:rPr>
          <w:rFonts w:ascii="宋体" w:hAnsi="宋体" w:cs="宋体"/>
          <w:color w:val="auto"/>
          <w:szCs w:val="21"/>
        </w:rPr>
      </w:pPr>
      <w:r>
        <w:rPr>
          <w:rFonts w:hint="eastAsia" w:ascii="宋体" w:hAnsi="宋体" w:cs="宋体"/>
          <w:color w:val="auto"/>
          <w:szCs w:val="21"/>
        </w:rPr>
        <w:t>4.本合同未尽事宜，遵照《中华人民共和国民法典》有关条文执行。</w:t>
      </w:r>
    </w:p>
    <w:p w14:paraId="37BD7BAE">
      <w:pPr>
        <w:spacing w:line="400" w:lineRule="exact"/>
        <w:ind w:firstLine="420" w:firstLineChars="200"/>
        <w:rPr>
          <w:rFonts w:ascii="宋体" w:hAnsi="宋体" w:cs="宋体"/>
          <w:color w:val="auto"/>
          <w:szCs w:val="21"/>
        </w:rPr>
      </w:pPr>
      <w:r>
        <w:rPr>
          <w:rFonts w:hint="eastAsia" w:ascii="宋体" w:hAnsi="宋体" w:cs="宋体"/>
          <w:color w:val="auto"/>
          <w:szCs w:val="21"/>
        </w:rPr>
        <w:t>5.本合同一式6份（可根据需要另增加），经甲乙双方法定代表人或被授权人签字并加盖公章后生效。甲方执3份，乙方执2份，云之龙咨询集团有限公司执1份，具有同等法律效力。</w:t>
      </w:r>
    </w:p>
    <w:p w14:paraId="7EB686A5">
      <w:pPr>
        <w:spacing w:line="400" w:lineRule="exact"/>
        <w:ind w:firstLine="420" w:firstLineChars="200"/>
        <w:rPr>
          <w:rFonts w:ascii="宋体" w:hAnsi="宋体" w:cs="宋体"/>
          <w:color w:val="auto"/>
          <w:szCs w:val="21"/>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7"/>
        <w:gridCol w:w="4455"/>
      </w:tblGrid>
      <w:tr w14:paraId="5082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617" w:type="dxa"/>
            <w:tcBorders>
              <w:top w:val="single" w:color="auto" w:sz="4" w:space="0"/>
              <w:left w:val="single" w:color="auto" w:sz="4" w:space="0"/>
              <w:bottom w:val="single" w:color="auto" w:sz="4" w:space="0"/>
              <w:right w:val="single" w:color="auto" w:sz="4" w:space="0"/>
            </w:tcBorders>
            <w:vAlign w:val="center"/>
          </w:tcPr>
          <w:p w14:paraId="0DB22D8C">
            <w:pPr>
              <w:spacing w:line="400" w:lineRule="exact"/>
              <w:rPr>
                <w:rFonts w:ascii="新宋体" w:hAnsi="新宋体" w:eastAsia="新宋体" w:cs="新宋体"/>
                <w:color w:val="auto"/>
                <w:szCs w:val="21"/>
              </w:rPr>
            </w:pPr>
            <w:r>
              <w:rPr>
                <w:rFonts w:hint="eastAsia" w:ascii="新宋体" w:hAnsi="新宋体" w:eastAsia="新宋体" w:cs="新宋体"/>
                <w:color w:val="auto"/>
                <w:szCs w:val="21"/>
              </w:rPr>
              <w:t xml:space="preserve">甲方（章）           </w:t>
            </w:r>
          </w:p>
          <w:p w14:paraId="0BE492A8">
            <w:pPr>
              <w:spacing w:line="400" w:lineRule="exact"/>
              <w:ind w:firstLine="945" w:firstLineChars="450"/>
              <w:jc w:val="right"/>
              <w:rPr>
                <w:rFonts w:ascii="新宋体" w:hAnsi="新宋体" w:eastAsia="新宋体" w:cs="新宋体"/>
                <w:color w:val="auto"/>
                <w:szCs w:val="21"/>
              </w:rPr>
            </w:pPr>
            <w:r>
              <w:rPr>
                <w:rFonts w:hint="eastAsia" w:ascii="新宋体" w:hAnsi="新宋体" w:eastAsia="新宋体" w:cs="新宋体"/>
                <w:color w:val="auto"/>
                <w:szCs w:val="21"/>
              </w:rPr>
              <w:t>年   月   日</w:t>
            </w:r>
          </w:p>
        </w:tc>
        <w:tc>
          <w:tcPr>
            <w:tcW w:w="4455" w:type="dxa"/>
            <w:tcBorders>
              <w:top w:val="single" w:color="auto" w:sz="4" w:space="0"/>
              <w:left w:val="single" w:color="auto" w:sz="4" w:space="0"/>
              <w:bottom w:val="single" w:color="auto" w:sz="4" w:space="0"/>
              <w:right w:val="single" w:color="auto" w:sz="4" w:space="0"/>
            </w:tcBorders>
            <w:vAlign w:val="center"/>
          </w:tcPr>
          <w:p w14:paraId="119058CD">
            <w:pPr>
              <w:spacing w:line="400" w:lineRule="exact"/>
              <w:rPr>
                <w:rFonts w:ascii="新宋体" w:hAnsi="新宋体" w:eastAsia="新宋体" w:cs="新宋体"/>
                <w:color w:val="auto"/>
                <w:szCs w:val="21"/>
              </w:rPr>
            </w:pPr>
            <w:r>
              <w:rPr>
                <w:rFonts w:hint="eastAsia" w:ascii="新宋体" w:hAnsi="新宋体" w:eastAsia="新宋体" w:cs="新宋体"/>
                <w:color w:val="auto"/>
                <w:szCs w:val="21"/>
              </w:rPr>
              <w:t xml:space="preserve">乙方（章）              </w:t>
            </w:r>
          </w:p>
          <w:p w14:paraId="309E8D69">
            <w:pPr>
              <w:spacing w:line="400" w:lineRule="exact"/>
              <w:jc w:val="right"/>
              <w:rPr>
                <w:rFonts w:ascii="新宋体" w:hAnsi="新宋体" w:eastAsia="新宋体" w:cs="新宋体"/>
                <w:color w:val="auto"/>
                <w:szCs w:val="21"/>
              </w:rPr>
            </w:pPr>
            <w:r>
              <w:rPr>
                <w:rFonts w:hint="eastAsia" w:ascii="新宋体" w:hAnsi="新宋体" w:eastAsia="新宋体" w:cs="新宋体"/>
                <w:color w:val="auto"/>
                <w:szCs w:val="21"/>
              </w:rPr>
              <w:t xml:space="preserve"> 年   月   日</w:t>
            </w:r>
          </w:p>
        </w:tc>
      </w:tr>
      <w:tr w14:paraId="4285F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tcBorders>
              <w:top w:val="single" w:color="auto" w:sz="4" w:space="0"/>
              <w:left w:val="single" w:color="auto" w:sz="4" w:space="0"/>
              <w:bottom w:val="single" w:color="auto" w:sz="4" w:space="0"/>
              <w:right w:val="single" w:color="auto" w:sz="4" w:space="0"/>
            </w:tcBorders>
            <w:vAlign w:val="center"/>
          </w:tcPr>
          <w:p w14:paraId="40802CD6">
            <w:pPr>
              <w:spacing w:line="400" w:lineRule="exact"/>
              <w:rPr>
                <w:rFonts w:ascii="新宋体" w:hAnsi="新宋体" w:eastAsia="新宋体" w:cs="新宋体"/>
                <w:color w:val="auto"/>
                <w:szCs w:val="21"/>
              </w:rPr>
            </w:pPr>
            <w:r>
              <w:rPr>
                <w:rFonts w:hint="eastAsia" w:ascii="新宋体" w:hAnsi="新宋体" w:eastAsia="新宋体" w:cs="新宋体"/>
                <w:color w:val="auto"/>
                <w:szCs w:val="21"/>
              </w:rPr>
              <w:t>单位地址：</w:t>
            </w:r>
          </w:p>
        </w:tc>
        <w:tc>
          <w:tcPr>
            <w:tcW w:w="4455" w:type="dxa"/>
            <w:tcBorders>
              <w:top w:val="single" w:color="auto" w:sz="4" w:space="0"/>
              <w:left w:val="single" w:color="auto" w:sz="4" w:space="0"/>
              <w:bottom w:val="single" w:color="auto" w:sz="4" w:space="0"/>
              <w:right w:val="single" w:color="auto" w:sz="4" w:space="0"/>
            </w:tcBorders>
            <w:vAlign w:val="center"/>
          </w:tcPr>
          <w:p w14:paraId="5AFFAD88">
            <w:pPr>
              <w:spacing w:line="400" w:lineRule="exact"/>
              <w:rPr>
                <w:rFonts w:ascii="新宋体" w:hAnsi="新宋体" w:eastAsia="新宋体" w:cs="新宋体"/>
                <w:color w:val="auto"/>
                <w:szCs w:val="21"/>
              </w:rPr>
            </w:pPr>
            <w:r>
              <w:rPr>
                <w:rFonts w:hint="eastAsia" w:ascii="新宋体" w:hAnsi="新宋体" w:eastAsia="新宋体" w:cs="新宋体"/>
                <w:color w:val="auto"/>
                <w:szCs w:val="21"/>
              </w:rPr>
              <w:t>单位地址：</w:t>
            </w:r>
          </w:p>
        </w:tc>
      </w:tr>
      <w:tr w14:paraId="5E4EA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tcBorders>
              <w:top w:val="single" w:color="auto" w:sz="4" w:space="0"/>
              <w:left w:val="single" w:color="auto" w:sz="4" w:space="0"/>
              <w:bottom w:val="single" w:color="auto" w:sz="4" w:space="0"/>
              <w:right w:val="single" w:color="auto" w:sz="4" w:space="0"/>
            </w:tcBorders>
          </w:tcPr>
          <w:p w14:paraId="2B7ACD07">
            <w:pPr>
              <w:spacing w:line="400" w:lineRule="exact"/>
              <w:rPr>
                <w:rFonts w:ascii="新宋体" w:hAnsi="新宋体" w:eastAsia="新宋体" w:cs="新宋体"/>
                <w:color w:val="auto"/>
                <w:szCs w:val="21"/>
              </w:rPr>
            </w:pPr>
            <w:r>
              <w:rPr>
                <w:rFonts w:hint="eastAsia" w:ascii="新宋体" w:hAnsi="新宋体" w:eastAsia="新宋体" w:cs="新宋体"/>
                <w:color w:val="auto"/>
                <w:szCs w:val="21"/>
              </w:rPr>
              <w:t>法定代表人或委托代理人：</w:t>
            </w:r>
          </w:p>
          <w:p w14:paraId="75261593">
            <w:pPr>
              <w:spacing w:line="400" w:lineRule="exact"/>
              <w:rPr>
                <w:rFonts w:ascii="新宋体" w:hAnsi="新宋体" w:eastAsia="新宋体" w:cs="新宋体"/>
                <w:color w:val="auto"/>
                <w:szCs w:val="21"/>
              </w:rPr>
            </w:pPr>
          </w:p>
        </w:tc>
        <w:tc>
          <w:tcPr>
            <w:tcW w:w="4455" w:type="dxa"/>
            <w:tcBorders>
              <w:top w:val="single" w:color="auto" w:sz="4" w:space="0"/>
              <w:left w:val="single" w:color="auto" w:sz="4" w:space="0"/>
              <w:bottom w:val="single" w:color="auto" w:sz="4" w:space="0"/>
              <w:right w:val="single" w:color="auto" w:sz="4" w:space="0"/>
            </w:tcBorders>
          </w:tcPr>
          <w:p w14:paraId="12CBD4AD">
            <w:pPr>
              <w:spacing w:line="400" w:lineRule="exact"/>
              <w:rPr>
                <w:rFonts w:ascii="新宋体" w:hAnsi="新宋体" w:eastAsia="新宋体" w:cs="新宋体"/>
                <w:color w:val="auto"/>
                <w:szCs w:val="21"/>
              </w:rPr>
            </w:pPr>
            <w:r>
              <w:rPr>
                <w:rFonts w:hint="eastAsia" w:ascii="新宋体" w:hAnsi="新宋体" w:eastAsia="新宋体" w:cs="新宋体"/>
                <w:color w:val="auto"/>
                <w:szCs w:val="21"/>
              </w:rPr>
              <w:t>法定代表人或委托代理人：</w:t>
            </w:r>
          </w:p>
          <w:p w14:paraId="6897464B">
            <w:pPr>
              <w:spacing w:line="400" w:lineRule="exact"/>
              <w:rPr>
                <w:rFonts w:ascii="新宋体" w:hAnsi="新宋体" w:eastAsia="新宋体" w:cs="新宋体"/>
                <w:color w:val="auto"/>
                <w:szCs w:val="21"/>
              </w:rPr>
            </w:pPr>
          </w:p>
        </w:tc>
      </w:tr>
      <w:tr w14:paraId="4762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tcBorders>
              <w:top w:val="single" w:color="auto" w:sz="4" w:space="0"/>
              <w:left w:val="single" w:color="auto" w:sz="4" w:space="0"/>
              <w:bottom w:val="single" w:color="auto" w:sz="4" w:space="0"/>
              <w:right w:val="single" w:color="auto" w:sz="4" w:space="0"/>
            </w:tcBorders>
            <w:vAlign w:val="center"/>
          </w:tcPr>
          <w:p w14:paraId="313BF27C">
            <w:pPr>
              <w:spacing w:line="400" w:lineRule="exact"/>
              <w:rPr>
                <w:rFonts w:ascii="新宋体" w:hAnsi="新宋体" w:eastAsia="新宋体" w:cs="新宋体"/>
                <w:color w:val="auto"/>
                <w:szCs w:val="21"/>
              </w:rPr>
            </w:pPr>
            <w:r>
              <w:rPr>
                <w:rFonts w:hint="eastAsia" w:ascii="新宋体" w:hAnsi="新宋体" w:eastAsia="新宋体" w:cs="新宋体"/>
                <w:color w:val="auto"/>
                <w:szCs w:val="21"/>
              </w:rPr>
              <w:t>电话：</w:t>
            </w:r>
          </w:p>
        </w:tc>
        <w:tc>
          <w:tcPr>
            <w:tcW w:w="4455" w:type="dxa"/>
            <w:tcBorders>
              <w:top w:val="single" w:color="auto" w:sz="4" w:space="0"/>
              <w:left w:val="single" w:color="auto" w:sz="4" w:space="0"/>
              <w:bottom w:val="single" w:color="auto" w:sz="4" w:space="0"/>
              <w:right w:val="single" w:color="auto" w:sz="4" w:space="0"/>
            </w:tcBorders>
            <w:vAlign w:val="center"/>
          </w:tcPr>
          <w:p w14:paraId="5D057DCF">
            <w:pPr>
              <w:spacing w:line="400" w:lineRule="exact"/>
              <w:rPr>
                <w:rFonts w:ascii="新宋体" w:hAnsi="新宋体" w:eastAsia="新宋体" w:cs="新宋体"/>
                <w:color w:val="auto"/>
                <w:szCs w:val="21"/>
              </w:rPr>
            </w:pPr>
            <w:r>
              <w:rPr>
                <w:rFonts w:hint="eastAsia" w:ascii="新宋体" w:hAnsi="新宋体" w:eastAsia="新宋体" w:cs="新宋体"/>
                <w:color w:val="auto"/>
                <w:szCs w:val="21"/>
              </w:rPr>
              <w:t>电话：</w:t>
            </w:r>
          </w:p>
        </w:tc>
      </w:tr>
      <w:tr w14:paraId="6499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tcBorders>
              <w:top w:val="single" w:color="auto" w:sz="4" w:space="0"/>
              <w:left w:val="single" w:color="auto" w:sz="4" w:space="0"/>
              <w:bottom w:val="single" w:color="auto" w:sz="4" w:space="0"/>
              <w:right w:val="single" w:color="auto" w:sz="4" w:space="0"/>
            </w:tcBorders>
            <w:vAlign w:val="center"/>
          </w:tcPr>
          <w:p w14:paraId="01D841DD">
            <w:pPr>
              <w:spacing w:line="400" w:lineRule="exact"/>
              <w:rPr>
                <w:rFonts w:ascii="新宋体" w:hAnsi="新宋体" w:eastAsia="新宋体" w:cs="新宋体"/>
                <w:color w:val="auto"/>
                <w:szCs w:val="21"/>
              </w:rPr>
            </w:pPr>
            <w:r>
              <w:rPr>
                <w:rFonts w:hint="eastAsia" w:ascii="新宋体" w:hAnsi="新宋体" w:eastAsia="新宋体" w:cs="新宋体"/>
                <w:color w:val="auto"/>
                <w:szCs w:val="21"/>
              </w:rPr>
              <w:t>电子邮箱：</w:t>
            </w:r>
          </w:p>
        </w:tc>
        <w:tc>
          <w:tcPr>
            <w:tcW w:w="4455" w:type="dxa"/>
            <w:tcBorders>
              <w:top w:val="single" w:color="auto" w:sz="4" w:space="0"/>
              <w:left w:val="single" w:color="auto" w:sz="4" w:space="0"/>
              <w:bottom w:val="single" w:color="auto" w:sz="4" w:space="0"/>
              <w:right w:val="single" w:color="auto" w:sz="4" w:space="0"/>
            </w:tcBorders>
            <w:vAlign w:val="center"/>
          </w:tcPr>
          <w:p w14:paraId="4A0C4FB4">
            <w:pPr>
              <w:spacing w:line="400" w:lineRule="exact"/>
              <w:rPr>
                <w:rFonts w:ascii="新宋体" w:hAnsi="新宋体" w:eastAsia="新宋体" w:cs="新宋体"/>
                <w:color w:val="auto"/>
                <w:szCs w:val="21"/>
              </w:rPr>
            </w:pPr>
            <w:r>
              <w:rPr>
                <w:rFonts w:hint="eastAsia" w:ascii="新宋体" w:hAnsi="新宋体" w:eastAsia="新宋体" w:cs="新宋体"/>
                <w:color w:val="auto"/>
                <w:szCs w:val="21"/>
              </w:rPr>
              <w:t>电子邮箱：</w:t>
            </w:r>
          </w:p>
        </w:tc>
      </w:tr>
      <w:tr w14:paraId="59E30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tcBorders>
              <w:top w:val="single" w:color="auto" w:sz="4" w:space="0"/>
              <w:left w:val="single" w:color="auto" w:sz="4" w:space="0"/>
              <w:bottom w:val="single" w:color="auto" w:sz="4" w:space="0"/>
              <w:right w:val="single" w:color="auto" w:sz="4" w:space="0"/>
            </w:tcBorders>
            <w:vAlign w:val="center"/>
          </w:tcPr>
          <w:p w14:paraId="0D8661DD">
            <w:pPr>
              <w:spacing w:line="400" w:lineRule="exact"/>
              <w:rPr>
                <w:rFonts w:ascii="新宋体" w:hAnsi="新宋体" w:eastAsia="新宋体" w:cs="新宋体"/>
                <w:color w:val="auto"/>
                <w:szCs w:val="21"/>
              </w:rPr>
            </w:pPr>
            <w:r>
              <w:rPr>
                <w:rFonts w:hint="eastAsia" w:ascii="新宋体" w:hAnsi="新宋体" w:eastAsia="新宋体" w:cs="新宋体"/>
                <w:color w:val="auto"/>
                <w:szCs w:val="21"/>
              </w:rPr>
              <w:t>开户名称：</w:t>
            </w:r>
          </w:p>
        </w:tc>
        <w:tc>
          <w:tcPr>
            <w:tcW w:w="4455" w:type="dxa"/>
            <w:tcBorders>
              <w:top w:val="single" w:color="auto" w:sz="4" w:space="0"/>
              <w:left w:val="single" w:color="auto" w:sz="4" w:space="0"/>
              <w:bottom w:val="single" w:color="auto" w:sz="4" w:space="0"/>
              <w:right w:val="single" w:color="auto" w:sz="4" w:space="0"/>
            </w:tcBorders>
            <w:vAlign w:val="center"/>
          </w:tcPr>
          <w:p w14:paraId="4802C584">
            <w:pPr>
              <w:spacing w:line="400" w:lineRule="exact"/>
              <w:rPr>
                <w:rFonts w:ascii="新宋体" w:hAnsi="新宋体" w:eastAsia="新宋体" w:cs="新宋体"/>
                <w:color w:val="auto"/>
                <w:szCs w:val="21"/>
              </w:rPr>
            </w:pPr>
            <w:r>
              <w:rPr>
                <w:rFonts w:hint="eastAsia" w:ascii="新宋体" w:hAnsi="新宋体" w:eastAsia="新宋体" w:cs="新宋体"/>
                <w:color w:val="auto"/>
                <w:szCs w:val="21"/>
              </w:rPr>
              <w:t>开户名称：</w:t>
            </w:r>
          </w:p>
        </w:tc>
      </w:tr>
      <w:tr w14:paraId="5F3A1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tcBorders>
              <w:top w:val="single" w:color="auto" w:sz="4" w:space="0"/>
              <w:left w:val="single" w:color="auto" w:sz="4" w:space="0"/>
              <w:bottom w:val="single" w:color="auto" w:sz="4" w:space="0"/>
              <w:right w:val="single" w:color="auto" w:sz="4" w:space="0"/>
            </w:tcBorders>
            <w:vAlign w:val="center"/>
          </w:tcPr>
          <w:p w14:paraId="420F0699">
            <w:pPr>
              <w:spacing w:line="400" w:lineRule="exact"/>
              <w:rPr>
                <w:rFonts w:ascii="新宋体" w:hAnsi="新宋体" w:eastAsia="新宋体" w:cs="新宋体"/>
                <w:color w:val="auto"/>
                <w:szCs w:val="21"/>
              </w:rPr>
            </w:pPr>
            <w:r>
              <w:rPr>
                <w:rFonts w:hint="eastAsia" w:ascii="新宋体" w:hAnsi="新宋体" w:eastAsia="新宋体" w:cs="新宋体"/>
                <w:color w:val="auto"/>
                <w:szCs w:val="21"/>
              </w:rPr>
              <w:t>纳税人识别号：</w:t>
            </w:r>
          </w:p>
        </w:tc>
        <w:tc>
          <w:tcPr>
            <w:tcW w:w="4455" w:type="dxa"/>
            <w:tcBorders>
              <w:top w:val="single" w:color="auto" w:sz="4" w:space="0"/>
              <w:left w:val="single" w:color="auto" w:sz="4" w:space="0"/>
              <w:bottom w:val="single" w:color="auto" w:sz="4" w:space="0"/>
              <w:right w:val="single" w:color="auto" w:sz="4" w:space="0"/>
            </w:tcBorders>
            <w:vAlign w:val="center"/>
          </w:tcPr>
          <w:p w14:paraId="796288A7">
            <w:pPr>
              <w:spacing w:line="400" w:lineRule="exact"/>
              <w:rPr>
                <w:rFonts w:ascii="新宋体" w:hAnsi="新宋体" w:eastAsia="新宋体" w:cs="新宋体"/>
                <w:color w:val="auto"/>
                <w:szCs w:val="21"/>
              </w:rPr>
            </w:pPr>
            <w:r>
              <w:rPr>
                <w:rFonts w:hint="eastAsia" w:ascii="新宋体" w:hAnsi="新宋体" w:eastAsia="新宋体" w:cs="新宋体"/>
                <w:color w:val="auto"/>
                <w:szCs w:val="21"/>
              </w:rPr>
              <w:t>纳税人识别号：</w:t>
            </w:r>
          </w:p>
        </w:tc>
      </w:tr>
      <w:tr w14:paraId="6B9AE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tcBorders>
              <w:top w:val="single" w:color="auto" w:sz="4" w:space="0"/>
              <w:left w:val="single" w:color="auto" w:sz="4" w:space="0"/>
              <w:bottom w:val="single" w:color="auto" w:sz="4" w:space="0"/>
              <w:right w:val="single" w:color="auto" w:sz="4" w:space="0"/>
            </w:tcBorders>
            <w:vAlign w:val="center"/>
          </w:tcPr>
          <w:p w14:paraId="000A83F0">
            <w:pPr>
              <w:spacing w:line="400" w:lineRule="exact"/>
              <w:rPr>
                <w:rFonts w:ascii="新宋体" w:hAnsi="新宋体" w:eastAsia="新宋体" w:cs="新宋体"/>
                <w:color w:val="auto"/>
                <w:szCs w:val="21"/>
              </w:rPr>
            </w:pPr>
            <w:r>
              <w:rPr>
                <w:rFonts w:hint="eastAsia" w:ascii="新宋体" w:hAnsi="新宋体" w:eastAsia="新宋体" w:cs="新宋体"/>
                <w:color w:val="auto"/>
                <w:szCs w:val="21"/>
              </w:rPr>
              <w:t>开户银行：</w:t>
            </w:r>
          </w:p>
        </w:tc>
        <w:tc>
          <w:tcPr>
            <w:tcW w:w="4455" w:type="dxa"/>
            <w:tcBorders>
              <w:top w:val="single" w:color="auto" w:sz="4" w:space="0"/>
              <w:left w:val="single" w:color="auto" w:sz="4" w:space="0"/>
              <w:bottom w:val="single" w:color="auto" w:sz="4" w:space="0"/>
              <w:right w:val="single" w:color="auto" w:sz="4" w:space="0"/>
            </w:tcBorders>
            <w:vAlign w:val="center"/>
          </w:tcPr>
          <w:p w14:paraId="3A053B0E">
            <w:pPr>
              <w:spacing w:line="400" w:lineRule="exact"/>
              <w:rPr>
                <w:rFonts w:ascii="新宋体" w:hAnsi="新宋体" w:eastAsia="新宋体" w:cs="新宋体"/>
                <w:color w:val="auto"/>
                <w:szCs w:val="21"/>
              </w:rPr>
            </w:pPr>
            <w:r>
              <w:rPr>
                <w:rFonts w:hint="eastAsia" w:ascii="新宋体" w:hAnsi="新宋体" w:eastAsia="新宋体" w:cs="新宋体"/>
                <w:color w:val="auto"/>
                <w:szCs w:val="21"/>
              </w:rPr>
              <w:t>开户银行：</w:t>
            </w:r>
          </w:p>
        </w:tc>
      </w:tr>
      <w:tr w14:paraId="37F47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tcBorders>
              <w:top w:val="single" w:color="auto" w:sz="4" w:space="0"/>
              <w:left w:val="single" w:color="auto" w:sz="4" w:space="0"/>
              <w:bottom w:val="single" w:color="auto" w:sz="4" w:space="0"/>
              <w:right w:val="single" w:color="auto" w:sz="4" w:space="0"/>
            </w:tcBorders>
            <w:vAlign w:val="center"/>
          </w:tcPr>
          <w:p w14:paraId="0D6DD6F2">
            <w:pPr>
              <w:spacing w:line="400" w:lineRule="exact"/>
              <w:rPr>
                <w:rFonts w:ascii="新宋体" w:hAnsi="新宋体" w:eastAsia="新宋体" w:cs="新宋体"/>
                <w:color w:val="auto"/>
                <w:szCs w:val="21"/>
              </w:rPr>
            </w:pPr>
            <w:r>
              <w:rPr>
                <w:rFonts w:hint="eastAsia" w:ascii="新宋体" w:hAnsi="新宋体" w:eastAsia="新宋体" w:cs="新宋体"/>
                <w:color w:val="auto"/>
                <w:szCs w:val="21"/>
              </w:rPr>
              <w:t>账号：</w:t>
            </w:r>
          </w:p>
        </w:tc>
        <w:tc>
          <w:tcPr>
            <w:tcW w:w="4455" w:type="dxa"/>
            <w:tcBorders>
              <w:top w:val="single" w:color="auto" w:sz="4" w:space="0"/>
              <w:left w:val="single" w:color="auto" w:sz="4" w:space="0"/>
              <w:bottom w:val="single" w:color="auto" w:sz="4" w:space="0"/>
              <w:right w:val="single" w:color="auto" w:sz="4" w:space="0"/>
            </w:tcBorders>
            <w:vAlign w:val="center"/>
          </w:tcPr>
          <w:p w14:paraId="6A357E0D">
            <w:pPr>
              <w:spacing w:line="400" w:lineRule="exact"/>
              <w:rPr>
                <w:rFonts w:ascii="新宋体" w:hAnsi="新宋体" w:eastAsia="新宋体" w:cs="新宋体"/>
                <w:color w:val="auto"/>
                <w:szCs w:val="21"/>
              </w:rPr>
            </w:pPr>
            <w:r>
              <w:rPr>
                <w:rFonts w:hint="eastAsia" w:ascii="新宋体" w:hAnsi="新宋体" w:eastAsia="新宋体" w:cs="新宋体"/>
                <w:color w:val="auto"/>
                <w:szCs w:val="21"/>
              </w:rPr>
              <w:t>账号：</w:t>
            </w:r>
          </w:p>
        </w:tc>
      </w:tr>
      <w:tr w14:paraId="23266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tcBorders>
              <w:top w:val="single" w:color="auto" w:sz="4" w:space="0"/>
              <w:left w:val="single" w:color="auto" w:sz="4" w:space="0"/>
              <w:bottom w:val="single" w:color="auto" w:sz="4" w:space="0"/>
              <w:right w:val="single" w:color="auto" w:sz="4" w:space="0"/>
            </w:tcBorders>
            <w:vAlign w:val="center"/>
          </w:tcPr>
          <w:p w14:paraId="08FFC05D">
            <w:pPr>
              <w:spacing w:line="400" w:lineRule="exact"/>
              <w:rPr>
                <w:rFonts w:ascii="新宋体" w:hAnsi="新宋体" w:eastAsia="新宋体" w:cs="新宋体"/>
                <w:color w:val="auto"/>
                <w:szCs w:val="21"/>
              </w:rPr>
            </w:pPr>
            <w:r>
              <w:rPr>
                <w:rFonts w:hint="eastAsia" w:ascii="新宋体" w:hAnsi="新宋体" w:eastAsia="新宋体" w:cs="新宋体"/>
                <w:color w:val="auto"/>
                <w:szCs w:val="21"/>
              </w:rPr>
              <w:t>邮政编码：</w:t>
            </w:r>
          </w:p>
        </w:tc>
        <w:tc>
          <w:tcPr>
            <w:tcW w:w="4455" w:type="dxa"/>
            <w:tcBorders>
              <w:top w:val="single" w:color="auto" w:sz="4" w:space="0"/>
              <w:left w:val="single" w:color="auto" w:sz="4" w:space="0"/>
              <w:bottom w:val="single" w:color="auto" w:sz="4" w:space="0"/>
              <w:right w:val="single" w:color="auto" w:sz="4" w:space="0"/>
            </w:tcBorders>
            <w:vAlign w:val="center"/>
          </w:tcPr>
          <w:p w14:paraId="7068CD72">
            <w:pPr>
              <w:spacing w:line="400" w:lineRule="exact"/>
              <w:rPr>
                <w:rFonts w:ascii="新宋体" w:hAnsi="新宋体" w:eastAsia="新宋体" w:cs="新宋体"/>
                <w:color w:val="auto"/>
                <w:szCs w:val="21"/>
              </w:rPr>
            </w:pPr>
            <w:r>
              <w:rPr>
                <w:rFonts w:hint="eastAsia" w:ascii="新宋体" w:hAnsi="新宋体" w:eastAsia="新宋体" w:cs="新宋体"/>
                <w:color w:val="auto"/>
                <w:szCs w:val="21"/>
              </w:rPr>
              <w:t>邮政编码：</w:t>
            </w:r>
          </w:p>
        </w:tc>
      </w:tr>
    </w:tbl>
    <w:p w14:paraId="6054486F">
      <w:pPr>
        <w:ind w:firstLine="420"/>
        <w:rPr>
          <w:color w:val="auto"/>
        </w:rPr>
      </w:pPr>
    </w:p>
    <w:p w14:paraId="2FAABE8E">
      <w:pPr>
        <w:ind w:firstLine="420"/>
        <w:rPr>
          <w:color w:val="auto"/>
        </w:rPr>
      </w:pPr>
    </w:p>
    <w:p w14:paraId="6FE638E5">
      <w:pPr>
        <w:pStyle w:val="44"/>
        <w:rPr>
          <w:rFonts w:ascii="宋体" w:hAnsi="宋体"/>
          <w:color w:val="auto"/>
          <w:sz w:val="24"/>
        </w:rPr>
      </w:pPr>
    </w:p>
    <w:p w14:paraId="7D29B85A">
      <w:pPr>
        <w:pStyle w:val="44"/>
        <w:rPr>
          <w:rFonts w:ascii="宋体" w:hAnsi="宋体"/>
          <w:color w:val="auto"/>
          <w:sz w:val="24"/>
        </w:rPr>
      </w:pPr>
    </w:p>
    <w:p w14:paraId="105DA399">
      <w:pPr>
        <w:pStyle w:val="44"/>
        <w:rPr>
          <w:rFonts w:ascii="宋体" w:hAnsi="宋体"/>
          <w:color w:val="auto"/>
          <w:sz w:val="24"/>
        </w:rPr>
      </w:pPr>
    </w:p>
    <w:p w14:paraId="3287E2C9">
      <w:pPr>
        <w:pStyle w:val="44"/>
        <w:rPr>
          <w:rFonts w:ascii="宋体" w:hAnsi="宋体"/>
          <w:color w:val="auto"/>
          <w:sz w:val="24"/>
        </w:rPr>
      </w:pPr>
    </w:p>
    <w:p w14:paraId="05FFEAED">
      <w:pPr>
        <w:jc w:val="center"/>
        <w:rPr>
          <w:rFonts w:ascii="宋体" w:hAnsi="宋体" w:cs="宋体"/>
          <w:b/>
          <w:color w:val="auto"/>
          <w:sz w:val="84"/>
          <w:szCs w:val="84"/>
        </w:rPr>
      </w:pPr>
      <w:r>
        <w:rPr>
          <w:rFonts w:hint="eastAsia" w:ascii="宋体" w:hAnsi="宋体" w:cs="宋体"/>
          <w:b/>
          <w:color w:val="auto"/>
          <w:spacing w:val="92"/>
          <w:kern w:val="0"/>
          <w:sz w:val="84"/>
          <w:szCs w:val="84"/>
        </w:rPr>
        <w:t>崇左市财政局文</w:t>
      </w:r>
      <w:r>
        <w:rPr>
          <w:rFonts w:hint="eastAsia" w:ascii="宋体" w:hAnsi="宋体" w:cs="宋体"/>
          <w:b/>
          <w:color w:val="auto"/>
          <w:kern w:val="0"/>
          <w:sz w:val="84"/>
          <w:szCs w:val="84"/>
        </w:rPr>
        <w:t>件</w:t>
      </w:r>
    </w:p>
    <w:p w14:paraId="048263C9">
      <w:pPr>
        <w:rPr>
          <w:b/>
          <w:color w:val="auto"/>
          <w:sz w:val="24"/>
        </w:rPr>
      </w:pPr>
    </w:p>
    <w:p w14:paraId="171E0854">
      <w:pPr>
        <w:spacing w:line="56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崇财采〔2023〕10号</w:t>
      </w:r>
    </w:p>
    <w:p w14:paraId="53F85B1F">
      <w:pPr>
        <w:ind w:left="-283" w:leftChars="-135" w:right="-197" w:rightChars="-94"/>
        <w:jc w:val="center"/>
        <w:rPr>
          <w:b/>
          <w:color w:val="auto"/>
          <w:w w:val="150"/>
          <w:sz w:val="18"/>
          <w:szCs w:val="18"/>
        </w:rPr>
      </w:pPr>
      <w:r>
        <w:rPr>
          <w:b/>
          <w:color w:val="auto"/>
          <w:w w:val="150"/>
          <w:sz w:val="18"/>
          <w:szCs w:val="18"/>
        </w:rPr>
        <w:pict>
          <v:rect id="_x0000_s2054" o:spid="_x0000_s2054" o:spt="1" style="height:3pt;width:439.3pt;" fillcolor="#FF0000" filled="t" stroked="f" coordsize="21600,21600">
            <v:path/>
            <v:fill on="t" focussize="0,0"/>
            <v:stroke on="f"/>
            <v:imagedata o:title=""/>
            <o:lock v:ext="edit"/>
            <w10:wrap type="none"/>
            <w10:anchorlock/>
          </v:rect>
        </w:pict>
      </w:r>
    </w:p>
    <w:p w14:paraId="66A7379B">
      <w:pPr>
        <w:spacing w:line="440" w:lineRule="exact"/>
        <w:jc w:val="center"/>
        <w:rPr>
          <w:rFonts w:ascii="Arial Unicode MS" w:hAnsi="Arial Unicode MS" w:eastAsia="Arial Unicode MS" w:cs="Arial Unicode MS"/>
          <w:color w:val="auto"/>
          <w:sz w:val="44"/>
          <w:szCs w:val="44"/>
        </w:rPr>
      </w:pPr>
    </w:p>
    <w:p w14:paraId="629C6DEC">
      <w:pPr>
        <w:spacing w:line="560" w:lineRule="exact"/>
        <w:jc w:val="center"/>
        <w:rPr>
          <w:rFonts w:ascii="方正小标宋_GBK" w:hAnsi="仿宋" w:eastAsia="方正小标宋_GBK"/>
          <w:color w:val="auto"/>
          <w:sz w:val="44"/>
          <w:szCs w:val="44"/>
        </w:rPr>
      </w:pPr>
      <w:r>
        <w:rPr>
          <w:rFonts w:hint="eastAsia" w:ascii="方正小标宋_GBK" w:hAnsi="仿宋" w:eastAsia="方正小标宋_GBK"/>
          <w:color w:val="auto"/>
          <w:sz w:val="44"/>
          <w:szCs w:val="44"/>
        </w:rPr>
        <w:t>崇左市财政局关于进一步做好线上“政采贷”融资业务工作的通知</w:t>
      </w:r>
    </w:p>
    <w:p w14:paraId="5A5471C7">
      <w:pPr>
        <w:spacing w:line="540" w:lineRule="exact"/>
        <w:jc w:val="center"/>
        <w:rPr>
          <w:rFonts w:ascii="方正小标宋_GBK" w:hAnsi="仿宋" w:eastAsia="方正小标宋_GBK"/>
          <w:color w:val="auto"/>
          <w:sz w:val="44"/>
          <w:szCs w:val="44"/>
        </w:rPr>
      </w:pPr>
    </w:p>
    <w:p w14:paraId="41956061">
      <w:pPr>
        <w:spacing w:line="560" w:lineRule="exact"/>
        <w:rPr>
          <w:rFonts w:ascii="仿宋_GB2312" w:eastAsia="仿宋_GB2312"/>
          <w:color w:val="auto"/>
          <w:sz w:val="32"/>
          <w:szCs w:val="32"/>
        </w:rPr>
      </w:pPr>
      <w:r>
        <w:rPr>
          <w:rFonts w:hint="eastAsia" w:ascii="仿宋_GB2312" w:hAnsi="仿宋" w:eastAsia="仿宋_GB2312"/>
          <w:color w:val="auto"/>
          <w:sz w:val="32"/>
          <w:szCs w:val="32"/>
        </w:rPr>
        <w:t>市直各预算单位、</w:t>
      </w:r>
      <w:r>
        <w:rPr>
          <w:rFonts w:hint="eastAsia" w:ascii="仿宋_GB2312" w:eastAsia="仿宋_GB2312"/>
          <w:color w:val="auto"/>
          <w:spacing w:val="16"/>
          <w:sz w:val="32"/>
          <w:szCs w:val="32"/>
        </w:rPr>
        <w:t>各县（市、区）财政局、</w:t>
      </w:r>
      <w:r>
        <w:rPr>
          <w:rFonts w:hint="eastAsia" w:ascii="仿宋_GB2312" w:eastAsia="仿宋_GB2312"/>
          <w:color w:val="auto"/>
          <w:sz w:val="32"/>
          <w:szCs w:val="32"/>
        </w:rPr>
        <w:t>各采购代理机构：</w:t>
      </w:r>
    </w:p>
    <w:p w14:paraId="00DA00B3">
      <w:pPr>
        <w:spacing w:line="560" w:lineRule="exact"/>
        <w:ind w:firstLine="640" w:firstLineChars="200"/>
        <w:rPr>
          <w:rFonts w:ascii="仿宋_GB2312" w:eastAsia="仿宋_GB2312"/>
          <w:color w:val="auto"/>
          <w:sz w:val="32"/>
          <w:szCs w:val="32"/>
          <w:shd w:val="clear" w:color="auto" w:fill="FFFFFF"/>
        </w:rPr>
      </w:pPr>
      <w:r>
        <w:rPr>
          <w:rFonts w:hint="eastAsia" w:ascii="仿宋_GB2312" w:eastAsia="仿宋_GB2312"/>
          <w:color w:val="auto"/>
          <w:sz w:val="32"/>
          <w:szCs w:val="32"/>
        </w:rPr>
        <w:t>为加大政府采购支持中小企业力度，帮助</w:t>
      </w:r>
      <w:r>
        <w:rPr>
          <w:rFonts w:hint="eastAsia" w:ascii="仿宋_GB2312" w:eastAsia="仿宋_GB2312"/>
          <w:color w:val="auto"/>
          <w:sz w:val="32"/>
          <w:szCs w:val="32"/>
          <w:shd w:val="clear" w:color="auto" w:fill="FFFFFF"/>
        </w:rPr>
        <w:t>政府采购中标（成交）供应商解决融资难、融资贵的问题，进一步做好线上“政采贷”融资业务工作。经研究，现将有关事项通知如下：</w:t>
      </w:r>
    </w:p>
    <w:p w14:paraId="7DFC10CD">
      <w:pPr>
        <w:spacing w:line="560" w:lineRule="exact"/>
        <w:ind w:firstLine="640" w:firstLineChars="200"/>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一、采购人、采购代理机构在编制政府采购文件时，应将《崇左市线上“政采贷”政策告知函》、《崇左市线上“政采贷”业务流程图》、《崇左市金融机构线上“政采贷”业务办理联络表》作为政策宣传材料排入文件显眼版块中。（详见：附件2至附件4）。</w:t>
      </w:r>
    </w:p>
    <w:p w14:paraId="2E28E50D">
      <w:pPr>
        <w:spacing w:line="56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二、</w:t>
      </w:r>
      <w:r>
        <w:rPr>
          <w:rFonts w:hint="eastAsia" w:ascii="仿宋_GB2312" w:eastAsia="仿宋_GB2312"/>
          <w:color w:val="auto"/>
          <w:sz w:val="32"/>
          <w:szCs w:val="32"/>
        </w:rPr>
        <w:t>采购人</w:t>
      </w:r>
      <w:r>
        <w:rPr>
          <w:rFonts w:hint="eastAsia" w:ascii="仿宋_GB2312" w:hAnsi="宋体" w:eastAsia="仿宋_GB2312"/>
          <w:color w:val="auto"/>
          <w:sz w:val="32"/>
          <w:szCs w:val="32"/>
        </w:rPr>
        <w:t>应及时</w:t>
      </w:r>
      <w:r>
        <w:rPr>
          <w:rFonts w:hint="eastAsia" w:ascii="仿宋_GB2312" w:eastAsia="仿宋_GB2312"/>
          <w:color w:val="auto"/>
          <w:sz w:val="32"/>
          <w:szCs w:val="32"/>
        </w:rPr>
        <w:t>配合</w:t>
      </w:r>
      <w:r>
        <w:rPr>
          <w:rFonts w:hint="eastAsia" w:ascii="仿宋_GB2312" w:hAnsi="宋体" w:eastAsia="仿宋_GB2312"/>
          <w:color w:val="auto"/>
          <w:sz w:val="32"/>
          <w:szCs w:val="32"/>
        </w:rPr>
        <w:t>签订政府采购合同，</w:t>
      </w:r>
      <w:r>
        <w:rPr>
          <w:rFonts w:hint="eastAsia" w:ascii="仿宋_GB2312" w:eastAsia="仿宋_GB2312"/>
          <w:color w:val="auto"/>
          <w:sz w:val="32"/>
          <w:szCs w:val="32"/>
        </w:rPr>
        <w:t>督促采购代理机构按时完成合同公告工作（政府采购公告法定网站“广西政府采购网”），缩短“政采贷”办理时间。采购人应主动向中标（成交）供应商宣传“政采贷”相关政策，配合、协助其在</w:t>
      </w:r>
      <w:r>
        <w:rPr>
          <w:rFonts w:hint="eastAsia" w:ascii="仿宋_GB2312" w:hAnsi="宋体" w:eastAsia="仿宋_GB2312"/>
          <w:color w:val="auto"/>
          <w:sz w:val="32"/>
          <w:szCs w:val="32"/>
        </w:rPr>
        <w:t>“中征应收账款融资服务平台”</w:t>
      </w:r>
      <w:r>
        <w:rPr>
          <w:rFonts w:hint="eastAsia" w:ascii="仿宋_GB2312" w:eastAsia="仿宋_GB2312"/>
          <w:color w:val="auto"/>
          <w:sz w:val="32"/>
          <w:szCs w:val="32"/>
        </w:rPr>
        <w:t>向相关金融机构申请</w:t>
      </w:r>
      <w:r>
        <w:rPr>
          <w:rFonts w:hint="eastAsia" w:ascii="仿宋_GB2312" w:hAnsi="宋体" w:eastAsia="仿宋_GB2312"/>
          <w:color w:val="auto"/>
          <w:sz w:val="32"/>
          <w:szCs w:val="32"/>
        </w:rPr>
        <w:t>“政采贷”</w:t>
      </w:r>
      <w:r>
        <w:rPr>
          <w:rFonts w:hint="eastAsia" w:ascii="仿宋_GB2312" w:eastAsia="仿宋_GB2312"/>
          <w:color w:val="auto"/>
          <w:sz w:val="32"/>
          <w:szCs w:val="32"/>
        </w:rPr>
        <w:t>。</w:t>
      </w:r>
    </w:p>
    <w:p w14:paraId="3EFF24A6">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采购人应将中标（成交）供应商与金融机构签订《“政采贷”融资协议》的“融资回款账户”做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5B29879F">
      <w:pPr>
        <w:spacing w:line="560" w:lineRule="exact"/>
        <w:ind w:firstLine="640" w:firstLineChars="200"/>
        <w:rPr>
          <w:rFonts w:ascii="仿宋_GB2312" w:eastAsia="仿宋_GB2312"/>
          <w:color w:val="auto"/>
          <w:sz w:val="32"/>
          <w:szCs w:val="32"/>
        </w:rPr>
      </w:pPr>
    </w:p>
    <w:p w14:paraId="1E006A22">
      <w:pPr>
        <w:pStyle w:val="51"/>
        <w:spacing w:after="0" w:line="560" w:lineRule="exact"/>
        <w:ind w:left="1700" w:hanging="1280" w:hangingChars="400"/>
        <w:jc w:val="left"/>
        <w:rPr>
          <w:rFonts w:hAnsi="仿宋_GB2312" w:eastAsia="仿宋_GB2312" w:cs="仿宋_GB2312"/>
          <w:color w:val="auto"/>
        </w:rPr>
      </w:pPr>
      <w:r>
        <w:rPr>
          <w:rFonts w:hint="eastAsia" w:hAnsi="仿宋_GB2312" w:eastAsia="仿宋_GB2312" w:cs="仿宋_GB2312"/>
          <w:color w:val="auto"/>
        </w:rPr>
        <w:t>附件：1.中国人民银行崇左市中心支行 崇左市财政局转发关于推广线上“政采贷”融资模式文件的通知</w:t>
      </w:r>
    </w:p>
    <w:p w14:paraId="08A92717">
      <w:pPr>
        <w:pStyle w:val="51"/>
        <w:spacing w:after="0" w:line="560" w:lineRule="exact"/>
        <w:ind w:left="0" w:leftChars="0" w:firstLine="1600" w:firstLineChars="500"/>
        <w:jc w:val="left"/>
        <w:rPr>
          <w:rFonts w:hAnsi="仿宋_GB2312" w:eastAsia="仿宋_GB2312" w:cs="仿宋_GB2312"/>
          <w:color w:val="auto"/>
        </w:rPr>
      </w:pPr>
      <w:r>
        <w:rPr>
          <w:rFonts w:hint="eastAsia" w:hAnsi="仿宋_GB2312" w:eastAsia="仿宋_GB2312" w:cs="仿宋_GB2312"/>
          <w:color w:val="auto"/>
        </w:rPr>
        <w:t>2.崇左市线上“政采贷”政策告知函</w:t>
      </w:r>
    </w:p>
    <w:p w14:paraId="329BA8AA">
      <w:pPr>
        <w:pStyle w:val="51"/>
        <w:spacing w:after="0" w:line="560" w:lineRule="exact"/>
        <w:ind w:left="0" w:leftChars="0" w:firstLine="640"/>
        <w:jc w:val="left"/>
        <w:rPr>
          <w:rFonts w:hAnsi="仿宋_GB2312" w:eastAsia="仿宋_GB2312" w:cs="仿宋_GB2312"/>
          <w:color w:val="auto"/>
        </w:rPr>
      </w:pPr>
      <w:r>
        <w:rPr>
          <w:rFonts w:hint="eastAsia"/>
          <w:color w:val="auto"/>
        </w:rPr>
        <w:t xml:space="preserve">      </w:t>
      </w:r>
      <w:r>
        <w:rPr>
          <w:rFonts w:hint="eastAsia" w:eastAsia="仿宋_GB2312"/>
          <w:color w:val="auto"/>
        </w:rPr>
        <w:t>3.</w:t>
      </w:r>
      <w:r>
        <w:rPr>
          <w:rFonts w:hint="eastAsia" w:hAnsi="仿宋_GB2312" w:eastAsia="仿宋_GB2312" w:cs="仿宋_GB2312"/>
          <w:color w:val="auto"/>
        </w:rPr>
        <w:t>崇左市线上“政采贷”业务流程图</w:t>
      </w:r>
    </w:p>
    <w:p w14:paraId="73170014">
      <w:pPr>
        <w:pStyle w:val="51"/>
        <w:spacing w:after="0" w:line="560" w:lineRule="exact"/>
        <w:ind w:left="0" w:leftChars="0" w:firstLine="640"/>
        <w:jc w:val="left"/>
        <w:rPr>
          <w:color w:val="auto"/>
        </w:rPr>
      </w:pPr>
      <w:r>
        <w:rPr>
          <w:rFonts w:hint="eastAsia"/>
          <w:color w:val="auto"/>
        </w:rPr>
        <w:t xml:space="preserve">     </w:t>
      </w:r>
      <w:r>
        <w:rPr>
          <w:rFonts w:hint="eastAsia" w:hAnsi="仿宋_GB2312" w:eastAsia="仿宋_GB2312" w:cs="仿宋_GB2312"/>
          <w:color w:val="auto"/>
        </w:rPr>
        <w:t xml:space="preserve"> 4.</w:t>
      </w:r>
      <w:r>
        <w:rPr>
          <w:rFonts w:hint="eastAsia"/>
          <w:color w:val="auto"/>
        </w:rPr>
        <w:t>崇左</w:t>
      </w:r>
      <w:r>
        <w:rPr>
          <w:rFonts w:hint="eastAsia" w:eastAsia="仿宋_GB2312"/>
          <w:color w:val="auto"/>
        </w:rPr>
        <w:t>市金融机构线上“政采贷”业务办理联络表</w:t>
      </w:r>
    </w:p>
    <w:p w14:paraId="15BC99F0">
      <w:pPr>
        <w:pStyle w:val="51"/>
        <w:spacing w:after="0" w:line="560" w:lineRule="exact"/>
        <w:ind w:left="0" w:leftChars="0" w:firstLine="640"/>
        <w:jc w:val="left"/>
        <w:rPr>
          <w:rFonts w:eastAsia="仿宋_GB2312"/>
          <w:color w:val="auto"/>
        </w:rPr>
      </w:pPr>
    </w:p>
    <w:p w14:paraId="090D3ECA">
      <w:pPr>
        <w:pStyle w:val="51"/>
        <w:spacing w:after="0" w:line="560" w:lineRule="exact"/>
        <w:ind w:left="0" w:leftChars="0" w:firstLine="640"/>
        <w:jc w:val="left"/>
        <w:rPr>
          <w:rFonts w:eastAsia="仿宋_GB2312"/>
          <w:color w:val="auto"/>
        </w:rPr>
      </w:pPr>
    </w:p>
    <w:p w14:paraId="2390BBBF">
      <w:pPr>
        <w:pStyle w:val="51"/>
        <w:spacing w:after="0" w:line="560" w:lineRule="exact"/>
        <w:ind w:left="0" w:leftChars="0" w:firstLine="640"/>
        <w:jc w:val="left"/>
        <w:rPr>
          <w:rFonts w:eastAsia="仿宋_GB2312"/>
          <w:color w:val="auto"/>
        </w:rPr>
      </w:pPr>
    </w:p>
    <w:p w14:paraId="37E54ACF">
      <w:pPr>
        <w:pStyle w:val="51"/>
        <w:spacing w:after="0" w:line="560" w:lineRule="exact"/>
        <w:ind w:left="0" w:leftChars="0" w:firstLine="640"/>
        <w:jc w:val="left"/>
        <w:rPr>
          <w:rFonts w:eastAsia="仿宋_GB2312"/>
          <w:color w:val="auto"/>
        </w:rPr>
      </w:pPr>
    </w:p>
    <w:p w14:paraId="5F5F93F8">
      <w:pPr>
        <w:spacing w:line="560" w:lineRule="exact"/>
        <w:ind w:firstLine="960" w:firstLineChars="300"/>
        <w:rPr>
          <w:rFonts w:ascii="仿宋_GB2312" w:eastAsia="仿宋_GB2312"/>
          <w:color w:val="auto"/>
          <w:sz w:val="32"/>
          <w:szCs w:val="32"/>
        </w:rPr>
      </w:pPr>
      <w:r>
        <w:rPr>
          <w:rFonts w:hint="eastAsia" w:ascii="仿宋_GB2312" w:eastAsia="仿宋_GB2312"/>
          <w:color w:val="auto"/>
          <w:sz w:val="32"/>
          <w:szCs w:val="32"/>
        </w:rPr>
        <w:t xml:space="preserve">                           崇左市财政局 </w:t>
      </w:r>
    </w:p>
    <w:p w14:paraId="285AB502">
      <w:pPr>
        <w:spacing w:line="560" w:lineRule="exact"/>
        <w:ind w:firstLine="5120" w:firstLineChars="1600"/>
        <w:rPr>
          <w:rFonts w:ascii="仿宋_GB2312" w:eastAsia="仿宋_GB2312"/>
          <w:color w:val="auto"/>
          <w:sz w:val="32"/>
          <w:szCs w:val="32"/>
        </w:rPr>
      </w:pPr>
      <w:r>
        <w:rPr>
          <w:rFonts w:hint="eastAsia" w:ascii="仿宋_GB2312" w:eastAsia="仿宋_GB2312"/>
          <w:color w:val="auto"/>
          <w:sz w:val="32"/>
          <w:szCs w:val="32"/>
        </w:rPr>
        <w:t>2023年7月31日</w:t>
      </w:r>
    </w:p>
    <w:p w14:paraId="393A929D">
      <w:pPr>
        <w:pStyle w:val="75"/>
        <w:spacing w:line="560" w:lineRule="exact"/>
        <w:ind w:firstLine="480"/>
        <w:rPr>
          <w:rFonts w:ascii="仿宋_GB2312" w:eastAsia="仿宋_GB2312"/>
          <w:color w:val="auto"/>
        </w:rPr>
      </w:pPr>
    </w:p>
    <w:p w14:paraId="13F83973">
      <w:pPr>
        <w:spacing w:line="560" w:lineRule="exact"/>
        <w:jc w:val="left"/>
        <w:rPr>
          <w:rFonts w:ascii="仿宋_GB2312" w:hAnsi="仿宋_GB2312" w:eastAsia="仿宋_GB2312" w:cs="仿宋_GB2312"/>
          <w:b/>
          <w:bCs/>
          <w:color w:val="auto"/>
          <w:sz w:val="28"/>
          <w:szCs w:val="28"/>
        </w:rPr>
      </w:pPr>
    </w:p>
    <w:p w14:paraId="29C3AD18">
      <w:pPr>
        <w:pStyle w:val="75"/>
        <w:ind w:firstLine="562"/>
        <w:rPr>
          <w:rFonts w:ascii="仿宋_GB2312" w:hAnsi="仿宋_GB2312" w:eastAsia="仿宋_GB2312" w:cs="仿宋_GB2312"/>
          <w:b/>
          <w:bCs/>
          <w:color w:val="auto"/>
          <w:sz w:val="28"/>
          <w:szCs w:val="28"/>
        </w:rPr>
      </w:pPr>
    </w:p>
    <w:p w14:paraId="04D3DC4B">
      <w:pPr>
        <w:rPr>
          <w:color w:val="auto"/>
        </w:rPr>
      </w:pPr>
    </w:p>
    <w:p w14:paraId="71EBAF76">
      <w:pPr>
        <w:pStyle w:val="75"/>
        <w:ind w:firstLine="480"/>
        <w:rPr>
          <w:color w:val="auto"/>
        </w:rPr>
      </w:pPr>
    </w:p>
    <w:p w14:paraId="2BD4B07E">
      <w:pPr>
        <w:spacing w:line="560" w:lineRule="exact"/>
        <w:jc w:val="left"/>
        <w:rPr>
          <w:rFonts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公开方式：主动公开</w:t>
      </w:r>
      <w:r>
        <w:rPr>
          <w:rFonts w:hint="eastAsia" w:ascii="仿宋_GB2312" w:hAnsi="仿宋_GB2312" w:eastAsia="仿宋_GB2312" w:cs="仿宋_GB2312"/>
          <w:color w:val="auto"/>
          <w:sz w:val="28"/>
          <w:szCs w:val="28"/>
        </w:rPr>
        <w:t xml:space="preserve">                                     </w:t>
      </w:r>
    </w:p>
    <w:p w14:paraId="6265926E">
      <w:pPr>
        <w:spacing w:line="560" w:lineRule="exact"/>
        <w:ind w:firstLine="280" w:firstLineChars="100"/>
        <w:jc w:val="left"/>
        <w:rPr>
          <w:rFonts w:ascii="仿宋_GB2312" w:hAnsi="仿宋_GB2312" w:eastAsia="仿宋_GB2312" w:cs="仿宋_GB2312"/>
          <w:color w:val="auto"/>
          <w:sz w:val="28"/>
          <w:szCs w:val="28"/>
          <w:shd w:val="clear" w:color="auto" w:fill="FFFFFF"/>
          <w:lang w:bidi="ar"/>
        </w:rPr>
      </w:pPr>
      <w:r>
        <w:rPr>
          <w:rFonts w:ascii="仿宋_GB2312" w:hAnsi="仿宋_GB2312" w:eastAsia="仿宋_GB2312" w:cs="仿宋_GB2312"/>
          <w:color w:val="auto"/>
          <w:sz w:val="28"/>
          <w:szCs w:val="28"/>
        </w:rPr>
        <w:pict>
          <v:shape id="_x0000_s2051" o:spid="_x0000_s2051" o:spt="100" style="position:absolute;left:0pt;margin-left:1.6pt;margin-top:29.95pt;height:0pt;width:442.2pt;z-index:251660288;mso-width-relative:page;mso-height-relative:page;" filled="f" stroked="f" coordsize="21600,21600">
            <v:fill on="f" focussize="0,0"/>
            <v:stroke on="f"/>
            <v:imagedata o:title=""/>
            <o:lock v:ext="edit"/>
          </v:shape>
        </w:pict>
      </w:r>
      <w:r>
        <w:rPr>
          <w:rFonts w:ascii="仿宋_GB2312" w:hAnsi="仿宋_GB2312" w:eastAsia="仿宋_GB2312" w:cs="仿宋_GB2312"/>
          <w:color w:val="auto"/>
          <w:sz w:val="28"/>
          <w:szCs w:val="28"/>
        </w:rPr>
        <w:pict>
          <v:shape id="_x0000_s2052" o:spid="_x0000_s2052" o:spt="100" style="position:absolute;left:0pt;margin-left:1.6pt;margin-top:3.7pt;height:0pt;width:442.2pt;z-index:251660288;mso-width-relative:page;mso-height-relative:page;" filled="f" stroked="f" coordsize="21600,21600">
            <v:fill on="f" focussize="0,0"/>
            <v:stroke on="f"/>
            <v:imagedata o:title=""/>
            <o:lock v:ext="edit"/>
          </v:shape>
        </w:pict>
      </w:r>
      <w:r>
        <w:rPr>
          <w:rFonts w:hint="eastAsia" w:ascii="仿宋_GB2312" w:hAnsi="仿宋_GB2312" w:eastAsia="仿宋_GB2312" w:cs="仿宋_GB2312"/>
          <w:color w:val="auto"/>
          <w:sz w:val="28"/>
          <w:szCs w:val="28"/>
        </w:rPr>
        <w:t>崇左市财政局办公室                      2023年7月31日印发</w:t>
      </w:r>
    </w:p>
    <w:p w14:paraId="11D5B946">
      <w:pPr>
        <w:widowControl/>
        <w:spacing w:line="720" w:lineRule="exact"/>
        <w:jc w:val="left"/>
        <w:rPr>
          <w:rFonts w:ascii="黑体" w:hAnsi="黑体" w:eastAsia="黑体" w:cs="黑体"/>
          <w:color w:val="auto"/>
          <w:sz w:val="32"/>
          <w:szCs w:val="32"/>
        </w:rPr>
      </w:pPr>
      <w:r>
        <w:rPr>
          <w:rFonts w:ascii="黑体" w:hAnsi="黑体" w:eastAsia="黑体" w:cs="黑体"/>
          <w:color w:val="auto"/>
          <w:sz w:val="32"/>
          <w:szCs w:val="32"/>
          <w:lang w:val="zh-CN"/>
        </w:rPr>
        <w:br w:type="page"/>
      </w:r>
      <w:r>
        <w:rPr>
          <w:rFonts w:hint="eastAsia" w:ascii="黑体" w:hAnsi="黑体" w:eastAsia="黑体" w:cs="黑体"/>
          <w:color w:val="auto"/>
          <w:sz w:val="32"/>
          <w:szCs w:val="32"/>
          <w:lang w:val="zh-CN"/>
        </w:rPr>
        <w:t>附件</w:t>
      </w:r>
      <w:r>
        <w:rPr>
          <w:rFonts w:hint="eastAsia" w:ascii="黑体" w:hAnsi="黑体" w:eastAsia="黑体" w:cs="黑体"/>
          <w:color w:val="auto"/>
          <w:sz w:val="32"/>
          <w:szCs w:val="32"/>
        </w:rPr>
        <w:t>2</w:t>
      </w:r>
    </w:p>
    <w:p w14:paraId="3CE58DDE">
      <w:pPr>
        <w:pStyle w:val="75"/>
        <w:ind w:firstLine="480"/>
        <w:rPr>
          <w:color w:val="auto"/>
        </w:rPr>
      </w:pPr>
    </w:p>
    <w:p w14:paraId="42119D72">
      <w:pPr>
        <w:spacing w:line="580" w:lineRule="exact"/>
        <w:jc w:val="center"/>
        <w:rPr>
          <w:rFonts w:ascii="方正小标宋_GBK" w:eastAsia="方正小标宋_GBK"/>
          <w:color w:val="auto"/>
          <w:sz w:val="44"/>
          <w:szCs w:val="44"/>
        </w:rPr>
      </w:pPr>
      <w:r>
        <w:rPr>
          <w:rFonts w:hint="eastAsia" w:ascii="方正小标宋_GBK" w:eastAsia="方正小标宋_GBK"/>
          <w:color w:val="auto"/>
          <w:sz w:val="44"/>
          <w:szCs w:val="44"/>
        </w:rPr>
        <w:t>崇左市线上“政采贷”政策告知函</w:t>
      </w:r>
    </w:p>
    <w:p w14:paraId="66305435">
      <w:pPr>
        <w:spacing w:line="580" w:lineRule="exact"/>
        <w:ind w:firstLine="420" w:firstLineChars="200"/>
        <w:rPr>
          <w:color w:val="auto"/>
          <w:szCs w:val="32"/>
        </w:rPr>
      </w:pPr>
    </w:p>
    <w:p w14:paraId="3472AB8C">
      <w:pPr>
        <w:spacing w:line="58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各供应商：</w:t>
      </w:r>
    </w:p>
    <w:p w14:paraId="35617FF4">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欢迎贵公司参与崇左市政府采购活动！</w:t>
      </w:r>
    </w:p>
    <w:p w14:paraId="28CD379F">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4F8C126E">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相关金融产品和银行业金融机构联系方式，可在中征应收账款融资服务平台查询（网址：</w:t>
      </w:r>
      <w:r>
        <w:rPr>
          <w:color w:val="auto"/>
        </w:rPr>
        <w:fldChar w:fldCharType="begin"/>
      </w:r>
      <w:r>
        <w:rPr>
          <w:color w:val="auto"/>
        </w:rPr>
        <w:instrText xml:space="preserve"> HYPERLINK "https://www.crcrfsp.com/" </w:instrText>
      </w:r>
      <w:r>
        <w:rPr>
          <w:color w:val="auto"/>
        </w:rPr>
        <w:fldChar w:fldCharType="separate"/>
      </w:r>
      <w:r>
        <w:rPr>
          <w:rStyle w:val="54"/>
          <w:rFonts w:hint="eastAsia" w:ascii="仿宋_GB2312" w:hAnsi="仿宋_GB2312" w:eastAsia="仿宋_GB2312" w:cs="仿宋_GB2312"/>
          <w:color w:val="auto"/>
          <w:sz w:val="32"/>
          <w:szCs w:val="32"/>
        </w:rPr>
        <w:t>https://www.crcrfsp.com/</w:t>
      </w:r>
      <w:r>
        <w:rPr>
          <w:rStyle w:val="54"/>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，客服电话：400-009-0001）。</w:t>
      </w:r>
    </w:p>
    <w:p w14:paraId="1138AC84">
      <w:pPr>
        <w:pStyle w:val="75"/>
        <w:ind w:firstLine="480"/>
        <w:rPr>
          <w:rFonts w:ascii="仿宋_GB2312" w:hAnsi="仿宋_GB2312" w:eastAsia="仿宋_GB2312" w:cs="仿宋_GB2312"/>
          <w:color w:val="auto"/>
          <w:szCs w:val="32"/>
        </w:rPr>
      </w:pPr>
    </w:p>
    <w:p w14:paraId="629C79F9">
      <w:pPr>
        <w:rPr>
          <w:rFonts w:ascii="仿宋_GB2312" w:hAnsi="仿宋_GB2312" w:cs="仿宋_GB2312"/>
          <w:color w:val="auto"/>
          <w:szCs w:val="32"/>
        </w:rPr>
      </w:pPr>
    </w:p>
    <w:p w14:paraId="68FB715F">
      <w:pPr>
        <w:pStyle w:val="75"/>
        <w:ind w:firstLine="480"/>
        <w:rPr>
          <w:rFonts w:ascii="仿宋_GB2312" w:hAnsi="仿宋_GB2312" w:cs="仿宋_GB2312"/>
          <w:color w:val="auto"/>
          <w:szCs w:val="32"/>
        </w:rPr>
      </w:pPr>
    </w:p>
    <w:p w14:paraId="5F803856">
      <w:pPr>
        <w:rPr>
          <w:rFonts w:ascii="仿宋_GB2312" w:hAnsi="仿宋_GB2312" w:cs="仿宋_GB2312"/>
          <w:color w:val="auto"/>
          <w:szCs w:val="32"/>
        </w:rPr>
      </w:pPr>
    </w:p>
    <w:p w14:paraId="05553013">
      <w:pPr>
        <w:rPr>
          <w:rFonts w:ascii="仿宋_GB2312" w:hAnsi="仿宋_GB2312" w:cs="仿宋_GB2312"/>
          <w:color w:val="auto"/>
          <w:szCs w:val="32"/>
        </w:rPr>
      </w:pPr>
    </w:p>
    <w:p w14:paraId="32ED1ADC">
      <w:pPr>
        <w:pStyle w:val="75"/>
        <w:ind w:firstLine="480"/>
        <w:rPr>
          <w:rFonts w:ascii="仿宋_GB2312" w:hAnsi="仿宋_GB2312" w:cs="仿宋_GB2312"/>
          <w:color w:val="auto"/>
          <w:szCs w:val="32"/>
        </w:rPr>
      </w:pPr>
    </w:p>
    <w:p w14:paraId="3D90AB19">
      <w:pPr>
        <w:spacing w:line="540" w:lineRule="exact"/>
        <w:rPr>
          <w:rFonts w:ascii="黑体" w:hAnsi="黑体" w:eastAsia="黑体" w:cs="黑体"/>
          <w:color w:val="auto"/>
          <w:szCs w:val="32"/>
        </w:rPr>
      </w:pPr>
    </w:p>
    <w:p w14:paraId="54BCCC84">
      <w:pPr>
        <w:spacing w:line="540" w:lineRule="exact"/>
        <w:rPr>
          <w:rFonts w:ascii="黑体" w:hAnsi="黑体" w:eastAsia="黑体" w:cs="黑体"/>
          <w:color w:val="auto"/>
          <w:szCs w:val="32"/>
        </w:rPr>
      </w:pPr>
      <w:r>
        <w:rPr>
          <w:rFonts w:ascii="黑体" w:hAnsi="黑体" w:eastAsia="黑体" w:cs="黑体"/>
          <w:color w:val="auto"/>
          <w:szCs w:val="32"/>
        </w:rPr>
        <w:br w:type="page"/>
      </w:r>
      <w:r>
        <w:rPr>
          <w:rFonts w:hint="eastAsia" w:ascii="黑体" w:hAnsi="黑体" w:eastAsia="黑体" w:cs="黑体"/>
          <w:color w:val="auto"/>
          <w:szCs w:val="32"/>
        </w:rPr>
        <w:t>附件3</w:t>
      </w:r>
    </w:p>
    <w:p w14:paraId="0690C108">
      <w:pPr>
        <w:pStyle w:val="75"/>
        <w:ind w:firstLine="480"/>
        <w:rPr>
          <w:color w:val="auto"/>
        </w:rPr>
      </w:pPr>
    </w:p>
    <w:p w14:paraId="1AF6BC53">
      <w:pPr>
        <w:spacing w:line="600" w:lineRule="exact"/>
        <w:jc w:val="center"/>
        <w:rPr>
          <w:rFonts w:ascii="黑体" w:hAnsi="黑体" w:eastAsia="黑体" w:cs="黑体"/>
          <w:color w:val="auto"/>
          <w:sz w:val="44"/>
          <w:szCs w:val="44"/>
        </w:rPr>
      </w:pPr>
      <w:r>
        <w:rPr>
          <w:rFonts w:hint="eastAsia" w:ascii="方正小标宋_GBK" w:eastAsia="方正小标宋_GBK"/>
          <w:color w:val="auto"/>
          <w:sz w:val="44"/>
          <w:szCs w:val="44"/>
        </w:rPr>
        <w:t>崇左市线上“政采贷”业务流程图</w:t>
      </w:r>
    </w:p>
    <w:p w14:paraId="51A6A236">
      <w:pPr>
        <w:rPr>
          <w:color w:val="auto"/>
        </w:rPr>
      </w:pPr>
      <w:r>
        <w:rPr>
          <w:rFonts w:eastAsia="仿宋_GB2312"/>
          <w:color w:val="auto"/>
        </w:rPr>
        <w:pict>
          <v:shape id="_x0000_i1026" o:spt="75" type="#_x0000_t75" style="height:550.95pt;width:387.55pt;" filled="f" o:preferrelative="t" stroked="f" coordsize="21600,21600">
            <v:path/>
            <v:fill on="f" focussize="0,0"/>
            <v:stroke on="f" joinstyle="miter"/>
            <v:imagedata r:id="rId9" o:title="流程图1011"/>
            <o:lock v:ext="edit" aspectratio="t"/>
            <w10:wrap type="none"/>
            <w10:anchorlock/>
          </v:shape>
        </w:pict>
      </w:r>
    </w:p>
    <w:p w14:paraId="421E45B9">
      <w:pPr>
        <w:widowControl/>
        <w:ind w:firstLine="420" w:firstLineChars="200"/>
        <w:rPr>
          <w:color w:val="auto"/>
        </w:rPr>
      </w:pPr>
    </w:p>
    <w:p w14:paraId="0726CCB4">
      <w:pPr>
        <w:widowControl/>
        <w:spacing w:line="720" w:lineRule="exact"/>
        <w:jc w:val="left"/>
        <w:rPr>
          <w:rFonts w:ascii="黑体" w:hAnsi="黑体" w:eastAsia="黑体" w:cs="黑体"/>
          <w:color w:val="auto"/>
          <w:sz w:val="32"/>
          <w:szCs w:val="32"/>
        </w:rPr>
      </w:pPr>
      <w:r>
        <w:rPr>
          <w:rFonts w:ascii="黑体" w:hAnsi="黑体" w:eastAsia="黑体" w:cs="黑体"/>
          <w:color w:val="auto"/>
          <w:sz w:val="32"/>
          <w:szCs w:val="32"/>
          <w:lang w:val="zh-CN"/>
        </w:rPr>
        <w:br w:type="page"/>
      </w:r>
      <w:r>
        <w:rPr>
          <w:rFonts w:hint="eastAsia" w:ascii="黑体" w:hAnsi="黑体" w:eastAsia="黑体" w:cs="黑体"/>
          <w:color w:val="auto"/>
          <w:sz w:val="32"/>
          <w:szCs w:val="32"/>
          <w:lang w:val="zh-CN"/>
        </w:rPr>
        <w:t>附件</w:t>
      </w:r>
      <w:r>
        <w:rPr>
          <w:rFonts w:hint="eastAsia" w:ascii="黑体" w:hAnsi="黑体" w:eastAsia="黑体" w:cs="黑体"/>
          <w:color w:val="auto"/>
          <w:sz w:val="32"/>
          <w:szCs w:val="32"/>
        </w:rPr>
        <w:t>4</w:t>
      </w:r>
    </w:p>
    <w:p w14:paraId="3CB29705">
      <w:pPr>
        <w:pStyle w:val="75"/>
        <w:ind w:firstLine="480"/>
        <w:rPr>
          <w:color w:val="auto"/>
        </w:rPr>
      </w:pPr>
    </w:p>
    <w:p w14:paraId="78B157B5">
      <w:pPr>
        <w:pStyle w:val="75"/>
        <w:ind w:firstLine="720"/>
        <w:jc w:val="center"/>
        <w:rPr>
          <w:rFonts w:ascii="方正小标宋_GBK" w:hAnsi="方正小标宋_GBK" w:eastAsia="方正小标宋_GBK" w:cs="方正小标宋_GBK"/>
          <w:color w:val="auto"/>
          <w:sz w:val="36"/>
          <w:szCs w:val="36"/>
        </w:rPr>
      </w:pPr>
      <w:r>
        <w:rPr>
          <w:rFonts w:hint="eastAsia" w:ascii="方正小标宋_GBK" w:hAnsi="方正小标宋_GBK" w:eastAsia="方正小标宋_GBK" w:cs="方正小标宋_GBK"/>
          <w:color w:val="auto"/>
          <w:sz w:val="36"/>
          <w:szCs w:val="36"/>
        </w:rPr>
        <w:t>崇左市金融机构线上“政采贷”业务办理联络表</w:t>
      </w:r>
    </w:p>
    <w:tbl>
      <w:tblPr>
        <w:tblStyle w:val="6"/>
        <w:tblW w:w="8943" w:type="dxa"/>
        <w:tblInd w:w="-12" w:type="dxa"/>
        <w:tblLayout w:type="fixed"/>
        <w:tblCellMar>
          <w:top w:w="0" w:type="dxa"/>
          <w:left w:w="108" w:type="dxa"/>
          <w:bottom w:w="0" w:type="dxa"/>
          <w:right w:w="108" w:type="dxa"/>
        </w:tblCellMar>
      </w:tblPr>
      <w:tblGrid>
        <w:gridCol w:w="2674"/>
        <w:gridCol w:w="3515"/>
        <w:gridCol w:w="2754"/>
      </w:tblGrid>
      <w:tr w14:paraId="6251CFCD">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29D77C91">
            <w:pPr>
              <w:widowControl/>
              <w:spacing w:line="400" w:lineRule="exact"/>
              <w:jc w:val="center"/>
              <w:rPr>
                <w:rFonts w:ascii="宋体" w:hAnsi="宋体" w:cs="宋体"/>
                <w:b/>
                <w:bCs/>
                <w:color w:val="auto"/>
                <w:sz w:val="28"/>
                <w:szCs w:val="28"/>
              </w:rPr>
            </w:pPr>
            <w:r>
              <w:rPr>
                <w:rFonts w:hint="eastAsia" w:ascii="宋体" w:hAnsi="宋体" w:cs="宋体"/>
                <w:b/>
                <w:bCs/>
                <w:color w:val="auto"/>
                <w:sz w:val="28"/>
                <w:szCs w:val="28"/>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14:paraId="2A0D681D">
            <w:pPr>
              <w:widowControl/>
              <w:spacing w:line="400" w:lineRule="exact"/>
              <w:jc w:val="center"/>
              <w:rPr>
                <w:rFonts w:ascii="宋体" w:hAnsi="宋体" w:cs="宋体"/>
                <w:b/>
                <w:bCs/>
                <w:color w:val="auto"/>
                <w:sz w:val="28"/>
                <w:szCs w:val="28"/>
              </w:rPr>
            </w:pPr>
            <w:r>
              <w:rPr>
                <w:rFonts w:hint="eastAsia" w:ascii="宋体" w:hAnsi="宋体" w:cs="宋体"/>
                <w:b/>
                <w:bCs/>
                <w:color w:val="auto"/>
                <w:sz w:val="28"/>
                <w:szCs w:val="28"/>
                <w:lang w:bidi="ar"/>
              </w:rPr>
              <w:t>地址</w:t>
            </w:r>
          </w:p>
        </w:tc>
        <w:tc>
          <w:tcPr>
            <w:tcW w:w="2754" w:type="dxa"/>
            <w:tcBorders>
              <w:top w:val="single" w:color="000000" w:sz="4" w:space="0"/>
              <w:left w:val="single" w:color="000000" w:sz="4" w:space="0"/>
              <w:bottom w:val="single" w:color="000000" w:sz="4" w:space="0"/>
              <w:right w:val="single" w:color="000000" w:sz="4" w:space="0"/>
            </w:tcBorders>
            <w:vAlign w:val="center"/>
          </w:tcPr>
          <w:p w14:paraId="6A5DC193">
            <w:pPr>
              <w:widowControl/>
              <w:spacing w:line="400" w:lineRule="exact"/>
              <w:jc w:val="center"/>
              <w:rPr>
                <w:rFonts w:ascii="宋体" w:hAnsi="宋体" w:cs="宋体"/>
                <w:b/>
                <w:bCs/>
                <w:color w:val="auto"/>
                <w:sz w:val="28"/>
                <w:szCs w:val="28"/>
              </w:rPr>
            </w:pPr>
            <w:r>
              <w:rPr>
                <w:rFonts w:hint="eastAsia" w:cs="宋体"/>
                <w:b/>
                <w:bCs/>
                <w:color w:val="auto"/>
                <w:sz w:val="28"/>
                <w:szCs w:val="28"/>
                <w:lang w:bidi="ar"/>
              </w:rPr>
              <w:t>业务</w:t>
            </w:r>
            <w:r>
              <w:rPr>
                <w:rFonts w:hint="eastAsia" w:ascii="宋体" w:hAnsi="宋体" w:cs="宋体"/>
                <w:b/>
                <w:bCs/>
                <w:color w:val="auto"/>
                <w:sz w:val="28"/>
                <w:szCs w:val="28"/>
                <w:lang w:bidi="ar"/>
              </w:rPr>
              <w:t>咨询电话</w:t>
            </w:r>
          </w:p>
        </w:tc>
      </w:tr>
      <w:tr w14:paraId="5B68EA77">
        <w:tblPrEx>
          <w:tblCellMar>
            <w:top w:w="0" w:type="dxa"/>
            <w:left w:w="108" w:type="dxa"/>
            <w:bottom w:w="0" w:type="dxa"/>
            <w:right w:w="108" w:type="dxa"/>
          </w:tblCellMar>
        </w:tblPrEx>
        <w:trPr>
          <w:trHeight w:val="365"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170685D8">
            <w:pPr>
              <w:widowControl/>
              <w:jc w:val="left"/>
              <w:rPr>
                <w:rFonts w:cs="宋体"/>
                <w:color w:val="auto"/>
                <w:szCs w:val="21"/>
              </w:rPr>
            </w:pPr>
            <w:r>
              <w:rPr>
                <w:rFonts w:hint="eastAsia" w:cs="宋体"/>
                <w:b/>
                <w:bCs/>
                <w:color w:val="auto"/>
                <w:szCs w:val="21"/>
              </w:rPr>
              <w:t>崇左市本级及江州区</w:t>
            </w:r>
          </w:p>
        </w:tc>
      </w:tr>
      <w:tr w14:paraId="49CFE6B8">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2C32A8">
            <w:pPr>
              <w:widowControl/>
              <w:jc w:val="left"/>
              <w:rPr>
                <w:rFonts w:ascii="宋体" w:hAnsi="宋体" w:cs="宋体"/>
                <w:color w:val="auto"/>
                <w:szCs w:val="21"/>
              </w:rPr>
            </w:pPr>
            <w:r>
              <w:rPr>
                <w:rFonts w:hint="eastAsia" w:ascii="宋体" w:hAnsi="宋体" w:cs="宋体"/>
                <w:color w:val="auto"/>
                <w:szCs w:val="21"/>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321383E">
            <w:pPr>
              <w:widowControl/>
              <w:jc w:val="left"/>
              <w:rPr>
                <w:rFonts w:ascii="宋体" w:hAnsi="宋体" w:cs="宋体"/>
                <w:color w:val="auto"/>
                <w:szCs w:val="21"/>
              </w:rPr>
            </w:pPr>
            <w:r>
              <w:rPr>
                <w:rFonts w:hint="eastAsia" w:ascii="宋体" w:hAnsi="宋体" w:cs="宋体"/>
                <w:color w:val="auto"/>
                <w:szCs w:val="21"/>
              </w:rPr>
              <w:t>崇左市骆越大道6号（东盟国际城）裙楼2号楼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3D3F8DEE">
            <w:pPr>
              <w:widowControl/>
              <w:jc w:val="center"/>
              <w:rPr>
                <w:rFonts w:ascii="宋体" w:hAnsi="宋体" w:cs="宋体"/>
                <w:color w:val="auto"/>
                <w:szCs w:val="21"/>
              </w:rPr>
            </w:pPr>
            <w:r>
              <w:rPr>
                <w:rFonts w:hint="eastAsia" w:ascii="宋体" w:hAnsi="宋体" w:cs="宋体"/>
                <w:color w:val="auto"/>
                <w:szCs w:val="21"/>
              </w:rPr>
              <w:t>0771-7820436 0771-7820439</w:t>
            </w:r>
          </w:p>
        </w:tc>
      </w:tr>
      <w:tr w14:paraId="074B60E2">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DF4686">
            <w:pPr>
              <w:widowControl/>
              <w:jc w:val="left"/>
              <w:rPr>
                <w:rFonts w:ascii="宋体" w:hAnsi="宋体" w:cs="宋体"/>
                <w:color w:val="auto"/>
                <w:szCs w:val="21"/>
              </w:rPr>
            </w:pPr>
            <w:r>
              <w:rPr>
                <w:rFonts w:hint="eastAsia" w:ascii="宋体" w:hAnsi="宋体" w:cs="宋体"/>
                <w:color w:val="auto"/>
                <w:szCs w:val="21"/>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8ABB64E">
            <w:pPr>
              <w:widowControl/>
              <w:jc w:val="left"/>
              <w:rPr>
                <w:rFonts w:ascii="宋体" w:hAnsi="宋体" w:cs="宋体"/>
                <w:color w:val="auto"/>
                <w:szCs w:val="21"/>
              </w:rPr>
            </w:pPr>
            <w:r>
              <w:rPr>
                <w:rFonts w:hint="eastAsia" w:ascii="宋体" w:hAnsi="宋体" w:cs="宋体"/>
                <w:color w:val="auto"/>
                <w:szCs w:val="21"/>
              </w:rPr>
              <w:t>江州区友谊大道26号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83AC152">
            <w:pPr>
              <w:widowControl/>
              <w:jc w:val="center"/>
              <w:rPr>
                <w:rFonts w:ascii="宋体" w:hAnsi="宋体" w:cs="宋体"/>
                <w:color w:val="auto"/>
                <w:szCs w:val="21"/>
              </w:rPr>
            </w:pPr>
            <w:r>
              <w:rPr>
                <w:rFonts w:hint="eastAsia" w:ascii="宋体" w:hAnsi="宋体" w:cs="宋体"/>
                <w:color w:val="auto"/>
                <w:szCs w:val="21"/>
              </w:rPr>
              <w:t>0771-7917212</w:t>
            </w:r>
          </w:p>
        </w:tc>
      </w:tr>
      <w:tr w14:paraId="1079DDF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B1CA0A">
            <w:pPr>
              <w:widowControl/>
              <w:jc w:val="left"/>
              <w:rPr>
                <w:rFonts w:ascii="宋体" w:hAnsi="宋体" w:cs="宋体"/>
                <w:color w:val="auto"/>
                <w:szCs w:val="21"/>
              </w:rPr>
            </w:pPr>
            <w:r>
              <w:rPr>
                <w:rFonts w:hint="eastAsia" w:ascii="宋体" w:hAnsi="宋体" w:cs="宋体"/>
                <w:color w:val="auto"/>
                <w:szCs w:val="21"/>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2188A6A">
            <w:pPr>
              <w:widowControl/>
              <w:jc w:val="left"/>
              <w:rPr>
                <w:rFonts w:ascii="宋体" w:hAnsi="宋体" w:cs="宋体"/>
                <w:color w:val="auto"/>
                <w:szCs w:val="21"/>
              </w:rPr>
            </w:pPr>
            <w:r>
              <w:rPr>
                <w:rFonts w:hint="eastAsia" w:ascii="宋体" w:hAnsi="宋体" w:cs="宋体"/>
                <w:color w:val="auto"/>
                <w:szCs w:val="21"/>
              </w:rPr>
              <w:t>江州区江南路48号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3A11CF3">
            <w:pPr>
              <w:widowControl/>
              <w:jc w:val="center"/>
              <w:rPr>
                <w:rFonts w:ascii="宋体" w:hAnsi="宋体" w:cs="宋体"/>
                <w:color w:val="auto"/>
                <w:szCs w:val="21"/>
              </w:rPr>
            </w:pPr>
            <w:r>
              <w:rPr>
                <w:rFonts w:hint="eastAsia" w:ascii="宋体" w:hAnsi="宋体" w:cs="宋体"/>
                <w:color w:val="auto"/>
                <w:szCs w:val="21"/>
              </w:rPr>
              <w:t>0771-7917054</w:t>
            </w:r>
          </w:p>
        </w:tc>
      </w:tr>
      <w:tr w14:paraId="7C477EE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AC6E3B">
            <w:pPr>
              <w:widowControl/>
              <w:jc w:val="left"/>
              <w:rPr>
                <w:rFonts w:ascii="宋体" w:hAnsi="宋体" w:cs="宋体"/>
                <w:color w:val="auto"/>
                <w:szCs w:val="21"/>
              </w:rPr>
            </w:pPr>
            <w:r>
              <w:rPr>
                <w:rFonts w:hint="eastAsia" w:ascii="宋体" w:hAnsi="宋体" w:cs="宋体"/>
                <w:color w:val="auto"/>
                <w:szCs w:val="21"/>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3E50BCF">
            <w:pPr>
              <w:widowControl/>
              <w:jc w:val="left"/>
              <w:rPr>
                <w:rFonts w:ascii="宋体" w:hAnsi="宋体" w:cs="宋体"/>
                <w:color w:val="auto"/>
                <w:szCs w:val="21"/>
              </w:rPr>
            </w:pPr>
            <w:r>
              <w:rPr>
                <w:rFonts w:hint="eastAsia" w:ascii="宋体" w:hAnsi="宋体" w:cs="宋体"/>
                <w:color w:val="auto"/>
                <w:szCs w:val="21"/>
              </w:rPr>
              <w:t>崇左市江州区江南路73号建行大厦</w:t>
            </w:r>
          </w:p>
        </w:tc>
        <w:tc>
          <w:tcPr>
            <w:tcW w:w="2754" w:type="dxa"/>
            <w:tcBorders>
              <w:top w:val="single" w:color="000000" w:sz="4" w:space="0"/>
              <w:left w:val="single" w:color="000000" w:sz="4" w:space="0"/>
              <w:bottom w:val="single" w:color="000000" w:sz="4" w:space="0"/>
              <w:right w:val="single" w:color="000000" w:sz="4" w:space="0"/>
            </w:tcBorders>
            <w:vAlign w:val="center"/>
          </w:tcPr>
          <w:p w14:paraId="76037825">
            <w:pPr>
              <w:widowControl/>
              <w:jc w:val="center"/>
              <w:rPr>
                <w:rFonts w:ascii="宋体" w:hAnsi="宋体" w:cs="宋体"/>
                <w:color w:val="auto"/>
                <w:szCs w:val="21"/>
              </w:rPr>
            </w:pPr>
            <w:r>
              <w:rPr>
                <w:rFonts w:hint="eastAsia" w:ascii="宋体" w:hAnsi="宋体" w:cs="宋体"/>
                <w:color w:val="auto"/>
                <w:szCs w:val="21"/>
              </w:rPr>
              <w:t>0771-7831103</w:t>
            </w:r>
          </w:p>
        </w:tc>
      </w:tr>
      <w:tr w14:paraId="60AC54AF">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B908E3">
            <w:pPr>
              <w:widowControl/>
              <w:jc w:val="left"/>
              <w:rPr>
                <w:rFonts w:ascii="宋体" w:hAnsi="宋体" w:cs="宋体"/>
                <w:color w:val="auto"/>
                <w:szCs w:val="21"/>
              </w:rPr>
            </w:pPr>
            <w:r>
              <w:rPr>
                <w:rFonts w:hint="eastAsia" w:ascii="宋体" w:hAnsi="宋体" w:cs="宋体"/>
                <w:color w:val="auto"/>
                <w:szCs w:val="21"/>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ADA4D66">
            <w:pPr>
              <w:widowControl/>
              <w:jc w:val="left"/>
              <w:rPr>
                <w:rFonts w:ascii="宋体" w:hAnsi="宋体" w:cs="宋体"/>
                <w:color w:val="auto"/>
                <w:szCs w:val="21"/>
              </w:rPr>
            </w:pPr>
            <w:r>
              <w:rPr>
                <w:rFonts w:hint="eastAsia" w:ascii="宋体" w:hAnsi="宋体" w:cs="宋体"/>
                <w:color w:val="auto"/>
                <w:szCs w:val="21"/>
              </w:rPr>
              <w:t>崇左市江州区龙胤大厦五楼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7CEEA702">
            <w:pPr>
              <w:widowControl/>
              <w:jc w:val="center"/>
              <w:rPr>
                <w:rFonts w:ascii="宋体" w:hAnsi="宋体" w:cs="宋体"/>
                <w:color w:val="auto"/>
                <w:szCs w:val="21"/>
              </w:rPr>
            </w:pPr>
            <w:r>
              <w:rPr>
                <w:rFonts w:hint="eastAsia" w:ascii="宋体" w:hAnsi="宋体" w:cs="宋体"/>
                <w:color w:val="auto"/>
                <w:szCs w:val="21"/>
              </w:rPr>
              <w:t>0771-7928650 0771-7920613</w:t>
            </w:r>
          </w:p>
        </w:tc>
      </w:tr>
      <w:tr w14:paraId="543E964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9708DFA">
            <w:pPr>
              <w:widowControl/>
              <w:jc w:val="left"/>
              <w:rPr>
                <w:rFonts w:ascii="宋体" w:hAnsi="宋体" w:cs="宋体"/>
                <w:color w:val="auto"/>
                <w:szCs w:val="21"/>
              </w:rPr>
            </w:pPr>
            <w:r>
              <w:rPr>
                <w:rFonts w:hint="eastAsia" w:ascii="宋体" w:hAnsi="宋体" w:cs="宋体"/>
                <w:color w:val="auto"/>
                <w:szCs w:val="21"/>
              </w:rPr>
              <w:t>崇左农商行授信审批部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228738F">
            <w:pPr>
              <w:widowControl/>
              <w:jc w:val="left"/>
              <w:rPr>
                <w:rFonts w:ascii="宋体" w:hAnsi="宋体" w:cs="宋体"/>
                <w:color w:val="auto"/>
                <w:szCs w:val="21"/>
              </w:rPr>
            </w:pPr>
            <w:r>
              <w:rPr>
                <w:rFonts w:hint="eastAsia" w:ascii="宋体" w:hAnsi="宋体" w:cs="宋体"/>
                <w:color w:val="auto"/>
                <w:szCs w:val="21"/>
              </w:rPr>
              <w:t>崇左市城西路109号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4D028F78">
            <w:pPr>
              <w:widowControl/>
              <w:jc w:val="center"/>
              <w:rPr>
                <w:rFonts w:ascii="宋体" w:hAnsi="宋体" w:cs="宋体"/>
                <w:color w:val="auto"/>
                <w:szCs w:val="21"/>
              </w:rPr>
            </w:pPr>
            <w:r>
              <w:rPr>
                <w:rFonts w:hint="eastAsia" w:ascii="宋体" w:hAnsi="宋体" w:cs="宋体"/>
                <w:color w:val="auto"/>
                <w:szCs w:val="21"/>
              </w:rPr>
              <w:t>0771-7925660</w:t>
            </w:r>
          </w:p>
        </w:tc>
      </w:tr>
      <w:tr w14:paraId="737EB000">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EDEE9F">
            <w:pPr>
              <w:widowControl/>
              <w:jc w:val="left"/>
              <w:rPr>
                <w:rFonts w:ascii="宋体" w:hAnsi="宋体" w:cs="宋体"/>
                <w:color w:val="auto"/>
                <w:szCs w:val="21"/>
              </w:rPr>
            </w:pPr>
            <w:r>
              <w:rPr>
                <w:rFonts w:hint="eastAsia" w:ascii="宋体" w:hAnsi="宋体" w:cs="宋体"/>
                <w:color w:val="auto"/>
                <w:szCs w:val="21"/>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CA23168">
            <w:pPr>
              <w:widowControl/>
              <w:jc w:val="left"/>
              <w:rPr>
                <w:rFonts w:ascii="宋体" w:hAnsi="宋体" w:cs="宋体"/>
                <w:color w:val="auto"/>
                <w:szCs w:val="21"/>
              </w:rPr>
            </w:pPr>
            <w:r>
              <w:rPr>
                <w:rFonts w:hint="eastAsia" w:ascii="宋体" w:hAnsi="宋体" w:cs="宋体"/>
                <w:color w:val="auto"/>
                <w:szCs w:val="21"/>
              </w:rPr>
              <w:t>崇左市江州区骆越大道2号中国邮政储蓄银行崇左市分行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526ADE84">
            <w:pPr>
              <w:widowControl/>
              <w:jc w:val="center"/>
              <w:rPr>
                <w:rFonts w:ascii="宋体" w:hAnsi="宋体" w:cs="宋体"/>
                <w:color w:val="auto"/>
                <w:szCs w:val="21"/>
              </w:rPr>
            </w:pPr>
            <w:r>
              <w:rPr>
                <w:rFonts w:hint="eastAsia" w:ascii="宋体" w:hAnsi="宋体" w:cs="宋体"/>
                <w:color w:val="auto"/>
                <w:szCs w:val="21"/>
              </w:rPr>
              <w:t>0771-7968699</w:t>
            </w:r>
          </w:p>
        </w:tc>
      </w:tr>
      <w:tr w14:paraId="22F6D9E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59C200">
            <w:pPr>
              <w:widowControl/>
              <w:jc w:val="left"/>
              <w:rPr>
                <w:rFonts w:ascii="宋体" w:hAnsi="宋体" w:cs="宋体"/>
                <w:color w:val="auto"/>
                <w:szCs w:val="21"/>
              </w:rPr>
            </w:pPr>
            <w:r>
              <w:rPr>
                <w:rFonts w:hint="eastAsia" w:ascii="宋体" w:hAnsi="宋体" w:cs="宋体"/>
                <w:color w:val="auto"/>
                <w:szCs w:val="21"/>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41612EB3">
            <w:pPr>
              <w:widowControl/>
              <w:jc w:val="left"/>
              <w:rPr>
                <w:rFonts w:ascii="宋体" w:hAnsi="宋体" w:cs="宋体"/>
                <w:color w:val="auto"/>
                <w:szCs w:val="21"/>
              </w:rPr>
            </w:pPr>
            <w:r>
              <w:rPr>
                <w:rFonts w:hint="eastAsia" w:ascii="宋体" w:hAnsi="宋体" w:cs="宋体"/>
                <w:color w:val="auto"/>
                <w:szCs w:val="21"/>
              </w:rPr>
              <w:t>广西壮族自治区崇左市江州区友谊大道中段龙胤·财富广场101商铺（龙胤大厦六楼营业部）</w:t>
            </w:r>
          </w:p>
        </w:tc>
        <w:tc>
          <w:tcPr>
            <w:tcW w:w="2754" w:type="dxa"/>
            <w:tcBorders>
              <w:top w:val="single" w:color="000000" w:sz="4" w:space="0"/>
              <w:left w:val="single" w:color="000000" w:sz="4" w:space="0"/>
              <w:bottom w:val="single" w:color="000000" w:sz="4" w:space="0"/>
              <w:right w:val="single" w:color="000000" w:sz="4" w:space="0"/>
            </w:tcBorders>
            <w:vAlign w:val="center"/>
          </w:tcPr>
          <w:p w14:paraId="30665438">
            <w:pPr>
              <w:widowControl/>
              <w:jc w:val="center"/>
              <w:rPr>
                <w:rFonts w:ascii="宋体" w:hAnsi="宋体" w:cs="宋体"/>
                <w:color w:val="auto"/>
                <w:szCs w:val="21"/>
              </w:rPr>
            </w:pPr>
            <w:r>
              <w:rPr>
                <w:rFonts w:hint="eastAsia" w:ascii="宋体" w:hAnsi="宋体" w:cs="宋体"/>
                <w:color w:val="auto"/>
                <w:szCs w:val="21"/>
              </w:rPr>
              <w:t>0771-7916636</w:t>
            </w:r>
          </w:p>
        </w:tc>
      </w:tr>
      <w:tr w14:paraId="1A5EA01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7EFB3B">
            <w:pPr>
              <w:widowControl/>
              <w:jc w:val="left"/>
              <w:rPr>
                <w:rFonts w:ascii="宋体" w:hAnsi="宋体" w:cs="宋体"/>
                <w:color w:val="auto"/>
                <w:szCs w:val="21"/>
              </w:rPr>
            </w:pPr>
            <w:r>
              <w:rPr>
                <w:rFonts w:hint="eastAsia" w:ascii="宋体" w:hAnsi="宋体" w:cs="宋体"/>
                <w:color w:val="auto"/>
                <w:szCs w:val="21"/>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9943777">
            <w:pPr>
              <w:widowControl/>
              <w:jc w:val="left"/>
              <w:rPr>
                <w:rFonts w:ascii="宋体" w:hAnsi="宋体" w:cs="宋体"/>
                <w:color w:val="auto"/>
                <w:szCs w:val="21"/>
              </w:rPr>
            </w:pPr>
            <w:r>
              <w:rPr>
                <w:rFonts w:hint="eastAsia" w:ascii="宋体" w:hAnsi="宋体" w:cs="宋体"/>
                <w:color w:val="auto"/>
                <w:szCs w:val="21"/>
              </w:rPr>
              <w:t>崇左市江州区建设路41号桂林银行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409EB433">
            <w:pPr>
              <w:widowControl/>
              <w:jc w:val="center"/>
              <w:rPr>
                <w:rFonts w:ascii="宋体" w:hAnsi="宋体" w:cs="宋体"/>
                <w:color w:val="auto"/>
                <w:szCs w:val="21"/>
              </w:rPr>
            </w:pPr>
            <w:r>
              <w:rPr>
                <w:rFonts w:hint="eastAsia" w:ascii="宋体" w:hAnsi="宋体" w:cs="宋体"/>
                <w:color w:val="auto"/>
                <w:szCs w:val="21"/>
              </w:rPr>
              <w:t>0771-7988895</w:t>
            </w:r>
          </w:p>
        </w:tc>
      </w:tr>
      <w:tr w14:paraId="60416525">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B5EB2C0">
            <w:pPr>
              <w:widowControl/>
              <w:jc w:val="left"/>
              <w:rPr>
                <w:rFonts w:ascii="宋体" w:hAnsi="宋体" w:cs="宋体"/>
                <w:color w:val="auto"/>
                <w:szCs w:val="21"/>
              </w:rPr>
            </w:pPr>
            <w:r>
              <w:rPr>
                <w:rFonts w:hint="eastAsia" w:ascii="宋体" w:hAnsi="宋体" w:cs="宋体"/>
                <w:color w:val="auto"/>
                <w:szCs w:val="21"/>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92B5A28">
            <w:pPr>
              <w:widowControl/>
              <w:jc w:val="left"/>
              <w:rPr>
                <w:rFonts w:ascii="宋体" w:hAnsi="宋体" w:cs="宋体"/>
                <w:color w:val="auto"/>
                <w:szCs w:val="21"/>
              </w:rPr>
            </w:pPr>
            <w:r>
              <w:rPr>
                <w:rFonts w:hint="eastAsia" w:ascii="宋体" w:hAnsi="宋体" w:cs="宋体"/>
                <w:color w:val="auto"/>
                <w:szCs w:val="21"/>
              </w:rPr>
              <w:t>崇左市友谊大道中段西侧龙胤财富广场三期财富中心122号商铺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17E47064">
            <w:pPr>
              <w:widowControl/>
              <w:jc w:val="center"/>
              <w:rPr>
                <w:rFonts w:ascii="宋体" w:hAnsi="宋体" w:cs="宋体"/>
                <w:color w:val="auto"/>
                <w:szCs w:val="21"/>
              </w:rPr>
            </w:pPr>
            <w:r>
              <w:rPr>
                <w:rFonts w:hint="eastAsia" w:ascii="宋体" w:hAnsi="宋体" w:cs="宋体"/>
                <w:color w:val="auto"/>
                <w:szCs w:val="21"/>
              </w:rPr>
              <w:t>0771-7960855</w:t>
            </w:r>
          </w:p>
        </w:tc>
      </w:tr>
      <w:tr w14:paraId="1451FA14">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DDDAC2">
            <w:pPr>
              <w:widowControl/>
              <w:jc w:val="left"/>
              <w:rPr>
                <w:rFonts w:ascii="宋体" w:hAnsi="宋体" w:cs="宋体"/>
                <w:color w:val="auto"/>
                <w:szCs w:val="21"/>
              </w:rPr>
            </w:pPr>
            <w:r>
              <w:rPr>
                <w:rFonts w:hint="eastAsia" w:ascii="宋体" w:hAnsi="宋体" w:cs="宋体"/>
                <w:color w:val="auto"/>
                <w:szCs w:val="21"/>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FD6DE78">
            <w:pPr>
              <w:widowControl/>
              <w:jc w:val="left"/>
              <w:rPr>
                <w:rFonts w:ascii="宋体" w:hAnsi="宋体" w:cs="宋体"/>
                <w:color w:val="auto"/>
                <w:szCs w:val="21"/>
              </w:rPr>
            </w:pPr>
            <w:r>
              <w:rPr>
                <w:rFonts w:hint="eastAsia" w:ascii="宋体" w:hAnsi="宋体" w:cs="宋体"/>
                <w:color w:val="auto"/>
                <w:szCs w:val="21"/>
              </w:rPr>
              <w:t>广西壮族自治区崇左市江州区中泰产业园企业总部基地企业服务中心一楼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777CF5A1">
            <w:pPr>
              <w:widowControl/>
              <w:jc w:val="center"/>
              <w:rPr>
                <w:rFonts w:ascii="宋体" w:hAnsi="宋体" w:cs="宋体"/>
                <w:color w:val="auto"/>
                <w:szCs w:val="21"/>
              </w:rPr>
            </w:pPr>
            <w:r>
              <w:rPr>
                <w:rFonts w:hint="eastAsia" w:ascii="宋体" w:hAnsi="宋体" w:cs="宋体"/>
                <w:color w:val="auto"/>
                <w:szCs w:val="21"/>
              </w:rPr>
              <w:t>0771-7821126</w:t>
            </w:r>
          </w:p>
        </w:tc>
      </w:tr>
      <w:tr w14:paraId="66A6EF24">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618CC4">
            <w:pPr>
              <w:widowControl/>
              <w:jc w:val="left"/>
              <w:rPr>
                <w:rFonts w:ascii="宋体" w:hAnsi="宋体" w:cs="宋体"/>
                <w:color w:val="auto"/>
                <w:szCs w:val="21"/>
              </w:rPr>
            </w:pPr>
            <w:r>
              <w:rPr>
                <w:rFonts w:hint="eastAsia" w:ascii="宋体" w:hAnsi="宋体" w:cs="宋体"/>
                <w:color w:val="auto"/>
                <w:szCs w:val="21"/>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A65AD59">
            <w:pPr>
              <w:widowControl/>
              <w:jc w:val="left"/>
              <w:rPr>
                <w:rFonts w:ascii="宋体" w:hAnsi="宋体" w:cs="宋体"/>
                <w:color w:val="auto"/>
                <w:szCs w:val="21"/>
              </w:rPr>
            </w:pPr>
            <w:r>
              <w:rPr>
                <w:rFonts w:hint="eastAsia" w:ascii="宋体" w:hAnsi="宋体" w:cs="宋体"/>
                <w:color w:val="auto"/>
                <w:szCs w:val="21"/>
              </w:rPr>
              <w:t>崇左市江州区丽江路丽江明珠滨江花苑三期106-109号商铺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09E40FE7">
            <w:pPr>
              <w:widowControl/>
              <w:jc w:val="center"/>
              <w:rPr>
                <w:rFonts w:ascii="宋体" w:hAnsi="宋体" w:cs="宋体"/>
                <w:color w:val="auto"/>
                <w:szCs w:val="21"/>
              </w:rPr>
            </w:pPr>
            <w:r>
              <w:rPr>
                <w:rFonts w:hint="eastAsia" w:ascii="宋体" w:hAnsi="宋体" w:cs="宋体"/>
                <w:color w:val="auto"/>
                <w:szCs w:val="21"/>
              </w:rPr>
              <w:t>0771-7831866</w:t>
            </w:r>
          </w:p>
        </w:tc>
      </w:tr>
      <w:tr w14:paraId="3DD14F54">
        <w:tblPrEx>
          <w:tblCellMar>
            <w:top w:w="0" w:type="dxa"/>
            <w:left w:w="108" w:type="dxa"/>
            <w:bottom w:w="0" w:type="dxa"/>
            <w:right w:w="108" w:type="dxa"/>
          </w:tblCellMar>
        </w:tblPrEx>
        <w:trPr>
          <w:trHeight w:val="350"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51FBF0DC">
            <w:pPr>
              <w:widowControl/>
              <w:jc w:val="left"/>
              <w:rPr>
                <w:rFonts w:ascii="宋体" w:hAnsi="宋体" w:cs="宋体"/>
                <w:color w:val="auto"/>
                <w:szCs w:val="21"/>
              </w:rPr>
            </w:pPr>
            <w:r>
              <w:rPr>
                <w:rFonts w:hint="eastAsia" w:ascii="宋体" w:hAnsi="宋体" w:cs="宋体"/>
                <w:b/>
                <w:bCs/>
                <w:color w:val="auto"/>
                <w:szCs w:val="21"/>
              </w:rPr>
              <w:t>扶绥县</w:t>
            </w:r>
          </w:p>
        </w:tc>
      </w:tr>
      <w:tr w14:paraId="3B9901E0">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7212BC">
            <w:pPr>
              <w:widowControl/>
              <w:jc w:val="left"/>
              <w:rPr>
                <w:rFonts w:ascii="宋体" w:hAnsi="宋体" w:cs="宋体"/>
                <w:color w:val="auto"/>
                <w:szCs w:val="21"/>
              </w:rPr>
            </w:pPr>
            <w:r>
              <w:rPr>
                <w:rFonts w:hint="eastAsia" w:ascii="宋体" w:hAnsi="宋体" w:cs="宋体"/>
                <w:color w:val="auto"/>
                <w:szCs w:val="21"/>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ABB3B84">
            <w:pPr>
              <w:widowControl/>
              <w:jc w:val="left"/>
              <w:rPr>
                <w:rFonts w:ascii="宋体" w:hAnsi="宋体" w:cs="宋体"/>
                <w:color w:val="auto"/>
                <w:szCs w:val="21"/>
              </w:rPr>
            </w:pPr>
            <w:r>
              <w:rPr>
                <w:rFonts w:hint="eastAsia" w:ascii="宋体" w:hAnsi="宋体" w:cs="宋体"/>
                <w:color w:val="auto"/>
                <w:szCs w:val="21"/>
              </w:rPr>
              <w:t>扶绥县新宁镇同正大道94号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B862D8E">
            <w:pPr>
              <w:widowControl/>
              <w:jc w:val="center"/>
              <w:rPr>
                <w:rFonts w:ascii="宋体" w:hAnsi="宋体" w:cs="宋体"/>
                <w:color w:val="auto"/>
                <w:szCs w:val="21"/>
              </w:rPr>
            </w:pPr>
            <w:r>
              <w:rPr>
                <w:rFonts w:hint="eastAsia" w:ascii="宋体" w:hAnsi="宋体" w:cs="宋体"/>
                <w:color w:val="auto"/>
                <w:szCs w:val="21"/>
              </w:rPr>
              <w:t>0771-7535612</w:t>
            </w:r>
          </w:p>
        </w:tc>
      </w:tr>
      <w:tr w14:paraId="21A06829">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C33AC6">
            <w:pPr>
              <w:widowControl/>
              <w:jc w:val="left"/>
              <w:rPr>
                <w:rFonts w:ascii="宋体" w:hAnsi="宋体" w:cs="宋体"/>
                <w:color w:val="auto"/>
                <w:szCs w:val="21"/>
              </w:rPr>
            </w:pPr>
            <w:r>
              <w:rPr>
                <w:rFonts w:hint="eastAsia" w:ascii="宋体" w:hAnsi="宋体" w:cs="宋体"/>
                <w:color w:val="auto"/>
                <w:szCs w:val="21"/>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E11DCC1">
            <w:pPr>
              <w:widowControl/>
              <w:jc w:val="left"/>
              <w:rPr>
                <w:rFonts w:ascii="宋体" w:hAnsi="宋体" w:cs="宋体"/>
                <w:color w:val="auto"/>
                <w:szCs w:val="21"/>
              </w:rPr>
            </w:pPr>
            <w:r>
              <w:rPr>
                <w:rFonts w:hint="eastAsia" w:ascii="宋体" w:hAnsi="宋体" w:cs="宋体"/>
                <w:color w:val="auto"/>
                <w:szCs w:val="21"/>
              </w:rPr>
              <w:t>扶绥县新宁镇新华路126号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5F04FEC">
            <w:pPr>
              <w:widowControl/>
              <w:jc w:val="center"/>
              <w:rPr>
                <w:rFonts w:ascii="宋体" w:hAnsi="宋体" w:cs="宋体"/>
                <w:color w:val="auto"/>
                <w:szCs w:val="21"/>
              </w:rPr>
            </w:pPr>
            <w:r>
              <w:rPr>
                <w:rFonts w:hint="eastAsia" w:ascii="宋体" w:hAnsi="宋体" w:cs="宋体"/>
                <w:color w:val="auto"/>
                <w:szCs w:val="21"/>
              </w:rPr>
              <w:t>0771-7917330</w:t>
            </w:r>
          </w:p>
        </w:tc>
      </w:tr>
      <w:tr w14:paraId="6F2A7A99">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3D5C1F">
            <w:pPr>
              <w:widowControl/>
              <w:jc w:val="left"/>
              <w:rPr>
                <w:rFonts w:ascii="宋体" w:hAnsi="宋体" w:cs="宋体"/>
                <w:color w:val="auto"/>
                <w:szCs w:val="21"/>
              </w:rPr>
            </w:pPr>
            <w:r>
              <w:rPr>
                <w:rFonts w:hint="eastAsia" w:ascii="宋体" w:hAnsi="宋体" w:cs="宋体"/>
                <w:color w:val="auto"/>
                <w:szCs w:val="21"/>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96CB104">
            <w:pPr>
              <w:widowControl/>
              <w:jc w:val="left"/>
              <w:rPr>
                <w:rFonts w:ascii="宋体" w:hAnsi="宋体" w:cs="宋体"/>
                <w:color w:val="auto"/>
                <w:szCs w:val="21"/>
              </w:rPr>
            </w:pPr>
            <w:r>
              <w:rPr>
                <w:rFonts w:hint="eastAsia" w:ascii="宋体" w:hAnsi="宋体" w:cs="宋体"/>
                <w:color w:val="auto"/>
                <w:szCs w:val="21"/>
              </w:rPr>
              <w:t>扶绥县南密路6号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4898AA43">
            <w:pPr>
              <w:widowControl/>
              <w:jc w:val="center"/>
              <w:rPr>
                <w:rFonts w:ascii="宋体" w:hAnsi="宋体" w:cs="宋体"/>
                <w:color w:val="auto"/>
                <w:szCs w:val="21"/>
              </w:rPr>
            </w:pPr>
            <w:r>
              <w:rPr>
                <w:rFonts w:hint="eastAsia" w:ascii="宋体" w:hAnsi="宋体" w:cs="宋体"/>
                <w:color w:val="auto"/>
                <w:szCs w:val="21"/>
              </w:rPr>
              <w:t>0771-7516511 0771-7531157</w:t>
            </w:r>
          </w:p>
        </w:tc>
      </w:tr>
      <w:tr w14:paraId="43209B15">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127F03">
            <w:pPr>
              <w:widowControl/>
              <w:jc w:val="left"/>
              <w:rPr>
                <w:rFonts w:ascii="宋体" w:hAnsi="宋体" w:cs="宋体"/>
                <w:color w:val="auto"/>
                <w:szCs w:val="21"/>
              </w:rPr>
            </w:pPr>
            <w:r>
              <w:rPr>
                <w:rFonts w:hint="eastAsia" w:ascii="宋体" w:hAnsi="宋体" w:cs="宋体"/>
                <w:color w:val="auto"/>
                <w:szCs w:val="21"/>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A9FAD53">
            <w:pPr>
              <w:widowControl/>
              <w:jc w:val="left"/>
              <w:rPr>
                <w:rFonts w:ascii="宋体" w:hAnsi="宋体" w:cs="宋体"/>
                <w:color w:val="auto"/>
                <w:szCs w:val="21"/>
              </w:rPr>
            </w:pPr>
            <w:r>
              <w:rPr>
                <w:rFonts w:hint="eastAsia" w:ascii="宋体" w:hAnsi="宋体" w:cs="宋体"/>
                <w:color w:val="auto"/>
                <w:szCs w:val="21"/>
              </w:rPr>
              <w:t>扶绥县双拥路3号东信华府18号楼一层</w:t>
            </w:r>
          </w:p>
        </w:tc>
        <w:tc>
          <w:tcPr>
            <w:tcW w:w="2754" w:type="dxa"/>
            <w:tcBorders>
              <w:top w:val="single" w:color="000000" w:sz="4" w:space="0"/>
              <w:left w:val="single" w:color="000000" w:sz="4" w:space="0"/>
              <w:bottom w:val="single" w:color="000000" w:sz="4" w:space="0"/>
              <w:right w:val="single" w:color="000000" w:sz="4" w:space="0"/>
            </w:tcBorders>
            <w:vAlign w:val="center"/>
          </w:tcPr>
          <w:p w14:paraId="59416950">
            <w:pPr>
              <w:widowControl/>
              <w:jc w:val="center"/>
              <w:rPr>
                <w:rFonts w:ascii="宋体" w:hAnsi="宋体" w:cs="宋体"/>
                <w:color w:val="auto"/>
                <w:szCs w:val="21"/>
              </w:rPr>
            </w:pPr>
            <w:r>
              <w:rPr>
                <w:rFonts w:hint="eastAsia" w:ascii="宋体" w:hAnsi="宋体" w:cs="宋体"/>
                <w:color w:val="auto"/>
                <w:szCs w:val="21"/>
              </w:rPr>
              <w:t>0771-7525822</w:t>
            </w:r>
          </w:p>
        </w:tc>
      </w:tr>
      <w:tr w14:paraId="3EC2DEE8">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D1A4F4">
            <w:pPr>
              <w:widowControl/>
              <w:jc w:val="left"/>
              <w:rPr>
                <w:rFonts w:ascii="宋体" w:hAnsi="宋体" w:cs="宋体"/>
                <w:color w:val="auto"/>
                <w:szCs w:val="21"/>
              </w:rPr>
            </w:pPr>
            <w:r>
              <w:rPr>
                <w:rFonts w:hint="eastAsia" w:ascii="宋体" w:hAnsi="宋体" w:cs="宋体"/>
                <w:color w:val="auto"/>
                <w:szCs w:val="21"/>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BA59E85">
            <w:pPr>
              <w:widowControl/>
              <w:jc w:val="left"/>
              <w:rPr>
                <w:rFonts w:ascii="宋体" w:hAnsi="宋体" w:cs="宋体"/>
                <w:color w:val="auto"/>
                <w:szCs w:val="21"/>
              </w:rPr>
            </w:pPr>
            <w:r>
              <w:rPr>
                <w:rFonts w:hint="eastAsia" w:ascii="宋体" w:hAnsi="宋体" w:cs="宋体"/>
                <w:color w:val="auto"/>
                <w:szCs w:val="21"/>
              </w:rPr>
              <w:t>扶绥县-扶绥大道16号山水城市广场一层商铺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39E89C73">
            <w:pPr>
              <w:widowControl/>
              <w:jc w:val="center"/>
              <w:rPr>
                <w:rFonts w:ascii="宋体" w:hAnsi="宋体" w:cs="宋体"/>
                <w:color w:val="auto"/>
                <w:szCs w:val="21"/>
              </w:rPr>
            </w:pPr>
            <w:r>
              <w:rPr>
                <w:rFonts w:hint="eastAsia" w:ascii="宋体" w:hAnsi="宋体" w:cs="宋体"/>
                <w:color w:val="auto"/>
                <w:szCs w:val="21"/>
              </w:rPr>
              <w:t>0771-5025887</w:t>
            </w:r>
          </w:p>
        </w:tc>
      </w:tr>
      <w:tr w14:paraId="37E9EBB2">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B6F25B7">
            <w:pPr>
              <w:widowControl/>
              <w:jc w:val="left"/>
              <w:rPr>
                <w:rFonts w:ascii="宋体" w:hAnsi="宋体" w:cs="宋体"/>
                <w:color w:val="auto"/>
                <w:szCs w:val="21"/>
              </w:rPr>
            </w:pPr>
            <w:r>
              <w:rPr>
                <w:rFonts w:hint="eastAsia" w:ascii="宋体" w:hAnsi="宋体" w:cs="宋体"/>
                <w:color w:val="auto"/>
                <w:szCs w:val="21"/>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5D90302F">
            <w:pPr>
              <w:widowControl/>
              <w:jc w:val="left"/>
              <w:rPr>
                <w:rFonts w:ascii="宋体" w:hAnsi="宋体" w:cs="宋体"/>
                <w:color w:val="auto"/>
                <w:szCs w:val="21"/>
              </w:rPr>
            </w:pPr>
            <w:r>
              <w:rPr>
                <w:rFonts w:hint="eastAsia" w:ascii="宋体" w:hAnsi="宋体" w:cs="宋体"/>
                <w:color w:val="auto"/>
                <w:szCs w:val="21"/>
              </w:rPr>
              <w:t>扶绥县新宁镇永宁路2-1号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B0E232B">
            <w:pPr>
              <w:widowControl/>
              <w:jc w:val="center"/>
              <w:rPr>
                <w:rFonts w:ascii="宋体" w:hAnsi="宋体" w:cs="宋体"/>
                <w:color w:val="auto"/>
                <w:szCs w:val="21"/>
              </w:rPr>
            </w:pPr>
            <w:r>
              <w:rPr>
                <w:rFonts w:hint="eastAsia" w:ascii="宋体" w:hAnsi="宋体" w:cs="宋体"/>
                <w:color w:val="auto"/>
                <w:szCs w:val="21"/>
              </w:rPr>
              <w:t>0771-7533041</w:t>
            </w:r>
          </w:p>
        </w:tc>
      </w:tr>
      <w:tr w14:paraId="28616632">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D77FB8">
            <w:pPr>
              <w:widowControl/>
              <w:jc w:val="left"/>
              <w:rPr>
                <w:rFonts w:ascii="宋体" w:hAnsi="宋体" w:cs="宋体"/>
                <w:color w:val="auto"/>
                <w:szCs w:val="21"/>
              </w:rPr>
            </w:pPr>
            <w:r>
              <w:rPr>
                <w:rFonts w:hint="eastAsia" w:ascii="宋体" w:hAnsi="宋体" w:cs="宋体"/>
                <w:color w:val="auto"/>
                <w:szCs w:val="21"/>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9FA6BF9">
            <w:pPr>
              <w:widowControl/>
              <w:jc w:val="left"/>
              <w:rPr>
                <w:rFonts w:ascii="宋体" w:hAnsi="宋体" w:cs="宋体"/>
                <w:color w:val="auto"/>
                <w:szCs w:val="21"/>
              </w:rPr>
            </w:pPr>
            <w:r>
              <w:rPr>
                <w:rFonts w:hint="eastAsia" w:ascii="宋体" w:hAnsi="宋体" w:cs="宋体"/>
                <w:color w:val="auto"/>
                <w:szCs w:val="21"/>
              </w:rPr>
              <w:t>扶绥县松江路138号中国邮政储蓄银行扶绥县支行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0A6C8AF2">
            <w:pPr>
              <w:widowControl/>
              <w:jc w:val="center"/>
              <w:rPr>
                <w:rFonts w:ascii="宋体" w:hAnsi="宋体" w:cs="宋体"/>
                <w:color w:val="auto"/>
                <w:szCs w:val="21"/>
              </w:rPr>
            </w:pPr>
            <w:r>
              <w:rPr>
                <w:rFonts w:hint="eastAsia" w:ascii="宋体" w:hAnsi="宋体" w:cs="宋体"/>
                <w:color w:val="auto"/>
                <w:szCs w:val="21"/>
              </w:rPr>
              <w:t>0771-7536178 0771-7536177</w:t>
            </w:r>
          </w:p>
        </w:tc>
      </w:tr>
      <w:tr w14:paraId="616EB2D2">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41669B">
            <w:pPr>
              <w:widowControl/>
              <w:jc w:val="left"/>
              <w:rPr>
                <w:rFonts w:ascii="宋体" w:hAnsi="宋体" w:cs="宋体"/>
                <w:color w:val="auto"/>
                <w:szCs w:val="21"/>
              </w:rPr>
            </w:pPr>
            <w:r>
              <w:rPr>
                <w:rFonts w:hint="eastAsia" w:ascii="宋体" w:hAnsi="宋体" w:cs="宋体"/>
                <w:color w:val="auto"/>
                <w:szCs w:val="21"/>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B01DBFC">
            <w:pPr>
              <w:widowControl/>
              <w:jc w:val="left"/>
              <w:rPr>
                <w:rFonts w:ascii="宋体" w:hAnsi="宋体" w:cs="宋体"/>
                <w:color w:val="auto"/>
                <w:szCs w:val="21"/>
              </w:rPr>
            </w:pPr>
            <w:r>
              <w:rPr>
                <w:rFonts w:hint="eastAsia" w:ascii="宋体" w:hAnsi="宋体" w:cs="宋体"/>
                <w:color w:val="auto"/>
                <w:szCs w:val="21"/>
              </w:rPr>
              <w:t>广西崇左市扶绥县新宁镇松江路20号（桂林银行崇左扶绥支行）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43AC2B28">
            <w:pPr>
              <w:widowControl/>
              <w:jc w:val="center"/>
              <w:rPr>
                <w:rFonts w:ascii="宋体" w:hAnsi="宋体" w:cs="宋体"/>
                <w:color w:val="auto"/>
                <w:szCs w:val="21"/>
              </w:rPr>
            </w:pPr>
            <w:r>
              <w:rPr>
                <w:rFonts w:hint="eastAsia" w:ascii="宋体" w:hAnsi="宋体" w:cs="宋体"/>
                <w:color w:val="auto"/>
                <w:szCs w:val="21"/>
              </w:rPr>
              <w:t>0771-7661101</w:t>
            </w:r>
          </w:p>
        </w:tc>
      </w:tr>
      <w:tr w14:paraId="3CA5D48F">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F5316A">
            <w:pPr>
              <w:widowControl/>
              <w:jc w:val="left"/>
              <w:rPr>
                <w:rFonts w:ascii="宋体" w:hAnsi="宋体" w:cs="宋体"/>
                <w:color w:val="auto"/>
                <w:szCs w:val="21"/>
              </w:rPr>
            </w:pPr>
            <w:r>
              <w:rPr>
                <w:rFonts w:hint="eastAsia" w:ascii="宋体" w:hAnsi="宋体" w:cs="宋体"/>
                <w:color w:val="auto"/>
                <w:szCs w:val="21"/>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BE5962E">
            <w:pPr>
              <w:widowControl/>
              <w:jc w:val="left"/>
              <w:rPr>
                <w:rFonts w:ascii="宋体" w:hAnsi="宋体" w:cs="宋体"/>
                <w:color w:val="auto"/>
                <w:szCs w:val="21"/>
              </w:rPr>
            </w:pPr>
            <w:r>
              <w:rPr>
                <w:rFonts w:hint="eastAsia" w:ascii="宋体" w:hAnsi="宋体" w:cs="宋体"/>
                <w:color w:val="auto"/>
                <w:szCs w:val="21"/>
              </w:rPr>
              <w:t>崇左市扶绥县新宁镇同正大道333号碧园·未来城商业综合体13号楼一楼1050、1051号商铺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15B1DE09">
            <w:pPr>
              <w:widowControl/>
              <w:jc w:val="center"/>
              <w:rPr>
                <w:rFonts w:ascii="宋体" w:hAnsi="宋体" w:cs="宋体"/>
                <w:color w:val="auto"/>
                <w:szCs w:val="21"/>
              </w:rPr>
            </w:pPr>
            <w:r>
              <w:rPr>
                <w:rFonts w:hint="eastAsia" w:ascii="宋体" w:hAnsi="宋体" w:cs="宋体"/>
                <w:color w:val="auto"/>
                <w:szCs w:val="21"/>
              </w:rPr>
              <w:t>0771-7500768</w:t>
            </w:r>
          </w:p>
        </w:tc>
      </w:tr>
      <w:tr w14:paraId="5DF1147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2D0A35">
            <w:pPr>
              <w:widowControl/>
              <w:jc w:val="left"/>
              <w:rPr>
                <w:rFonts w:ascii="宋体" w:hAnsi="宋体" w:cs="宋体"/>
                <w:color w:val="auto"/>
                <w:szCs w:val="21"/>
              </w:rPr>
            </w:pPr>
            <w:r>
              <w:rPr>
                <w:rFonts w:hint="eastAsia" w:ascii="宋体" w:hAnsi="宋体" w:cs="宋体"/>
                <w:color w:val="auto"/>
                <w:szCs w:val="21"/>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93614F9">
            <w:pPr>
              <w:widowControl/>
              <w:jc w:val="left"/>
              <w:rPr>
                <w:rFonts w:ascii="宋体" w:hAnsi="宋体" w:cs="宋体"/>
                <w:color w:val="auto"/>
                <w:szCs w:val="21"/>
              </w:rPr>
            </w:pPr>
            <w:r>
              <w:rPr>
                <w:rFonts w:hint="eastAsia" w:ascii="宋体" w:hAnsi="宋体" w:cs="宋体"/>
                <w:color w:val="auto"/>
                <w:szCs w:val="21"/>
              </w:rPr>
              <w:t>扶绥县大景城1号楼正门旁</w:t>
            </w:r>
          </w:p>
        </w:tc>
        <w:tc>
          <w:tcPr>
            <w:tcW w:w="2754" w:type="dxa"/>
            <w:tcBorders>
              <w:top w:val="single" w:color="000000" w:sz="4" w:space="0"/>
              <w:left w:val="single" w:color="000000" w:sz="4" w:space="0"/>
              <w:bottom w:val="single" w:color="000000" w:sz="4" w:space="0"/>
              <w:right w:val="single" w:color="000000" w:sz="4" w:space="0"/>
            </w:tcBorders>
            <w:vAlign w:val="center"/>
          </w:tcPr>
          <w:p w14:paraId="7DDBF979">
            <w:pPr>
              <w:widowControl/>
              <w:jc w:val="center"/>
              <w:rPr>
                <w:rFonts w:ascii="宋体" w:hAnsi="宋体" w:cs="宋体"/>
                <w:color w:val="auto"/>
                <w:szCs w:val="21"/>
              </w:rPr>
            </w:pPr>
            <w:r>
              <w:rPr>
                <w:rFonts w:hint="eastAsia" w:ascii="宋体" w:hAnsi="宋体" w:cs="宋体"/>
                <w:color w:val="auto"/>
                <w:szCs w:val="21"/>
              </w:rPr>
              <w:t>0771-7525678</w:t>
            </w:r>
          </w:p>
        </w:tc>
      </w:tr>
      <w:tr w14:paraId="2FE519C0">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2EA607">
            <w:pPr>
              <w:widowControl/>
              <w:jc w:val="left"/>
              <w:rPr>
                <w:rFonts w:ascii="宋体" w:hAnsi="宋体" w:cs="宋体"/>
                <w:color w:val="auto"/>
                <w:szCs w:val="21"/>
              </w:rPr>
            </w:pPr>
            <w:r>
              <w:rPr>
                <w:rFonts w:hint="eastAsia" w:ascii="宋体" w:hAnsi="宋体" w:cs="宋体"/>
                <w:b/>
                <w:bCs/>
                <w:color w:val="auto"/>
                <w:szCs w:val="21"/>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5AD468FB">
            <w:pPr>
              <w:widowControl/>
              <w:jc w:val="left"/>
              <w:rPr>
                <w:rFonts w:ascii="宋体" w:hAnsi="宋体" w:cs="宋体"/>
                <w:color w:val="auto"/>
                <w:szCs w:val="21"/>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3240992F">
            <w:pPr>
              <w:widowControl/>
              <w:jc w:val="center"/>
              <w:rPr>
                <w:rFonts w:ascii="宋体" w:hAnsi="宋体" w:cs="宋体"/>
                <w:color w:val="auto"/>
                <w:szCs w:val="21"/>
              </w:rPr>
            </w:pPr>
          </w:p>
        </w:tc>
      </w:tr>
      <w:tr w14:paraId="35714CCD">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4AFA20">
            <w:pPr>
              <w:widowControl/>
              <w:jc w:val="left"/>
              <w:rPr>
                <w:rFonts w:ascii="宋体" w:hAnsi="宋体" w:cs="宋体"/>
                <w:color w:val="auto"/>
                <w:szCs w:val="21"/>
              </w:rPr>
            </w:pPr>
            <w:r>
              <w:rPr>
                <w:rFonts w:hint="eastAsia" w:ascii="宋体" w:hAnsi="宋体" w:cs="宋体"/>
                <w:color w:val="auto"/>
                <w:szCs w:val="21"/>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CD85C6D">
            <w:pPr>
              <w:widowControl/>
              <w:jc w:val="left"/>
              <w:rPr>
                <w:rFonts w:ascii="宋体" w:hAnsi="宋体" w:cs="宋体"/>
                <w:color w:val="auto"/>
                <w:szCs w:val="21"/>
              </w:rPr>
            </w:pPr>
            <w:r>
              <w:rPr>
                <w:rFonts w:hint="eastAsia" w:ascii="宋体" w:hAnsi="宋体" w:cs="宋体"/>
                <w:color w:val="auto"/>
                <w:szCs w:val="21"/>
              </w:rPr>
              <w:t>宁明县城中镇兴远街70号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CC0BBEB">
            <w:pPr>
              <w:widowControl/>
              <w:jc w:val="center"/>
              <w:rPr>
                <w:rFonts w:ascii="宋体" w:hAnsi="宋体" w:cs="宋体"/>
                <w:color w:val="auto"/>
                <w:szCs w:val="21"/>
              </w:rPr>
            </w:pPr>
            <w:r>
              <w:rPr>
                <w:rFonts w:hint="eastAsia" w:ascii="宋体" w:hAnsi="宋体" w:cs="宋体"/>
                <w:color w:val="auto"/>
                <w:szCs w:val="21"/>
              </w:rPr>
              <w:t>0771-8620729</w:t>
            </w:r>
          </w:p>
        </w:tc>
      </w:tr>
      <w:tr w14:paraId="6A49F322">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E5C3D9">
            <w:pPr>
              <w:widowControl/>
              <w:jc w:val="left"/>
              <w:rPr>
                <w:rFonts w:ascii="宋体" w:hAnsi="宋体" w:cs="宋体"/>
                <w:color w:val="auto"/>
                <w:szCs w:val="21"/>
              </w:rPr>
            </w:pPr>
            <w:r>
              <w:rPr>
                <w:rFonts w:hint="eastAsia" w:ascii="宋体" w:hAnsi="宋体" w:cs="宋体"/>
                <w:color w:val="auto"/>
                <w:szCs w:val="21"/>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E2D333A">
            <w:pPr>
              <w:widowControl/>
              <w:jc w:val="left"/>
              <w:rPr>
                <w:rFonts w:ascii="宋体" w:hAnsi="宋体" w:cs="宋体"/>
                <w:color w:val="auto"/>
                <w:szCs w:val="21"/>
              </w:rPr>
            </w:pPr>
            <w:r>
              <w:rPr>
                <w:rFonts w:hint="eastAsia" w:ascii="宋体" w:hAnsi="宋体" w:cs="宋体"/>
                <w:color w:val="auto"/>
                <w:szCs w:val="21"/>
              </w:rPr>
              <w:t>宁明县城中镇明阳街11号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4976F8C">
            <w:pPr>
              <w:widowControl/>
              <w:jc w:val="center"/>
              <w:rPr>
                <w:rFonts w:ascii="宋体" w:hAnsi="宋体" w:cs="宋体"/>
                <w:color w:val="auto"/>
                <w:szCs w:val="21"/>
              </w:rPr>
            </w:pPr>
            <w:r>
              <w:rPr>
                <w:rFonts w:hint="eastAsia" w:ascii="宋体" w:hAnsi="宋体" w:cs="宋体"/>
                <w:color w:val="auto"/>
                <w:szCs w:val="21"/>
              </w:rPr>
              <w:t>0771-7917093</w:t>
            </w:r>
          </w:p>
        </w:tc>
      </w:tr>
      <w:tr w14:paraId="0274A74D">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DB1788">
            <w:pPr>
              <w:widowControl/>
              <w:jc w:val="left"/>
              <w:rPr>
                <w:rFonts w:ascii="宋体" w:hAnsi="宋体" w:cs="宋体"/>
                <w:color w:val="auto"/>
                <w:szCs w:val="21"/>
              </w:rPr>
            </w:pPr>
            <w:r>
              <w:rPr>
                <w:rFonts w:hint="eastAsia" w:ascii="宋体" w:hAnsi="宋体" w:cs="宋体"/>
                <w:color w:val="auto"/>
                <w:szCs w:val="21"/>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8FC5EF4">
            <w:pPr>
              <w:widowControl/>
              <w:spacing w:after="90" w:line="23" w:lineRule="atLeast"/>
              <w:jc w:val="left"/>
              <w:rPr>
                <w:rFonts w:ascii="宋体" w:hAnsi="宋体" w:cs="宋体"/>
                <w:color w:val="auto"/>
                <w:szCs w:val="21"/>
              </w:rPr>
            </w:pPr>
            <w:r>
              <w:rPr>
                <w:rFonts w:hint="eastAsia" w:ascii="宋体" w:hAnsi="宋体" w:cs="宋体"/>
                <w:color w:val="auto"/>
                <w:szCs w:val="21"/>
                <w:lang w:bidi="ar"/>
              </w:rPr>
              <w:t>宁明县城中镇兴宁大道77号明江财富广场一层1-13号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0BD4D28">
            <w:pPr>
              <w:widowControl/>
              <w:jc w:val="center"/>
              <w:rPr>
                <w:rFonts w:ascii="宋体" w:hAnsi="宋体" w:cs="宋体"/>
                <w:color w:val="auto"/>
                <w:szCs w:val="21"/>
              </w:rPr>
            </w:pPr>
            <w:r>
              <w:rPr>
                <w:rFonts w:hint="eastAsia" w:ascii="宋体" w:hAnsi="宋体" w:cs="宋体"/>
                <w:color w:val="auto"/>
                <w:szCs w:val="21"/>
              </w:rPr>
              <w:t>0771-8629006</w:t>
            </w:r>
          </w:p>
        </w:tc>
      </w:tr>
      <w:tr w14:paraId="08D141A7">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00C7E8A">
            <w:pPr>
              <w:widowControl/>
              <w:jc w:val="left"/>
              <w:rPr>
                <w:rFonts w:ascii="宋体" w:hAnsi="宋体" w:cs="宋体"/>
                <w:color w:val="auto"/>
                <w:szCs w:val="21"/>
              </w:rPr>
            </w:pPr>
            <w:r>
              <w:rPr>
                <w:rFonts w:hint="eastAsia" w:ascii="宋体" w:hAnsi="宋体" w:cs="宋体"/>
                <w:color w:val="auto"/>
                <w:szCs w:val="21"/>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5BF666AD">
            <w:pPr>
              <w:widowControl/>
              <w:jc w:val="left"/>
              <w:rPr>
                <w:rFonts w:ascii="宋体" w:hAnsi="宋体" w:cs="宋体"/>
                <w:color w:val="auto"/>
                <w:szCs w:val="21"/>
              </w:rPr>
            </w:pPr>
            <w:r>
              <w:rPr>
                <w:rFonts w:hint="eastAsia" w:ascii="宋体" w:hAnsi="宋体" w:cs="宋体"/>
                <w:color w:val="auto"/>
                <w:szCs w:val="21"/>
              </w:rPr>
              <w:t>宁明县城中镇明阳街3号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51995A3">
            <w:pPr>
              <w:widowControl/>
              <w:jc w:val="center"/>
              <w:rPr>
                <w:rFonts w:ascii="宋体" w:hAnsi="宋体" w:cs="宋体"/>
                <w:color w:val="auto"/>
                <w:szCs w:val="21"/>
              </w:rPr>
            </w:pPr>
            <w:r>
              <w:rPr>
                <w:rFonts w:hint="eastAsia" w:ascii="宋体" w:hAnsi="宋体" w:cs="宋体"/>
                <w:color w:val="auto"/>
                <w:szCs w:val="21"/>
              </w:rPr>
              <w:t>0771-8628166</w:t>
            </w:r>
          </w:p>
        </w:tc>
      </w:tr>
      <w:tr w14:paraId="65B3D173">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D04D61">
            <w:pPr>
              <w:widowControl/>
              <w:jc w:val="left"/>
              <w:rPr>
                <w:rFonts w:ascii="宋体" w:hAnsi="宋体" w:cs="宋体"/>
                <w:color w:val="auto"/>
                <w:szCs w:val="21"/>
              </w:rPr>
            </w:pPr>
            <w:r>
              <w:rPr>
                <w:rFonts w:hint="eastAsia" w:ascii="宋体" w:hAnsi="宋体" w:cs="宋体"/>
                <w:color w:val="auto"/>
                <w:szCs w:val="21"/>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7716A96">
            <w:pPr>
              <w:widowControl/>
              <w:jc w:val="left"/>
              <w:rPr>
                <w:rFonts w:ascii="宋体" w:hAnsi="宋体" w:cs="宋体"/>
                <w:color w:val="auto"/>
                <w:szCs w:val="21"/>
              </w:rPr>
            </w:pPr>
            <w:r>
              <w:rPr>
                <w:rFonts w:hint="eastAsia" w:ascii="宋体" w:hAnsi="宋体" w:cs="宋体"/>
                <w:color w:val="auto"/>
                <w:szCs w:val="21"/>
              </w:rPr>
              <w:t>宁明县城中镇兴宁大道中70号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F9790BB">
            <w:pPr>
              <w:widowControl/>
              <w:jc w:val="center"/>
              <w:rPr>
                <w:rFonts w:ascii="宋体" w:hAnsi="宋体" w:cs="宋体"/>
                <w:color w:val="auto"/>
                <w:szCs w:val="21"/>
              </w:rPr>
            </w:pPr>
            <w:r>
              <w:rPr>
                <w:rFonts w:hint="eastAsia" w:ascii="宋体" w:hAnsi="宋体" w:cs="宋体"/>
                <w:color w:val="auto"/>
                <w:szCs w:val="21"/>
              </w:rPr>
              <w:t>0771-8630787</w:t>
            </w:r>
          </w:p>
        </w:tc>
      </w:tr>
      <w:tr w14:paraId="12BB895E">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B08D0A">
            <w:pPr>
              <w:widowControl/>
              <w:jc w:val="left"/>
              <w:rPr>
                <w:rFonts w:ascii="宋体" w:hAnsi="宋体" w:cs="宋体"/>
                <w:color w:val="auto"/>
                <w:szCs w:val="21"/>
              </w:rPr>
            </w:pPr>
            <w:r>
              <w:rPr>
                <w:rFonts w:hint="eastAsia" w:ascii="宋体" w:hAnsi="宋体" w:cs="宋体"/>
                <w:color w:val="auto"/>
                <w:szCs w:val="21"/>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D191E8B">
            <w:pPr>
              <w:widowControl/>
              <w:jc w:val="left"/>
              <w:rPr>
                <w:rFonts w:ascii="宋体" w:hAnsi="宋体" w:cs="宋体"/>
                <w:color w:val="auto"/>
                <w:szCs w:val="21"/>
              </w:rPr>
            </w:pPr>
            <w:r>
              <w:rPr>
                <w:rFonts w:hint="eastAsia" w:ascii="宋体" w:hAnsi="宋体" w:cs="宋体"/>
                <w:color w:val="auto"/>
                <w:szCs w:val="21"/>
              </w:rPr>
              <w:t>崇左市宁明县城中镇兴宁大道中79号（明都大酒店）A幢楼1楼铺面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36E8AF4D">
            <w:pPr>
              <w:widowControl/>
              <w:jc w:val="center"/>
              <w:rPr>
                <w:rFonts w:ascii="宋体" w:hAnsi="宋体" w:cs="宋体"/>
                <w:color w:val="auto"/>
                <w:szCs w:val="21"/>
              </w:rPr>
            </w:pPr>
            <w:r>
              <w:rPr>
                <w:rFonts w:hint="eastAsia" w:ascii="宋体" w:hAnsi="宋体" w:cs="宋体"/>
                <w:color w:val="auto"/>
                <w:szCs w:val="21"/>
              </w:rPr>
              <w:t>0771-8622237</w:t>
            </w:r>
          </w:p>
        </w:tc>
      </w:tr>
      <w:tr w14:paraId="36E173CA">
        <w:tblPrEx>
          <w:tblCellMar>
            <w:top w:w="0" w:type="dxa"/>
            <w:left w:w="108" w:type="dxa"/>
            <w:bottom w:w="0" w:type="dxa"/>
            <w:right w:w="108" w:type="dxa"/>
          </w:tblCellMar>
        </w:tblPrEx>
        <w:trPr>
          <w:trHeight w:val="377"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26B6589B">
            <w:pPr>
              <w:widowControl/>
              <w:jc w:val="left"/>
              <w:rPr>
                <w:rFonts w:ascii="宋体" w:hAnsi="宋体" w:cs="宋体"/>
                <w:color w:val="auto"/>
                <w:szCs w:val="21"/>
              </w:rPr>
            </w:pPr>
            <w:r>
              <w:rPr>
                <w:rFonts w:hint="eastAsia" w:ascii="宋体" w:hAnsi="宋体" w:cs="宋体"/>
                <w:b/>
                <w:bCs/>
                <w:color w:val="auto"/>
                <w:szCs w:val="21"/>
              </w:rPr>
              <w:t>大新县</w:t>
            </w:r>
          </w:p>
        </w:tc>
      </w:tr>
      <w:tr w14:paraId="58848BEF">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72CD6F">
            <w:pPr>
              <w:widowControl/>
              <w:jc w:val="left"/>
              <w:rPr>
                <w:rFonts w:ascii="宋体" w:hAnsi="宋体" w:cs="宋体"/>
                <w:color w:val="auto"/>
                <w:szCs w:val="21"/>
                <w:lang w:bidi="ar"/>
              </w:rPr>
            </w:pPr>
            <w:r>
              <w:rPr>
                <w:rFonts w:hint="eastAsia" w:ascii="宋体" w:hAnsi="宋体" w:cs="宋体"/>
                <w:color w:val="auto"/>
                <w:szCs w:val="21"/>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DD87449">
            <w:pPr>
              <w:widowControl/>
              <w:jc w:val="left"/>
              <w:rPr>
                <w:rFonts w:ascii="宋体" w:hAnsi="宋体" w:cs="宋体"/>
                <w:color w:val="auto"/>
                <w:szCs w:val="21"/>
                <w:lang w:bidi="ar"/>
              </w:rPr>
            </w:pPr>
            <w:r>
              <w:rPr>
                <w:rFonts w:hint="eastAsia" w:ascii="宋体" w:hAnsi="宋体" w:cs="宋体"/>
                <w:color w:val="auto"/>
                <w:szCs w:val="21"/>
                <w:lang w:bidi="ar"/>
              </w:rPr>
              <w:t>大新县桃城镇民生街98号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15DA56C">
            <w:pPr>
              <w:widowControl/>
              <w:jc w:val="center"/>
              <w:rPr>
                <w:rFonts w:ascii="宋体" w:hAnsi="宋体" w:cs="宋体"/>
                <w:color w:val="auto"/>
                <w:szCs w:val="21"/>
                <w:lang w:bidi="ar"/>
              </w:rPr>
            </w:pPr>
            <w:r>
              <w:rPr>
                <w:rFonts w:hint="eastAsia" w:ascii="宋体" w:hAnsi="宋体" w:cs="宋体"/>
                <w:color w:val="auto"/>
                <w:szCs w:val="21"/>
                <w:lang w:bidi="ar"/>
              </w:rPr>
              <w:t>0771-3628078</w:t>
            </w:r>
          </w:p>
        </w:tc>
      </w:tr>
      <w:tr w14:paraId="32F541EA">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8DE96F">
            <w:pPr>
              <w:widowControl/>
              <w:jc w:val="left"/>
              <w:rPr>
                <w:rFonts w:ascii="宋体" w:hAnsi="宋体" w:cs="宋体"/>
                <w:color w:val="auto"/>
                <w:szCs w:val="21"/>
                <w:lang w:bidi="ar"/>
              </w:rPr>
            </w:pPr>
            <w:r>
              <w:rPr>
                <w:rFonts w:hint="eastAsia" w:ascii="宋体" w:hAnsi="宋体" w:cs="宋体"/>
                <w:color w:val="auto"/>
                <w:szCs w:val="21"/>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9E15CF4">
            <w:pPr>
              <w:widowControl/>
              <w:jc w:val="left"/>
              <w:rPr>
                <w:rFonts w:ascii="宋体" w:hAnsi="宋体" w:cs="宋体"/>
                <w:color w:val="auto"/>
                <w:szCs w:val="21"/>
                <w:lang w:bidi="ar"/>
              </w:rPr>
            </w:pPr>
            <w:r>
              <w:rPr>
                <w:rFonts w:hint="eastAsia" w:ascii="宋体" w:hAnsi="宋体" w:cs="宋体"/>
                <w:color w:val="auto"/>
                <w:szCs w:val="21"/>
              </w:rPr>
              <w:t>大新县桃城镇伦理路223号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4C0B8677">
            <w:pPr>
              <w:widowControl/>
              <w:jc w:val="center"/>
              <w:rPr>
                <w:rFonts w:ascii="宋体" w:hAnsi="宋体" w:cs="宋体"/>
                <w:color w:val="auto"/>
                <w:szCs w:val="21"/>
                <w:lang w:bidi="ar"/>
              </w:rPr>
            </w:pPr>
            <w:r>
              <w:rPr>
                <w:rFonts w:hint="eastAsia" w:ascii="宋体" w:hAnsi="宋体" w:cs="宋体"/>
                <w:color w:val="auto"/>
                <w:szCs w:val="21"/>
                <w:lang w:bidi="ar"/>
              </w:rPr>
              <w:t>0771-</w:t>
            </w:r>
            <w:r>
              <w:rPr>
                <w:rFonts w:hint="eastAsia" w:ascii="宋体" w:hAnsi="宋体" w:cs="宋体"/>
                <w:color w:val="auto"/>
                <w:szCs w:val="21"/>
              </w:rPr>
              <w:t>7917015</w:t>
            </w:r>
          </w:p>
        </w:tc>
      </w:tr>
      <w:tr w14:paraId="5E42C7A1">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2B343A">
            <w:pPr>
              <w:widowControl/>
              <w:jc w:val="left"/>
              <w:rPr>
                <w:rFonts w:ascii="宋体" w:hAnsi="宋体" w:cs="宋体"/>
                <w:color w:val="auto"/>
                <w:szCs w:val="21"/>
                <w:lang w:bidi="ar"/>
              </w:rPr>
            </w:pPr>
            <w:r>
              <w:rPr>
                <w:rFonts w:hint="eastAsia" w:ascii="宋体" w:hAnsi="宋体" w:cs="宋体"/>
                <w:color w:val="auto"/>
                <w:szCs w:val="21"/>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5514454">
            <w:pPr>
              <w:widowControl/>
              <w:jc w:val="left"/>
              <w:rPr>
                <w:rFonts w:ascii="宋体" w:hAnsi="宋体" w:cs="宋体"/>
                <w:color w:val="auto"/>
                <w:szCs w:val="21"/>
                <w:lang w:bidi="ar"/>
              </w:rPr>
            </w:pPr>
            <w:r>
              <w:rPr>
                <w:rFonts w:hint="eastAsia" w:ascii="宋体" w:hAnsi="宋体" w:cs="宋体"/>
                <w:color w:val="auto"/>
                <w:szCs w:val="21"/>
                <w:lang w:bidi="ar"/>
              </w:rPr>
              <w:t>大新县民生街7号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0F26C75">
            <w:pPr>
              <w:widowControl/>
              <w:jc w:val="center"/>
              <w:rPr>
                <w:rFonts w:ascii="宋体" w:hAnsi="宋体" w:cs="宋体"/>
                <w:color w:val="auto"/>
                <w:szCs w:val="21"/>
                <w:lang w:bidi="ar"/>
              </w:rPr>
            </w:pPr>
            <w:r>
              <w:rPr>
                <w:rFonts w:hint="eastAsia" w:ascii="宋体" w:hAnsi="宋体" w:cs="宋体"/>
                <w:color w:val="auto"/>
                <w:szCs w:val="21"/>
                <w:lang w:bidi="ar"/>
              </w:rPr>
              <w:t>0771-3689766</w:t>
            </w:r>
          </w:p>
        </w:tc>
      </w:tr>
      <w:tr w14:paraId="13B42BD0">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7BBBFA">
            <w:pPr>
              <w:widowControl/>
              <w:jc w:val="left"/>
              <w:rPr>
                <w:rFonts w:ascii="宋体" w:hAnsi="宋体" w:cs="宋体"/>
                <w:color w:val="auto"/>
                <w:szCs w:val="21"/>
                <w:lang w:bidi="ar"/>
              </w:rPr>
            </w:pPr>
            <w:r>
              <w:rPr>
                <w:rFonts w:hint="eastAsia" w:ascii="宋体" w:hAnsi="宋体" w:cs="宋体"/>
                <w:color w:val="auto"/>
                <w:szCs w:val="21"/>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CEFFF88">
            <w:pPr>
              <w:widowControl/>
              <w:jc w:val="left"/>
              <w:rPr>
                <w:rFonts w:ascii="宋体" w:hAnsi="宋体" w:cs="宋体"/>
                <w:color w:val="auto"/>
                <w:szCs w:val="21"/>
                <w:lang w:bidi="ar"/>
              </w:rPr>
            </w:pPr>
            <w:r>
              <w:rPr>
                <w:rFonts w:hint="eastAsia" w:ascii="宋体" w:hAnsi="宋体" w:cs="宋体"/>
                <w:color w:val="auto"/>
                <w:szCs w:val="21"/>
                <w:lang w:bidi="ar"/>
              </w:rPr>
              <w:t>大新县城养利路131号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AD0C986">
            <w:pPr>
              <w:widowControl/>
              <w:jc w:val="center"/>
              <w:rPr>
                <w:rFonts w:ascii="宋体" w:hAnsi="宋体" w:cs="宋体"/>
                <w:color w:val="auto"/>
                <w:szCs w:val="21"/>
                <w:lang w:bidi="ar"/>
              </w:rPr>
            </w:pPr>
            <w:r>
              <w:rPr>
                <w:rFonts w:hint="eastAsia" w:ascii="宋体" w:hAnsi="宋体" w:cs="宋体"/>
                <w:color w:val="auto"/>
                <w:szCs w:val="21"/>
                <w:lang w:bidi="ar"/>
              </w:rPr>
              <w:t>0771-3623887</w:t>
            </w:r>
          </w:p>
        </w:tc>
      </w:tr>
      <w:tr w14:paraId="4CA55BE7">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CBA1D7">
            <w:pPr>
              <w:widowControl/>
              <w:jc w:val="left"/>
              <w:rPr>
                <w:rFonts w:ascii="宋体" w:hAnsi="宋体" w:cs="宋体"/>
                <w:color w:val="auto"/>
                <w:szCs w:val="21"/>
                <w:lang w:bidi="ar"/>
              </w:rPr>
            </w:pPr>
            <w:r>
              <w:rPr>
                <w:rFonts w:hint="eastAsia" w:ascii="宋体" w:hAnsi="宋体" w:cs="宋体"/>
                <w:color w:val="auto"/>
                <w:szCs w:val="21"/>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D75A221">
            <w:pPr>
              <w:widowControl/>
              <w:jc w:val="left"/>
              <w:rPr>
                <w:rFonts w:ascii="宋体" w:hAnsi="宋体" w:cs="宋体"/>
                <w:color w:val="auto"/>
                <w:szCs w:val="21"/>
                <w:lang w:bidi="ar"/>
              </w:rPr>
            </w:pPr>
            <w:r>
              <w:rPr>
                <w:rFonts w:hint="eastAsia" w:ascii="宋体" w:hAnsi="宋体" w:cs="宋体"/>
                <w:color w:val="auto"/>
                <w:szCs w:val="21"/>
                <w:lang w:bidi="ar"/>
              </w:rPr>
              <w:t>崇左市大新县桃城镇民生街7号东盟商业广场1楼桂林银行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5231F719">
            <w:pPr>
              <w:widowControl/>
              <w:jc w:val="center"/>
              <w:rPr>
                <w:rFonts w:ascii="宋体" w:hAnsi="宋体" w:cs="宋体"/>
                <w:color w:val="auto"/>
                <w:szCs w:val="21"/>
                <w:lang w:bidi="ar"/>
              </w:rPr>
            </w:pPr>
            <w:r>
              <w:rPr>
                <w:rFonts w:hint="eastAsia" w:ascii="宋体" w:hAnsi="宋体" w:cs="宋体"/>
                <w:color w:val="auto"/>
                <w:szCs w:val="21"/>
                <w:lang w:bidi="ar"/>
              </w:rPr>
              <w:t>0771-3621996</w:t>
            </w:r>
          </w:p>
        </w:tc>
      </w:tr>
      <w:tr w14:paraId="6CD5EF13">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1ED761">
            <w:pPr>
              <w:widowControl/>
              <w:jc w:val="left"/>
              <w:rPr>
                <w:rFonts w:ascii="宋体" w:hAnsi="宋体" w:cs="宋体"/>
                <w:color w:val="auto"/>
                <w:szCs w:val="21"/>
                <w:lang w:bidi="ar"/>
              </w:rPr>
            </w:pPr>
            <w:r>
              <w:rPr>
                <w:rFonts w:hint="eastAsia" w:ascii="宋体" w:hAnsi="宋体" w:cs="宋体"/>
                <w:color w:val="auto"/>
                <w:szCs w:val="21"/>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8C53912">
            <w:pPr>
              <w:widowControl/>
              <w:jc w:val="left"/>
              <w:rPr>
                <w:rFonts w:ascii="宋体" w:hAnsi="宋体" w:cs="宋体"/>
                <w:color w:val="auto"/>
                <w:szCs w:val="21"/>
                <w:lang w:bidi="ar"/>
              </w:rPr>
            </w:pPr>
            <w:r>
              <w:rPr>
                <w:rFonts w:hint="eastAsia" w:ascii="宋体" w:hAnsi="宋体" w:cs="宋体"/>
                <w:color w:val="auto"/>
                <w:szCs w:val="21"/>
                <w:lang w:bidi="ar"/>
              </w:rPr>
              <w:t>崇左市大新县桃城镇伦理路230号1楼铺面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2C082FCE">
            <w:pPr>
              <w:widowControl/>
              <w:jc w:val="center"/>
              <w:rPr>
                <w:rFonts w:ascii="宋体" w:hAnsi="宋体" w:cs="宋体"/>
                <w:color w:val="auto"/>
                <w:szCs w:val="21"/>
                <w:lang w:bidi="ar"/>
              </w:rPr>
            </w:pPr>
            <w:r>
              <w:rPr>
                <w:rFonts w:hint="eastAsia" w:ascii="宋体" w:hAnsi="宋体" w:cs="宋体"/>
                <w:color w:val="auto"/>
                <w:szCs w:val="21"/>
              </w:rPr>
              <w:t>0771-3628366</w:t>
            </w:r>
          </w:p>
        </w:tc>
      </w:tr>
      <w:tr w14:paraId="36E6823F">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5448BD">
            <w:pPr>
              <w:widowControl/>
              <w:jc w:val="left"/>
              <w:rPr>
                <w:rFonts w:ascii="宋体" w:hAnsi="宋体" w:cs="宋体"/>
                <w:color w:val="auto"/>
                <w:szCs w:val="21"/>
                <w:lang w:bidi="ar"/>
              </w:rPr>
            </w:pPr>
            <w:r>
              <w:rPr>
                <w:rFonts w:hint="eastAsia" w:ascii="宋体" w:hAnsi="宋体" w:cs="宋体"/>
                <w:color w:val="auto"/>
                <w:szCs w:val="21"/>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4944F144">
            <w:pPr>
              <w:widowControl/>
              <w:jc w:val="left"/>
              <w:rPr>
                <w:rFonts w:ascii="宋体" w:hAnsi="宋体" w:cs="宋体"/>
                <w:color w:val="auto"/>
                <w:szCs w:val="21"/>
                <w:lang w:bidi="ar"/>
              </w:rPr>
            </w:pPr>
            <w:r>
              <w:rPr>
                <w:rFonts w:hint="eastAsia" w:ascii="宋体" w:hAnsi="宋体" w:cs="宋体"/>
                <w:color w:val="auto"/>
                <w:szCs w:val="21"/>
                <w:lang w:bidi="ar"/>
              </w:rPr>
              <w:t>大新县桃城镇德天大道74-1号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4EA23BF">
            <w:pPr>
              <w:widowControl/>
              <w:jc w:val="center"/>
              <w:rPr>
                <w:rFonts w:ascii="宋体" w:hAnsi="宋体" w:cs="宋体"/>
                <w:color w:val="auto"/>
                <w:szCs w:val="21"/>
                <w:lang w:bidi="ar"/>
              </w:rPr>
            </w:pPr>
            <w:r>
              <w:rPr>
                <w:rFonts w:hint="eastAsia" w:ascii="宋体" w:hAnsi="宋体" w:cs="宋体"/>
                <w:color w:val="auto"/>
                <w:szCs w:val="21"/>
                <w:lang w:bidi="ar"/>
              </w:rPr>
              <w:t>0771-3698002</w:t>
            </w:r>
          </w:p>
        </w:tc>
      </w:tr>
      <w:tr w14:paraId="7075B9DF">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A54E64">
            <w:pPr>
              <w:widowControl/>
              <w:jc w:val="left"/>
              <w:rPr>
                <w:rFonts w:ascii="宋体" w:hAnsi="宋体" w:cs="宋体"/>
                <w:color w:val="auto"/>
                <w:szCs w:val="21"/>
                <w:lang w:bidi="ar"/>
              </w:rPr>
            </w:pPr>
            <w:r>
              <w:rPr>
                <w:rFonts w:hint="eastAsia" w:ascii="宋体" w:hAnsi="宋体" w:cs="宋体"/>
                <w:color w:val="auto"/>
                <w:szCs w:val="21"/>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CD69918">
            <w:pPr>
              <w:widowControl/>
              <w:jc w:val="left"/>
              <w:rPr>
                <w:rFonts w:ascii="宋体" w:hAnsi="宋体" w:cs="宋体"/>
                <w:color w:val="auto"/>
                <w:szCs w:val="21"/>
                <w:lang w:bidi="ar"/>
              </w:rPr>
            </w:pPr>
            <w:r>
              <w:rPr>
                <w:rFonts w:hint="eastAsia" w:ascii="宋体" w:hAnsi="宋体" w:cs="宋体"/>
                <w:color w:val="auto"/>
                <w:szCs w:val="21"/>
                <w:lang w:bidi="ar"/>
              </w:rPr>
              <w:t>大新县桃城镇伦那路8号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17D85A4">
            <w:pPr>
              <w:widowControl/>
              <w:jc w:val="center"/>
              <w:rPr>
                <w:rFonts w:ascii="宋体" w:hAnsi="宋体" w:cs="宋体"/>
                <w:color w:val="auto"/>
                <w:szCs w:val="21"/>
              </w:rPr>
            </w:pPr>
            <w:r>
              <w:rPr>
                <w:rFonts w:hint="eastAsia" w:ascii="宋体" w:hAnsi="宋体" w:cs="宋体"/>
                <w:color w:val="auto"/>
                <w:szCs w:val="21"/>
                <w:lang w:bidi="ar"/>
              </w:rPr>
              <w:t>0771-3626199</w:t>
            </w:r>
          </w:p>
        </w:tc>
      </w:tr>
      <w:tr w14:paraId="110C1306">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E6066B6">
            <w:pPr>
              <w:widowControl/>
              <w:jc w:val="left"/>
              <w:rPr>
                <w:rFonts w:ascii="宋体" w:hAnsi="宋体" w:cs="宋体"/>
                <w:color w:val="auto"/>
                <w:szCs w:val="21"/>
              </w:rPr>
            </w:pPr>
            <w:r>
              <w:rPr>
                <w:rFonts w:hint="eastAsia" w:ascii="宋体" w:hAnsi="宋体" w:cs="宋体"/>
                <w:b/>
                <w:bCs/>
                <w:color w:val="auto"/>
                <w:szCs w:val="21"/>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399D7D5C">
            <w:pPr>
              <w:widowControl/>
              <w:jc w:val="left"/>
              <w:rPr>
                <w:rFonts w:ascii="宋体" w:hAnsi="宋体" w:cs="宋体"/>
                <w:color w:val="auto"/>
                <w:szCs w:val="21"/>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66EDAA9D">
            <w:pPr>
              <w:widowControl/>
              <w:jc w:val="center"/>
              <w:rPr>
                <w:rFonts w:ascii="宋体" w:hAnsi="宋体" w:cs="宋体"/>
                <w:color w:val="auto"/>
                <w:szCs w:val="21"/>
              </w:rPr>
            </w:pPr>
          </w:p>
        </w:tc>
      </w:tr>
      <w:tr w14:paraId="071CB16D">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CF4522">
            <w:pPr>
              <w:widowControl/>
              <w:jc w:val="left"/>
              <w:rPr>
                <w:rFonts w:ascii="宋体" w:hAnsi="宋体" w:cs="宋体"/>
                <w:color w:val="auto"/>
                <w:szCs w:val="21"/>
              </w:rPr>
            </w:pPr>
            <w:r>
              <w:rPr>
                <w:rFonts w:hint="eastAsia" w:ascii="宋体" w:hAnsi="宋体" w:cs="宋体"/>
                <w:color w:val="auto"/>
                <w:szCs w:val="21"/>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581B06B">
            <w:pPr>
              <w:widowControl/>
              <w:jc w:val="left"/>
              <w:rPr>
                <w:rFonts w:ascii="宋体" w:hAnsi="宋体" w:cs="宋体"/>
                <w:color w:val="auto"/>
                <w:szCs w:val="21"/>
              </w:rPr>
            </w:pPr>
            <w:r>
              <w:rPr>
                <w:rFonts w:hint="eastAsia" w:ascii="宋体" w:hAnsi="宋体" w:cs="宋体"/>
                <w:color w:val="auto"/>
                <w:szCs w:val="21"/>
              </w:rPr>
              <w:t>龙州县龙江街60号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2FB0125">
            <w:pPr>
              <w:widowControl/>
              <w:jc w:val="center"/>
              <w:rPr>
                <w:rFonts w:ascii="宋体" w:hAnsi="宋体" w:cs="宋体"/>
                <w:color w:val="auto"/>
                <w:szCs w:val="21"/>
              </w:rPr>
            </w:pPr>
            <w:r>
              <w:rPr>
                <w:rFonts w:hint="eastAsia" w:ascii="宋体" w:hAnsi="宋体" w:cs="宋体"/>
                <w:color w:val="auto"/>
                <w:szCs w:val="21"/>
              </w:rPr>
              <w:t>0771-8868619</w:t>
            </w:r>
          </w:p>
        </w:tc>
      </w:tr>
      <w:tr w14:paraId="6746890A">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C18594">
            <w:pPr>
              <w:widowControl/>
              <w:jc w:val="left"/>
              <w:rPr>
                <w:rFonts w:ascii="宋体" w:hAnsi="宋体" w:cs="宋体"/>
                <w:color w:val="auto"/>
                <w:szCs w:val="21"/>
              </w:rPr>
            </w:pPr>
            <w:r>
              <w:rPr>
                <w:rFonts w:hint="eastAsia" w:ascii="宋体" w:hAnsi="宋体" w:cs="宋体"/>
                <w:color w:val="auto"/>
                <w:szCs w:val="21"/>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86F9C2F">
            <w:pPr>
              <w:widowControl/>
              <w:jc w:val="left"/>
              <w:rPr>
                <w:rFonts w:ascii="宋体" w:hAnsi="宋体" w:cs="宋体"/>
                <w:color w:val="auto"/>
                <w:szCs w:val="21"/>
              </w:rPr>
            </w:pPr>
            <w:r>
              <w:rPr>
                <w:rFonts w:hint="eastAsia" w:ascii="宋体" w:hAnsi="宋体" w:cs="宋体"/>
                <w:color w:val="auto"/>
                <w:szCs w:val="21"/>
              </w:rPr>
              <w:t>龙州县龙州镇康平街26号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6A87DB5">
            <w:pPr>
              <w:widowControl/>
              <w:jc w:val="center"/>
              <w:rPr>
                <w:rFonts w:ascii="宋体" w:hAnsi="宋体" w:cs="宋体"/>
                <w:color w:val="auto"/>
                <w:szCs w:val="21"/>
              </w:rPr>
            </w:pPr>
            <w:r>
              <w:rPr>
                <w:rFonts w:hint="eastAsia" w:ascii="宋体" w:hAnsi="宋体" w:cs="宋体"/>
                <w:color w:val="auto"/>
                <w:szCs w:val="21"/>
              </w:rPr>
              <w:t>0771-8812504</w:t>
            </w:r>
          </w:p>
        </w:tc>
      </w:tr>
      <w:tr w14:paraId="15F7CFC1">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86CDB4">
            <w:pPr>
              <w:widowControl/>
              <w:jc w:val="left"/>
              <w:rPr>
                <w:rFonts w:ascii="宋体" w:hAnsi="宋体" w:cs="宋体"/>
                <w:color w:val="auto"/>
                <w:szCs w:val="21"/>
              </w:rPr>
            </w:pPr>
            <w:r>
              <w:rPr>
                <w:rFonts w:hint="eastAsia" w:ascii="宋体" w:hAnsi="宋体" w:cs="宋体"/>
                <w:color w:val="auto"/>
                <w:szCs w:val="21"/>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396CF47">
            <w:pPr>
              <w:widowControl/>
              <w:jc w:val="left"/>
              <w:rPr>
                <w:rFonts w:ascii="宋体" w:hAnsi="宋体" w:cs="宋体"/>
                <w:color w:val="auto"/>
                <w:szCs w:val="21"/>
              </w:rPr>
            </w:pPr>
            <w:r>
              <w:rPr>
                <w:rFonts w:hint="eastAsia" w:ascii="宋体" w:hAnsi="宋体" w:cs="宋体"/>
                <w:color w:val="auto"/>
                <w:szCs w:val="21"/>
              </w:rPr>
              <w:t>龙州县龙夏路2号龙州商业广场D栋1号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51055A6">
            <w:pPr>
              <w:widowControl/>
              <w:jc w:val="center"/>
              <w:rPr>
                <w:rFonts w:ascii="宋体" w:hAnsi="宋体" w:cs="宋体"/>
                <w:color w:val="auto"/>
                <w:szCs w:val="21"/>
              </w:rPr>
            </w:pPr>
            <w:r>
              <w:rPr>
                <w:rFonts w:hint="eastAsia" w:ascii="宋体" w:hAnsi="宋体" w:cs="宋体"/>
                <w:color w:val="auto"/>
                <w:szCs w:val="21"/>
              </w:rPr>
              <w:t>0771-8820525</w:t>
            </w:r>
          </w:p>
        </w:tc>
      </w:tr>
      <w:tr w14:paraId="3F3A6A8E">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B65A77">
            <w:pPr>
              <w:widowControl/>
              <w:jc w:val="left"/>
              <w:rPr>
                <w:rFonts w:ascii="宋体" w:hAnsi="宋体" w:cs="宋体"/>
                <w:color w:val="auto"/>
                <w:szCs w:val="21"/>
              </w:rPr>
            </w:pPr>
            <w:r>
              <w:rPr>
                <w:rFonts w:hint="eastAsia" w:ascii="宋体" w:hAnsi="宋体" w:cs="宋体"/>
                <w:color w:val="auto"/>
                <w:szCs w:val="21"/>
              </w:rPr>
              <w:t>龙州农商行公司机构金融</w:t>
            </w:r>
            <w:r>
              <w:rPr>
                <w:rFonts w:hint="eastAsia" w:cs="宋体"/>
                <w:color w:val="auto"/>
                <w:szCs w:val="21"/>
              </w:rPr>
              <w:t>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AC9F7B9">
            <w:pPr>
              <w:widowControl/>
              <w:jc w:val="left"/>
              <w:rPr>
                <w:rFonts w:ascii="宋体" w:hAnsi="宋体" w:cs="宋体"/>
                <w:color w:val="auto"/>
                <w:szCs w:val="21"/>
              </w:rPr>
            </w:pPr>
            <w:r>
              <w:rPr>
                <w:rFonts w:hint="eastAsia" w:ascii="宋体" w:hAnsi="宋体" w:cs="宋体"/>
                <w:color w:val="auto"/>
                <w:szCs w:val="21"/>
              </w:rPr>
              <w:t>龙州县龙州镇独山路172号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1CC3255">
            <w:pPr>
              <w:widowControl/>
              <w:jc w:val="center"/>
              <w:rPr>
                <w:rFonts w:ascii="宋体" w:hAnsi="宋体" w:cs="宋体"/>
                <w:color w:val="auto"/>
                <w:szCs w:val="21"/>
              </w:rPr>
            </w:pPr>
            <w:r>
              <w:rPr>
                <w:rFonts w:hint="eastAsia" w:ascii="宋体" w:hAnsi="宋体" w:cs="宋体"/>
                <w:color w:val="auto"/>
                <w:szCs w:val="21"/>
              </w:rPr>
              <w:t>0771-8813013</w:t>
            </w:r>
          </w:p>
        </w:tc>
      </w:tr>
      <w:tr w14:paraId="097D617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427FDF">
            <w:pPr>
              <w:widowControl/>
              <w:jc w:val="left"/>
              <w:rPr>
                <w:rFonts w:ascii="宋体" w:hAnsi="宋体" w:cs="宋体"/>
                <w:color w:val="auto"/>
                <w:szCs w:val="21"/>
              </w:rPr>
            </w:pPr>
            <w:r>
              <w:rPr>
                <w:rFonts w:hint="eastAsia" w:ascii="宋体" w:hAnsi="宋体" w:cs="宋体"/>
                <w:color w:val="auto"/>
                <w:szCs w:val="21"/>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695D743">
            <w:pPr>
              <w:widowControl/>
              <w:jc w:val="left"/>
              <w:rPr>
                <w:rFonts w:ascii="宋体" w:hAnsi="宋体" w:cs="宋体"/>
                <w:color w:val="auto"/>
                <w:szCs w:val="21"/>
              </w:rPr>
            </w:pPr>
            <w:r>
              <w:rPr>
                <w:rFonts w:hint="eastAsia" w:ascii="宋体" w:hAnsi="宋体" w:cs="宋体"/>
                <w:color w:val="auto"/>
                <w:szCs w:val="21"/>
              </w:rPr>
              <w:t>龙州县龙州镇同顾大道1号同顾·中央公园20栋10号—13号房</w:t>
            </w:r>
          </w:p>
        </w:tc>
        <w:tc>
          <w:tcPr>
            <w:tcW w:w="2754" w:type="dxa"/>
            <w:tcBorders>
              <w:top w:val="single" w:color="000000" w:sz="4" w:space="0"/>
              <w:left w:val="single" w:color="000000" w:sz="4" w:space="0"/>
              <w:bottom w:val="single" w:color="000000" w:sz="4" w:space="0"/>
              <w:right w:val="single" w:color="000000" w:sz="4" w:space="0"/>
            </w:tcBorders>
            <w:vAlign w:val="center"/>
          </w:tcPr>
          <w:p w14:paraId="3D71F507">
            <w:pPr>
              <w:widowControl/>
              <w:jc w:val="center"/>
              <w:rPr>
                <w:rFonts w:ascii="宋体" w:hAnsi="宋体" w:cs="宋体"/>
                <w:color w:val="auto"/>
                <w:szCs w:val="21"/>
              </w:rPr>
            </w:pPr>
            <w:r>
              <w:rPr>
                <w:rFonts w:hint="eastAsia" w:ascii="宋体" w:hAnsi="宋体" w:cs="宋体"/>
                <w:color w:val="auto"/>
                <w:szCs w:val="21"/>
              </w:rPr>
              <w:t>0771-8871021</w:t>
            </w:r>
          </w:p>
        </w:tc>
      </w:tr>
      <w:tr w14:paraId="719124BF">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B479062">
            <w:pPr>
              <w:widowControl/>
              <w:jc w:val="left"/>
              <w:rPr>
                <w:rFonts w:ascii="宋体" w:hAnsi="宋体" w:cs="宋体"/>
                <w:color w:val="auto"/>
                <w:szCs w:val="21"/>
              </w:rPr>
            </w:pPr>
            <w:r>
              <w:rPr>
                <w:rFonts w:hint="eastAsia" w:ascii="宋体" w:hAnsi="宋体" w:cs="宋体"/>
                <w:color w:val="auto"/>
                <w:szCs w:val="21"/>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2064D79">
            <w:pPr>
              <w:widowControl/>
              <w:jc w:val="left"/>
              <w:rPr>
                <w:rFonts w:ascii="宋体" w:hAnsi="宋体" w:cs="宋体"/>
                <w:color w:val="auto"/>
                <w:szCs w:val="21"/>
              </w:rPr>
            </w:pPr>
            <w:r>
              <w:rPr>
                <w:rFonts w:hint="eastAsia" w:ascii="宋体" w:hAnsi="宋体" w:cs="宋体"/>
                <w:color w:val="auto"/>
                <w:szCs w:val="21"/>
              </w:rPr>
              <w:t>崇左市龙州县龙州镇龙夏路1号、3号、5号（南湖商务酒店）一楼铺面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6A0050C5">
            <w:pPr>
              <w:widowControl/>
              <w:jc w:val="center"/>
              <w:rPr>
                <w:rFonts w:ascii="宋体" w:hAnsi="宋体" w:cs="宋体"/>
                <w:color w:val="auto"/>
                <w:szCs w:val="21"/>
              </w:rPr>
            </w:pPr>
            <w:r>
              <w:rPr>
                <w:rFonts w:hint="eastAsia" w:ascii="宋体" w:hAnsi="宋体" w:cs="宋体"/>
                <w:color w:val="auto"/>
                <w:szCs w:val="21"/>
              </w:rPr>
              <w:t>0771-8811533</w:t>
            </w:r>
          </w:p>
        </w:tc>
      </w:tr>
      <w:tr w14:paraId="7487F7F7">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D14644">
            <w:pPr>
              <w:widowControl/>
              <w:rPr>
                <w:rFonts w:ascii="宋体" w:hAnsi="宋体" w:cs="宋体"/>
                <w:color w:val="auto"/>
                <w:szCs w:val="21"/>
              </w:rPr>
            </w:pPr>
            <w:r>
              <w:rPr>
                <w:rFonts w:hint="eastAsia" w:ascii="宋体" w:hAnsi="宋体" w:cs="宋体"/>
                <w:b/>
                <w:bCs/>
                <w:color w:val="auto"/>
                <w:szCs w:val="21"/>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0CE974D0">
            <w:pPr>
              <w:widowControl/>
              <w:jc w:val="left"/>
              <w:rPr>
                <w:rFonts w:ascii="宋体" w:hAnsi="宋体" w:cs="宋体"/>
                <w:color w:val="auto"/>
                <w:szCs w:val="21"/>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0B8D4E8E">
            <w:pPr>
              <w:widowControl/>
              <w:jc w:val="center"/>
              <w:rPr>
                <w:rFonts w:ascii="宋体" w:hAnsi="宋体" w:cs="宋体"/>
                <w:color w:val="auto"/>
                <w:szCs w:val="21"/>
              </w:rPr>
            </w:pPr>
          </w:p>
        </w:tc>
      </w:tr>
      <w:tr w14:paraId="4D1BCBE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B84DD0">
            <w:pPr>
              <w:widowControl/>
              <w:jc w:val="left"/>
              <w:rPr>
                <w:rFonts w:ascii="宋体" w:hAnsi="宋体" w:cs="宋体"/>
                <w:color w:val="auto"/>
                <w:szCs w:val="21"/>
              </w:rPr>
            </w:pPr>
            <w:r>
              <w:rPr>
                <w:rFonts w:hint="eastAsia" w:ascii="宋体" w:hAnsi="宋体" w:cs="宋体"/>
                <w:color w:val="auto"/>
                <w:szCs w:val="21"/>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742E057">
            <w:pPr>
              <w:widowControl/>
              <w:jc w:val="left"/>
              <w:rPr>
                <w:rFonts w:ascii="宋体" w:hAnsi="宋体" w:cs="宋体"/>
                <w:color w:val="auto"/>
                <w:szCs w:val="21"/>
              </w:rPr>
            </w:pPr>
            <w:r>
              <w:rPr>
                <w:rFonts w:hint="eastAsia" w:ascii="宋体" w:hAnsi="宋体" w:cs="宋体"/>
                <w:color w:val="auto"/>
                <w:szCs w:val="21"/>
              </w:rPr>
              <w:t>天等县天等镇朝阳东路054号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818E385">
            <w:pPr>
              <w:widowControl/>
              <w:jc w:val="center"/>
              <w:rPr>
                <w:rFonts w:ascii="宋体" w:hAnsi="宋体" w:cs="宋体"/>
                <w:color w:val="auto"/>
                <w:szCs w:val="21"/>
              </w:rPr>
            </w:pPr>
            <w:r>
              <w:rPr>
                <w:rFonts w:hint="eastAsia" w:ascii="宋体" w:hAnsi="宋体" w:cs="宋体"/>
                <w:color w:val="auto"/>
                <w:szCs w:val="21"/>
              </w:rPr>
              <w:t>0771-3532211</w:t>
            </w:r>
          </w:p>
        </w:tc>
      </w:tr>
      <w:tr w14:paraId="6156F925">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D58DE9">
            <w:pPr>
              <w:widowControl/>
              <w:jc w:val="left"/>
              <w:rPr>
                <w:rFonts w:ascii="宋体" w:hAnsi="宋体" w:cs="宋体"/>
                <w:color w:val="auto"/>
                <w:szCs w:val="21"/>
              </w:rPr>
            </w:pPr>
            <w:r>
              <w:rPr>
                <w:rFonts w:hint="eastAsia" w:ascii="宋体" w:hAnsi="宋体" w:cs="宋体"/>
                <w:color w:val="auto"/>
                <w:szCs w:val="21"/>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6157389">
            <w:pPr>
              <w:widowControl/>
              <w:jc w:val="left"/>
              <w:rPr>
                <w:rFonts w:ascii="宋体" w:hAnsi="宋体" w:cs="宋体"/>
                <w:color w:val="auto"/>
                <w:szCs w:val="21"/>
              </w:rPr>
            </w:pPr>
            <w:r>
              <w:rPr>
                <w:rFonts w:hint="eastAsia" w:ascii="宋体" w:hAnsi="宋体" w:cs="宋体"/>
                <w:color w:val="auto"/>
                <w:szCs w:val="21"/>
              </w:rPr>
              <w:t xml:space="preserve"> 天等县天等镇天宝北路007号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44149F2">
            <w:pPr>
              <w:widowControl/>
              <w:jc w:val="center"/>
              <w:rPr>
                <w:rFonts w:ascii="宋体" w:hAnsi="宋体" w:cs="宋体"/>
                <w:color w:val="auto"/>
                <w:szCs w:val="21"/>
              </w:rPr>
            </w:pPr>
            <w:r>
              <w:rPr>
                <w:rFonts w:hint="eastAsia" w:ascii="宋体" w:hAnsi="宋体" w:cs="宋体"/>
                <w:color w:val="auto"/>
                <w:szCs w:val="21"/>
              </w:rPr>
              <w:t>0771-7917046</w:t>
            </w:r>
          </w:p>
        </w:tc>
      </w:tr>
      <w:tr w14:paraId="14C1CC4D">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D9C4A70">
            <w:pPr>
              <w:widowControl/>
              <w:jc w:val="left"/>
              <w:rPr>
                <w:rFonts w:ascii="宋体" w:hAnsi="宋体" w:cs="宋体"/>
                <w:color w:val="auto"/>
                <w:szCs w:val="21"/>
              </w:rPr>
            </w:pPr>
            <w:r>
              <w:rPr>
                <w:rFonts w:hint="eastAsia" w:ascii="宋体" w:hAnsi="宋体" w:cs="宋体"/>
                <w:color w:val="auto"/>
                <w:szCs w:val="21"/>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0790F60">
            <w:pPr>
              <w:widowControl/>
              <w:jc w:val="left"/>
              <w:rPr>
                <w:rFonts w:ascii="宋体" w:hAnsi="宋体" w:cs="宋体"/>
                <w:color w:val="auto"/>
                <w:szCs w:val="21"/>
              </w:rPr>
            </w:pPr>
            <w:r>
              <w:rPr>
                <w:rFonts w:hint="eastAsia" w:ascii="宋体" w:hAnsi="宋体" w:cs="宋体"/>
                <w:color w:val="auto"/>
                <w:szCs w:val="21"/>
              </w:rPr>
              <w:t>天等县天等镇仕民路48号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F1E96DB">
            <w:pPr>
              <w:widowControl/>
              <w:jc w:val="center"/>
              <w:rPr>
                <w:rFonts w:ascii="宋体" w:hAnsi="宋体" w:cs="宋体"/>
                <w:color w:val="auto"/>
                <w:szCs w:val="21"/>
              </w:rPr>
            </w:pPr>
            <w:r>
              <w:rPr>
                <w:rFonts w:hint="eastAsia" w:ascii="宋体" w:hAnsi="宋体" w:cs="宋体"/>
                <w:color w:val="auto"/>
                <w:szCs w:val="21"/>
              </w:rPr>
              <w:t>0771-3521361</w:t>
            </w:r>
          </w:p>
        </w:tc>
      </w:tr>
      <w:tr w14:paraId="2DBB5068">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4BEE41">
            <w:pPr>
              <w:widowControl/>
              <w:jc w:val="left"/>
              <w:rPr>
                <w:rFonts w:ascii="宋体" w:hAnsi="宋体" w:cs="宋体"/>
                <w:color w:val="auto"/>
                <w:szCs w:val="21"/>
              </w:rPr>
            </w:pPr>
            <w:r>
              <w:rPr>
                <w:rFonts w:hint="eastAsia" w:ascii="宋体" w:hAnsi="宋体" w:cs="宋体"/>
                <w:color w:val="auto"/>
                <w:szCs w:val="21"/>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6949B14">
            <w:pPr>
              <w:widowControl/>
              <w:jc w:val="left"/>
              <w:rPr>
                <w:rFonts w:ascii="宋体" w:hAnsi="宋体" w:cs="宋体"/>
                <w:color w:val="auto"/>
                <w:szCs w:val="21"/>
              </w:rPr>
            </w:pPr>
            <w:r>
              <w:rPr>
                <w:rFonts w:hint="eastAsia" w:ascii="宋体" w:hAnsi="宋体" w:cs="宋体"/>
                <w:color w:val="auto"/>
                <w:szCs w:val="21"/>
              </w:rPr>
              <w:t>广西崇左市天等县天等镇天宝北路天府中央城5号楼115号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3A7F077">
            <w:pPr>
              <w:widowControl/>
              <w:jc w:val="center"/>
              <w:rPr>
                <w:rFonts w:ascii="宋体" w:hAnsi="宋体" w:cs="宋体"/>
                <w:color w:val="auto"/>
                <w:szCs w:val="21"/>
              </w:rPr>
            </w:pPr>
            <w:r>
              <w:rPr>
                <w:rFonts w:hint="eastAsia" w:ascii="宋体" w:hAnsi="宋体" w:cs="宋体"/>
                <w:color w:val="auto"/>
                <w:szCs w:val="21"/>
              </w:rPr>
              <w:t>0771-3522157</w:t>
            </w:r>
          </w:p>
        </w:tc>
      </w:tr>
      <w:tr w14:paraId="729CFA7A">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879B3B">
            <w:pPr>
              <w:widowControl/>
              <w:jc w:val="left"/>
              <w:rPr>
                <w:rFonts w:ascii="宋体" w:hAnsi="宋体" w:cs="宋体"/>
                <w:color w:val="auto"/>
                <w:szCs w:val="21"/>
              </w:rPr>
            </w:pPr>
            <w:r>
              <w:rPr>
                <w:rFonts w:hint="eastAsia" w:ascii="宋体" w:hAnsi="宋体" w:cs="宋体"/>
                <w:color w:val="auto"/>
                <w:szCs w:val="21"/>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E026C08">
            <w:pPr>
              <w:widowControl/>
              <w:jc w:val="left"/>
              <w:rPr>
                <w:rFonts w:ascii="宋体" w:hAnsi="宋体" w:cs="宋体"/>
                <w:color w:val="auto"/>
                <w:szCs w:val="21"/>
              </w:rPr>
            </w:pPr>
            <w:r>
              <w:rPr>
                <w:rFonts w:hint="eastAsia" w:ascii="宋体" w:hAnsi="宋体" w:cs="宋体"/>
                <w:color w:val="auto"/>
                <w:szCs w:val="21"/>
              </w:rPr>
              <w:t>崇左市天等县天宝南路002号天富商业广场28栋一层商铺6-17号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37C4F3F">
            <w:pPr>
              <w:widowControl/>
              <w:jc w:val="center"/>
              <w:rPr>
                <w:rFonts w:ascii="宋体" w:hAnsi="宋体" w:cs="宋体"/>
                <w:color w:val="auto"/>
                <w:szCs w:val="21"/>
              </w:rPr>
            </w:pPr>
            <w:r>
              <w:rPr>
                <w:rFonts w:hint="eastAsia" w:ascii="宋体" w:hAnsi="宋体" w:cs="宋体"/>
                <w:color w:val="auto"/>
                <w:szCs w:val="21"/>
              </w:rPr>
              <w:t>0771-3528688</w:t>
            </w:r>
          </w:p>
        </w:tc>
      </w:tr>
      <w:tr w14:paraId="7194DE2D">
        <w:tblPrEx>
          <w:tblCellMar>
            <w:top w:w="0" w:type="dxa"/>
            <w:left w:w="108" w:type="dxa"/>
            <w:bottom w:w="0" w:type="dxa"/>
            <w:right w:w="108" w:type="dxa"/>
          </w:tblCellMar>
        </w:tblPrEx>
        <w:trPr>
          <w:trHeight w:val="335"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1D7445F3">
            <w:pPr>
              <w:widowControl/>
              <w:jc w:val="left"/>
              <w:rPr>
                <w:rFonts w:ascii="宋体" w:hAnsi="宋体" w:cs="宋体"/>
                <w:color w:val="auto"/>
                <w:szCs w:val="21"/>
              </w:rPr>
            </w:pPr>
            <w:r>
              <w:rPr>
                <w:rFonts w:hint="eastAsia" w:ascii="宋体" w:hAnsi="宋体" w:cs="宋体"/>
                <w:b/>
                <w:bCs/>
                <w:color w:val="auto"/>
                <w:szCs w:val="21"/>
              </w:rPr>
              <w:t>凭祥市</w:t>
            </w:r>
          </w:p>
        </w:tc>
      </w:tr>
      <w:tr w14:paraId="6BFC3626">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0325B7A">
            <w:pPr>
              <w:widowControl/>
              <w:jc w:val="left"/>
              <w:rPr>
                <w:rFonts w:ascii="宋体" w:hAnsi="宋体" w:cs="宋体"/>
                <w:color w:val="auto"/>
                <w:szCs w:val="21"/>
              </w:rPr>
            </w:pPr>
            <w:r>
              <w:rPr>
                <w:rFonts w:hint="eastAsia" w:ascii="宋体" w:hAnsi="宋体" w:cs="宋体"/>
                <w:color w:val="auto"/>
                <w:szCs w:val="21"/>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A833835">
            <w:pPr>
              <w:widowControl/>
              <w:jc w:val="left"/>
              <w:rPr>
                <w:rFonts w:ascii="宋体" w:hAnsi="宋体" w:cs="宋体"/>
                <w:color w:val="auto"/>
                <w:szCs w:val="21"/>
              </w:rPr>
            </w:pPr>
            <w:r>
              <w:rPr>
                <w:rFonts w:hint="eastAsia" w:ascii="宋体" w:hAnsi="宋体" w:cs="宋体"/>
                <w:color w:val="auto"/>
                <w:szCs w:val="21"/>
              </w:rPr>
              <w:t>凭祥市新华路5号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F1EC6A0">
            <w:pPr>
              <w:widowControl/>
              <w:jc w:val="center"/>
              <w:rPr>
                <w:rFonts w:ascii="宋体" w:hAnsi="宋体" w:cs="宋体"/>
                <w:color w:val="auto"/>
                <w:szCs w:val="21"/>
              </w:rPr>
            </w:pPr>
            <w:r>
              <w:rPr>
                <w:rFonts w:hint="eastAsia" w:ascii="宋体" w:hAnsi="宋体" w:cs="宋体"/>
                <w:color w:val="auto"/>
                <w:szCs w:val="21"/>
              </w:rPr>
              <w:t>0771-8529259</w:t>
            </w:r>
          </w:p>
        </w:tc>
      </w:tr>
      <w:tr w14:paraId="25C53DBA">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BA1BD3">
            <w:pPr>
              <w:widowControl/>
              <w:jc w:val="left"/>
              <w:rPr>
                <w:rFonts w:ascii="宋体" w:hAnsi="宋体" w:cs="宋体"/>
                <w:color w:val="auto"/>
                <w:szCs w:val="21"/>
              </w:rPr>
            </w:pPr>
            <w:r>
              <w:rPr>
                <w:rFonts w:hint="eastAsia" w:ascii="宋体" w:hAnsi="宋体" w:cs="宋体"/>
                <w:color w:val="auto"/>
                <w:szCs w:val="21"/>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D54B172">
            <w:pPr>
              <w:widowControl/>
              <w:jc w:val="left"/>
              <w:rPr>
                <w:rFonts w:ascii="宋体" w:hAnsi="宋体" w:cs="宋体"/>
                <w:color w:val="auto"/>
                <w:szCs w:val="21"/>
              </w:rPr>
            </w:pPr>
            <w:r>
              <w:rPr>
                <w:rFonts w:hint="eastAsia" w:ascii="宋体" w:hAnsi="宋体" w:cs="宋体"/>
                <w:color w:val="auto"/>
                <w:szCs w:val="21"/>
              </w:rPr>
              <w:t>凭祥市北大路216号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5808EF4">
            <w:pPr>
              <w:widowControl/>
              <w:jc w:val="center"/>
              <w:rPr>
                <w:rFonts w:ascii="宋体" w:hAnsi="宋体" w:cs="宋体"/>
                <w:color w:val="auto"/>
                <w:szCs w:val="21"/>
              </w:rPr>
            </w:pPr>
            <w:r>
              <w:rPr>
                <w:rFonts w:hint="eastAsia" w:ascii="宋体" w:hAnsi="宋体" w:cs="宋体"/>
                <w:color w:val="auto"/>
                <w:szCs w:val="21"/>
              </w:rPr>
              <w:t>0771-7917258</w:t>
            </w:r>
          </w:p>
        </w:tc>
      </w:tr>
      <w:tr w14:paraId="57126B99">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906C47">
            <w:pPr>
              <w:widowControl/>
              <w:jc w:val="left"/>
              <w:rPr>
                <w:rFonts w:ascii="宋体" w:hAnsi="宋体" w:cs="宋体"/>
                <w:color w:val="auto"/>
                <w:szCs w:val="21"/>
              </w:rPr>
            </w:pPr>
            <w:r>
              <w:rPr>
                <w:rFonts w:hint="eastAsia" w:ascii="宋体" w:hAnsi="宋体" w:cs="宋体"/>
                <w:color w:val="auto"/>
                <w:szCs w:val="21"/>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C592190">
            <w:pPr>
              <w:widowControl/>
              <w:jc w:val="left"/>
              <w:rPr>
                <w:rFonts w:ascii="宋体" w:hAnsi="宋体" w:cs="宋体"/>
                <w:color w:val="auto"/>
                <w:szCs w:val="21"/>
              </w:rPr>
            </w:pPr>
            <w:r>
              <w:rPr>
                <w:rFonts w:hint="eastAsia" w:ascii="宋体" w:hAnsi="宋体" w:cs="宋体"/>
                <w:color w:val="auto"/>
                <w:szCs w:val="21"/>
              </w:rPr>
              <w:t>凭祥市屏山路138号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497F058">
            <w:pPr>
              <w:widowControl/>
              <w:jc w:val="center"/>
              <w:rPr>
                <w:rFonts w:ascii="宋体" w:hAnsi="宋体" w:cs="宋体"/>
                <w:color w:val="auto"/>
                <w:szCs w:val="21"/>
              </w:rPr>
            </w:pPr>
            <w:r>
              <w:rPr>
                <w:rFonts w:hint="eastAsia" w:ascii="宋体" w:hAnsi="宋体" w:cs="宋体"/>
                <w:color w:val="auto"/>
                <w:szCs w:val="21"/>
              </w:rPr>
              <w:t>0771-8525068</w:t>
            </w:r>
            <w:r>
              <w:rPr>
                <w:rFonts w:hint="eastAsia" w:cs="宋体"/>
                <w:color w:val="auto"/>
                <w:szCs w:val="21"/>
              </w:rPr>
              <w:t xml:space="preserve"> </w:t>
            </w:r>
            <w:r>
              <w:rPr>
                <w:rFonts w:hint="eastAsia" w:ascii="宋体" w:hAnsi="宋体" w:cs="宋体"/>
                <w:color w:val="auto"/>
                <w:szCs w:val="21"/>
              </w:rPr>
              <w:t>0771-8536852</w:t>
            </w:r>
          </w:p>
        </w:tc>
      </w:tr>
      <w:tr w14:paraId="6BF4E94C">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2A8A5D">
            <w:pPr>
              <w:widowControl/>
              <w:jc w:val="left"/>
              <w:rPr>
                <w:rFonts w:ascii="宋体" w:hAnsi="宋体" w:cs="宋体"/>
                <w:color w:val="auto"/>
                <w:szCs w:val="21"/>
              </w:rPr>
            </w:pPr>
            <w:r>
              <w:rPr>
                <w:rFonts w:hint="eastAsia" w:ascii="宋体" w:hAnsi="宋体" w:cs="宋体"/>
                <w:color w:val="auto"/>
                <w:szCs w:val="21"/>
              </w:rPr>
              <w:t>建行凭祥中区支行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C59F65A">
            <w:pPr>
              <w:widowControl/>
              <w:jc w:val="left"/>
              <w:rPr>
                <w:rFonts w:ascii="宋体" w:hAnsi="宋体" w:cs="宋体"/>
                <w:color w:val="auto"/>
                <w:szCs w:val="21"/>
              </w:rPr>
            </w:pPr>
            <w:r>
              <w:rPr>
                <w:rFonts w:hint="eastAsia" w:ascii="宋体" w:hAnsi="宋体" w:cs="宋体"/>
                <w:color w:val="auto"/>
                <w:szCs w:val="21"/>
              </w:rPr>
              <w:t>凭祥市金象大道香格里拉3幢3-01至3-03号商铺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6BFCE5DB">
            <w:pPr>
              <w:widowControl/>
              <w:jc w:val="center"/>
              <w:rPr>
                <w:rFonts w:ascii="宋体" w:hAnsi="宋体" w:cs="宋体"/>
                <w:color w:val="auto"/>
                <w:szCs w:val="21"/>
              </w:rPr>
            </w:pPr>
            <w:r>
              <w:rPr>
                <w:rFonts w:hint="eastAsia" w:ascii="宋体" w:hAnsi="宋体" w:cs="宋体"/>
                <w:color w:val="auto"/>
                <w:szCs w:val="21"/>
              </w:rPr>
              <w:t>0771-8551161</w:t>
            </w:r>
          </w:p>
        </w:tc>
      </w:tr>
      <w:tr w14:paraId="38552EE7">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D10A98">
            <w:pPr>
              <w:widowControl/>
              <w:jc w:val="left"/>
              <w:rPr>
                <w:rFonts w:ascii="宋体" w:hAnsi="宋体" w:cs="宋体"/>
                <w:color w:val="auto"/>
                <w:szCs w:val="21"/>
              </w:rPr>
            </w:pPr>
            <w:r>
              <w:rPr>
                <w:rFonts w:hint="eastAsia" w:ascii="宋体" w:hAnsi="宋体" w:cs="宋体"/>
                <w:color w:val="auto"/>
                <w:szCs w:val="21"/>
              </w:rPr>
              <w:t>建行凭祥浦寨支行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7103A6F">
            <w:pPr>
              <w:widowControl/>
              <w:jc w:val="left"/>
              <w:rPr>
                <w:rFonts w:ascii="宋体" w:hAnsi="宋体" w:cs="宋体"/>
                <w:color w:val="auto"/>
                <w:szCs w:val="21"/>
              </w:rPr>
            </w:pPr>
            <w:r>
              <w:rPr>
                <w:rFonts w:hint="eastAsia" w:ascii="宋体" w:hAnsi="宋体" w:cs="宋体"/>
                <w:color w:val="auto"/>
                <w:szCs w:val="21"/>
              </w:rPr>
              <w:t>凭祥市浦寨商业城万泰一楼8-9号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A1F9BD2">
            <w:pPr>
              <w:widowControl/>
              <w:jc w:val="center"/>
              <w:rPr>
                <w:rFonts w:ascii="宋体" w:hAnsi="宋体" w:cs="宋体"/>
                <w:color w:val="auto"/>
                <w:szCs w:val="21"/>
              </w:rPr>
            </w:pPr>
            <w:r>
              <w:rPr>
                <w:rFonts w:hint="eastAsia" w:ascii="宋体" w:hAnsi="宋体" w:cs="宋体"/>
                <w:color w:val="auto"/>
                <w:szCs w:val="21"/>
              </w:rPr>
              <w:t>0771-8561665</w:t>
            </w:r>
          </w:p>
        </w:tc>
      </w:tr>
      <w:tr w14:paraId="772F2B51">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CB007F">
            <w:pPr>
              <w:widowControl/>
              <w:jc w:val="left"/>
              <w:rPr>
                <w:rFonts w:ascii="宋体" w:hAnsi="宋体" w:cs="宋体"/>
                <w:color w:val="auto"/>
                <w:szCs w:val="21"/>
              </w:rPr>
            </w:pPr>
            <w:r>
              <w:rPr>
                <w:rFonts w:hint="eastAsia" w:ascii="宋体" w:hAnsi="宋体" w:cs="宋体"/>
                <w:color w:val="auto"/>
                <w:szCs w:val="21"/>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FEC0B32">
            <w:pPr>
              <w:widowControl/>
              <w:jc w:val="left"/>
              <w:rPr>
                <w:rFonts w:ascii="宋体" w:hAnsi="宋体" w:cs="宋体"/>
                <w:color w:val="auto"/>
                <w:szCs w:val="21"/>
              </w:rPr>
            </w:pPr>
            <w:r>
              <w:rPr>
                <w:rFonts w:hint="eastAsia" w:ascii="宋体" w:hAnsi="宋体" w:cs="宋体"/>
                <w:color w:val="auto"/>
                <w:szCs w:val="21"/>
              </w:rPr>
              <w:t>凭祥市-北环路112号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DCE34E1">
            <w:pPr>
              <w:widowControl/>
              <w:jc w:val="center"/>
              <w:rPr>
                <w:rFonts w:ascii="宋体" w:hAnsi="宋体" w:cs="宋体"/>
                <w:color w:val="auto"/>
                <w:szCs w:val="21"/>
              </w:rPr>
            </w:pPr>
            <w:r>
              <w:rPr>
                <w:rFonts w:hint="eastAsia" w:ascii="宋体" w:hAnsi="宋体" w:cs="宋体"/>
                <w:color w:val="auto"/>
                <w:szCs w:val="21"/>
              </w:rPr>
              <w:t>0771-8520356</w:t>
            </w:r>
          </w:p>
        </w:tc>
      </w:tr>
      <w:tr w14:paraId="6A521717">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C2037D">
            <w:pPr>
              <w:widowControl/>
              <w:jc w:val="left"/>
              <w:rPr>
                <w:rFonts w:ascii="宋体" w:hAnsi="宋体" w:cs="宋体"/>
                <w:color w:val="auto"/>
                <w:szCs w:val="21"/>
              </w:rPr>
            </w:pPr>
            <w:r>
              <w:rPr>
                <w:rFonts w:hint="eastAsia" w:ascii="宋体" w:hAnsi="宋体" w:cs="宋体"/>
                <w:color w:val="auto"/>
                <w:szCs w:val="21"/>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74B0A67">
            <w:pPr>
              <w:widowControl/>
              <w:jc w:val="left"/>
              <w:rPr>
                <w:rFonts w:ascii="宋体" w:hAnsi="宋体" w:cs="宋体"/>
                <w:color w:val="auto"/>
                <w:szCs w:val="21"/>
              </w:rPr>
            </w:pPr>
            <w:r>
              <w:rPr>
                <w:rFonts w:hint="eastAsia" w:ascii="宋体" w:hAnsi="宋体" w:cs="宋体"/>
                <w:color w:val="auto"/>
                <w:szCs w:val="21"/>
              </w:rPr>
              <w:t>凭祥市友谊关大道13号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98FC066">
            <w:pPr>
              <w:widowControl/>
              <w:jc w:val="center"/>
              <w:rPr>
                <w:rFonts w:ascii="宋体" w:hAnsi="宋体" w:cs="宋体"/>
                <w:color w:val="auto"/>
                <w:szCs w:val="21"/>
              </w:rPr>
            </w:pPr>
            <w:r>
              <w:rPr>
                <w:rFonts w:hint="eastAsia" w:ascii="宋体" w:hAnsi="宋体" w:cs="宋体"/>
                <w:color w:val="auto"/>
                <w:szCs w:val="21"/>
              </w:rPr>
              <w:t>0771-8535667</w:t>
            </w:r>
          </w:p>
        </w:tc>
      </w:tr>
      <w:tr w14:paraId="061162A9">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C1DBBA">
            <w:pPr>
              <w:widowControl/>
              <w:jc w:val="left"/>
              <w:rPr>
                <w:rFonts w:ascii="宋体" w:hAnsi="宋体" w:cs="宋体"/>
                <w:color w:val="auto"/>
                <w:szCs w:val="21"/>
              </w:rPr>
            </w:pPr>
            <w:r>
              <w:rPr>
                <w:rFonts w:hint="eastAsia" w:ascii="宋体" w:hAnsi="宋体" w:cs="宋体"/>
                <w:color w:val="auto"/>
                <w:szCs w:val="21"/>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3E832A9">
            <w:pPr>
              <w:widowControl/>
              <w:jc w:val="left"/>
              <w:rPr>
                <w:rFonts w:ascii="宋体" w:hAnsi="宋体" w:cs="宋体"/>
                <w:color w:val="auto"/>
                <w:szCs w:val="21"/>
              </w:rPr>
            </w:pPr>
            <w:r>
              <w:rPr>
                <w:rFonts w:hint="eastAsia" w:ascii="宋体" w:hAnsi="宋体" w:cs="宋体"/>
                <w:color w:val="auto"/>
                <w:szCs w:val="21"/>
              </w:rPr>
              <w:t>凭祥市北大路一支40号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3AFCC3E">
            <w:pPr>
              <w:widowControl/>
              <w:jc w:val="center"/>
              <w:rPr>
                <w:rFonts w:ascii="宋体" w:hAnsi="宋体" w:cs="宋体"/>
                <w:color w:val="auto"/>
                <w:szCs w:val="21"/>
              </w:rPr>
            </w:pPr>
            <w:r>
              <w:rPr>
                <w:rFonts w:hint="eastAsia" w:ascii="宋体" w:hAnsi="宋体" w:cs="宋体"/>
                <w:color w:val="auto"/>
                <w:szCs w:val="21"/>
              </w:rPr>
              <w:t>0771-8520550</w:t>
            </w:r>
          </w:p>
        </w:tc>
      </w:tr>
      <w:tr w14:paraId="2E18E214">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C78F68">
            <w:pPr>
              <w:widowControl/>
              <w:jc w:val="left"/>
              <w:rPr>
                <w:rFonts w:ascii="宋体" w:hAnsi="宋体" w:cs="宋体"/>
                <w:color w:val="auto"/>
                <w:szCs w:val="21"/>
              </w:rPr>
            </w:pPr>
            <w:r>
              <w:rPr>
                <w:rFonts w:hint="eastAsia" w:ascii="宋体" w:hAnsi="宋体" w:cs="宋体"/>
                <w:color w:val="auto"/>
                <w:szCs w:val="21"/>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220DAAC">
            <w:pPr>
              <w:widowControl/>
              <w:jc w:val="left"/>
              <w:rPr>
                <w:rFonts w:ascii="宋体" w:hAnsi="宋体" w:cs="宋体"/>
                <w:color w:val="auto"/>
                <w:szCs w:val="21"/>
              </w:rPr>
            </w:pPr>
            <w:r>
              <w:rPr>
                <w:rFonts w:hint="eastAsia" w:ascii="宋体" w:hAnsi="宋体" w:cs="宋体"/>
                <w:color w:val="auto"/>
                <w:szCs w:val="21"/>
              </w:rPr>
              <w:t>凭祥市北大路一支60-1号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164B047">
            <w:pPr>
              <w:widowControl/>
              <w:jc w:val="center"/>
              <w:rPr>
                <w:rFonts w:ascii="宋体" w:hAnsi="宋体" w:cs="宋体"/>
                <w:color w:val="auto"/>
                <w:szCs w:val="21"/>
              </w:rPr>
            </w:pPr>
            <w:r>
              <w:rPr>
                <w:rFonts w:hint="eastAsia" w:ascii="宋体" w:hAnsi="宋体" w:cs="宋体"/>
                <w:color w:val="auto"/>
                <w:szCs w:val="21"/>
              </w:rPr>
              <w:t>0771-8556667</w:t>
            </w:r>
          </w:p>
        </w:tc>
      </w:tr>
    </w:tbl>
    <w:p w14:paraId="354884B0">
      <w:pPr>
        <w:rPr>
          <w:rFonts w:ascii="宋体" w:hAnsi="宋体"/>
          <w:color w:val="auto"/>
          <w:sz w:val="24"/>
        </w:rPr>
      </w:pPr>
    </w:p>
    <w:sectPr>
      <w:footerReference r:id="rId5" w:type="firs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A00002EF" w:usb1="4000207B" w:usb2="00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华文细黑">
    <w:altName w:val="微软雅黑"/>
    <w:panose1 w:val="02010600040101010101"/>
    <w:charset w:val="86"/>
    <w:family w:val="auto"/>
    <w:pitch w:val="default"/>
    <w:sig w:usb0="00000000" w:usb1="00000000" w:usb2="00000010" w:usb3="00000000" w:csb0="0004009F" w:csb1="00000000"/>
  </w:font>
  <w:font w:name="新宋体">
    <w:panose1 w:val="02010609030101010101"/>
    <w:charset w:val="86"/>
    <w:family w:val="modern"/>
    <w:pitch w:val="default"/>
    <w:sig w:usb0="00000003" w:usb1="288F0000" w:usb2="0000000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方正小标宋_GBK">
    <w:altName w:val="微软雅黑"/>
    <w:panose1 w:val="00000000000000000000"/>
    <w:charset w:val="86"/>
    <w:family w:val="script"/>
    <w:pitch w:val="default"/>
    <w:sig w:usb0="00000000" w:usb1="00000000" w:usb2="00082016"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C064D">
    <w:pPr>
      <w:pStyle w:val="36"/>
      <w:jc w:val="center"/>
    </w:pPr>
    <w:r>
      <w:fldChar w:fldCharType="begin"/>
    </w:r>
    <w:r>
      <w:instrText xml:space="preserve"> PAGE   \* MERGEFORMAT </w:instrText>
    </w:r>
    <w:r>
      <w:fldChar w:fldCharType="separate"/>
    </w:r>
    <w:r>
      <w:rPr>
        <w:lang w:val="zh-CN"/>
      </w:rPr>
      <w:t>91</w:t>
    </w:r>
    <w:r>
      <w:fldChar w:fldCharType="end"/>
    </w:r>
  </w:p>
  <w:p w14:paraId="56AC7109">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C4DC2">
    <w:pPr>
      <w:pStyle w:val="36"/>
    </w:pPr>
    <w:r>
      <w:pict>
        <v:shape id="_x0000_s1025" o:spid="_x0000_s102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73968A6E">
                <w:pPr>
                  <w:pStyle w:val="3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DAF84">
    <w:pPr>
      <w:pStyle w:val="38"/>
      <w:tabs>
        <w:tab w:val="left" w:pos="2409"/>
        <w:tab w:val="center" w:pos="4499"/>
      </w:tabs>
      <w:jc w:val="left"/>
      <w:rPr>
        <w:rFonts w:ascii="新宋体" w:hAnsi="新宋体" w:eastAsia="新宋体" w:cs="新宋体"/>
        <w:shd w:val="clear" w:color="auto" w:fill="FFFFFF"/>
      </w:rPr>
    </w:pPr>
    <w:r>
      <w:rPr>
        <w:rFonts w:hint="eastAsia" w:ascii="新宋体" w:hAnsi="新宋体" w:eastAsia="新宋体" w:cs="新宋体"/>
        <w:shd w:val="clear" w:color="auto" w:fill="FFFFFF"/>
      </w:rPr>
      <w:t>云之龙咨询集团有限公司                             崇左市人民医院2026年度残疾人劳务派遣服务项目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EBEEEF"/>
    <w:multiLevelType w:val="singleLevel"/>
    <w:tmpl w:val="45EBEEEF"/>
    <w:lvl w:ilvl="0" w:tentative="0">
      <w:start w:val="4"/>
      <w:numFmt w:val="decimal"/>
      <w:suff w:val="nothing"/>
      <w:lvlText w:val="（%1）"/>
      <w:lvlJc w:val="left"/>
    </w:lvl>
  </w:abstractNum>
  <w:abstractNum w:abstractNumId="1">
    <w:nsid w:val="699011C3"/>
    <w:multiLevelType w:val="multilevel"/>
    <w:tmpl w:val="699011C3"/>
    <w:lvl w:ilvl="0" w:tentative="0">
      <w:start w:val="3"/>
      <w:numFmt w:val="chineseCountingThousand"/>
      <w:suff w:val="nothing"/>
      <w:lvlText w:val="第%1章"/>
      <w:lvlJc w:val="left"/>
      <w:pPr>
        <w:ind w:left="0" w:firstLine="0"/>
      </w:pPr>
      <w:rPr>
        <w:rFonts w:hint="eastAsia"/>
      </w:rPr>
    </w:lvl>
    <w:lvl w:ilvl="1" w:tentative="0">
      <w:start w:val="1"/>
      <w:numFmt w:val="decimal"/>
      <w:suff w:val="nothing"/>
      <w:lvlText w:val=""/>
      <w:lvlJc w:val="left"/>
      <w:pPr>
        <w:ind w:left="0" w:firstLine="0"/>
      </w:pPr>
      <w:rPr>
        <w:rFonts w:hint="eastAsia"/>
      </w:rPr>
    </w:lvl>
    <w:lvl w:ilvl="2" w:tentative="0">
      <w:start w:val="1"/>
      <w:numFmt w:val="decimal"/>
      <w:suff w:val="nothing"/>
      <w:lvlText w:val=""/>
      <w:lvlJc w:val="left"/>
      <w:pPr>
        <w:ind w:left="0" w:firstLine="0"/>
      </w:pPr>
      <w:rPr>
        <w:rFonts w:hint="eastAsia"/>
      </w:rPr>
    </w:lvl>
    <w:lvl w:ilvl="3" w:tentative="0">
      <w:start w:val="1"/>
      <w:numFmt w:val="decimal"/>
      <w:pStyle w:val="98"/>
      <w:suff w:val="nothing"/>
      <w:lvlText w:val=""/>
      <w:lvlJc w:val="left"/>
      <w:pPr>
        <w:ind w:left="0" w:firstLine="0"/>
      </w:pPr>
      <w:rPr>
        <w:rFonts w:hint="eastAsia"/>
      </w:rPr>
    </w:lvl>
    <w:lvl w:ilvl="4" w:tentative="0">
      <w:start w:val="1"/>
      <w:numFmt w:val="decimal"/>
      <w:suff w:val="nothing"/>
      <w:lvlText w:val=""/>
      <w:lvlJc w:val="left"/>
      <w:pPr>
        <w:ind w:left="0" w:firstLine="0"/>
      </w:pPr>
      <w:rPr>
        <w:rFonts w:hint="eastAsia"/>
      </w:rPr>
    </w:lvl>
    <w:lvl w:ilvl="5" w:tentative="0">
      <w:start w:val="1"/>
      <w:numFmt w:val="decimal"/>
      <w:suff w:val="nothing"/>
      <w:lvlText w:val=""/>
      <w:lvlJc w:val="left"/>
      <w:pPr>
        <w:ind w:left="0" w:firstLine="0"/>
      </w:pPr>
      <w:rPr>
        <w:rFonts w:hint="eastAsia"/>
      </w:rPr>
    </w:lvl>
    <w:lvl w:ilvl="6" w:tentative="0">
      <w:start w:val="1"/>
      <w:numFmt w:val="decimal"/>
      <w:suff w:val="nothing"/>
      <w:lvlText w:val=""/>
      <w:lvlJc w:val="left"/>
      <w:pPr>
        <w:ind w:left="0" w:firstLine="0"/>
      </w:pPr>
      <w:rPr>
        <w:rFonts w:hint="eastAsia"/>
      </w:rPr>
    </w:lvl>
    <w:lvl w:ilvl="7" w:tentative="0">
      <w:start w:val="1"/>
      <w:numFmt w:val="decimal"/>
      <w:suff w:val="nothing"/>
      <w:lvlText w:val=""/>
      <w:lvlJc w:val="left"/>
      <w:pPr>
        <w:ind w:left="0" w:firstLine="0"/>
      </w:pPr>
      <w:rPr>
        <w:rFonts w:hint="eastAsia"/>
      </w:rPr>
    </w:lvl>
    <w:lvl w:ilvl="8" w:tentative="0">
      <w:start w:val="1"/>
      <w:numFmt w:val="decimal"/>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compat>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1BA8"/>
    <w:rsid w:val="002C0ADA"/>
    <w:rsid w:val="002D1BA8"/>
    <w:rsid w:val="00A43D73"/>
    <w:rsid w:val="00B14726"/>
    <w:rsid w:val="11CC3321"/>
    <w:rsid w:val="16E6586E"/>
    <w:rsid w:val="1A090F44"/>
    <w:rsid w:val="1C18277E"/>
    <w:rsid w:val="20B16579"/>
    <w:rsid w:val="211F34E2"/>
    <w:rsid w:val="230B56A7"/>
    <w:rsid w:val="2DD439CB"/>
    <w:rsid w:val="378A6A1C"/>
    <w:rsid w:val="3A6B7341"/>
    <w:rsid w:val="45152661"/>
    <w:rsid w:val="48C81442"/>
    <w:rsid w:val="4ABA61DD"/>
    <w:rsid w:val="4C9C6EAB"/>
    <w:rsid w:val="533144B8"/>
    <w:rsid w:val="55C874FE"/>
    <w:rsid w:val="5C484B05"/>
    <w:rsid w:val="60611DC2"/>
    <w:rsid w:val="60F4153A"/>
    <w:rsid w:val="65583637"/>
    <w:rsid w:val="72245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iPriority w:val="0"/>
    <w:pPr>
      <w:ind w:firstLine="420"/>
    </w:pPr>
    <w:rPr>
      <w:szCs w:val="20"/>
    </w:rPr>
  </w:style>
  <w:style w:type="paragraph" w:styleId="3">
    <w:name w:val="annotation text"/>
    <w:basedOn w:val="1"/>
    <w:link w:val="102"/>
    <w:qFormat/>
    <w:uiPriority w:val="0"/>
    <w:pPr>
      <w:jc w:val="left"/>
    </w:pPr>
  </w:style>
  <w:style w:type="paragraph" w:styleId="4">
    <w:name w:val="toc 1"/>
    <w:basedOn w:val="1"/>
    <w:next w:val="1"/>
    <w:qFormat/>
    <w:uiPriority w:val="0"/>
  </w:style>
  <w:style w:type="paragraph" w:styleId="5">
    <w:name w:val="annotation subject"/>
    <w:basedOn w:val="3"/>
    <w:next w:val="3"/>
    <w:link w:val="103"/>
    <w:qFormat/>
    <w:uiPriority w:val="0"/>
    <w:rPr>
      <w:b/>
      <w:bCs/>
    </w:rPr>
  </w:style>
  <w:style w:type="character" w:styleId="8">
    <w:name w:val="annotation reference"/>
    <w:qFormat/>
    <w:uiPriority w:val="0"/>
    <w:rPr>
      <w:sz w:val="21"/>
      <w:szCs w:val="21"/>
    </w:rPr>
  </w:style>
  <w:style w:type="paragraph" w:customStyle="1" w:styleId="9">
    <w:name w:val="标题 11"/>
    <w:basedOn w:val="1"/>
    <w:next w:val="1"/>
    <w:link w:val="17"/>
    <w:qFormat/>
    <w:uiPriority w:val="0"/>
    <w:pPr>
      <w:keepNext/>
      <w:keepLines/>
      <w:spacing w:before="340" w:after="330" w:line="578" w:lineRule="auto"/>
      <w:outlineLvl w:val="0"/>
    </w:pPr>
    <w:rPr>
      <w:b/>
      <w:bCs/>
      <w:kern w:val="44"/>
      <w:sz w:val="44"/>
      <w:szCs w:val="44"/>
    </w:rPr>
  </w:style>
  <w:style w:type="paragraph" w:customStyle="1" w:styleId="10">
    <w:name w:val="标题 21"/>
    <w:basedOn w:val="1"/>
    <w:next w:val="1"/>
    <w:link w:val="18"/>
    <w:qFormat/>
    <w:uiPriority w:val="9"/>
    <w:pPr>
      <w:keepNext/>
      <w:keepLines/>
      <w:spacing w:before="260" w:after="260" w:line="416" w:lineRule="auto"/>
      <w:outlineLvl w:val="1"/>
    </w:pPr>
    <w:rPr>
      <w:rFonts w:ascii="Cambria" w:hAnsi="Cambria"/>
      <w:b/>
      <w:bCs/>
      <w:sz w:val="32"/>
      <w:szCs w:val="32"/>
    </w:rPr>
  </w:style>
  <w:style w:type="paragraph" w:customStyle="1" w:styleId="11">
    <w:name w:val="标题 31"/>
    <w:basedOn w:val="1"/>
    <w:next w:val="1"/>
    <w:qFormat/>
    <w:uiPriority w:val="9"/>
    <w:pPr>
      <w:spacing w:before="100" w:beforeAutospacing="1" w:after="100" w:afterAutospacing="1"/>
      <w:jc w:val="left"/>
      <w:outlineLvl w:val="2"/>
    </w:pPr>
    <w:rPr>
      <w:rFonts w:hint="eastAsia" w:ascii="宋体" w:hAnsi="宋体"/>
      <w:b/>
      <w:bCs/>
      <w:kern w:val="0"/>
      <w:sz w:val="27"/>
      <w:szCs w:val="27"/>
    </w:rPr>
  </w:style>
  <w:style w:type="paragraph" w:customStyle="1" w:styleId="12">
    <w:name w:val="标题 411"/>
    <w:basedOn w:val="1"/>
    <w:next w:val="1"/>
    <w:qFormat/>
    <w:uiPriority w:val="0"/>
    <w:pPr>
      <w:keepNext/>
      <w:keepLines/>
      <w:spacing w:before="280" w:after="290" w:line="376" w:lineRule="auto"/>
      <w:outlineLvl w:val="3"/>
    </w:pPr>
    <w:rPr>
      <w:rFonts w:ascii="宋体" w:hAnsi="Arial" w:eastAsia="黑体"/>
      <w:b/>
      <w:sz w:val="24"/>
      <w:szCs w:val="20"/>
    </w:rPr>
  </w:style>
  <w:style w:type="paragraph" w:customStyle="1" w:styleId="13">
    <w:name w:val="标题 51"/>
    <w:basedOn w:val="1"/>
    <w:next w:val="14"/>
    <w:link w:val="19"/>
    <w:qFormat/>
    <w:uiPriority w:val="9"/>
    <w:pPr>
      <w:keepNext/>
      <w:keepLines/>
      <w:spacing w:before="280" w:after="290" w:line="376" w:lineRule="auto"/>
      <w:outlineLvl w:val="4"/>
    </w:pPr>
    <w:rPr>
      <w:b/>
      <w:bCs/>
      <w:sz w:val="28"/>
      <w:szCs w:val="28"/>
    </w:rPr>
  </w:style>
  <w:style w:type="paragraph" w:customStyle="1" w:styleId="14">
    <w:name w:val="正文缩进11"/>
    <w:basedOn w:val="1"/>
    <w:qFormat/>
    <w:uiPriority w:val="0"/>
    <w:pPr>
      <w:ind w:firstLine="420"/>
    </w:pPr>
    <w:rPr>
      <w:szCs w:val="20"/>
    </w:rPr>
  </w:style>
  <w:style w:type="character" w:customStyle="1" w:styleId="15">
    <w:name w:val="默认段落字体1"/>
    <w:unhideWhenUsed/>
    <w:qFormat/>
    <w:uiPriority w:val="1"/>
  </w:style>
  <w:style w:type="table" w:customStyle="1" w:styleId="16">
    <w:name w:val="普通表格1"/>
    <w:unhideWhenUsed/>
    <w:qFormat/>
    <w:uiPriority w:val="99"/>
    <w:tblPr>
      <w:tblCellMar>
        <w:top w:w="0" w:type="dxa"/>
        <w:left w:w="108" w:type="dxa"/>
        <w:bottom w:w="0" w:type="dxa"/>
        <w:right w:w="108" w:type="dxa"/>
      </w:tblCellMar>
    </w:tblPr>
  </w:style>
  <w:style w:type="character" w:customStyle="1" w:styleId="17">
    <w:name w:val="标题 1 Char"/>
    <w:link w:val="9"/>
    <w:qFormat/>
    <w:uiPriority w:val="0"/>
    <w:rPr>
      <w:b/>
      <w:bCs/>
      <w:kern w:val="44"/>
      <w:sz w:val="44"/>
      <w:szCs w:val="44"/>
    </w:rPr>
  </w:style>
  <w:style w:type="character" w:customStyle="1" w:styleId="18">
    <w:name w:val="标题 2 Char"/>
    <w:link w:val="10"/>
    <w:qFormat/>
    <w:uiPriority w:val="9"/>
    <w:rPr>
      <w:rFonts w:ascii="Cambria" w:hAnsi="Cambria" w:eastAsia="宋体" w:cs="Times New Roman"/>
      <w:b/>
      <w:bCs/>
      <w:kern w:val="2"/>
      <w:sz w:val="32"/>
      <w:szCs w:val="32"/>
    </w:rPr>
  </w:style>
  <w:style w:type="character" w:customStyle="1" w:styleId="19">
    <w:name w:val="标题 5 Char"/>
    <w:link w:val="13"/>
    <w:semiHidden/>
    <w:qFormat/>
    <w:uiPriority w:val="9"/>
    <w:rPr>
      <w:rFonts w:ascii="Times New Roman" w:hAnsi="Times New Roman"/>
      <w:b/>
      <w:bCs/>
      <w:kern w:val="2"/>
      <w:sz w:val="28"/>
      <w:szCs w:val="28"/>
    </w:rPr>
  </w:style>
  <w:style w:type="paragraph" w:customStyle="1" w:styleId="20">
    <w:name w:val="列表编号1"/>
    <w:basedOn w:val="1"/>
    <w:qFormat/>
    <w:uiPriority w:val="0"/>
    <w:pPr>
      <w:widowControl/>
      <w:tabs>
        <w:tab w:val="left" w:pos="454"/>
        <w:tab w:val="left" w:pos="720"/>
        <w:tab w:val="left" w:pos="840"/>
      </w:tabs>
      <w:spacing w:after="50"/>
      <w:ind w:left="454" w:hanging="284"/>
      <w:jc w:val="left"/>
    </w:pPr>
    <w:rPr>
      <w:kern w:val="0"/>
      <w:sz w:val="24"/>
      <w:szCs w:val="20"/>
    </w:rPr>
  </w:style>
  <w:style w:type="paragraph" w:customStyle="1" w:styleId="21">
    <w:name w:val="批注文字1"/>
    <w:basedOn w:val="1"/>
    <w:link w:val="22"/>
    <w:qFormat/>
    <w:uiPriority w:val="0"/>
    <w:pPr>
      <w:jc w:val="left"/>
    </w:pPr>
  </w:style>
  <w:style w:type="character" w:customStyle="1" w:styleId="22">
    <w:name w:val="批注文字 Char"/>
    <w:link w:val="21"/>
    <w:qFormat/>
    <w:uiPriority w:val="0"/>
    <w:rPr>
      <w:rFonts w:ascii="Times New Roman" w:hAnsi="Times New Roman"/>
      <w:kern w:val="2"/>
      <w:sz w:val="21"/>
      <w:szCs w:val="24"/>
    </w:rPr>
  </w:style>
  <w:style w:type="paragraph" w:customStyle="1" w:styleId="23">
    <w:name w:val="正文文本 31"/>
    <w:basedOn w:val="1"/>
    <w:link w:val="24"/>
    <w:unhideWhenUsed/>
    <w:qFormat/>
    <w:uiPriority w:val="99"/>
    <w:pPr>
      <w:spacing w:after="120"/>
    </w:pPr>
    <w:rPr>
      <w:sz w:val="16"/>
      <w:szCs w:val="16"/>
    </w:rPr>
  </w:style>
  <w:style w:type="character" w:customStyle="1" w:styleId="24">
    <w:name w:val="正文文本 3 Char"/>
    <w:link w:val="23"/>
    <w:semiHidden/>
    <w:qFormat/>
    <w:uiPriority w:val="99"/>
    <w:rPr>
      <w:rFonts w:ascii="Times New Roman" w:hAnsi="Times New Roman"/>
      <w:kern w:val="2"/>
      <w:sz w:val="16"/>
      <w:szCs w:val="16"/>
    </w:rPr>
  </w:style>
  <w:style w:type="paragraph" w:customStyle="1" w:styleId="25">
    <w:name w:val="正文文本11"/>
    <w:basedOn w:val="1"/>
    <w:link w:val="26"/>
    <w:unhideWhenUsed/>
    <w:qFormat/>
    <w:uiPriority w:val="0"/>
    <w:pPr>
      <w:spacing w:after="120"/>
    </w:pPr>
  </w:style>
  <w:style w:type="character" w:customStyle="1" w:styleId="26">
    <w:name w:val="正文文本 Char"/>
    <w:link w:val="25"/>
    <w:qFormat/>
    <w:uiPriority w:val="0"/>
    <w:rPr>
      <w:rFonts w:ascii="Times New Roman" w:hAnsi="Times New Roman"/>
      <w:kern w:val="2"/>
      <w:sz w:val="21"/>
      <w:szCs w:val="24"/>
    </w:rPr>
  </w:style>
  <w:style w:type="paragraph" w:customStyle="1" w:styleId="27">
    <w:name w:val="正文文本缩进1"/>
    <w:basedOn w:val="1"/>
    <w:next w:val="28"/>
    <w:link w:val="29"/>
    <w:qFormat/>
    <w:uiPriority w:val="0"/>
    <w:pPr>
      <w:ind w:firstLine="830" w:firstLineChars="352"/>
    </w:pPr>
    <w:rPr>
      <w:rFonts w:ascii="仿宋_GB2312" w:eastAsia="仿宋_GB2312"/>
      <w:kern w:val="0"/>
      <w:sz w:val="32"/>
      <w:szCs w:val="20"/>
    </w:rPr>
  </w:style>
  <w:style w:type="paragraph" w:customStyle="1" w:styleId="28">
    <w:name w:val="正文缩进1"/>
    <w:basedOn w:val="1"/>
    <w:next w:val="27"/>
    <w:qFormat/>
    <w:uiPriority w:val="0"/>
    <w:pPr>
      <w:ind w:firstLine="420"/>
    </w:pPr>
    <w:rPr>
      <w:szCs w:val="20"/>
    </w:rPr>
  </w:style>
  <w:style w:type="character" w:customStyle="1" w:styleId="29">
    <w:name w:val="正文文本缩进 Char"/>
    <w:link w:val="27"/>
    <w:qFormat/>
    <w:uiPriority w:val="0"/>
    <w:rPr>
      <w:rFonts w:ascii="仿宋_GB2312" w:hAnsi="Times New Roman" w:eastAsia="仿宋_GB2312" w:cs="Times New Roman"/>
      <w:sz w:val="32"/>
      <w:szCs w:val="20"/>
    </w:rPr>
  </w:style>
  <w:style w:type="paragraph" w:customStyle="1" w:styleId="30">
    <w:name w:val="列表 21"/>
    <w:basedOn w:val="1"/>
    <w:unhideWhenUsed/>
    <w:qFormat/>
    <w:uiPriority w:val="99"/>
    <w:pPr>
      <w:ind w:left="100" w:leftChars="200" w:hanging="200" w:hangingChars="200"/>
      <w:contextualSpacing/>
    </w:pPr>
  </w:style>
  <w:style w:type="paragraph" w:customStyle="1" w:styleId="31">
    <w:name w:val="纯文本11"/>
    <w:basedOn w:val="1"/>
    <w:next w:val="12"/>
    <w:link w:val="32"/>
    <w:qFormat/>
    <w:uiPriority w:val="0"/>
    <w:rPr>
      <w:rFonts w:ascii="宋体" w:hAnsi="Courier New"/>
      <w:kern w:val="0"/>
      <w:sz w:val="20"/>
      <w:szCs w:val="21"/>
    </w:rPr>
  </w:style>
  <w:style w:type="character" w:customStyle="1" w:styleId="32">
    <w:name w:val="纯文本 Char"/>
    <w:link w:val="31"/>
    <w:qFormat/>
    <w:uiPriority w:val="0"/>
    <w:rPr>
      <w:rFonts w:ascii="宋体" w:hAnsi="Courier New" w:eastAsia="宋体" w:cs="Courier New"/>
      <w:szCs w:val="21"/>
    </w:rPr>
  </w:style>
  <w:style w:type="paragraph" w:customStyle="1" w:styleId="33">
    <w:name w:val="日期1"/>
    <w:basedOn w:val="1"/>
    <w:next w:val="1"/>
    <w:link w:val="34"/>
    <w:unhideWhenUsed/>
    <w:qFormat/>
    <w:uiPriority w:val="99"/>
    <w:pPr>
      <w:ind w:left="100" w:leftChars="2500"/>
    </w:pPr>
  </w:style>
  <w:style w:type="character" w:customStyle="1" w:styleId="34">
    <w:name w:val="日期 Char"/>
    <w:link w:val="33"/>
    <w:semiHidden/>
    <w:qFormat/>
    <w:uiPriority w:val="99"/>
    <w:rPr>
      <w:rFonts w:ascii="Times New Roman" w:hAnsi="Times New Roman"/>
      <w:kern w:val="2"/>
      <w:sz w:val="21"/>
      <w:szCs w:val="24"/>
    </w:rPr>
  </w:style>
  <w:style w:type="paragraph" w:customStyle="1" w:styleId="35">
    <w:name w:val="批注框文本1"/>
    <w:basedOn w:val="1"/>
    <w:semiHidden/>
    <w:qFormat/>
    <w:uiPriority w:val="0"/>
    <w:rPr>
      <w:sz w:val="18"/>
      <w:szCs w:val="18"/>
    </w:rPr>
  </w:style>
  <w:style w:type="paragraph" w:customStyle="1" w:styleId="36">
    <w:name w:val="页脚1"/>
    <w:basedOn w:val="1"/>
    <w:next w:val="1"/>
    <w:link w:val="37"/>
    <w:unhideWhenUsed/>
    <w:qFormat/>
    <w:uiPriority w:val="99"/>
    <w:pPr>
      <w:tabs>
        <w:tab w:val="center" w:pos="4153"/>
        <w:tab w:val="right" w:pos="8306"/>
      </w:tabs>
      <w:jc w:val="left"/>
    </w:pPr>
    <w:rPr>
      <w:kern w:val="0"/>
      <w:sz w:val="18"/>
      <w:szCs w:val="18"/>
    </w:rPr>
  </w:style>
  <w:style w:type="character" w:customStyle="1" w:styleId="37">
    <w:name w:val="页脚 Char1"/>
    <w:link w:val="36"/>
    <w:qFormat/>
    <w:uiPriority w:val="99"/>
    <w:rPr>
      <w:sz w:val="18"/>
      <w:szCs w:val="18"/>
    </w:rPr>
  </w:style>
  <w:style w:type="paragraph" w:customStyle="1" w:styleId="38">
    <w:name w:val="页眉1"/>
    <w:basedOn w:val="1"/>
    <w:link w:val="39"/>
    <w:unhideWhenUsed/>
    <w:qFormat/>
    <w:uiPriority w:val="99"/>
    <w:pPr>
      <w:pBdr>
        <w:bottom w:val="single" w:color="auto" w:sz="6" w:space="1"/>
      </w:pBdr>
      <w:tabs>
        <w:tab w:val="center" w:pos="4153"/>
        <w:tab w:val="right" w:pos="8306"/>
      </w:tabs>
      <w:jc w:val="center"/>
    </w:pPr>
    <w:rPr>
      <w:kern w:val="0"/>
      <w:sz w:val="18"/>
      <w:szCs w:val="18"/>
    </w:rPr>
  </w:style>
  <w:style w:type="character" w:customStyle="1" w:styleId="39">
    <w:name w:val="页眉 Char"/>
    <w:link w:val="38"/>
    <w:qFormat/>
    <w:uiPriority w:val="99"/>
    <w:rPr>
      <w:sz w:val="18"/>
      <w:szCs w:val="18"/>
    </w:rPr>
  </w:style>
  <w:style w:type="paragraph" w:customStyle="1" w:styleId="40">
    <w:name w:val="目录 11"/>
    <w:basedOn w:val="1"/>
    <w:next w:val="1"/>
    <w:unhideWhenUsed/>
    <w:qFormat/>
    <w:uiPriority w:val="39"/>
  </w:style>
  <w:style w:type="paragraph" w:customStyle="1" w:styleId="41">
    <w:name w:val="目录 41"/>
    <w:basedOn w:val="1"/>
    <w:next w:val="1"/>
    <w:qFormat/>
    <w:uiPriority w:val="0"/>
    <w:pPr>
      <w:wordWrap w:val="0"/>
      <w:ind w:left="850"/>
    </w:pPr>
  </w:style>
  <w:style w:type="paragraph" w:customStyle="1" w:styleId="42">
    <w:name w:val="脚注文本1"/>
    <w:basedOn w:val="1"/>
    <w:qFormat/>
    <w:uiPriority w:val="0"/>
    <w:pPr>
      <w:jc w:val="left"/>
    </w:pPr>
    <w:rPr>
      <w:sz w:val="18"/>
      <w:szCs w:val="18"/>
    </w:rPr>
  </w:style>
  <w:style w:type="paragraph" w:customStyle="1" w:styleId="43">
    <w:name w:val="目录 21"/>
    <w:basedOn w:val="1"/>
    <w:next w:val="1"/>
    <w:unhideWhenUsed/>
    <w:qFormat/>
    <w:uiPriority w:val="39"/>
    <w:pPr>
      <w:tabs>
        <w:tab w:val="right" w:leader="dot" w:pos="8296"/>
      </w:tabs>
      <w:ind w:left="420" w:leftChars="200"/>
    </w:pPr>
  </w:style>
  <w:style w:type="paragraph" w:customStyle="1" w:styleId="44">
    <w:name w:val="正文文本 21"/>
    <w:basedOn w:val="1"/>
    <w:qFormat/>
    <w:uiPriority w:val="0"/>
    <w:pPr>
      <w:spacing w:after="120" w:line="480" w:lineRule="auto"/>
    </w:pPr>
    <w:rPr>
      <w:kern w:val="0"/>
      <w:sz w:val="20"/>
    </w:rPr>
  </w:style>
  <w:style w:type="paragraph" w:customStyle="1" w:styleId="45">
    <w:name w:val="普通(网站)1"/>
    <w:basedOn w:val="1"/>
    <w:unhideWhenUsed/>
    <w:qFormat/>
    <w:uiPriority w:val="99"/>
    <w:rPr>
      <w:rFonts w:ascii="Calibri" w:hAnsi="Calibri"/>
      <w:kern w:val="0"/>
      <w:sz w:val="24"/>
    </w:rPr>
  </w:style>
  <w:style w:type="paragraph" w:customStyle="1" w:styleId="46">
    <w:name w:val="索引 11"/>
    <w:basedOn w:val="1"/>
    <w:next w:val="1"/>
    <w:qFormat/>
    <w:uiPriority w:val="0"/>
  </w:style>
  <w:style w:type="paragraph" w:customStyle="1" w:styleId="47">
    <w:name w:val="标题1"/>
    <w:basedOn w:val="1"/>
    <w:next w:val="1"/>
    <w:qFormat/>
    <w:uiPriority w:val="10"/>
    <w:pPr>
      <w:spacing w:before="240" w:after="60"/>
      <w:jc w:val="center"/>
      <w:outlineLvl w:val="0"/>
    </w:pPr>
    <w:rPr>
      <w:rFonts w:ascii="Cambria" w:hAnsi="Cambria"/>
      <w:b/>
      <w:bCs/>
      <w:sz w:val="32"/>
      <w:szCs w:val="32"/>
    </w:rPr>
  </w:style>
  <w:style w:type="paragraph" w:customStyle="1" w:styleId="48">
    <w:name w:val="批注主题1"/>
    <w:basedOn w:val="21"/>
    <w:next w:val="21"/>
    <w:link w:val="49"/>
    <w:qFormat/>
    <w:uiPriority w:val="99"/>
    <w:rPr>
      <w:b/>
      <w:bCs/>
    </w:rPr>
  </w:style>
  <w:style w:type="character" w:customStyle="1" w:styleId="49">
    <w:name w:val="批注主题 Char"/>
    <w:link w:val="48"/>
    <w:qFormat/>
    <w:uiPriority w:val="99"/>
    <w:rPr>
      <w:rFonts w:ascii="Times New Roman" w:hAnsi="Times New Roman"/>
      <w:b/>
      <w:bCs/>
      <w:kern w:val="2"/>
      <w:sz w:val="21"/>
      <w:szCs w:val="24"/>
    </w:rPr>
  </w:style>
  <w:style w:type="paragraph" w:customStyle="1" w:styleId="50">
    <w:name w:val="正文首行缩进11"/>
    <w:basedOn w:val="25"/>
    <w:unhideWhenUsed/>
    <w:qFormat/>
    <w:uiPriority w:val="99"/>
    <w:pPr>
      <w:ind w:firstLine="420" w:firstLineChars="100"/>
    </w:pPr>
  </w:style>
  <w:style w:type="paragraph" w:customStyle="1" w:styleId="51">
    <w:name w:val="正文首行缩进 211"/>
    <w:basedOn w:val="27"/>
    <w:qFormat/>
    <w:uiPriority w:val="0"/>
    <w:pPr>
      <w:spacing w:after="120"/>
      <w:ind w:left="420" w:leftChars="200" w:firstLine="420" w:firstLineChars="200"/>
    </w:pPr>
    <w:rPr>
      <w:rFonts w:hAnsi="宋体" w:eastAsia="华文仿宋"/>
      <w:kern w:val="2"/>
      <w:szCs w:val="32"/>
    </w:rPr>
  </w:style>
  <w:style w:type="table" w:customStyle="1" w:styleId="52">
    <w:name w:val="网格型1"/>
    <w:basedOn w:val="1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3">
    <w:name w:val="要点1"/>
    <w:qFormat/>
    <w:uiPriority w:val="0"/>
    <w:rPr>
      <w:b/>
    </w:rPr>
  </w:style>
  <w:style w:type="character" w:customStyle="1" w:styleId="54">
    <w:name w:val="已访问的超链接1"/>
    <w:qFormat/>
    <w:uiPriority w:val="0"/>
    <w:rPr>
      <w:color w:val="771CAA"/>
      <w:sz w:val="20"/>
      <w:u w:val="none"/>
    </w:rPr>
  </w:style>
  <w:style w:type="character" w:customStyle="1" w:styleId="55">
    <w:name w:val="强调1"/>
    <w:qFormat/>
    <w:uiPriority w:val="20"/>
    <w:rPr>
      <w:i/>
    </w:rPr>
  </w:style>
  <w:style w:type="character" w:customStyle="1" w:styleId="56">
    <w:name w:val="超链接1"/>
    <w:unhideWhenUsed/>
    <w:qFormat/>
    <w:uiPriority w:val="99"/>
    <w:rPr>
      <w:color w:val="0000FF"/>
      <w:u w:val="single"/>
    </w:rPr>
  </w:style>
  <w:style w:type="character" w:customStyle="1" w:styleId="57">
    <w:name w:val="批注引用1"/>
    <w:qFormat/>
    <w:uiPriority w:val="0"/>
    <w:rPr>
      <w:sz w:val="21"/>
      <w:szCs w:val="21"/>
    </w:rPr>
  </w:style>
  <w:style w:type="character" w:customStyle="1" w:styleId="58">
    <w:name w:val="纯文本 Char1"/>
    <w:qFormat/>
    <w:uiPriority w:val="0"/>
    <w:rPr>
      <w:rFonts w:ascii="宋体" w:hAnsi="Courier New" w:eastAsia="宋体" w:cs="Courier New"/>
      <w:szCs w:val="21"/>
    </w:rPr>
  </w:style>
  <w:style w:type="character" w:customStyle="1" w:styleId="59">
    <w:name w:val="font21"/>
    <w:qFormat/>
    <w:uiPriority w:val="0"/>
    <w:rPr>
      <w:rFonts w:hint="eastAsia" w:ascii="宋体" w:hAnsi="宋体" w:eastAsia="宋体" w:cs="宋体"/>
      <w:color w:val="000000"/>
      <w:sz w:val="20"/>
      <w:szCs w:val="20"/>
      <w:u w:val="none"/>
    </w:rPr>
  </w:style>
  <w:style w:type="character" w:customStyle="1" w:styleId="60">
    <w:name w:val="apple-style-span"/>
    <w:qFormat/>
    <w:uiPriority w:val="0"/>
  </w:style>
  <w:style w:type="character" w:customStyle="1" w:styleId="61">
    <w:name w:val="批注文字 Char2"/>
    <w:qFormat/>
    <w:uiPriority w:val="0"/>
    <w:rPr>
      <w:rFonts w:ascii="Times New Roman" w:hAnsi="Times New Roman"/>
      <w:kern w:val="2"/>
      <w:sz w:val="21"/>
      <w:szCs w:val="24"/>
    </w:rPr>
  </w:style>
  <w:style w:type="character" w:customStyle="1" w:styleId="62">
    <w:name w:val="textcontents"/>
    <w:qFormat/>
    <w:uiPriority w:val="0"/>
  </w:style>
  <w:style w:type="character" w:customStyle="1" w:styleId="63">
    <w:name w:val="font51"/>
    <w:qFormat/>
    <w:uiPriority w:val="0"/>
    <w:rPr>
      <w:rFonts w:hint="eastAsia" w:ascii="宋体" w:hAnsi="宋体" w:eastAsia="宋体" w:cs="宋体"/>
      <w:color w:val="000000"/>
      <w:sz w:val="21"/>
      <w:szCs w:val="21"/>
      <w:u w:val="none"/>
    </w:rPr>
  </w:style>
  <w:style w:type="character" w:customStyle="1" w:styleId="64">
    <w:name w:val="正文文本 (26) + 间距 0 pt"/>
    <w:qFormat/>
    <w:uiPriority w:val="0"/>
    <w:rPr>
      <w:rFonts w:hint="eastAsia" w:ascii="宋体" w:hAnsi="宋体" w:eastAsia="宋体" w:cs="宋体"/>
      <w:color w:val="000000"/>
      <w:spacing w:val="0"/>
      <w:w w:val="100"/>
      <w:position w:val="0"/>
      <w:sz w:val="22"/>
      <w:szCs w:val="22"/>
      <w:u w:val="none"/>
      <w:lang w:val="zh-CN" w:eastAsia="zh-CN" w:bidi="zh-CN"/>
    </w:rPr>
  </w:style>
  <w:style w:type="character" w:customStyle="1" w:styleId="65">
    <w:name w:val="纯文本 字符1"/>
    <w:qFormat/>
    <w:uiPriority w:val="0"/>
    <w:rPr>
      <w:rFonts w:ascii="宋体" w:hAnsi="Courier New"/>
    </w:rPr>
  </w:style>
  <w:style w:type="character" w:customStyle="1" w:styleId="66">
    <w:name w:val="正文文本缩进 字符1"/>
    <w:qFormat/>
    <w:uiPriority w:val="0"/>
    <w:rPr>
      <w:rFonts w:ascii="仿宋_GB2312" w:hAnsi="Times New Roman" w:eastAsia="仿宋_GB2312" w:cs="Times New Roman"/>
      <w:sz w:val="32"/>
      <w:szCs w:val="20"/>
    </w:rPr>
  </w:style>
  <w:style w:type="character" w:customStyle="1" w:styleId="67">
    <w:name w:val="font61"/>
    <w:qFormat/>
    <w:uiPriority w:val="0"/>
    <w:rPr>
      <w:rFonts w:ascii="Helvetica" w:hAnsi="Helvetica" w:eastAsia="Helvetica" w:cs="Helvetica"/>
      <w:color w:val="333333"/>
      <w:sz w:val="22"/>
      <w:szCs w:val="22"/>
      <w:u w:val="none"/>
    </w:rPr>
  </w:style>
  <w:style w:type="character" w:customStyle="1" w:styleId="68">
    <w:name w:val="font31"/>
    <w:qFormat/>
    <w:uiPriority w:val="0"/>
    <w:rPr>
      <w:rFonts w:ascii="仿宋" w:hAnsi="仿宋" w:eastAsia="仿宋" w:cs="仿宋"/>
      <w:color w:val="000000"/>
      <w:sz w:val="18"/>
      <w:szCs w:val="18"/>
      <w:u w:val="none"/>
    </w:rPr>
  </w:style>
  <w:style w:type="character" w:customStyle="1" w:styleId="69">
    <w:name w:val="批注文字 Char1"/>
    <w:qFormat/>
    <w:uiPriority w:val="0"/>
    <w:rPr>
      <w:rFonts w:ascii="Times New Roman" w:hAnsi="Times New Roman"/>
      <w:kern w:val="2"/>
      <w:sz w:val="21"/>
      <w:szCs w:val="24"/>
    </w:rPr>
  </w:style>
  <w:style w:type="character" w:customStyle="1" w:styleId="70">
    <w:name w:val="font11"/>
    <w:qFormat/>
    <w:uiPriority w:val="0"/>
    <w:rPr>
      <w:rFonts w:hint="eastAsia" w:ascii="宋体" w:hAnsi="宋体" w:eastAsia="宋体" w:cs="宋体"/>
      <w:color w:val="000000"/>
      <w:sz w:val="18"/>
      <w:szCs w:val="18"/>
      <w:u w:val="none"/>
    </w:rPr>
  </w:style>
  <w:style w:type="character" w:customStyle="1" w:styleId="71">
    <w:name w:val="标题 1 字符"/>
    <w:qFormat/>
    <w:uiPriority w:val="9"/>
    <w:rPr>
      <w:b/>
      <w:bCs/>
      <w:kern w:val="44"/>
      <w:sz w:val="44"/>
      <w:szCs w:val="44"/>
    </w:rPr>
  </w:style>
  <w:style w:type="character" w:customStyle="1" w:styleId="72">
    <w:name w:val="页脚 Char"/>
    <w:qFormat/>
    <w:uiPriority w:val="99"/>
    <w:rPr>
      <w:lang w:eastAsia="zh-CN"/>
    </w:rPr>
  </w:style>
  <w:style w:type="character" w:customStyle="1" w:styleId="73">
    <w:name w:val="纯文本 字符2"/>
    <w:qFormat/>
    <w:uiPriority w:val="0"/>
    <w:rPr>
      <w:rFonts w:ascii="宋体" w:hAnsi="Courier New" w:eastAsia="宋体" w:cs="Courier New"/>
      <w:szCs w:val="21"/>
    </w:rPr>
  </w:style>
  <w:style w:type="character" w:customStyle="1" w:styleId="74">
    <w:name w:val="正文2 Char Char"/>
    <w:link w:val="75"/>
    <w:qFormat/>
    <w:uiPriority w:val="0"/>
    <w:rPr>
      <w:kern w:val="2"/>
      <w:sz w:val="24"/>
    </w:rPr>
  </w:style>
  <w:style w:type="paragraph" w:customStyle="1" w:styleId="75">
    <w:name w:val="正文2"/>
    <w:basedOn w:val="1"/>
    <w:link w:val="74"/>
    <w:qFormat/>
    <w:uiPriority w:val="0"/>
    <w:pPr>
      <w:spacing w:before="156" w:line="360" w:lineRule="auto"/>
      <w:ind w:firstLine="510" w:firstLineChars="200"/>
    </w:pPr>
    <w:rPr>
      <w:sz w:val="24"/>
      <w:szCs w:val="20"/>
    </w:rPr>
  </w:style>
  <w:style w:type="character" w:customStyle="1" w:styleId="76">
    <w:name w:val="批注文字 字符2"/>
    <w:qFormat/>
    <w:uiPriority w:val="0"/>
    <w:rPr>
      <w:rFonts w:ascii="Times New Roman" w:hAnsi="Times New Roman"/>
      <w:kern w:val="2"/>
      <w:sz w:val="21"/>
      <w:szCs w:val="24"/>
    </w:rPr>
  </w:style>
  <w:style w:type="character" w:customStyle="1" w:styleId="77">
    <w:name w:val="批注文字 字符1"/>
    <w:qFormat/>
    <w:uiPriority w:val="0"/>
    <w:rPr>
      <w:kern w:val="2"/>
      <w:sz w:val="21"/>
      <w:szCs w:val="24"/>
    </w:rPr>
  </w:style>
  <w:style w:type="character" w:customStyle="1" w:styleId="78">
    <w:name w:val="font41"/>
    <w:qFormat/>
    <w:uiPriority w:val="0"/>
    <w:rPr>
      <w:rFonts w:hint="eastAsia" w:ascii="微软雅黑" w:hAnsi="微软雅黑" w:eastAsia="微软雅黑" w:cs="微软雅黑"/>
      <w:color w:val="000000"/>
      <w:sz w:val="28"/>
      <w:szCs w:val="28"/>
      <w:u w:val="none"/>
    </w:rPr>
  </w:style>
  <w:style w:type="character" w:customStyle="1" w:styleId="79">
    <w:name w:val="font01"/>
    <w:qFormat/>
    <w:uiPriority w:val="0"/>
    <w:rPr>
      <w:rFonts w:hint="eastAsia" w:ascii="宋体" w:hAnsi="宋体" w:eastAsia="宋体" w:cs="宋体"/>
      <w:color w:val="000000"/>
      <w:sz w:val="22"/>
      <w:szCs w:val="22"/>
      <w:u w:val="none"/>
    </w:rPr>
  </w:style>
  <w:style w:type="paragraph" w:customStyle="1" w:styleId="80">
    <w:name w:val="默认段落字体 Para Char Char Char Char Char Char Char Char Char1 Char Char Char Char"/>
    <w:basedOn w:val="1"/>
    <w:qFormat/>
    <w:uiPriority w:val="0"/>
    <w:rPr>
      <w:rFonts w:ascii="Tahoma" w:hAnsi="Tahoma"/>
      <w:sz w:val="24"/>
      <w:szCs w:val="20"/>
    </w:rPr>
  </w:style>
  <w:style w:type="paragraph" w:customStyle="1" w:styleId="81">
    <w:name w:val="&gt;须知前附表内容"/>
    <w:basedOn w:val="1"/>
    <w:qFormat/>
    <w:uiPriority w:val="0"/>
  </w:style>
  <w:style w:type="paragraph" w:customStyle="1" w:styleId="82">
    <w:name w:val="Default"/>
    <w:qFormat/>
    <w:uiPriority w:val="0"/>
    <w:pPr>
      <w:widowControl w:val="0"/>
      <w:autoSpaceDE w:val="0"/>
      <w:autoSpaceDN w:val="0"/>
      <w:jc w:val="both"/>
    </w:pPr>
    <w:rPr>
      <w:rFonts w:ascii="宋体" w:hAnsi="Times New Roman" w:eastAsia="宋体" w:cs="Times New Roman"/>
      <w:color w:val="000000"/>
      <w:kern w:val="2"/>
      <w:sz w:val="24"/>
      <w:szCs w:val="24"/>
      <w:lang w:val="en-US" w:eastAsia="zh-CN" w:bidi="ar-SA"/>
    </w:rPr>
  </w:style>
  <w:style w:type="paragraph" w:customStyle="1" w:styleId="83">
    <w:name w:val="目录 81"/>
    <w:basedOn w:val="1"/>
    <w:next w:val="1"/>
    <w:semiHidden/>
    <w:qFormat/>
    <w:uiPriority w:val="0"/>
    <w:pPr>
      <w:ind w:left="1470"/>
    </w:pPr>
    <w:rPr>
      <w:rFonts w:ascii="宋体"/>
      <w:sz w:val="18"/>
    </w:rPr>
  </w:style>
  <w:style w:type="paragraph" w:customStyle="1" w:styleId="84">
    <w:name w:val="列出段落1"/>
    <w:basedOn w:val="1"/>
    <w:qFormat/>
    <w:uiPriority w:val="34"/>
    <w:pPr>
      <w:ind w:firstLine="420" w:firstLineChars="200"/>
    </w:pPr>
    <w:rPr>
      <w:rFonts w:ascii="Calibri" w:hAnsi="Calibri"/>
      <w:szCs w:val="22"/>
    </w:rPr>
  </w:style>
  <w:style w:type="paragraph" w:customStyle="1" w:styleId="85">
    <w:name w:val="p0"/>
    <w:basedOn w:val="1"/>
    <w:qFormat/>
    <w:uiPriority w:val="0"/>
    <w:pPr>
      <w:widowControl/>
    </w:pPr>
    <w:rPr>
      <w:kern w:val="0"/>
      <w:szCs w:val="21"/>
    </w:rPr>
  </w:style>
  <w:style w:type="paragraph" w:customStyle="1" w:styleId="86">
    <w:name w:val="表内文字"/>
    <w:basedOn w:val="1"/>
    <w:qFormat/>
    <w:uiPriority w:val="0"/>
    <w:pPr>
      <w:spacing w:before="50" w:after="50"/>
      <w:jc w:val="center"/>
    </w:pPr>
    <w:rPr>
      <w:rFonts w:ascii="仿宋_GB2312" w:hAnsi="宋体" w:eastAsia="仿宋_GB2312"/>
      <w:b/>
      <w:color w:val="000000"/>
      <w:sz w:val="32"/>
      <w:szCs w:val="32"/>
    </w:rPr>
  </w:style>
  <w:style w:type="paragraph" w:styleId="87">
    <w:name w:val="List Paragraph"/>
    <w:basedOn w:val="1"/>
    <w:qFormat/>
    <w:uiPriority w:val="34"/>
    <w:pPr>
      <w:ind w:firstLine="420" w:firstLineChars="200"/>
    </w:pPr>
  </w:style>
  <w:style w:type="paragraph" w:customStyle="1" w:styleId="88">
    <w:name w:val="列出段落"/>
    <w:basedOn w:val="1"/>
    <w:qFormat/>
    <w:uiPriority w:val="34"/>
    <w:pPr>
      <w:ind w:firstLine="420" w:firstLineChars="200"/>
    </w:pPr>
  </w:style>
  <w:style w:type="paragraph" w:customStyle="1" w:styleId="89">
    <w:name w:val="正文首行缩进 21"/>
    <w:basedOn w:val="27"/>
    <w:qFormat/>
    <w:uiPriority w:val="0"/>
    <w:pPr>
      <w:spacing w:after="120"/>
      <w:ind w:left="420" w:firstLine="420"/>
    </w:pPr>
    <w:rPr>
      <w:szCs w:val="24"/>
    </w:rPr>
  </w:style>
  <w:style w:type="paragraph" w:customStyle="1" w:styleId="90">
    <w:name w:val="表格文字"/>
    <w:basedOn w:val="1"/>
    <w:qFormat/>
    <w:uiPriority w:val="0"/>
    <w:pPr>
      <w:spacing w:before="25" w:after="25"/>
      <w:jc w:val="left"/>
    </w:pPr>
    <w:rPr>
      <w:bCs/>
      <w:spacing w:val="10"/>
      <w:kern w:val="0"/>
      <w:sz w:val="24"/>
    </w:rPr>
  </w:style>
  <w:style w:type="paragraph" w:customStyle="1" w:styleId="91">
    <w:name w:val="BodyText1"/>
    <w:basedOn w:val="1"/>
    <w:qFormat/>
    <w:uiPriority w:val="0"/>
    <w:pPr>
      <w:spacing w:line="380" w:lineRule="exact"/>
    </w:pPr>
    <w:rPr>
      <w:sz w:val="24"/>
    </w:rPr>
  </w:style>
  <w:style w:type="paragraph" w:customStyle="1" w:styleId="92">
    <w:name w:val="Title1"/>
    <w:basedOn w:val="1"/>
    <w:next w:val="1"/>
    <w:qFormat/>
    <w:uiPriority w:val="0"/>
    <w:pPr>
      <w:jc w:val="center"/>
      <w:outlineLvl w:val="0"/>
    </w:pPr>
    <w:rPr>
      <w:rFonts w:ascii="Calibri Light" w:hAnsi="Calibri Light" w:eastAsia="Arial Unicode MS"/>
      <w:b/>
    </w:rPr>
  </w:style>
  <w:style w:type="paragraph" w:customStyle="1" w:styleId="93">
    <w:name w:val="正文1"/>
    <w:qFormat/>
    <w:uiPriority w:val="0"/>
    <w:pPr>
      <w:widowControl w:val="0"/>
      <w:spacing w:line="360" w:lineRule="auto"/>
      <w:jc w:val="both"/>
    </w:pPr>
    <w:rPr>
      <w:rFonts w:ascii="宋体" w:hAnsi="宋体" w:eastAsia="宋体" w:cs="Times New Roman"/>
      <w:kern w:val="2"/>
      <w:sz w:val="21"/>
      <w:szCs w:val="24"/>
      <w:lang w:val="en-US" w:eastAsia="zh-CN" w:bidi="ar-SA"/>
    </w:rPr>
  </w:style>
  <w:style w:type="paragraph" w:customStyle="1" w:styleId="94">
    <w:name w:val="Table Paragraph"/>
    <w:basedOn w:val="1"/>
    <w:qFormat/>
    <w:uiPriority w:val="1"/>
    <w:pPr>
      <w:jc w:val="left"/>
    </w:pPr>
    <w:rPr>
      <w:rFonts w:ascii="Calibri" w:hAnsi="Calibri"/>
      <w:kern w:val="0"/>
      <w:sz w:val="22"/>
      <w:szCs w:val="22"/>
      <w:lang w:eastAsia="en-US"/>
    </w:rPr>
  </w:style>
  <w:style w:type="paragraph" w:customStyle="1" w:styleId="95">
    <w:name w:val="Table Text"/>
    <w:basedOn w:val="1"/>
    <w:semiHidden/>
    <w:qFormat/>
    <w:uiPriority w:val="0"/>
    <w:rPr>
      <w:rFonts w:ascii="宋体" w:hAnsi="宋体" w:cs="宋体"/>
      <w:szCs w:val="21"/>
      <w:lang w:eastAsia="en-US"/>
    </w:rPr>
  </w:style>
  <w:style w:type="table" w:customStyle="1" w:styleId="96">
    <w:name w:val="Table Normal"/>
    <w:unhideWhenUsed/>
    <w:qFormat/>
    <w:uiPriority w:val="0"/>
    <w:tblPr>
      <w:tblCellMar>
        <w:top w:w="0" w:type="dxa"/>
        <w:left w:w="0" w:type="dxa"/>
        <w:bottom w:w="0" w:type="dxa"/>
        <w:right w:w="0" w:type="dxa"/>
      </w:tblCellMar>
    </w:tblPr>
  </w:style>
  <w:style w:type="paragraph" w:customStyle="1" w:styleId="97">
    <w:name w:val="纯文本1"/>
    <w:basedOn w:val="1"/>
    <w:next w:val="98"/>
    <w:qFormat/>
    <w:uiPriority w:val="0"/>
    <w:rPr>
      <w:rFonts w:ascii="宋体" w:hAnsi="Courier New"/>
      <w:kern w:val="0"/>
      <w:sz w:val="20"/>
      <w:szCs w:val="21"/>
    </w:rPr>
  </w:style>
  <w:style w:type="paragraph" w:customStyle="1" w:styleId="98">
    <w:name w:val="标题 41"/>
    <w:basedOn w:val="1"/>
    <w:next w:val="1"/>
    <w:qFormat/>
    <w:uiPriority w:val="0"/>
    <w:pPr>
      <w:keepNext/>
      <w:keepLines/>
      <w:numPr>
        <w:ilvl w:val="3"/>
        <w:numId w:val="1"/>
      </w:numPr>
      <w:spacing w:before="280" w:after="290" w:line="376" w:lineRule="auto"/>
      <w:outlineLvl w:val="3"/>
    </w:pPr>
    <w:rPr>
      <w:rFonts w:ascii="宋体" w:hAnsi="Arial" w:eastAsia="黑体"/>
      <w:b/>
      <w:sz w:val="24"/>
      <w:szCs w:val="20"/>
    </w:rPr>
  </w:style>
  <w:style w:type="paragraph" w:customStyle="1" w:styleId="99">
    <w:name w:val="正文首行缩进1"/>
    <w:basedOn w:val="100"/>
    <w:unhideWhenUsed/>
    <w:qFormat/>
    <w:uiPriority w:val="99"/>
    <w:pPr>
      <w:ind w:firstLine="420" w:firstLineChars="100"/>
    </w:pPr>
  </w:style>
  <w:style w:type="paragraph" w:customStyle="1" w:styleId="100">
    <w:name w:val="正文文本1"/>
    <w:basedOn w:val="1"/>
    <w:unhideWhenUsed/>
    <w:qFormat/>
    <w:uiPriority w:val="0"/>
    <w:pPr>
      <w:spacing w:after="120"/>
    </w:pPr>
  </w:style>
  <w:style w:type="paragraph" w:customStyle="1" w:styleId="101">
    <w:name w:val="段"/>
    <w:next w:val="1"/>
    <w:qFormat/>
    <w:uiPriority w:val="0"/>
    <w:pPr>
      <w:tabs>
        <w:tab w:val="center" w:pos="4201"/>
        <w:tab w:val="right" w:leader="dot" w:pos="9298"/>
      </w:tabs>
      <w:autoSpaceDE w:val="0"/>
      <w:autoSpaceDN w:val="0"/>
      <w:spacing w:line="360" w:lineRule="auto"/>
      <w:ind w:firstLine="420" w:firstLineChars="200"/>
      <w:jc w:val="both"/>
    </w:pPr>
    <w:rPr>
      <w:rFonts w:ascii="宋体" w:hAnsi="宋体" w:eastAsia="宋体" w:cs="Times New Roman"/>
      <w:sz w:val="24"/>
      <w:szCs w:val="22"/>
      <w:lang w:val="en-US" w:eastAsia="zh-CN" w:bidi="ar-SA"/>
    </w:rPr>
  </w:style>
  <w:style w:type="character" w:customStyle="1" w:styleId="102">
    <w:name w:val="批注文字 字符"/>
    <w:link w:val="3"/>
    <w:qFormat/>
    <w:uiPriority w:val="0"/>
    <w:rPr>
      <w:kern w:val="2"/>
      <w:sz w:val="21"/>
      <w:szCs w:val="24"/>
    </w:rPr>
  </w:style>
  <w:style w:type="character" w:customStyle="1" w:styleId="103">
    <w:name w:val="批注主题 字符"/>
    <w:link w:val="5"/>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https://www.gov.cn/zhengce/content/202509/W020250930645245947614.png" TargetMode="Externa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2054"/>
    <customShpInfo spid="_x0000_s2051"/>
    <customShpInfo spid="_x0000_s2052"/>
  </customShpExts>
</s:customData>
</file>

<file path=customXml/item2.xml><?xml version="1.0" encoding="utf-8"?>
<contractReview xmlns="http://schemas.wps.cn/vas-ai-hub/contract-review">
  <reviewItems>
    <reviewItem>
      <errorID>cbac2345-3d39-4c5e-863c-0c52dfa6ad03</errorID>
      <errorWord>上午0:00</errorWord>
      <group>L1_Knowledge</group>
      <groupName>知识性问题</groupName>
      <ability>L2_Time</ability>
      <abilityName>日期时间</abilityName>
      <candidateList/>
      <explain>时间与前缀不匹配，可能的时间前缀有“下午、晚上、凌晨、午夜”。</explain>
      <paraID>1DB884D8</paraID>
      <start>48</start>
      <end>54</end>
      <status>unmodified</status>
      <modifiedWord/>
      <trackRevisions>false</trackRevisions>
    </reviewItem>
    <reviewItem>
      <errorID>f0074919-437e-411a-bc92-a6586acb1ac8</errorID>
      <errorWord>接受</errorWord>
      <group>L1_Word</group>
      <groupName>字词问题</groupName>
      <ability>L2_Typo</ability>
      <abilityName>字词错误</abilityName>
      <candidateList>
        <item>接收</item>
      </candidateList>
      <explain>存在发音相同字词的误用。</explain>
      <paraID>39C73823</paraID>
      <start>3</start>
      <end>5</end>
      <status>modified</status>
      <modifiedWord>接收</modifiedWord>
      <trackRevisions>false</trackRevisions>
    </reviewItem>
    <reviewItem>
      <errorID>3065c018-5669-49f1-80d2-061c0c7a35cd</errorID>
      <errorWord>式</errorWord>
      <group>L1_Word</group>
      <groupName>字词问题</groupName>
      <ability>L2_Typo</ability>
      <abilityName>字词错误</abilityName>
      <candidateList>
        <item>式向</item>
      </candidateList>
      <explain/>
      <paraID>702D8F1E</paraID>
      <start>25</start>
      <end>26</end>
      <status>unmodified</status>
      <modifiedWord/>
      <trackRevisions>false</trackRevisions>
    </reviewItem>
    <reviewItem>
      <errorID>a7b9a0b5-c2b9-4fed-82c8-0eb91d1bb0c1</errorID>
      <errorWord>间</errorWord>
      <group>L1_Word</group>
      <groupName>字词问题</groupName>
      <ability>L2_Typo</ability>
      <abilityName>字词错误</abilityName>
      <candidateList>
        <item>间之</item>
      </candidateList>
      <explain/>
      <paraID> 9441326</paraID>
      <start>14</start>
      <end>15</end>
      <status>unmodified</status>
      <modifiedWord/>
      <trackRevisions>false</trackRevisions>
    </reviewItem>
    <reviewItem>
      <errorID>9841c8be-4034-4881-ae8a-3eafa2000fcb</errorID>
      <errorWord>日</errorWord>
      <group>L1_Word</group>
      <groupName>字词问题</groupName>
      <ability>L2_Typo</ability>
      <abilityName>字词错误</abilityName>
      <candidateList>
        <item>日内</item>
      </candidateList>
      <explain/>
      <paraID>6466131B</paraID>
      <start>39</start>
      <end>40</end>
      <status>unmodified</status>
      <modifiedWord/>
      <trackRevisions>false</trackRevisions>
    </reviewItem>
    <reviewItem>
      <errorID>6c66838f-db7a-49d1-a74d-a176457d0b2d</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48C64294</paraID>
      <start>19</start>
      <end>21</end>
      <status>unmodified</status>
      <modifiedWord/>
      <trackRevisions>false</trackRevisions>
    </reviewItem>
    <reviewItem>
      <errorID>aafe7b30-1d66-4de3-bf9b-db783a803be1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7DFC10CD</paraID>
      <start>41</start>
      <end>44</end>
      <status>unmodified</status>
      <modifiedWord/>
      <trackRevisions>false</trackRevisions>
    </reviewItem>
    <reviewItem>
      <errorID>6a6b5bad-c5af-4841-8d0f-e3e16f1c0dad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7DFC10CD</paraID>
      <start>59</start>
      <end>62</end>
      <status>unmodified</status>
      <modifiedWord/>
      <trackRevisions>false</trackRevisions>
    </reviewItem>
    <reviewItem>
      <errorID>60c9d451-2fe9-4ab5-a91e-f0fe04eb1c57</errorID>
      <errorWord>做为</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3EFF24A6</paraID>
      <start>43</start>
      <end>45</end>
      <status>unmodified</status>
      <modifiedWord/>
      <trackRevisions>false</trackRevisions>
    </reviewItem>
    <reviewItem>
      <errorID>1e85f03a-8d03-476b-9ac7-db779b319a40</errorID>
      <errorWord>三农</errorWord>
      <group>L1_Political</group>
      <groupName>政治性问题</groupName>
      <ability>L2_Keyword</ability>
      <abilityName>固定表述</abilityName>
      <candidateList>
        <item>“三农”</item>
      </candidateList>
      <explain>注意检查当前固定表述标点是否使用规范。</explain>
      <paraID>6B6F25B7</paraID>
      <start>5</start>
      <end>7</end>
      <status>unmodified</status>
      <modifiedWord/>
      <trackRevisions>false</trackRevisions>
    </reviewItem>
    <reviewItem>
      <errorID>124eda55-36d9-474e-a2f1-57fe2a8e9c75</errorID>
      <errorWord>三农</errorWord>
      <group>L1_Political</group>
      <groupName>政治性问题</groupName>
      <ability>L2_Keyword</ability>
      <abilityName>固定表述</abilityName>
      <candidateList>
        <item>“三农”</item>
      </candidateList>
      <explain>注意检查当前固定表述标点是否使用规范。</explain>
      <paraID>   C7E8A</paraID>
      <start>5</start>
      <end>7</end>
      <status>unmodified</status>
      <modifiedWord/>
      <trackRevisions>false</trackRevisions>
    </reviewItem>
    <reviewItem>
      <errorID>901f9934-64bd-4b79-ba1d-066b24ba8486</errorID>
      <errorWord>幢楼</errorWord>
      <group>L1_Word</group>
      <groupName>字词问题</groupName>
      <ability>L2_Typo</ability>
      <abilityName>字词错误</abilityName>
      <candidateList>
        <item>幢</item>
      </candidateList>
      <explain/>
      <paraID> D191E8B</paraID>
      <start>25</start>
      <end>27</end>
      <status>unmodified</status>
      <modifiedWord/>
      <trackRevisions>false</trackRevisions>
    </reviewItem>
    <reviewItem>
      <errorID>1bd805d9-8d77-4513-8835-7bbcdad6ff4e</errorID>
      <errorWord>三农</errorWord>
      <group>L1_Political</group>
      <groupName>政治性问题</groupName>
      <ability>L2_Keyword</ability>
      <abilityName>固定表述</abilityName>
      <candidateList>
        <item>“三农”</item>
      </candidateList>
      <explain>注意检查当前固定表述标点是否使用规范。</explain>
      <paraID>2B7BBBFA</paraID>
      <start>5</start>
      <end>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0669d4-5a85-4d56-b542-a33e3b045333}">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Company>
  <Pages>71</Pages>
  <Words>17513</Words>
  <Characters>18606</Characters>
  <Lines>337</Lines>
  <Paragraphs>95</Paragraphs>
  <TotalTime>15</TotalTime>
  <ScaleCrop>false</ScaleCrop>
  <LinksUpToDate>false</LinksUpToDate>
  <CharactersWithSpaces>18894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2020-10-16T09:42:00Z</dcterms:created>
  <dc:creator>唐</dc:creator>
  <cp:lastModifiedBy>小鱼宝宝1415000419</cp:lastModifiedBy>
  <dcterms:modified xsi:type="dcterms:W3CDTF">2026-03-30T04:09:38Z</dcterms:modified>
  <dc:title>竞争性谈判</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eyJoZGlkIjoiYjUxN2E0MGRhNzFjOWQ5OTE4ODM4NmUzYWUxYThlNzgiLCJ1c2VySWQiOiIyNDI0MjAwMyJ9</vt:lpwstr>
  </property>
  <property fmtid="{D5CDD505-2E9C-101B-9397-08002B2CF9AE}" pid="3" name="KSOProductBuildVer">
    <vt:lpwstr>2052-12.1.0.25225</vt:lpwstr>
  </property>
  <property fmtid="{D5CDD505-2E9C-101B-9397-08002B2CF9AE}" pid="4" name="ICV">
    <vt:lpwstr>87D7E290B7E74FA3B6E173D37A1349DA_12</vt:lpwstr>
  </property>
</Properties>
</file>