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B7FA3">
      <w:pPr>
        <w:spacing w:line="360" w:lineRule="auto"/>
        <w:jc w:val="center"/>
        <w:rPr>
          <w:rFonts w:ascii="宋体" w:hAnsi="宋体" w:cs="方正小标宋简体"/>
          <w:b/>
          <w:color w:val="auto"/>
          <w:sz w:val="52"/>
          <w:szCs w:val="52"/>
          <w:highlight w:val="none"/>
        </w:rPr>
      </w:pPr>
      <w:r>
        <w:rPr>
          <w:rFonts w:hint="eastAsia" w:ascii="宋体" w:hAnsi="宋体"/>
          <w:b/>
          <w:color w:val="auto"/>
          <w:sz w:val="52"/>
          <w:szCs w:val="52"/>
          <w:highlight w:val="none"/>
        </w:rPr>
        <w:t>云之龙咨询集团有限公司</w:t>
      </w:r>
    </w:p>
    <w:p w14:paraId="03503264">
      <w:pPr>
        <w:spacing w:line="360" w:lineRule="auto"/>
        <w:jc w:val="center"/>
        <w:rPr>
          <w:rFonts w:ascii="宋体" w:hAnsi="宋体" w:cs="方正小标宋简体"/>
          <w:b/>
          <w:color w:val="auto"/>
          <w:sz w:val="44"/>
          <w:szCs w:val="44"/>
          <w:highlight w:val="none"/>
        </w:rPr>
      </w:pPr>
    </w:p>
    <w:p w14:paraId="6C096B77">
      <w:pPr>
        <w:pStyle w:val="16"/>
        <w:rPr>
          <w:color w:val="auto"/>
          <w:highlight w:val="none"/>
        </w:rPr>
      </w:pPr>
    </w:p>
    <w:p w14:paraId="4FBDA235">
      <w:pPr>
        <w:pStyle w:val="16"/>
        <w:rPr>
          <w:color w:val="auto"/>
          <w:highlight w:val="none"/>
        </w:rPr>
      </w:pPr>
    </w:p>
    <w:p w14:paraId="664E8DA5">
      <w:pPr>
        <w:pStyle w:val="16"/>
        <w:rPr>
          <w:color w:val="auto"/>
          <w:highlight w:val="none"/>
        </w:rPr>
      </w:pPr>
    </w:p>
    <w:p w14:paraId="2350D680">
      <w:pPr>
        <w:spacing w:line="360" w:lineRule="auto"/>
        <w:jc w:val="center"/>
        <w:rPr>
          <w:rFonts w:ascii="宋体" w:hAnsi="宋体"/>
          <w:color w:val="auto"/>
          <w:sz w:val="120"/>
          <w:szCs w:val="120"/>
          <w:highlight w:val="none"/>
        </w:rPr>
      </w:pPr>
      <w:r>
        <w:rPr>
          <w:rFonts w:hint="eastAsia" w:ascii="宋体" w:hAnsi="宋体"/>
          <w:color w:val="auto"/>
          <w:sz w:val="120"/>
          <w:szCs w:val="120"/>
          <w:highlight w:val="none"/>
        </w:rPr>
        <w:t>竞争性磋商文件</w:t>
      </w:r>
    </w:p>
    <w:p w14:paraId="51950FEE">
      <w:pPr>
        <w:spacing w:line="360" w:lineRule="auto"/>
        <w:jc w:val="center"/>
        <w:rPr>
          <w:rFonts w:ascii="宋体" w:hAnsi="宋体"/>
          <w:b/>
          <w:color w:val="auto"/>
          <w:sz w:val="48"/>
          <w:szCs w:val="48"/>
          <w:highlight w:val="none"/>
        </w:rPr>
      </w:pPr>
      <w:r>
        <w:rPr>
          <w:rFonts w:hint="eastAsia" w:ascii="宋体" w:hAnsi="宋体"/>
          <w:b/>
          <w:color w:val="auto"/>
          <w:sz w:val="48"/>
          <w:szCs w:val="48"/>
          <w:highlight w:val="none"/>
        </w:rPr>
        <w:t>（全流程电子化采购）</w:t>
      </w:r>
    </w:p>
    <w:p w14:paraId="06BB69BD">
      <w:pPr>
        <w:spacing w:line="360" w:lineRule="auto"/>
        <w:jc w:val="center"/>
        <w:rPr>
          <w:rFonts w:ascii="宋体" w:hAnsi="宋体"/>
          <w:b/>
          <w:color w:val="auto"/>
          <w:sz w:val="30"/>
          <w:szCs w:val="72"/>
          <w:highlight w:val="none"/>
        </w:rPr>
      </w:pPr>
    </w:p>
    <w:p w14:paraId="00CF507A">
      <w:pPr>
        <w:spacing w:line="360" w:lineRule="auto"/>
        <w:rPr>
          <w:rFonts w:ascii="宋体" w:hAnsi="宋体"/>
          <w:color w:val="auto"/>
          <w:sz w:val="30"/>
          <w:szCs w:val="72"/>
          <w:highlight w:val="none"/>
        </w:rPr>
      </w:pPr>
    </w:p>
    <w:p w14:paraId="7AB1DDB5">
      <w:pPr>
        <w:spacing w:line="360" w:lineRule="auto"/>
        <w:ind w:left="2403" w:leftChars="284" w:hanging="1807" w:hangingChars="600"/>
        <w:rPr>
          <w:rFonts w:hint="eastAsia" w:hAnsi="宋体"/>
          <w:b/>
          <w:bCs/>
          <w:color w:val="auto"/>
          <w:sz w:val="30"/>
          <w:szCs w:val="30"/>
          <w:highlight w:val="none"/>
        </w:rPr>
      </w:pPr>
      <w:r>
        <w:rPr>
          <w:rFonts w:hint="eastAsia" w:hAnsi="宋体"/>
          <w:b/>
          <w:bCs/>
          <w:color w:val="auto"/>
          <w:sz w:val="30"/>
          <w:szCs w:val="30"/>
          <w:highlight w:val="none"/>
        </w:rPr>
        <w:t>项目</w:t>
      </w:r>
      <w:r>
        <w:rPr>
          <w:rFonts w:hint="eastAsia" w:hAnsi="宋体" w:cs="Courier New"/>
          <w:b/>
          <w:bCs/>
          <w:color w:val="auto"/>
          <w:w w:val="95"/>
          <w:sz w:val="30"/>
          <w:szCs w:val="30"/>
          <w:highlight w:val="none"/>
        </w:rPr>
        <w:t>名称</w:t>
      </w:r>
      <w:r>
        <w:rPr>
          <w:rFonts w:hint="eastAsia" w:hAnsi="宋体"/>
          <w:b/>
          <w:bCs/>
          <w:color w:val="auto"/>
          <w:sz w:val="30"/>
          <w:szCs w:val="30"/>
          <w:highlight w:val="none"/>
        </w:rPr>
        <w:t>：2026年度全市公安民警、机关辅警人身意外伤害及重大疾病商业保险服务项目</w:t>
      </w:r>
    </w:p>
    <w:p w14:paraId="06844467">
      <w:pPr>
        <w:spacing w:line="360" w:lineRule="auto"/>
        <w:ind w:firstLine="599" w:firstLineChars="199"/>
        <w:rPr>
          <w:rFonts w:hint="eastAsia" w:ascii="宋体" w:hAnsi="宋体"/>
          <w:b/>
          <w:bCs/>
          <w:color w:val="auto"/>
          <w:kern w:val="0"/>
          <w:sz w:val="30"/>
          <w:szCs w:val="30"/>
          <w:highlight w:val="none"/>
        </w:rPr>
      </w:pPr>
    </w:p>
    <w:p w14:paraId="61B7B8D3">
      <w:pPr>
        <w:spacing w:line="360" w:lineRule="auto"/>
        <w:ind w:firstLine="599" w:firstLineChars="199"/>
        <w:rPr>
          <w:rFonts w:ascii="宋体" w:hAnsi="宋体" w:eastAsia="宋体"/>
          <w:b/>
          <w:bCs/>
          <w:color w:val="auto"/>
          <w:kern w:val="0"/>
          <w:sz w:val="30"/>
          <w:szCs w:val="30"/>
          <w:highlight w:val="none"/>
          <w:lang w:val="en-US" w:eastAsia="zh-CN"/>
        </w:rPr>
      </w:pPr>
      <w:r>
        <w:rPr>
          <w:rFonts w:hint="eastAsia" w:ascii="宋体" w:hAnsi="宋体"/>
          <w:b/>
          <w:bCs/>
          <w:color w:val="auto"/>
          <w:kern w:val="0"/>
          <w:sz w:val="30"/>
          <w:szCs w:val="30"/>
          <w:highlight w:val="none"/>
        </w:rPr>
        <w:t>项目编号：FCZC2026-C3-990009-YZLZ</w:t>
      </w:r>
    </w:p>
    <w:p w14:paraId="5717F027">
      <w:pPr>
        <w:spacing w:line="360" w:lineRule="auto"/>
        <w:ind w:firstLine="1205" w:firstLineChars="400"/>
        <w:jc w:val="center"/>
        <w:rPr>
          <w:rFonts w:ascii="宋体" w:hAnsi="宋体"/>
          <w:b/>
          <w:bCs/>
          <w:color w:val="auto"/>
          <w:kern w:val="0"/>
          <w:sz w:val="30"/>
          <w:szCs w:val="30"/>
          <w:highlight w:val="none"/>
        </w:rPr>
      </w:pPr>
    </w:p>
    <w:p w14:paraId="416D1D75">
      <w:pPr>
        <w:pStyle w:val="34"/>
        <w:spacing w:line="360" w:lineRule="auto"/>
        <w:ind w:firstLine="599" w:firstLineChars="199"/>
        <w:rPr>
          <w:rFonts w:hAnsi="宋体"/>
          <w:b/>
          <w:bCs/>
          <w:color w:val="auto"/>
          <w:sz w:val="30"/>
          <w:szCs w:val="30"/>
          <w:highlight w:val="none"/>
        </w:rPr>
      </w:pPr>
      <w:r>
        <w:rPr>
          <w:rFonts w:hint="eastAsia" w:hAnsi="宋体"/>
          <w:b/>
          <w:bCs/>
          <w:color w:val="auto"/>
          <w:sz w:val="30"/>
          <w:szCs w:val="30"/>
          <w:highlight w:val="none"/>
        </w:rPr>
        <w:t>采 购 人：防城港市公安局 </w:t>
      </w:r>
    </w:p>
    <w:p w14:paraId="4090BD0F">
      <w:pPr>
        <w:pStyle w:val="34"/>
        <w:spacing w:line="360" w:lineRule="auto"/>
        <w:ind w:firstLine="904" w:firstLineChars="300"/>
        <w:jc w:val="center"/>
        <w:rPr>
          <w:rFonts w:hAnsi="宋体"/>
          <w:b/>
          <w:bCs/>
          <w:color w:val="auto"/>
          <w:sz w:val="30"/>
          <w:szCs w:val="30"/>
          <w:highlight w:val="none"/>
        </w:rPr>
      </w:pPr>
    </w:p>
    <w:p w14:paraId="535F9CD7">
      <w:pPr>
        <w:pStyle w:val="34"/>
        <w:spacing w:line="360" w:lineRule="auto"/>
        <w:ind w:firstLine="599" w:firstLineChars="199"/>
        <w:rPr>
          <w:rFonts w:hAnsi="宋体"/>
          <w:b/>
          <w:bCs/>
          <w:color w:val="auto"/>
          <w:sz w:val="30"/>
          <w:szCs w:val="30"/>
          <w:highlight w:val="none"/>
        </w:rPr>
      </w:pPr>
      <w:r>
        <w:rPr>
          <w:rFonts w:hint="eastAsia" w:hAnsi="宋体"/>
          <w:b/>
          <w:bCs/>
          <w:color w:val="auto"/>
          <w:sz w:val="30"/>
          <w:szCs w:val="30"/>
          <w:highlight w:val="none"/>
        </w:rPr>
        <w:t>采购代理机构：云之龙咨询集团有限公司</w:t>
      </w:r>
    </w:p>
    <w:p w14:paraId="56B4EAAA">
      <w:pPr>
        <w:pStyle w:val="34"/>
        <w:spacing w:line="360" w:lineRule="auto"/>
        <w:ind w:firstLine="1125" w:firstLineChars="393"/>
        <w:rPr>
          <w:rFonts w:hAnsi="宋体"/>
          <w:b/>
          <w:bCs/>
          <w:color w:val="auto"/>
          <w:w w:val="95"/>
          <w:sz w:val="30"/>
          <w:szCs w:val="30"/>
          <w:highlight w:val="none"/>
        </w:rPr>
      </w:pPr>
    </w:p>
    <w:p w14:paraId="3E5AC82B">
      <w:pPr>
        <w:pStyle w:val="34"/>
        <w:spacing w:line="360" w:lineRule="auto"/>
        <w:jc w:val="center"/>
        <w:rPr>
          <w:rFonts w:hAnsi="宋体"/>
          <w:color w:val="auto"/>
          <w:szCs w:val="20"/>
          <w:highlight w:val="none"/>
        </w:rPr>
      </w:pPr>
      <w:r>
        <w:rPr>
          <w:rFonts w:hint="eastAsia" w:hAnsi="宋体"/>
          <w:b/>
          <w:bCs/>
          <w:color w:val="auto"/>
          <w:w w:val="95"/>
          <w:sz w:val="30"/>
          <w:szCs w:val="30"/>
          <w:highlight w:val="none"/>
        </w:rPr>
        <w:t>202</w:t>
      </w:r>
      <w:r>
        <w:rPr>
          <w:rFonts w:hint="eastAsia" w:hAnsi="宋体"/>
          <w:b/>
          <w:bCs/>
          <w:color w:val="auto"/>
          <w:w w:val="95"/>
          <w:sz w:val="30"/>
          <w:szCs w:val="30"/>
          <w:highlight w:val="none"/>
          <w:lang w:val="en-US" w:eastAsia="zh-CN"/>
        </w:rPr>
        <w:t>6</w:t>
      </w:r>
      <w:r>
        <w:rPr>
          <w:rFonts w:hint="eastAsia" w:hAnsi="宋体"/>
          <w:b/>
          <w:bCs/>
          <w:color w:val="auto"/>
          <w:w w:val="95"/>
          <w:sz w:val="30"/>
          <w:szCs w:val="30"/>
          <w:highlight w:val="none"/>
        </w:rPr>
        <w:t>年</w:t>
      </w:r>
      <w:r>
        <w:rPr>
          <w:rFonts w:hint="eastAsia" w:hAnsi="宋体"/>
          <w:b/>
          <w:bCs/>
          <w:color w:val="auto"/>
          <w:w w:val="95"/>
          <w:sz w:val="30"/>
          <w:szCs w:val="30"/>
          <w:highlight w:val="none"/>
          <w:lang w:val="en-US" w:eastAsia="zh-CN"/>
        </w:rPr>
        <w:t>2</w:t>
      </w:r>
      <w:r>
        <w:rPr>
          <w:rFonts w:hint="eastAsia" w:hAnsi="宋体"/>
          <w:b/>
          <w:bCs/>
          <w:color w:val="auto"/>
          <w:w w:val="95"/>
          <w:sz w:val="30"/>
          <w:szCs w:val="30"/>
          <w:highlight w:val="none"/>
        </w:rPr>
        <w:t>月</w:t>
      </w:r>
    </w:p>
    <w:p w14:paraId="4F12C2DB">
      <w:pPr>
        <w:spacing w:line="360" w:lineRule="auto"/>
        <w:jc w:val="center"/>
        <w:rPr>
          <w:rFonts w:ascii="宋体" w:hAnsi="宋体" w:cs="宋体"/>
          <w:b/>
          <w:bCs/>
          <w:color w:val="auto"/>
          <w:kern w:val="0"/>
          <w:sz w:val="32"/>
          <w:szCs w:val="32"/>
          <w:highlight w:val="none"/>
        </w:rPr>
      </w:pPr>
    </w:p>
    <w:p w14:paraId="31C8F57E">
      <w:pPr>
        <w:spacing w:line="360" w:lineRule="auto"/>
        <w:jc w:val="center"/>
        <w:rPr>
          <w:rFonts w:ascii="宋体" w:hAnsi="宋体"/>
          <w:b/>
          <w:color w:val="auto"/>
          <w:sz w:val="44"/>
          <w:szCs w:val="44"/>
          <w:highlight w:val="none"/>
        </w:rPr>
      </w:pPr>
      <w:r>
        <w:rPr>
          <w:rFonts w:ascii="黑体" w:hAnsi="黑体" w:eastAsia="黑体" w:cs="宋体"/>
          <w:b/>
          <w:bCs/>
          <w:color w:val="auto"/>
          <w:kern w:val="0"/>
          <w:sz w:val="32"/>
          <w:szCs w:val="32"/>
          <w:highlight w:val="none"/>
        </w:rPr>
        <w:br w:type="page"/>
      </w:r>
      <w:r>
        <w:rPr>
          <w:rFonts w:hint="eastAsia" w:ascii="宋体" w:hAnsi="宋体"/>
          <w:b/>
          <w:color w:val="auto"/>
          <w:sz w:val="44"/>
          <w:szCs w:val="44"/>
          <w:highlight w:val="none"/>
        </w:rPr>
        <w:t>目  录</w:t>
      </w:r>
    </w:p>
    <w:p w14:paraId="45259867">
      <w:pPr>
        <w:spacing w:line="400" w:lineRule="exact"/>
        <w:jc w:val="center"/>
        <w:rPr>
          <w:rFonts w:ascii="宋体" w:hAnsi="宋体"/>
          <w:b/>
          <w:color w:val="auto"/>
          <w:sz w:val="44"/>
          <w:szCs w:val="44"/>
          <w:highlight w:val="none"/>
        </w:rPr>
      </w:pPr>
    </w:p>
    <w:p w14:paraId="247480CE">
      <w:pPr>
        <w:pStyle w:val="43"/>
        <w:tabs>
          <w:tab w:val="right" w:leader="dot" w:pos="8869"/>
        </w:tabs>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Fonts w:hint="eastAsia" w:ascii="宋体" w:hAnsi="宋体"/>
          <w:b/>
          <w:color w:val="auto"/>
          <w:sz w:val="24"/>
          <w:highlight w:val="none"/>
        </w:rPr>
        <w:t>第一章</w:t>
      </w:r>
      <w:r>
        <w:rPr>
          <w:rFonts w:ascii="宋体" w:hAnsi="宋体"/>
          <w:b/>
          <w:color w:val="auto"/>
          <w:sz w:val="24"/>
          <w:highlight w:val="none"/>
        </w:rPr>
        <w:t xml:space="preserve"> </w:t>
      </w:r>
      <w:r>
        <w:rPr>
          <w:rFonts w:hint="eastAsia" w:ascii="宋体" w:hAnsi="宋体"/>
          <w:b/>
          <w:color w:val="auto"/>
          <w:sz w:val="24"/>
          <w:highlight w:val="none"/>
        </w:rPr>
        <w:t>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2</w:t>
      </w:r>
      <w:r>
        <w:rPr>
          <w:rFonts w:ascii="宋体" w:hAnsi="宋体"/>
          <w:b/>
          <w:color w:val="auto"/>
          <w:sz w:val="24"/>
          <w:highlight w:val="none"/>
        </w:rPr>
        <w:fldChar w:fldCharType="end"/>
      </w:r>
      <w:r>
        <w:rPr>
          <w:rFonts w:ascii="宋体" w:hAnsi="宋体"/>
          <w:b/>
          <w:color w:val="auto"/>
          <w:sz w:val="24"/>
          <w:highlight w:val="none"/>
        </w:rPr>
        <w:fldChar w:fldCharType="end"/>
      </w:r>
    </w:p>
    <w:p w14:paraId="0999B652">
      <w:pPr>
        <w:pStyle w:val="43"/>
        <w:tabs>
          <w:tab w:val="right" w:leader="dot" w:pos="8869"/>
        </w:tabs>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Fonts w:hint="eastAsia" w:ascii="宋体" w:hAnsi="宋体"/>
          <w:b/>
          <w:color w:val="auto"/>
          <w:sz w:val="24"/>
          <w:highlight w:val="none"/>
        </w:rPr>
        <w:t>第二章</w:t>
      </w:r>
      <w:r>
        <w:rPr>
          <w:rFonts w:ascii="宋体" w:hAnsi="宋体"/>
          <w:b/>
          <w:color w:val="auto"/>
          <w:sz w:val="24"/>
          <w:highlight w:val="none"/>
        </w:rPr>
        <w:t xml:space="preserve"> </w:t>
      </w:r>
      <w:r>
        <w:rPr>
          <w:rFonts w:hint="eastAsia" w:ascii="宋体" w:hAnsi="宋体"/>
          <w:b/>
          <w:color w:val="auto"/>
          <w:sz w:val="24"/>
          <w:highlight w:val="none"/>
        </w:rPr>
        <w:t>供应</w:t>
      </w:r>
      <w:bookmarkStart w:id="0" w:name="_Hlt82161237"/>
      <w:r>
        <w:rPr>
          <w:rFonts w:hint="eastAsia" w:ascii="宋体" w:hAnsi="宋体"/>
          <w:b/>
          <w:color w:val="auto"/>
          <w:sz w:val="24"/>
          <w:highlight w:val="none"/>
        </w:rPr>
        <w:t>商</w:t>
      </w:r>
      <w:bookmarkEnd w:id="0"/>
      <w:r>
        <w:rPr>
          <w:rFonts w:hint="eastAsia" w:ascii="宋体" w:hAnsi="宋体"/>
          <w:b/>
          <w:color w:val="auto"/>
          <w:sz w:val="24"/>
          <w:highlight w:val="none"/>
        </w:rPr>
        <w:t>须知</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_Toc74323457 \h </w:instrText>
      </w:r>
      <w:r>
        <w:rPr>
          <w:rFonts w:ascii="宋体" w:hAnsi="宋体"/>
          <w:b/>
          <w:color w:val="auto"/>
          <w:sz w:val="24"/>
          <w:highlight w:val="none"/>
        </w:rPr>
        <w:fldChar w:fldCharType="separate"/>
      </w:r>
      <w:r>
        <w:rPr>
          <w:rFonts w:ascii="宋体" w:hAnsi="宋体"/>
          <w:b/>
          <w:color w:val="auto"/>
          <w:sz w:val="24"/>
          <w:highlight w:val="none"/>
        </w:rPr>
        <w:t>5</w:t>
      </w:r>
      <w:r>
        <w:rPr>
          <w:rFonts w:ascii="宋体" w:hAnsi="宋体"/>
          <w:b/>
          <w:color w:val="auto"/>
          <w:sz w:val="24"/>
          <w:highlight w:val="none"/>
        </w:rPr>
        <w:fldChar w:fldCharType="end"/>
      </w:r>
      <w:r>
        <w:rPr>
          <w:rFonts w:ascii="宋体" w:hAnsi="宋体"/>
          <w:b/>
          <w:color w:val="auto"/>
          <w:sz w:val="24"/>
          <w:highlight w:val="none"/>
        </w:rPr>
        <w:fldChar w:fldCharType="end"/>
      </w:r>
    </w:p>
    <w:p w14:paraId="1E7D5320">
      <w:pPr>
        <w:pStyle w:val="43"/>
        <w:tabs>
          <w:tab w:val="right" w:leader="dot" w:pos="8869"/>
        </w:tabs>
        <w:spacing w:line="500" w:lineRule="atLeast"/>
        <w:rPr>
          <w:rFonts w:hint="eastAsia" w:ascii="宋体" w:hAnsi="宋体" w:eastAsia="宋体"/>
          <w:b/>
          <w:color w:val="auto"/>
          <w:sz w:val="24"/>
          <w:highlight w:val="none"/>
          <w:lang w:val="en-US" w:eastAsia="zh-CN"/>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Fonts w:hint="eastAsia" w:ascii="宋体" w:hAnsi="宋体"/>
          <w:b/>
          <w:color w:val="auto"/>
          <w:sz w:val="24"/>
          <w:highlight w:val="none"/>
        </w:rPr>
        <w:t>第三章</w:t>
      </w:r>
      <w:r>
        <w:rPr>
          <w:rFonts w:ascii="宋体" w:hAnsi="宋体"/>
          <w:b/>
          <w:color w:val="auto"/>
          <w:sz w:val="24"/>
          <w:highlight w:val="none"/>
        </w:rPr>
        <w:t xml:space="preserve"> </w:t>
      </w:r>
      <w:r>
        <w:rPr>
          <w:rFonts w:hint="eastAsia" w:ascii="宋体" w:hAnsi="宋体"/>
          <w:b/>
          <w:color w:val="auto"/>
          <w:sz w:val="24"/>
          <w:highlight w:val="none"/>
        </w:rPr>
        <w:t>采购需</w:t>
      </w:r>
      <w:bookmarkStart w:id="1" w:name="_Hlt82166940"/>
      <w:r>
        <w:rPr>
          <w:rFonts w:hint="eastAsia" w:ascii="宋体" w:hAnsi="宋体"/>
          <w:b/>
          <w:color w:val="auto"/>
          <w:sz w:val="24"/>
          <w:highlight w:val="none"/>
        </w:rPr>
        <w:t>求</w:t>
      </w:r>
      <w:bookmarkEnd w:id="1"/>
      <w:r>
        <w:rPr>
          <w:rFonts w:ascii="宋体" w:hAnsi="宋体"/>
          <w:b/>
          <w:color w:val="auto"/>
          <w:sz w:val="24"/>
          <w:highlight w:val="none"/>
        </w:rPr>
        <w:tab/>
      </w:r>
      <w:r>
        <w:rPr>
          <w:rFonts w:hint="eastAsia" w:ascii="宋体" w:hAnsi="宋体"/>
          <w:b/>
          <w:color w:val="auto"/>
          <w:sz w:val="24"/>
          <w:highlight w:val="none"/>
          <w:lang w:val="en-US" w:eastAsia="zh-CN"/>
        </w:rPr>
        <w:t>2</w:t>
      </w:r>
      <w:r>
        <w:rPr>
          <w:rFonts w:ascii="宋体" w:hAnsi="宋体"/>
          <w:b/>
          <w:color w:val="auto"/>
          <w:sz w:val="24"/>
          <w:highlight w:val="none"/>
        </w:rPr>
        <w:fldChar w:fldCharType="end"/>
      </w:r>
      <w:r>
        <w:rPr>
          <w:rFonts w:hint="eastAsia" w:ascii="宋体" w:hAnsi="宋体"/>
          <w:b/>
          <w:color w:val="auto"/>
          <w:sz w:val="24"/>
          <w:highlight w:val="none"/>
          <w:lang w:val="en-US" w:eastAsia="zh-CN"/>
        </w:rPr>
        <w:t>1</w:t>
      </w:r>
    </w:p>
    <w:p w14:paraId="222E5359">
      <w:pPr>
        <w:pStyle w:val="43"/>
        <w:tabs>
          <w:tab w:val="right" w:leader="dot" w:pos="8869"/>
        </w:tabs>
        <w:spacing w:line="500" w:lineRule="atLeast"/>
        <w:rPr>
          <w:rFonts w:hint="eastAsia" w:ascii="宋体" w:hAnsi="宋体" w:eastAsia="宋体"/>
          <w:b/>
          <w:color w:val="auto"/>
          <w:sz w:val="24"/>
          <w:highlight w:val="none"/>
          <w:lang w:eastAsia="zh-CN"/>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Fonts w:hint="eastAsia" w:ascii="宋体" w:hAnsi="宋体"/>
          <w:b/>
          <w:color w:val="auto"/>
          <w:sz w:val="24"/>
          <w:highlight w:val="none"/>
        </w:rPr>
        <w:t>第四章</w:t>
      </w:r>
      <w:r>
        <w:rPr>
          <w:rFonts w:ascii="宋体" w:hAnsi="宋体"/>
          <w:b/>
          <w:color w:val="auto"/>
          <w:sz w:val="24"/>
          <w:highlight w:val="none"/>
        </w:rPr>
        <w:t xml:space="preserve"> </w:t>
      </w:r>
      <w:r>
        <w:rPr>
          <w:rFonts w:hint="eastAsia" w:ascii="宋体" w:hAnsi="宋体"/>
          <w:b/>
          <w:color w:val="auto"/>
          <w:sz w:val="24"/>
          <w:highlight w:val="none"/>
        </w:rPr>
        <w:t>评审程序、</w:t>
      </w:r>
      <w:bookmarkStart w:id="2" w:name="_Hlt82166000"/>
      <w:r>
        <w:rPr>
          <w:rFonts w:hint="eastAsia" w:ascii="宋体" w:hAnsi="宋体"/>
          <w:b/>
          <w:color w:val="auto"/>
          <w:sz w:val="24"/>
          <w:highlight w:val="none"/>
        </w:rPr>
        <w:t>评</w:t>
      </w:r>
      <w:bookmarkEnd w:id="2"/>
      <w:r>
        <w:rPr>
          <w:rFonts w:hint="eastAsia" w:ascii="宋体" w:hAnsi="宋体"/>
          <w:b/>
          <w:color w:val="auto"/>
          <w:sz w:val="24"/>
          <w:highlight w:val="none"/>
        </w:rPr>
        <w:t>审方法和评审标准</w:t>
      </w:r>
      <w:r>
        <w:rPr>
          <w:rFonts w:ascii="宋体" w:hAnsi="宋体"/>
          <w:b/>
          <w:color w:val="auto"/>
          <w:sz w:val="24"/>
          <w:highlight w:val="none"/>
        </w:rPr>
        <w:tab/>
      </w:r>
      <w:r>
        <w:rPr>
          <w:rFonts w:hint="eastAsia" w:ascii="宋体" w:hAnsi="宋体"/>
          <w:b/>
          <w:color w:val="auto"/>
          <w:sz w:val="24"/>
          <w:highlight w:val="none"/>
        </w:rPr>
        <w:t>2</w:t>
      </w:r>
      <w:r>
        <w:rPr>
          <w:rFonts w:hint="eastAsia" w:ascii="宋体" w:hAnsi="宋体"/>
          <w:b/>
          <w:color w:val="auto"/>
          <w:sz w:val="24"/>
          <w:highlight w:val="none"/>
        </w:rPr>
        <w:fldChar w:fldCharType="end"/>
      </w:r>
      <w:r>
        <w:rPr>
          <w:rFonts w:hint="eastAsia" w:ascii="宋体" w:hAnsi="宋体"/>
          <w:b/>
          <w:color w:val="auto"/>
          <w:sz w:val="24"/>
          <w:highlight w:val="none"/>
          <w:lang w:val="en-US" w:eastAsia="zh-CN"/>
        </w:rPr>
        <w:t>9</w:t>
      </w:r>
    </w:p>
    <w:p w14:paraId="4527A34A">
      <w:pPr>
        <w:pStyle w:val="43"/>
        <w:tabs>
          <w:tab w:val="right" w:leader="dot" w:pos="8869"/>
        </w:tabs>
        <w:spacing w:line="500" w:lineRule="atLeast"/>
        <w:rPr>
          <w:rFonts w:hint="default" w:ascii="宋体" w:hAnsi="宋体" w:eastAsia="宋体"/>
          <w:b/>
          <w:color w:val="auto"/>
          <w:sz w:val="24"/>
          <w:highlight w:val="none"/>
          <w:lang w:val="en-US" w:eastAsia="zh-CN"/>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Fonts w:hint="eastAsia" w:ascii="宋体" w:hAnsi="宋体"/>
          <w:b/>
          <w:color w:val="auto"/>
          <w:sz w:val="24"/>
          <w:highlight w:val="none"/>
        </w:rPr>
        <w:t>第五章</w:t>
      </w:r>
      <w:r>
        <w:rPr>
          <w:rFonts w:ascii="宋体" w:hAnsi="宋体"/>
          <w:b/>
          <w:color w:val="auto"/>
          <w:sz w:val="24"/>
          <w:highlight w:val="none"/>
        </w:rPr>
        <w:t xml:space="preserve"> </w:t>
      </w:r>
      <w:r>
        <w:rPr>
          <w:rFonts w:hint="eastAsia" w:ascii="宋体" w:hAnsi="宋体"/>
          <w:b/>
          <w:color w:val="auto"/>
          <w:sz w:val="24"/>
          <w:highlight w:val="none"/>
        </w:rPr>
        <w:t>响应文件格式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40</w:t>
      </w:r>
    </w:p>
    <w:p w14:paraId="531AC0CC">
      <w:pPr>
        <w:pStyle w:val="43"/>
        <w:tabs>
          <w:tab w:val="right" w:leader="dot" w:pos="8869"/>
        </w:tabs>
        <w:spacing w:line="500" w:lineRule="atLeast"/>
        <w:rPr>
          <w:rFonts w:hint="default" w:ascii="宋体" w:hAnsi="宋体" w:eastAsia="宋体"/>
          <w:color w:val="auto"/>
          <w:sz w:val="24"/>
          <w:highlight w:val="none"/>
          <w:lang w:val="en-US" w:eastAsia="zh-CN"/>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Fonts w:hint="eastAsia" w:ascii="宋体" w:hAnsi="宋体"/>
          <w:b/>
          <w:color w:val="auto"/>
          <w:sz w:val="24"/>
          <w:highlight w:val="none"/>
        </w:rPr>
        <w:t>第六章</w:t>
      </w:r>
      <w:r>
        <w:rPr>
          <w:rFonts w:ascii="宋体" w:hAnsi="宋体"/>
          <w:b/>
          <w:color w:val="auto"/>
          <w:sz w:val="24"/>
          <w:highlight w:val="none"/>
        </w:rPr>
        <w:t xml:space="preserve"> </w:t>
      </w:r>
      <w:r>
        <w:rPr>
          <w:rFonts w:hint="eastAsia" w:ascii="宋体" w:hAnsi="宋体"/>
          <w:b/>
          <w:color w:val="auto"/>
          <w:sz w:val="24"/>
          <w:highlight w:val="none"/>
        </w:rPr>
        <w:t>合同文本</w:t>
      </w:r>
      <w:r>
        <w:rPr>
          <w:rFonts w:ascii="宋体" w:hAnsi="宋体"/>
          <w:b/>
          <w:color w:val="auto"/>
          <w:sz w:val="24"/>
          <w:highlight w:val="none"/>
        </w:rPr>
        <w:tab/>
      </w:r>
      <w:r>
        <w:rPr>
          <w:rFonts w:hint="eastAsia" w:ascii="宋体" w:hAnsi="宋体"/>
          <w:b/>
          <w:color w:val="auto"/>
          <w:sz w:val="24"/>
          <w:highlight w:val="none"/>
        </w:rPr>
        <w:fldChar w:fldCharType="end"/>
      </w:r>
      <w:r>
        <w:rPr>
          <w:rFonts w:hint="eastAsia" w:ascii="宋体" w:hAnsi="宋体"/>
          <w:b/>
          <w:color w:val="auto"/>
          <w:sz w:val="24"/>
          <w:highlight w:val="none"/>
          <w:lang w:val="en-US" w:eastAsia="zh-CN"/>
        </w:rPr>
        <w:t>67</w:t>
      </w:r>
    </w:p>
    <w:p w14:paraId="18B2D67B">
      <w:pPr>
        <w:pStyle w:val="44"/>
        <w:tabs>
          <w:tab w:val="right" w:leader="dot" w:pos="8931"/>
          <w:tab w:val="clear" w:pos="8296"/>
        </w:tabs>
        <w:spacing w:line="500" w:lineRule="atLeast"/>
        <w:ind w:left="0" w:leftChars="0"/>
        <w:rPr>
          <w:rFonts w:ascii="宋体" w:hAnsi="宋体"/>
          <w:b/>
          <w:color w:val="auto"/>
          <w:sz w:val="24"/>
          <w:highlight w:val="none"/>
        </w:rPr>
      </w:pPr>
      <w:r>
        <w:rPr>
          <w:rFonts w:ascii="宋体" w:hAnsi="宋体"/>
          <w:b/>
          <w:color w:val="auto"/>
          <w:sz w:val="24"/>
          <w:highlight w:val="none"/>
        </w:rPr>
        <w:fldChar w:fldCharType="end"/>
      </w:r>
    </w:p>
    <w:p w14:paraId="64AAAD5D">
      <w:pPr>
        <w:spacing w:line="400" w:lineRule="exact"/>
        <w:jc w:val="left"/>
        <w:rPr>
          <w:rFonts w:ascii="宋体" w:hAnsi="宋体"/>
          <w:b/>
          <w:color w:val="auto"/>
          <w:sz w:val="32"/>
          <w:szCs w:val="32"/>
          <w:highlight w:val="none"/>
        </w:rPr>
      </w:pPr>
    </w:p>
    <w:p w14:paraId="00EF9B89">
      <w:pPr>
        <w:spacing w:line="400" w:lineRule="exact"/>
        <w:jc w:val="center"/>
        <w:rPr>
          <w:rFonts w:ascii="宋体" w:hAnsi="宋体"/>
          <w:b/>
          <w:color w:val="auto"/>
          <w:sz w:val="32"/>
          <w:szCs w:val="32"/>
          <w:highlight w:val="none"/>
        </w:rPr>
      </w:pPr>
    </w:p>
    <w:p w14:paraId="24FA09AD">
      <w:pPr>
        <w:spacing w:line="400" w:lineRule="exact"/>
        <w:jc w:val="center"/>
        <w:rPr>
          <w:rFonts w:ascii="宋体" w:hAnsi="宋体"/>
          <w:b/>
          <w:color w:val="auto"/>
          <w:sz w:val="32"/>
          <w:szCs w:val="32"/>
          <w:highlight w:val="none"/>
        </w:rPr>
      </w:pPr>
    </w:p>
    <w:p w14:paraId="5FAFB823">
      <w:pPr>
        <w:spacing w:line="400" w:lineRule="exact"/>
        <w:jc w:val="center"/>
        <w:rPr>
          <w:rFonts w:ascii="宋体" w:hAnsi="宋体"/>
          <w:b/>
          <w:color w:val="auto"/>
          <w:sz w:val="32"/>
          <w:szCs w:val="32"/>
          <w:highlight w:val="none"/>
        </w:rPr>
      </w:pPr>
    </w:p>
    <w:p w14:paraId="79E310F2">
      <w:pPr>
        <w:spacing w:line="400" w:lineRule="exact"/>
        <w:jc w:val="center"/>
        <w:rPr>
          <w:rFonts w:ascii="宋体" w:hAnsi="宋体"/>
          <w:b/>
          <w:color w:val="auto"/>
          <w:sz w:val="32"/>
          <w:szCs w:val="32"/>
          <w:highlight w:val="none"/>
        </w:rPr>
      </w:pPr>
    </w:p>
    <w:p w14:paraId="103F3E09">
      <w:pPr>
        <w:spacing w:line="400" w:lineRule="exact"/>
        <w:rPr>
          <w:rFonts w:ascii="宋体" w:hAnsi="宋体"/>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pgNumType w:start="0"/>
          <w:cols w:space="720" w:num="1"/>
          <w:titlePg/>
          <w:docGrid w:type="lines" w:linePitch="312" w:charSpace="0"/>
        </w:sectPr>
      </w:pPr>
    </w:p>
    <w:p w14:paraId="5B01D24D">
      <w:pPr>
        <w:pStyle w:val="12"/>
        <w:spacing w:line="360" w:lineRule="auto"/>
        <w:jc w:val="center"/>
        <w:rPr>
          <w:color w:val="auto"/>
          <w:highlight w:val="none"/>
        </w:rPr>
      </w:pPr>
      <w:bookmarkStart w:id="3" w:name="_Toc74323456"/>
      <w:r>
        <w:rPr>
          <w:rFonts w:hint="eastAsia"/>
          <w:color w:val="auto"/>
          <w:highlight w:val="none"/>
        </w:rPr>
        <w:t>第一章 竞争性磋商公告</w:t>
      </w:r>
      <w:bookmarkEnd w:id="3"/>
    </w:p>
    <w:p w14:paraId="4EDEE767">
      <w:pPr>
        <w:jc w:val="center"/>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rPr>
        <w:t>2026年度全市公安民警、机关辅警人身意外伤害及重大疾病商业保险服务项目竞争性磋商公告</w:t>
      </w:r>
      <w:r>
        <w:rPr>
          <w:rFonts w:hint="eastAsia" w:ascii="宋体" w:hAnsi="宋体"/>
          <w:b/>
          <w:bCs/>
          <w:color w:val="auto"/>
          <w:sz w:val="32"/>
          <w:szCs w:val="32"/>
          <w:highlight w:val="none"/>
          <w:lang w:eastAsia="zh-CN"/>
        </w:rPr>
        <w:t>（远程异地评标）</w:t>
      </w:r>
    </w:p>
    <w:p w14:paraId="598BC9E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06A40F3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2026年度全市公安民警、机关辅警人身意外伤害及重大疾病商业保险服务项目的潜在供应商应在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）获取（下载）竞争性磋商文件，并于202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2</w:t>
      </w:r>
      <w:r>
        <w:rPr>
          <w:rFonts w:hint="eastAsia" w:ascii="宋体" w:hAnsi="宋体"/>
          <w:bCs/>
          <w:color w:val="auto"/>
          <w:szCs w:val="21"/>
          <w:highlight w:val="none"/>
        </w:rPr>
        <w:t>月</w:t>
      </w:r>
      <w:r>
        <w:rPr>
          <w:rFonts w:hint="eastAsia" w:ascii="宋体" w:hAnsi="宋体"/>
          <w:bCs/>
          <w:color w:val="auto"/>
          <w:szCs w:val="21"/>
          <w:highlight w:val="none"/>
          <w:lang w:val="en-US" w:eastAsia="zh-CN"/>
        </w:rPr>
        <w:t>14</w:t>
      </w:r>
      <w:r>
        <w:rPr>
          <w:rFonts w:hint="eastAsia" w:ascii="宋体" w:hAnsi="宋体"/>
          <w:bCs/>
          <w:color w:val="auto"/>
          <w:szCs w:val="21"/>
          <w:highlight w:val="none"/>
        </w:rPr>
        <w:t>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时30分（北京时间）前提交（上传）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1F974E28">
      <w:pPr>
        <w:ind w:firstLine="354" w:firstLineChars="147"/>
        <w:rPr>
          <w:rFonts w:ascii="黑体" w:hAnsi="黑体" w:eastAsia="黑体"/>
          <w:b/>
          <w:color w:val="auto"/>
          <w:sz w:val="24"/>
          <w:highlight w:val="none"/>
        </w:rPr>
      </w:pPr>
      <w:bookmarkStart w:id="5" w:name="_Toc71365905"/>
      <w:bookmarkStart w:id="6" w:name="_Toc28359012"/>
      <w:bookmarkStart w:id="7" w:name="_Toc44229878"/>
      <w:bookmarkStart w:id="8" w:name="_Toc35393798"/>
      <w:bookmarkStart w:id="9" w:name="_Toc28359089"/>
      <w:bookmarkStart w:id="10" w:name="_Toc35393629"/>
      <w:r>
        <w:rPr>
          <w:rFonts w:hint="eastAsia" w:ascii="黑体" w:hAnsi="黑体" w:eastAsia="黑体"/>
          <w:b/>
          <w:color w:val="auto"/>
          <w:sz w:val="24"/>
          <w:highlight w:val="none"/>
        </w:rPr>
        <w:t>一、项目基本情况</w:t>
      </w:r>
      <w:bookmarkEnd w:id="4"/>
      <w:bookmarkEnd w:id="5"/>
      <w:bookmarkEnd w:id="6"/>
      <w:bookmarkEnd w:id="7"/>
      <w:bookmarkEnd w:id="8"/>
      <w:bookmarkEnd w:id="9"/>
    </w:p>
    <w:p w14:paraId="5575EA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项目编号：FCZC2026-C3-990009-YZLZ</w:t>
      </w:r>
    </w:p>
    <w:p w14:paraId="200A2D7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项目名称：2026年度全市公安民警、机关辅警人身意外伤害及重大疾病商业保险服务项目</w:t>
      </w:r>
    </w:p>
    <w:p w14:paraId="783D0F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141783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预算金额：人民币</w:t>
      </w:r>
      <w:r>
        <w:rPr>
          <w:rFonts w:hint="eastAsia" w:ascii="宋体" w:hAnsi="宋体"/>
          <w:color w:val="auto"/>
          <w:szCs w:val="21"/>
          <w:highlight w:val="none"/>
          <w:lang w:val="en-US" w:eastAsia="zh-CN"/>
        </w:rPr>
        <w:t>壹佰陆拾万元整</w:t>
      </w:r>
      <w:r>
        <w:rPr>
          <w:rFonts w:hint="eastAsia" w:ascii="宋体" w:hAnsi="宋体"/>
          <w:color w:val="auto"/>
          <w:szCs w:val="21"/>
          <w:highlight w:val="none"/>
        </w:rPr>
        <w:t>（¥</w:t>
      </w:r>
      <w:r>
        <w:rPr>
          <w:rFonts w:hint="eastAsia" w:ascii="宋体" w:hAnsi="宋体"/>
          <w:color w:val="auto"/>
          <w:szCs w:val="21"/>
          <w:highlight w:val="none"/>
          <w:lang w:val="en-US" w:eastAsia="zh-CN"/>
        </w:rPr>
        <w:t>1,600,000.00</w:t>
      </w:r>
      <w:r>
        <w:rPr>
          <w:rFonts w:hint="eastAsia" w:ascii="宋体" w:hAnsi="宋体"/>
          <w:color w:val="auto"/>
          <w:szCs w:val="21"/>
          <w:highlight w:val="none"/>
        </w:rPr>
        <w:t>）</w:t>
      </w:r>
    </w:p>
    <w:p w14:paraId="11E2B1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最高限价：同预算</w:t>
      </w:r>
    </w:p>
    <w:p w14:paraId="7527089C">
      <w:pPr>
        <w:pStyle w:val="16"/>
        <w:spacing w:line="360" w:lineRule="auto"/>
        <w:rPr>
          <w:rFonts w:hint="eastAsia" w:ascii="宋体" w:hAnsi="宋体"/>
          <w:color w:val="auto"/>
          <w:szCs w:val="21"/>
          <w:highlight w:val="none"/>
        </w:rPr>
      </w:pPr>
      <w:r>
        <w:rPr>
          <w:rFonts w:hint="eastAsia" w:ascii="宋体" w:hAnsi="宋体"/>
          <w:color w:val="auto"/>
          <w:szCs w:val="21"/>
          <w:highlight w:val="none"/>
        </w:rPr>
        <w:t>采购需求：2026年度全市公安民警、机关辅警人身意外伤害及重大疾病商业保险服务1项，详见采购需求。</w:t>
      </w:r>
    </w:p>
    <w:p w14:paraId="282835DB">
      <w:pPr>
        <w:pStyle w:val="16"/>
        <w:spacing w:line="360" w:lineRule="auto"/>
        <w:rPr>
          <w:rFonts w:hint="eastAsia" w:ascii="宋体" w:hAnsi="宋体"/>
          <w:color w:val="auto"/>
          <w:szCs w:val="21"/>
          <w:highlight w:val="none"/>
          <w:lang w:eastAsia="zh-CN"/>
        </w:rPr>
      </w:pPr>
      <w:r>
        <w:rPr>
          <w:rFonts w:hint="eastAsia" w:ascii="宋体" w:hAnsi="宋体"/>
          <w:color w:val="auto"/>
          <w:szCs w:val="21"/>
          <w:highlight w:val="none"/>
        </w:rPr>
        <w:t>合同履行期限：1年，自保单生效时起至保单</w:t>
      </w:r>
      <w:r>
        <w:rPr>
          <w:rFonts w:hint="eastAsia" w:ascii="宋体" w:hAnsi="宋体"/>
          <w:color w:val="auto"/>
          <w:szCs w:val="21"/>
          <w:highlight w:val="none"/>
          <w:lang w:val="en-US" w:eastAsia="zh-CN"/>
        </w:rPr>
        <w:t>失</w:t>
      </w:r>
      <w:r>
        <w:rPr>
          <w:rFonts w:hint="eastAsia" w:ascii="宋体" w:hAnsi="宋体"/>
          <w:color w:val="auto"/>
          <w:szCs w:val="21"/>
          <w:highlight w:val="none"/>
        </w:rPr>
        <w:t>效时止</w:t>
      </w:r>
      <w:r>
        <w:rPr>
          <w:rFonts w:hint="eastAsia" w:ascii="宋体" w:hAnsi="宋体"/>
          <w:color w:val="auto"/>
          <w:szCs w:val="21"/>
          <w:highlight w:val="none"/>
          <w:lang w:eastAsia="zh-CN"/>
        </w:rPr>
        <w:t>，</w:t>
      </w:r>
      <w:r>
        <w:rPr>
          <w:rFonts w:hint="eastAsia" w:ascii="宋体" w:hAnsi="宋体"/>
          <w:color w:val="auto"/>
          <w:szCs w:val="21"/>
          <w:highlight w:val="none"/>
        </w:rPr>
        <w:t>保险责任开始时间为保单生效之时开始计算</w:t>
      </w:r>
      <w:r>
        <w:rPr>
          <w:rFonts w:hint="eastAsia" w:ascii="宋体" w:hAnsi="宋体"/>
          <w:color w:val="auto"/>
          <w:szCs w:val="21"/>
          <w:highlight w:val="none"/>
          <w:lang w:eastAsia="zh-CN"/>
        </w:rPr>
        <w:t>。</w:t>
      </w:r>
    </w:p>
    <w:p w14:paraId="729794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本项目不接受联合体竞标。</w:t>
      </w:r>
    </w:p>
    <w:p w14:paraId="3399B93E">
      <w:pPr>
        <w:ind w:firstLine="354" w:firstLineChars="147"/>
        <w:rPr>
          <w:rFonts w:ascii="黑体" w:hAnsi="黑体" w:eastAsia="黑体"/>
          <w:b/>
          <w:color w:val="auto"/>
          <w:sz w:val="24"/>
          <w:highlight w:val="none"/>
        </w:rPr>
      </w:pPr>
      <w:bookmarkStart w:id="11" w:name="_Toc28359090"/>
      <w:bookmarkStart w:id="12" w:name="_Toc28359013"/>
      <w:bookmarkStart w:id="13" w:name="_Toc71365906"/>
      <w:bookmarkStart w:id="14" w:name="_Toc35393630"/>
      <w:bookmarkStart w:id="15" w:name="_Toc35393799"/>
      <w:bookmarkStart w:id="16" w:name="_Toc44229879"/>
      <w:r>
        <w:rPr>
          <w:rFonts w:hint="eastAsia" w:ascii="黑体" w:hAnsi="黑体" w:eastAsia="黑体"/>
          <w:b/>
          <w:color w:val="auto"/>
          <w:sz w:val="24"/>
          <w:highlight w:val="none"/>
        </w:rPr>
        <w:t>二、申请人的资格条件：</w:t>
      </w:r>
      <w:bookmarkEnd w:id="10"/>
      <w:bookmarkEnd w:id="11"/>
      <w:bookmarkEnd w:id="12"/>
      <w:bookmarkEnd w:id="13"/>
      <w:bookmarkEnd w:id="14"/>
      <w:bookmarkEnd w:id="15"/>
    </w:p>
    <w:p w14:paraId="6F7958D2">
      <w:pPr>
        <w:spacing w:line="360" w:lineRule="auto"/>
        <w:ind w:firstLine="420" w:firstLineChars="200"/>
        <w:rPr>
          <w:rFonts w:ascii="宋体" w:hAnsi="宋体"/>
          <w:color w:val="auto"/>
          <w:szCs w:val="21"/>
          <w:highlight w:val="none"/>
        </w:rPr>
      </w:pPr>
      <w:bookmarkStart w:id="17" w:name="_Toc28359014"/>
      <w:bookmarkStart w:id="18" w:name="_Toc28359091"/>
      <w:bookmarkStart w:id="19" w:name="_Toc35393631"/>
      <w:bookmarkStart w:id="20" w:name="_Toc44229880"/>
      <w:bookmarkStart w:id="21" w:name="_Toc35393800"/>
      <w:r>
        <w:rPr>
          <w:rFonts w:hint="eastAsia" w:ascii="宋体" w:hAnsi="宋体"/>
          <w:color w:val="auto"/>
          <w:szCs w:val="21"/>
          <w:highlight w:val="none"/>
        </w:rPr>
        <w:t>1.满足《中华人民共和国政府采购法》第二十二条规定；</w:t>
      </w:r>
    </w:p>
    <w:p w14:paraId="3D6D3AEF">
      <w:pPr>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eastAsia="zh-CN"/>
        </w:rPr>
        <w:t>无；</w:t>
      </w:r>
    </w:p>
    <w:p w14:paraId="0E60E4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3.本项目的特定资格要求：供应商</w:t>
      </w:r>
      <w:r>
        <w:rPr>
          <w:rFonts w:ascii="宋体" w:hAnsi="宋体"/>
          <w:color w:val="auto"/>
          <w:szCs w:val="21"/>
          <w:highlight w:val="none"/>
        </w:rPr>
        <w:t>经国家保险监督管理机构批准成立，具有商业保险执业资格，并取得合法有效的保险许可证</w:t>
      </w:r>
      <w:r>
        <w:rPr>
          <w:rFonts w:hint="eastAsia" w:ascii="宋体" w:hAnsi="宋体"/>
          <w:color w:val="auto"/>
          <w:szCs w:val="21"/>
          <w:highlight w:val="none"/>
        </w:rPr>
        <w:t>；具有满足本项目的承保资格、经营能力、售后服务和偿付能力；</w:t>
      </w:r>
      <w:r>
        <w:rPr>
          <w:rFonts w:ascii="宋体" w:hAnsi="宋体"/>
          <w:color w:val="auto"/>
          <w:szCs w:val="21"/>
          <w:highlight w:val="none"/>
        </w:rPr>
        <w:t>同一保险机构只允许一家公司</w:t>
      </w:r>
      <w:r>
        <w:rPr>
          <w:rFonts w:hint="eastAsia" w:ascii="宋体" w:hAnsi="宋体" w:cs="Courier New"/>
          <w:bCs/>
          <w:color w:val="auto"/>
          <w:szCs w:val="21"/>
          <w:highlight w:val="none"/>
        </w:rPr>
        <w:t>（包括其总公司、省级分公司的下属分公司、分支机构）</w:t>
      </w:r>
      <w:r>
        <w:rPr>
          <w:rFonts w:ascii="宋体" w:hAnsi="宋体"/>
          <w:color w:val="auto"/>
          <w:szCs w:val="21"/>
          <w:highlight w:val="none"/>
        </w:rPr>
        <w:t>参与本次</w:t>
      </w:r>
      <w:r>
        <w:rPr>
          <w:rFonts w:hint="eastAsia" w:ascii="宋体" w:hAnsi="宋体"/>
          <w:color w:val="auto"/>
          <w:szCs w:val="21"/>
          <w:highlight w:val="none"/>
        </w:rPr>
        <w:t>竞标，如有2家及以上属于同单位系统的供应商</w:t>
      </w:r>
      <w:r>
        <w:rPr>
          <w:rFonts w:hint="eastAsia" w:ascii="宋体" w:hAnsi="宋体" w:cs="Courier New"/>
          <w:bCs/>
          <w:color w:val="auto"/>
          <w:szCs w:val="21"/>
          <w:highlight w:val="none"/>
        </w:rPr>
        <w:t>（包括其总公司、省级分公司的下属分公司、分支机构）参与竞标的，则只认可</w:t>
      </w:r>
      <w:r>
        <w:rPr>
          <w:rFonts w:hint="eastAsia"/>
          <w:color w:val="auto"/>
          <w:highlight w:val="none"/>
        </w:rPr>
        <w:t>最先获取竞争性磋商文件的供应商</w:t>
      </w:r>
      <w:r>
        <w:rPr>
          <w:rFonts w:hint="eastAsia" w:ascii="宋体" w:hAnsi="宋体" w:cs="Courier New"/>
          <w:bCs/>
          <w:color w:val="auto"/>
          <w:szCs w:val="21"/>
          <w:highlight w:val="none"/>
        </w:rPr>
        <w:t>，其余则为无效响应（以</w:t>
      </w:r>
      <w:r>
        <w:rPr>
          <w:rFonts w:hint="eastAsia" w:ascii="宋体" w:hAnsi="宋体"/>
          <w:color w:val="auto"/>
          <w:szCs w:val="21"/>
          <w:highlight w:val="none"/>
        </w:rPr>
        <w:t>广西政府采购云平台</w:t>
      </w:r>
      <w:r>
        <w:rPr>
          <w:rFonts w:hint="eastAsia"/>
          <w:color w:val="auto"/>
          <w:highlight w:val="none"/>
        </w:rPr>
        <w:t>获取竞争性磋商文件的</w:t>
      </w:r>
      <w:r>
        <w:rPr>
          <w:rFonts w:hint="eastAsia" w:ascii="宋体" w:hAnsi="宋体" w:cs="Courier New"/>
          <w:bCs/>
          <w:color w:val="auto"/>
          <w:szCs w:val="21"/>
          <w:highlight w:val="none"/>
        </w:rPr>
        <w:t>时间为准）</w:t>
      </w:r>
      <w:r>
        <w:rPr>
          <w:rFonts w:hint="eastAsia" w:ascii="宋体" w:hAnsi="宋体"/>
          <w:color w:val="auto"/>
          <w:szCs w:val="21"/>
          <w:highlight w:val="none"/>
        </w:rPr>
        <w:t>。</w:t>
      </w:r>
    </w:p>
    <w:p w14:paraId="67EE7BB3">
      <w:pPr>
        <w:ind w:firstLine="354" w:firstLineChars="147"/>
        <w:rPr>
          <w:rFonts w:ascii="黑体" w:hAnsi="黑体" w:eastAsia="黑体"/>
          <w:b/>
          <w:color w:val="auto"/>
          <w:sz w:val="24"/>
          <w:highlight w:val="none"/>
        </w:rPr>
      </w:pPr>
      <w:bookmarkStart w:id="22" w:name="_Toc71365907"/>
      <w:r>
        <w:rPr>
          <w:rFonts w:hint="eastAsia" w:ascii="黑体" w:hAnsi="黑体" w:eastAsia="黑体"/>
          <w:b/>
          <w:color w:val="auto"/>
          <w:sz w:val="24"/>
          <w:highlight w:val="none"/>
        </w:rPr>
        <w:t>三、获取竞争性磋商文件</w:t>
      </w:r>
      <w:bookmarkEnd w:id="16"/>
      <w:bookmarkEnd w:id="17"/>
      <w:bookmarkEnd w:id="18"/>
      <w:bookmarkEnd w:id="19"/>
      <w:bookmarkEnd w:id="20"/>
      <w:bookmarkEnd w:id="21"/>
    </w:p>
    <w:p w14:paraId="7D272469">
      <w:pPr>
        <w:spacing w:line="360" w:lineRule="auto"/>
        <w:ind w:firstLine="420" w:firstLineChars="200"/>
        <w:rPr>
          <w:rFonts w:ascii="宋体" w:hAnsi="宋体" w:cs="宋体"/>
          <w:bCs/>
          <w:color w:val="auto"/>
          <w:kern w:val="0"/>
          <w:szCs w:val="21"/>
          <w:highlight w:val="none"/>
        </w:rPr>
      </w:pPr>
      <w:bookmarkStart w:id="23" w:name="_Toc35393801"/>
      <w:bookmarkStart w:id="24" w:name="_Toc44229881"/>
      <w:bookmarkStart w:id="25" w:name="_Toc35393632"/>
      <w:bookmarkStart w:id="26" w:name="_Toc28359015"/>
      <w:bookmarkStart w:id="27" w:name="_Toc28359092"/>
      <w:r>
        <w:rPr>
          <w:rFonts w:hint="eastAsia" w:ascii="宋体" w:hAnsi="宋体" w:cs="宋体"/>
          <w:bCs/>
          <w:color w:val="auto"/>
          <w:kern w:val="0"/>
          <w:szCs w:val="21"/>
          <w:highlight w:val="none"/>
        </w:rPr>
        <w:t>时间：</w:t>
      </w:r>
      <w:r>
        <w:rPr>
          <w:rFonts w:hint="eastAsia"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2</w:t>
      </w:r>
      <w:r>
        <w:rPr>
          <w:rFonts w:hint="eastAsia" w:ascii="宋体" w:hAnsi="宋体"/>
          <w:bCs/>
          <w:color w:val="auto"/>
          <w:szCs w:val="21"/>
          <w:highlight w:val="none"/>
        </w:rPr>
        <w:t>月</w:t>
      </w:r>
      <w:r>
        <w:rPr>
          <w:rFonts w:hint="eastAsia" w:ascii="宋体" w:hAnsi="宋体"/>
          <w:bCs/>
          <w:color w:val="auto"/>
          <w:szCs w:val="21"/>
          <w:highlight w:val="none"/>
          <w:lang w:val="en-US" w:eastAsia="zh-CN"/>
        </w:rPr>
        <w:t>3</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2月10</w:t>
      </w:r>
      <w:r>
        <w:rPr>
          <w:rFonts w:hint="eastAsia" w:ascii="宋体" w:hAnsi="宋体"/>
          <w:bCs/>
          <w:color w:val="auto"/>
          <w:szCs w:val="21"/>
          <w:highlight w:val="none"/>
        </w:rPr>
        <w:t>日</w:t>
      </w:r>
      <w:r>
        <w:rPr>
          <w:rFonts w:hint="eastAsia" w:ascii="宋体" w:hAnsi="宋体" w:cs="宋体"/>
          <w:bCs/>
          <w:color w:val="auto"/>
          <w:kern w:val="0"/>
          <w:szCs w:val="21"/>
          <w:highlight w:val="none"/>
        </w:rPr>
        <w:t>，每天8时00分至12时00分，15时00分至18时00分（北京时间，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2152D093">
      <w:pPr>
        <w:spacing w:line="360" w:lineRule="auto"/>
        <w:ind w:firstLine="420" w:firstLineChars="200"/>
        <w:rPr>
          <w:rFonts w:ascii="宋体" w:hAnsi="宋体"/>
          <w:color w:val="auto"/>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4887FCFB">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w:t>
      </w:r>
      <w:r>
        <w:rPr>
          <w:rFonts w:ascii="宋体" w:hAnsi="宋体" w:cs="宋体"/>
          <w:bCs/>
          <w:color w:val="auto"/>
          <w:kern w:val="0"/>
          <w:szCs w:val="21"/>
          <w:highlight w:val="none"/>
        </w:rPr>
        <w:t>https://www.gcy.zfcg.gxzf.gov.cn/</w:t>
      </w:r>
      <w:r>
        <w:rPr>
          <w:rFonts w:hint="eastAsia" w:ascii="宋体" w:hAnsi="宋体" w:cs="宋体"/>
          <w:bCs/>
          <w:color w:val="auto"/>
          <w:kern w:val="0"/>
          <w:szCs w:val="21"/>
          <w:highlight w:val="none"/>
        </w:rPr>
        <w:t>）-进入“项目采购”应用，在获取采购文件菜单中选择项目，获取竞争性磋商文件。电子响应文件制作需要基于</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获取的竞争性磋商文件编制，通过其他方式获取竞争性磋商文件的，将有可能导致供应商无法在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编制及上传响应文件。</w:t>
      </w:r>
    </w:p>
    <w:p w14:paraId="66228224">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7A0CC801">
      <w:pPr>
        <w:ind w:firstLine="354" w:firstLineChars="147"/>
        <w:rPr>
          <w:rFonts w:ascii="黑体" w:hAnsi="黑体" w:eastAsia="黑体"/>
          <w:b/>
          <w:color w:val="auto"/>
          <w:sz w:val="24"/>
          <w:highlight w:val="none"/>
        </w:rPr>
      </w:pPr>
      <w:bookmarkStart w:id="28" w:name="_Toc71365908"/>
      <w:r>
        <w:rPr>
          <w:rFonts w:hint="eastAsia" w:ascii="黑体" w:hAnsi="黑体" w:eastAsia="黑体"/>
          <w:b/>
          <w:color w:val="auto"/>
          <w:sz w:val="24"/>
          <w:highlight w:val="none"/>
        </w:rPr>
        <w:t>四、响应文件提交</w:t>
      </w:r>
      <w:bookmarkEnd w:id="22"/>
      <w:bookmarkEnd w:id="23"/>
      <w:bookmarkEnd w:id="24"/>
      <w:bookmarkEnd w:id="25"/>
      <w:bookmarkEnd w:id="26"/>
      <w:bookmarkEnd w:id="27"/>
    </w:p>
    <w:p w14:paraId="6DD20951">
      <w:pPr>
        <w:spacing w:line="360" w:lineRule="auto"/>
        <w:ind w:firstLine="420" w:firstLineChars="200"/>
        <w:rPr>
          <w:rFonts w:ascii="宋体" w:hAnsi="宋体" w:cs="宋体"/>
          <w:color w:val="auto"/>
          <w:szCs w:val="21"/>
          <w:highlight w:val="none"/>
        </w:rPr>
      </w:pPr>
      <w:bookmarkStart w:id="29" w:name="_Toc44229882"/>
      <w:bookmarkStart w:id="30" w:name="_Toc28359093"/>
      <w:bookmarkStart w:id="31" w:name="_Toc35393802"/>
      <w:bookmarkStart w:id="32" w:name="_Toc35393633"/>
      <w:bookmarkStart w:id="33" w:name="_Toc28359016"/>
      <w:r>
        <w:rPr>
          <w:rFonts w:hint="eastAsia" w:ascii="宋体" w:hAnsi="宋体"/>
          <w:color w:val="auto"/>
          <w:szCs w:val="21"/>
          <w:highlight w:val="none"/>
        </w:rPr>
        <w:t>截止时间：</w:t>
      </w:r>
      <w:r>
        <w:rPr>
          <w:rFonts w:hint="eastAsia"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 xml:space="preserve"> 2</w:t>
      </w:r>
      <w:r>
        <w:rPr>
          <w:rFonts w:hint="eastAsia" w:ascii="宋体" w:hAnsi="宋体"/>
          <w:bCs/>
          <w:color w:val="auto"/>
          <w:szCs w:val="21"/>
          <w:highlight w:val="none"/>
        </w:rPr>
        <w:t>月</w:t>
      </w:r>
      <w:r>
        <w:rPr>
          <w:rFonts w:hint="eastAsia" w:ascii="宋体" w:hAnsi="宋体"/>
          <w:bCs/>
          <w:color w:val="auto"/>
          <w:szCs w:val="21"/>
          <w:highlight w:val="none"/>
          <w:lang w:val="en-US" w:eastAsia="zh-CN"/>
        </w:rPr>
        <w:t>14</w:t>
      </w:r>
      <w:r>
        <w:rPr>
          <w:rFonts w:hint="eastAsia" w:ascii="宋体" w:hAnsi="宋体"/>
          <w:bCs/>
          <w:color w:val="auto"/>
          <w:szCs w:val="21"/>
          <w:highlight w:val="none"/>
        </w:rPr>
        <w:t>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时30分（北京时间）</w:t>
      </w:r>
    </w:p>
    <w:p w14:paraId="089065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13B8BF13">
      <w:pPr>
        <w:ind w:firstLine="354" w:firstLineChars="147"/>
        <w:rPr>
          <w:rFonts w:ascii="黑体" w:hAnsi="黑体" w:eastAsia="黑体"/>
          <w:b/>
          <w:color w:val="auto"/>
          <w:sz w:val="24"/>
          <w:highlight w:val="none"/>
        </w:rPr>
      </w:pPr>
      <w:bookmarkStart w:id="34" w:name="_Toc71365909"/>
      <w:r>
        <w:rPr>
          <w:rFonts w:hint="eastAsia" w:ascii="黑体" w:hAnsi="黑体" w:eastAsia="黑体"/>
          <w:b/>
          <w:color w:val="auto"/>
          <w:sz w:val="24"/>
          <w:highlight w:val="none"/>
        </w:rPr>
        <w:t>五、开启</w:t>
      </w:r>
      <w:bookmarkEnd w:id="28"/>
      <w:bookmarkEnd w:id="29"/>
      <w:bookmarkEnd w:id="30"/>
      <w:bookmarkEnd w:id="31"/>
      <w:bookmarkEnd w:id="32"/>
      <w:bookmarkEnd w:id="33"/>
    </w:p>
    <w:p w14:paraId="4D7F82B5">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2</w:t>
      </w:r>
      <w:r>
        <w:rPr>
          <w:rFonts w:hint="eastAsia" w:ascii="宋体" w:hAnsi="宋体"/>
          <w:bCs/>
          <w:color w:val="auto"/>
          <w:szCs w:val="21"/>
          <w:highlight w:val="none"/>
        </w:rPr>
        <w:t>月</w:t>
      </w:r>
      <w:r>
        <w:rPr>
          <w:rFonts w:hint="eastAsia" w:ascii="宋体" w:hAnsi="宋体"/>
          <w:bCs/>
          <w:color w:val="auto"/>
          <w:szCs w:val="21"/>
          <w:highlight w:val="none"/>
          <w:lang w:val="en-US" w:eastAsia="zh-CN"/>
        </w:rPr>
        <w:t>14</w:t>
      </w:r>
      <w:r>
        <w:rPr>
          <w:rFonts w:hint="eastAsia" w:ascii="宋体" w:hAnsi="宋体"/>
          <w:bCs/>
          <w:color w:val="auto"/>
          <w:szCs w:val="21"/>
          <w:highlight w:val="none"/>
        </w:rPr>
        <w:t>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时30分（北京时间）后</w:t>
      </w:r>
    </w:p>
    <w:p w14:paraId="2FBD336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r>
        <w:rPr>
          <w:rFonts w:hint="eastAsia"/>
          <w:color w:val="auto"/>
          <w:szCs w:val="21"/>
          <w:highlight w:val="none"/>
          <w:shd w:val="clear" w:color="auto" w:fill="FFFFFF"/>
        </w:rPr>
        <w:t>广西政府采购云平台政府采购开评标室</w:t>
      </w:r>
      <w:r>
        <w:rPr>
          <w:rFonts w:hint="eastAsia"/>
          <w:color w:val="auto"/>
          <w:szCs w:val="21"/>
          <w:highlight w:val="none"/>
          <w:shd w:val="clear" w:color="auto" w:fill="FFFFFF"/>
          <w:lang w:val="en-US" w:eastAsia="zh-CN"/>
        </w:rPr>
        <w:t>3</w:t>
      </w:r>
    </w:p>
    <w:p w14:paraId="7F9A34DA">
      <w:pPr>
        <w:ind w:firstLine="354" w:firstLineChars="147"/>
        <w:rPr>
          <w:rFonts w:ascii="黑体" w:hAnsi="黑体" w:eastAsia="黑体"/>
          <w:b/>
          <w:color w:val="auto"/>
          <w:sz w:val="24"/>
          <w:highlight w:val="none"/>
        </w:rPr>
      </w:pPr>
      <w:bookmarkStart w:id="35" w:name="_Toc28359094"/>
      <w:bookmarkStart w:id="36" w:name="_Toc35393803"/>
      <w:bookmarkStart w:id="37" w:name="_Toc44229883"/>
      <w:bookmarkStart w:id="38" w:name="_Toc28359017"/>
      <w:bookmarkStart w:id="39" w:name="_Toc35393634"/>
      <w:bookmarkStart w:id="40" w:name="_Toc71365910"/>
      <w:r>
        <w:rPr>
          <w:rFonts w:hint="eastAsia" w:ascii="黑体" w:hAnsi="黑体" w:eastAsia="黑体"/>
          <w:b/>
          <w:color w:val="auto"/>
          <w:sz w:val="24"/>
          <w:highlight w:val="none"/>
        </w:rPr>
        <w:t>六、公告期限</w:t>
      </w:r>
      <w:bookmarkEnd w:id="34"/>
      <w:bookmarkEnd w:id="35"/>
      <w:bookmarkEnd w:id="36"/>
      <w:bookmarkEnd w:id="37"/>
      <w:bookmarkEnd w:id="38"/>
      <w:bookmarkEnd w:id="39"/>
    </w:p>
    <w:p w14:paraId="5CB3343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9396B1D">
      <w:pPr>
        <w:ind w:firstLine="354" w:firstLineChars="147"/>
        <w:rPr>
          <w:rFonts w:ascii="黑体" w:hAnsi="黑体" w:eastAsia="黑体"/>
          <w:b/>
          <w:color w:val="auto"/>
          <w:sz w:val="24"/>
          <w:highlight w:val="none"/>
        </w:rPr>
      </w:pPr>
      <w:bookmarkStart w:id="41" w:name="_Toc35393635"/>
      <w:bookmarkStart w:id="42" w:name="_Toc44229884"/>
      <w:bookmarkStart w:id="43" w:name="_Toc71365911"/>
      <w:bookmarkStart w:id="44" w:name="_Toc35393804"/>
      <w:r>
        <w:rPr>
          <w:rFonts w:hint="eastAsia" w:ascii="黑体" w:hAnsi="黑体" w:eastAsia="黑体"/>
          <w:b/>
          <w:color w:val="auto"/>
          <w:sz w:val="24"/>
          <w:highlight w:val="none"/>
        </w:rPr>
        <w:t>七、其他补充事宜</w:t>
      </w:r>
      <w:bookmarkEnd w:id="40"/>
      <w:bookmarkEnd w:id="41"/>
      <w:bookmarkEnd w:id="42"/>
      <w:bookmarkEnd w:id="43"/>
    </w:p>
    <w:p w14:paraId="0ACC856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网上查询地址：中国政府采购网（http://www.ccgp.gov.cn/）、广西壮族自治区政府采购网（http://www.ccgp-guangxi.gov.cn/）</w:t>
      </w:r>
      <w:r>
        <w:rPr>
          <w:rFonts w:hint="eastAsia" w:ascii="宋体" w:hAnsi="宋体" w:cs="宋体"/>
          <w:color w:val="auto"/>
          <w:kern w:val="0"/>
          <w:szCs w:val="21"/>
          <w:highlight w:val="none"/>
          <w:lang w:eastAsia="zh-CN"/>
        </w:rPr>
        <w:t>、全国公共资源交易平台(广西·防城港)（http://ggzy.jgswj.gxzf.gov.cn/fcgggzy/）</w:t>
      </w:r>
      <w:r>
        <w:rPr>
          <w:rFonts w:hint="eastAsia" w:ascii="宋体" w:hAnsi="宋体" w:cs="宋体"/>
          <w:color w:val="auto"/>
          <w:kern w:val="0"/>
          <w:szCs w:val="21"/>
          <w:highlight w:val="none"/>
        </w:rPr>
        <w:t>。</w:t>
      </w:r>
    </w:p>
    <w:p w14:paraId="5102E266">
      <w:pPr>
        <w:spacing w:line="360" w:lineRule="auto"/>
        <w:ind w:firstLine="424" w:firstLineChars="202"/>
        <w:rPr>
          <w:rFonts w:ascii="宋体" w:hAnsi="宋体" w:cs="宋体"/>
          <w:color w:val="auto"/>
          <w:kern w:val="0"/>
          <w:szCs w:val="21"/>
          <w:highlight w:val="none"/>
        </w:rPr>
      </w:pPr>
      <w:bookmarkStart w:id="45" w:name="_Toc35393805"/>
      <w:bookmarkStart w:id="46" w:name="_Toc28359018"/>
      <w:bookmarkStart w:id="47" w:name="_Toc44229885"/>
      <w:bookmarkStart w:id="48" w:name="_Toc35393636"/>
      <w:bookmarkStart w:id="49" w:name="_Toc28359095"/>
      <w:bookmarkStart w:id="50"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44"/>
    <w:p w14:paraId="587BACF6">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6B886792">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2B3A3A37">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47DB5050">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51EA5078">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1619B15C">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62B17CFE">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）实行在线电子竞标，供应商应按照本项目竞争性磋商文件和广西政府采购云平台的要求编制、加密后在响应文件递交截止时间前通过网络上传至广西政府采购云平台（加密的电子</w:t>
      </w:r>
      <w:r>
        <w:rPr>
          <w:rFonts w:hint="eastAsia" w:ascii="宋体" w:hAnsi="宋体"/>
          <w:color w:val="auto"/>
          <w:szCs w:val="21"/>
          <w:highlight w:val="none"/>
          <w:lang w:eastAsia="zh-CN"/>
        </w:rPr>
        <w:t>响应</w:t>
      </w:r>
      <w:r>
        <w:rPr>
          <w:rFonts w:hint="eastAsia" w:ascii="宋体" w:hAnsi="宋体"/>
          <w:color w:val="auto"/>
          <w:szCs w:val="21"/>
          <w:highlight w:val="none"/>
        </w:rPr>
        <w:t>文件是指后缀名为“jm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供应商登录广西政府采购云平台，依次进入“服务中心-项目采购-操作流程-电子招投标-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”查看电子竞标具体操作流程。</w:t>
      </w:r>
    </w:p>
    <w:p w14:paraId="01C4EA51">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5F9580DD">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4C6EDF2B">
      <w:pPr>
        <w:widowControl/>
        <w:spacing w:line="360" w:lineRule="auto"/>
        <w:ind w:firstLine="525" w:firstLineChars="250"/>
        <w:jc w:val="left"/>
        <w:rPr>
          <w:rFonts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36D9C1B0">
      <w:pPr>
        <w:widowControl/>
        <w:spacing w:line="360" w:lineRule="auto"/>
        <w:ind w:firstLine="525" w:firstLineChars="250"/>
        <w:jc w:val="left"/>
        <w:rPr>
          <w:rFonts w:ascii="宋体" w:hAnsi="宋体"/>
          <w:bCs/>
          <w:color w:val="auto"/>
          <w:szCs w:val="21"/>
          <w:highlight w:val="none"/>
        </w:rPr>
      </w:pPr>
      <w:r>
        <w:rPr>
          <w:rFonts w:hint="eastAsia" w:ascii="宋体" w:hAnsi="宋体"/>
          <w:bCs/>
          <w:color w:val="auto"/>
          <w:szCs w:val="21"/>
          <w:highlight w:val="none"/>
        </w:rPr>
        <w:t>4.磋商保证金：无。</w:t>
      </w:r>
    </w:p>
    <w:p w14:paraId="26D498A8">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 xml:space="preserve"> 5</w:t>
      </w:r>
      <w:r>
        <w:rPr>
          <w:rFonts w:ascii="宋体" w:hAnsi="宋体"/>
          <w:bCs/>
          <w:color w:val="auto"/>
          <w:szCs w:val="21"/>
          <w:highlight w:val="none"/>
        </w:rPr>
        <w:t>.</w:t>
      </w:r>
      <w:r>
        <w:rPr>
          <w:rFonts w:hint="eastAsia" w:ascii="宋体" w:hAnsi="宋体"/>
          <w:bCs/>
          <w:color w:val="auto"/>
          <w:szCs w:val="21"/>
          <w:highlight w:val="none"/>
        </w:rPr>
        <w:t>监督部门</w:t>
      </w:r>
    </w:p>
    <w:p w14:paraId="0498D5DF">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 xml:space="preserve"> 名称：防城港市财政局</w:t>
      </w:r>
    </w:p>
    <w:p w14:paraId="53DA984E">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 xml:space="preserve"> 电话：0770-6102323</w:t>
      </w:r>
    </w:p>
    <w:p w14:paraId="55077849">
      <w:pPr>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5"/>
      <w:bookmarkEnd w:id="46"/>
      <w:bookmarkEnd w:id="47"/>
      <w:bookmarkEnd w:id="48"/>
      <w:bookmarkEnd w:id="49"/>
    </w:p>
    <w:p w14:paraId="61A8EA45">
      <w:pPr>
        <w:spacing w:line="360" w:lineRule="auto"/>
        <w:ind w:firstLine="420" w:firstLineChars="200"/>
        <w:rPr>
          <w:rFonts w:ascii="宋体" w:hAnsi="宋体" w:cs="宋体"/>
          <w:color w:val="auto"/>
          <w:kern w:val="0"/>
          <w:szCs w:val="21"/>
          <w:highlight w:val="none"/>
        </w:rPr>
      </w:pPr>
      <w:bookmarkStart w:id="51" w:name="_Toc35393637"/>
      <w:bookmarkStart w:id="52" w:name="_Toc35393806"/>
      <w:bookmarkStart w:id="53" w:name="_Toc28359019"/>
      <w:bookmarkStart w:id="54" w:name="_Toc28359096"/>
      <w:r>
        <w:rPr>
          <w:rFonts w:hint="eastAsia" w:ascii="宋体" w:hAnsi="宋体" w:cs="宋体"/>
          <w:color w:val="auto"/>
          <w:kern w:val="0"/>
          <w:szCs w:val="21"/>
          <w:highlight w:val="none"/>
        </w:rPr>
        <w:t>1.采购人信息</w:t>
      </w:r>
      <w:bookmarkEnd w:id="50"/>
      <w:bookmarkEnd w:id="51"/>
      <w:bookmarkEnd w:id="52"/>
      <w:bookmarkEnd w:id="53"/>
    </w:p>
    <w:bookmarkEnd w:id="54"/>
    <w:p w14:paraId="2A452DB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名称：防城港市公安局</w:t>
      </w:r>
    </w:p>
    <w:p w14:paraId="716A92D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地址：防城港市港口区金花茶大道69号</w:t>
      </w:r>
    </w:p>
    <w:p w14:paraId="599D55F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lang w:eastAsia="zh-CN"/>
        </w:rPr>
        <w:t>黄东艳</w:t>
      </w:r>
      <w:r>
        <w:rPr>
          <w:rFonts w:hint="eastAsia" w:ascii="宋体" w:hAnsi="宋体"/>
          <w:color w:val="auto"/>
          <w:szCs w:val="21"/>
          <w:highlight w:val="none"/>
        </w:rPr>
        <w:t>，0770-6126619</w:t>
      </w:r>
    </w:p>
    <w:p w14:paraId="5FFC1690">
      <w:pPr>
        <w:spacing w:line="360" w:lineRule="auto"/>
        <w:ind w:firstLine="420" w:firstLineChars="200"/>
        <w:rPr>
          <w:rFonts w:ascii="宋体" w:hAnsi="宋体" w:cs="宋体"/>
          <w:color w:val="auto"/>
          <w:kern w:val="0"/>
          <w:szCs w:val="21"/>
          <w:highlight w:val="none"/>
        </w:rPr>
      </w:pPr>
      <w:bookmarkStart w:id="55" w:name="_Toc35393638"/>
      <w:bookmarkStart w:id="56" w:name="_Toc28359020"/>
      <w:bookmarkStart w:id="57" w:name="_Toc35393807"/>
      <w:bookmarkStart w:id="58" w:name="_Toc28359097"/>
      <w:r>
        <w:rPr>
          <w:rFonts w:hint="eastAsia" w:ascii="宋体" w:hAnsi="宋体" w:cs="宋体"/>
          <w:color w:val="auto"/>
          <w:kern w:val="0"/>
          <w:szCs w:val="21"/>
          <w:highlight w:val="none"/>
        </w:rPr>
        <w:t>2.采购代理机构信息</w:t>
      </w:r>
      <w:bookmarkEnd w:id="55"/>
      <w:bookmarkEnd w:id="56"/>
      <w:bookmarkEnd w:id="57"/>
      <w:bookmarkEnd w:id="58"/>
    </w:p>
    <w:p w14:paraId="0B4062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名称：云之龙咨询集团有限公司</w:t>
      </w:r>
    </w:p>
    <w:p w14:paraId="13BCF6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地址：广西防城港市港口区桃花湾广场海悦华府一单元12楼1203室</w:t>
      </w:r>
    </w:p>
    <w:p w14:paraId="322474F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联系方式：0770-2882899</w:t>
      </w:r>
    </w:p>
    <w:p w14:paraId="2632ABE9">
      <w:pPr>
        <w:spacing w:line="360" w:lineRule="auto"/>
        <w:ind w:firstLine="420" w:firstLineChars="200"/>
        <w:rPr>
          <w:rFonts w:ascii="宋体" w:hAnsi="宋体" w:cs="宋体"/>
          <w:color w:val="auto"/>
          <w:kern w:val="0"/>
          <w:szCs w:val="21"/>
          <w:highlight w:val="none"/>
        </w:rPr>
      </w:pPr>
      <w:bookmarkStart w:id="59" w:name="_Toc35393808"/>
      <w:bookmarkStart w:id="60" w:name="_Toc35393639"/>
      <w:bookmarkStart w:id="61" w:name="_Toc28359021"/>
      <w:bookmarkStart w:id="62" w:name="_Toc28359098"/>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59"/>
      <w:bookmarkEnd w:id="60"/>
      <w:bookmarkEnd w:id="61"/>
      <w:bookmarkEnd w:id="62"/>
    </w:p>
    <w:p w14:paraId="30553249">
      <w:pPr>
        <w:pStyle w:val="34"/>
        <w:spacing w:line="360" w:lineRule="auto"/>
        <w:ind w:firstLine="420" w:firstLineChars="200"/>
        <w:rPr>
          <w:rFonts w:hAnsi="宋体"/>
          <w:color w:val="auto"/>
          <w:sz w:val="21"/>
          <w:highlight w:val="none"/>
          <w:lang w:eastAsia="zh-CN"/>
        </w:rPr>
      </w:pPr>
      <w:r>
        <w:rPr>
          <w:rFonts w:hint="eastAsia" w:hAnsi="宋体"/>
          <w:color w:val="auto"/>
          <w:sz w:val="21"/>
          <w:highlight w:val="none"/>
        </w:rPr>
        <w:t>项目联系人：吴小梅</w:t>
      </w:r>
      <w:r>
        <w:rPr>
          <w:rFonts w:hint="eastAsia" w:hAnsi="宋体"/>
          <w:color w:val="auto"/>
          <w:sz w:val="21"/>
          <w:highlight w:val="none"/>
          <w:lang w:eastAsia="zh-CN"/>
        </w:rPr>
        <w:t>、</w:t>
      </w:r>
      <w:r>
        <w:rPr>
          <w:rFonts w:hint="eastAsia" w:hAnsi="宋体"/>
          <w:color w:val="auto"/>
          <w:sz w:val="21"/>
          <w:highlight w:val="none"/>
        </w:rPr>
        <w:t>包文杰</w:t>
      </w:r>
      <w:r>
        <w:rPr>
          <w:rFonts w:hint="eastAsia" w:hAnsi="宋体"/>
          <w:color w:val="auto"/>
          <w:sz w:val="21"/>
          <w:highlight w:val="none"/>
          <w:lang w:eastAsia="zh-CN"/>
        </w:rPr>
        <w:t>、陈义廷</w:t>
      </w:r>
    </w:p>
    <w:p w14:paraId="69F8FA9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电话：0770-2882899</w:t>
      </w:r>
    </w:p>
    <w:p w14:paraId="6C4A3654">
      <w:pPr>
        <w:spacing w:line="360" w:lineRule="auto"/>
        <w:ind w:firstLine="420" w:firstLineChars="200"/>
        <w:rPr>
          <w:rFonts w:ascii="宋体" w:hAnsi="宋体"/>
          <w:color w:val="auto"/>
          <w:szCs w:val="21"/>
          <w:highlight w:val="none"/>
        </w:rPr>
      </w:pPr>
    </w:p>
    <w:p w14:paraId="034A10AA">
      <w:pPr>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附件：采购需求</w:t>
      </w:r>
    </w:p>
    <w:p w14:paraId="7DAAC32C">
      <w:pPr>
        <w:spacing w:line="360" w:lineRule="auto"/>
        <w:ind w:firstLine="420" w:firstLineChars="200"/>
        <w:jc w:val="right"/>
        <w:rPr>
          <w:rFonts w:ascii="宋体" w:hAnsi="宋体" w:cs="宋体"/>
          <w:color w:val="auto"/>
          <w:kern w:val="0"/>
          <w:szCs w:val="21"/>
          <w:highlight w:val="none"/>
        </w:rPr>
      </w:pPr>
    </w:p>
    <w:p w14:paraId="6ECD26C3">
      <w:pPr>
        <w:spacing w:line="360" w:lineRule="auto"/>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采购人：防城港市公安局</w:t>
      </w:r>
    </w:p>
    <w:p w14:paraId="6480383C">
      <w:pPr>
        <w:spacing w:line="360" w:lineRule="auto"/>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采购代理机构：云之龙咨询集团有限公司</w:t>
      </w:r>
    </w:p>
    <w:p w14:paraId="24F0DE72">
      <w:pPr>
        <w:wordWrap w:val="0"/>
        <w:spacing w:line="360" w:lineRule="auto"/>
        <w:ind w:firstLine="420" w:firstLineChars="200"/>
        <w:jc w:val="right"/>
        <w:rPr>
          <w:rFonts w:ascii="宋体" w:hAnsi="宋体" w:cs="宋体"/>
          <w:color w:val="auto"/>
          <w:kern w:val="0"/>
          <w:szCs w:val="21"/>
          <w:highlight w:val="none"/>
        </w:rPr>
      </w:pP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202</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日</w:t>
      </w:r>
    </w:p>
    <w:p w14:paraId="4D423AA4">
      <w:pPr>
        <w:spacing w:line="400" w:lineRule="exact"/>
        <w:jc w:val="center"/>
        <w:rPr>
          <w:rFonts w:ascii="宋体" w:hAnsi="宋体"/>
          <w:b/>
          <w:color w:val="auto"/>
          <w:sz w:val="32"/>
          <w:szCs w:val="32"/>
          <w:highlight w:val="none"/>
        </w:rPr>
      </w:pPr>
      <w:r>
        <w:rPr>
          <w:rFonts w:ascii="宋体" w:hAnsi="宋体"/>
          <w:color w:val="auto"/>
          <w:sz w:val="32"/>
          <w:szCs w:val="32"/>
          <w:highlight w:val="none"/>
        </w:rPr>
        <w:br w:type="page"/>
      </w:r>
      <w:bookmarkStart w:id="63" w:name="_Toc74323457"/>
      <w:r>
        <w:rPr>
          <w:rFonts w:hint="eastAsia" w:ascii="宋体" w:hAnsi="宋体"/>
          <w:b/>
          <w:color w:val="auto"/>
          <w:sz w:val="32"/>
          <w:szCs w:val="32"/>
          <w:highlight w:val="none"/>
        </w:rPr>
        <w:t>第二章 供应商须知</w:t>
      </w:r>
      <w:bookmarkEnd w:id="63"/>
    </w:p>
    <w:p w14:paraId="0677D09B">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70A63E8B">
      <w:pPr>
        <w:spacing w:line="400" w:lineRule="exact"/>
        <w:jc w:val="center"/>
        <w:rPr>
          <w:rFonts w:ascii="宋体" w:hAnsi="宋体"/>
          <w:b/>
          <w:color w:val="auto"/>
          <w:sz w:val="32"/>
          <w:szCs w:val="32"/>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912"/>
      </w:tblGrid>
      <w:tr w14:paraId="5C4F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top"/>
          </w:tcPr>
          <w:p w14:paraId="3D266A7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Borders>
              <w:top w:val="single" w:color="auto" w:sz="4" w:space="0"/>
              <w:left w:val="single" w:color="auto" w:sz="4" w:space="0"/>
              <w:bottom w:val="single" w:color="auto" w:sz="4" w:space="0"/>
              <w:right w:val="single" w:color="auto" w:sz="4" w:space="0"/>
            </w:tcBorders>
            <w:noWrap/>
            <w:vAlign w:val="top"/>
          </w:tcPr>
          <w:p w14:paraId="6BB0854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7075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1BF1C3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tcBorders>
              <w:top w:val="single" w:color="auto" w:sz="4" w:space="0"/>
              <w:left w:val="single" w:color="auto" w:sz="4" w:space="0"/>
              <w:bottom w:val="single" w:color="auto" w:sz="4" w:space="0"/>
              <w:right w:val="single" w:color="auto" w:sz="4" w:space="0"/>
            </w:tcBorders>
            <w:noWrap/>
            <w:vAlign w:val="center"/>
          </w:tcPr>
          <w:p w14:paraId="1A74D0C8">
            <w:pPr>
              <w:spacing w:line="360" w:lineRule="auto"/>
              <w:rPr>
                <w:rFonts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2F8FA028">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132DFD04">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95765AD">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624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1BB444B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tcBorders>
              <w:top w:val="single" w:color="auto" w:sz="4" w:space="0"/>
              <w:left w:val="single" w:color="auto" w:sz="4" w:space="0"/>
              <w:bottom w:val="single" w:color="auto" w:sz="4" w:space="0"/>
              <w:right w:val="single" w:color="auto" w:sz="4" w:space="0"/>
            </w:tcBorders>
            <w:noWrap/>
            <w:vAlign w:val="center"/>
          </w:tcPr>
          <w:p w14:paraId="02AF3BAB">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55CF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31CEA1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tcBorders>
              <w:top w:val="single" w:color="auto" w:sz="4" w:space="0"/>
              <w:left w:val="single" w:color="auto" w:sz="4" w:space="0"/>
              <w:bottom w:val="single" w:color="auto" w:sz="4" w:space="0"/>
              <w:right w:val="single" w:color="auto" w:sz="4" w:space="0"/>
            </w:tcBorders>
            <w:noWrap/>
            <w:vAlign w:val="center"/>
          </w:tcPr>
          <w:p w14:paraId="1707AEA0">
            <w:pPr>
              <w:pStyle w:val="25"/>
              <w:spacing w:line="360" w:lineRule="auto"/>
              <w:rPr>
                <w:rFonts w:ascii="宋体" w:hAnsi="宋体"/>
                <w:color w:val="auto"/>
                <w:szCs w:val="21"/>
                <w:highlight w:val="none"/>
              </w:rPr>
            </w:pPr>
            <w:r>
              <w:rPr>
                <w:rFonts w:hint="eastAsia" w:ascii="宋体" w:hAnsi="宋体"/>
                <w:color w:val="auto"/>
                <w:szCs w:val="21"/>
                <w:highlight w:val="none"/>
              </w:rPr>
              <w:t>不允许分包</w:t>
            </w:r>
          </w:p>
        </w:tc>
      </w:tr>
      <w:tr w14:paraId="1410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7D82AE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tcBorders>
              <w:top w:val="single" w:color="auto" w:sz="4" w:space="0"/>
              <w:left w:val="single" w:color="auto" w:sz="4" w:space="0"/>
              <w:bottom w:val="single" w:color="auto" w:sz="4" w:space="0"/>
              <w:right w:val="single" w:color="auto" w:sz="4" w:space="0"/>
            </w:tcBorders>
            <w:noWrap/>
            <w:vAlign w:val="center"/>
          </w:tcPr>
          <w:p w14:paraId="553AA898">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3EC7FD8">
            <w:pPr>
              <w:pStyle w:val="25"/>
              <w:spacing w:line="360" w:lineRule="auto"/>
              <w:rPr>
                <w:rFonts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758FCBB">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根据防财监〔2023〕58号文要求提供的《防城港市政府采购供应商信用承诺函》（格式附后）</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36FA2EE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6DCFFD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738EA26">
            <w:pPr>
              <w:pStyle w:val="16"/>
              <w:ind w:left="0" w:leftChars="0" w:firstLine="0" w:firstLineChars="0"/>
              <w:rPr>
                <w:rFonts w:hint="eastAsia"/>
                <w:b/>
                <w:bCs/>
                <w:color w:val="auto"/>
                <w:highlight w:val="none"/>
              </w:rPr>
            </w:pPr>
            <w:r>
              <w:rPr>
                <w:rFonts w:hint="eastAsia"/>
                <w:color w:val="auto"/>
                <w:highlight w:val="none"/>
              </w:rPr>
              <w:t>5.供应商有效的《保险许可证》复印件；</w:t>
            </w:r>
            <w:r>
              <w:rPr>
                <w:rFonts w:hint="eastAsia"/>
                <w:b/>
                <w:bCs/>
                <w:color w:val="auto"/>
                <w:highlight w:val="none"/>
              </w:rPr>
              <w:t>（必须提供，否则响应文件按无效响应处理）</w:t>
            </w:r>
          </w:p>
          <w:p w14:paraId="4CBC1A43">
            <w:pPr>
              <w:pStyle w:val="16"/>
              <w:ind w:left="0" w:leftChars="0" w:firstLine="0" w:firstLineChars="0"/>
              <w:rPr>
                <w:rFonts w:hint="eastAsia"/>
                <w:color w:val="auto"/>
                <w:highlight w:val="none"/>
              </w:rPr>
            </w:pPr>
          </w:p>
          <w:p w14:paraId="040A6053">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.除磋商文件规定必须提供以外，供应商认为需要提供的其他证明材料；</w:t>
            </w:r>
          </w:p>
          <w:p w14:paraId="6402C2A1">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6F1F92A0">
            <w:pPr>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 的材料 ，必须加盖供应商电子签章；必须提供的材料在第五章“响应文件格式”中 有要求法定代表人或委托代理人签字的，必须由法定代表人或委托代理人签字，否则响应文件按无效响应处理。 其中 ，竞标声明必须由法定代表人或委托代理人在规定签章处签字（或盖章）并加盖供应商电子签章， 否则响应文件按无效响应处理。</w:t>
            </w:r>
          </w:p>
          <w:p w14:paraId="784FF183">
            <w:pPr>
              <w:pStyle w:val="16"/>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2.分公司参加竞标的，应当取得</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上级公司授权，或提供相关证明经营资质的文件，无授权的或者无相关证明文件的，则作无效竞标处理</w:t>
            </w:r>
            <w:r>
              <w:rPr>
                <w:rFonts w:hint="eastAsia" w:ascii="宋体" w:hAnsi="宋体" w:cs="宋体"/>
                <w:b/>
                <w:color w:val="auto"/>
                <w:szCs w:val="21"/>
                <w:highlight w:val="none"/>
                <w:lang w:eastAsia="zh-CN"/>
              </w:rPr>
              <w:t>。</w:t>
            </w:r>
          </w:p>
        </w:tc>
      </w:tr>
      <w:tr w14:paraId="16D7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71C2812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tcBorders>
              <w:top w:val="single" w:color="auto" w:sz="4" w:space="0"/>
              <w:left w:val="single" w:color="auto" w:sz="4" w:space="0"/>
              <w:bottom w:val="single" w:color="auto" w:sz="4" w:space="0"/>
              <w:right w:val="single" w:color="auto" w:sz="4" w:space="0"/>
            </w:tcBorders>
            <w:noWrap/>
            <w:vAlign w:val="center"/>
          </w:tcPr>
          <w:p w14:paraId="72129E78">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4FEF82B4">
            <w:pPr>
              <w:numPr>
                <w:ilvl w:val="0"/>
                <w:numId w:val="1"/>
              </w:numPr>
              <w:spacing w:line="360" w:lineRule="auto"/>
              <w:rPr>
                <w:rFonts w:ascii="宋体" w:hAnsi="宋体" w:cs="宋体"/>
                <w:color w:val="auto"/>
                <w:szCs w:val="21"/>
                <w:highlight w:val="none"/>
              </w:rPr>
            </w:pP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C279D70">
            <w:pPr>
              <w:spacing w:line="360" w:lineRule="auto"/>
              <w:rPr>
                <w:rFonts w:hAnsi="宋体" w:cs="Courier New"/>
                <w:bCs/>
                <w:color w:val="auto"/>
                <w:highlight w:val="none"/>
              </w:rPr>
            </w:pPr>
            <w:r>
              <w:rPr>
                <w:rFonts w:hint="eastAsia" w:ascii="宋体" w:hAnsi="宋体" w:cs="宋体"/>
                <w:color w:val="auto"/>
                <w:szCs w:val="21"/>
                <w:highlight w:val="none"/>
              </w:rPr>
              <w:t>2</w:t>
            </w:r>
            <w:r>
              <w:rPr>
                <w:rFonts w:ascii="宋体" w:hAnsi="宋体" w:cs="宋体"/>
                <w:color w:val="auto"/>
                <w:szCs w:val="21"/>
                <w:highlight w:val="none"/>
              </w:rPr>
              <w:t>.</w:t>
            </w:r>
            <w:bookmarkStart w:id="64" w:name="OLE_LINK6"/>
            <w:bookmarkStart w:id="65" w:name="OLE_LINK7"/>
            <w:r>
              <w:rPr>
                <w:rFonts w:ascii="宋体" w:hAnsi="宋体" w:cs="宋体"/>
                <w:color w:val="auto"/>
                <w:szCs w:val="21"/>
                <w:highlight w:val="none"/>
              </w:rPr>
              <w:t>供应商享受</w:t>
            </w:r>
            <w:r>
              <w:rPr>
                <w:rFonts w:hint="eastAsia" w:hAnsi="宋体" w:cs="Courier New"/>
                <w:bCs/>
                <w:color w:val="auto"/>
                <w:highlight w:val="none"/>
              </w:rPr>
              <w:t>中小企业</w:t>
            </w:r>
            <w:bookmarkStart w:id="66" w:name="OLE_LINK4"/>
            <w:bookmarkStart w:id="67" w:name="OLE_LINK5"/>
            <w:r>
              <w:rPr>
                <w:rFonts w:hint="eastAsia" w:hAnsi="宋体" w:cs="Courier New"/>
                <w:bCs/>
                <w:color w:val="auto"/>
                <w:highlight w:val="none"/>
              </w:rPr>
              <w:t>扶持政策</w:t>
            </w:r>
            <w:bookmarkEnd w:id="66"/>
            <w:bookmarkEnd w:id="67"/>
            <w:r>
              <w:rPr>
                <w:rFonts w:hint="eastAsia" w:hAnsi="宋体" w:cs="Courier New"/>
                <w:bCs/>
                <w:color w:val="auto"/>
                <w:highlight w:val="none"/>
              </w:rPr>
              <w:t>的材料（</w:t>
            </w:r>
            <w:r>
              <w:rPr>
                <w:rFonts w:hint="eastAsia" w:ascii="宋体" w:hAnsi="宋体"/>
                <w:color w:val="auto"/>
                <w:szCs w:val="21"/>
                <w:highlight w:val="none"/>
              </w:rPr>
              <w:t>供应商根据自身响应情况</w:t>
            </w:r>
            <w:r>
              <w:rPr>
                <w:rFonts w:hint="eastAsia" w:ascii="宋体" w:hAnsi="宋体"/>
                <w:color w:val="auto"/>
                <w:highlight w:val="none"/>
              </w:rPr>
              <w:t>，提供以下</w:t>
            </w:r>
            <w:r>
              <w:rPr>
                <w:rFonts w:ascii="宋体" w:hAnsi="宋体"/>
                <w:color w:val="auto"/>
                <w:highlight w:val="none"/>
              </w:rPr>
              <w:t>任意一项材料以证明自身可享受中小企业</w:t>
            </w:r>
            <w:r>
              <w:rPr>
                <w:rFonts w:hint="eastAsia" w:hAnsi="宋体" w:cs="Courier New"/>
                <w:bCs/>
                <w:color w:val="auto"/>
                <w:highlight w:val="none"/>
              </w:rPr>
              <w:t>扶持政策）：</w:t>
            </w:r>
            <w:r>
              <w:rPr>
                <w:rFonts w:hint="eastAsia"/>
                <w:color w:val="auto"/>
                <w:highlight w:val="none"/>
              </w:rPr>
              <w:t>（</w:t>
            </w:r>
            <w:r>
              <w:rPr>
                <w:rFonts w:hint="eastAsia"/>
                <w:b/>
                <w:color w:val="auto"/>
                <w:highlight w:val="none"/>
              </w:rPr>
              <w:t>如有请提供，如未提供则不对供应商的磋商报价进行政策性扣减</w:t>
            </w:r>
            <w:r>
              <w:rPr>
                <w:rFonts w:hint="eastAsia"/>
                <w:color w:val="auto"/>
                <w:highlight w:val="none"/>
              </w:rPr>
              <w:t>）</w:t>
            </w:r>
          </w:p>
          <w:p w14:paraId="166B03A5">
            <w:pPr>
              <w:spacing w:line="360" w:lineRule="auto"/>
              <w:rPr>
                <w:rFonts w:ascii="宋体" w:hAnsi="宋体" w:cs="宋体"/>
                <w:color w:val="auto"/>
                <w:szCs w:val="21"/>
                <w:highlight w:val="none"/>
              </w:rPr>
            </w:pPr>
            <w:r>
              <w:rPr>
                <w:rFonts w:hAnsi="宋体" w:cs="Courier New"/>
                <w:bCs/>
                <w:color w:val="auto"/>
                <w:highlight w:val="none"/>
              </w:rPr>
              <w:t>（</w:t>
            </w:r>
            <w:r>
              <w:rPr>
                <w:rFonts w:hint="eastAsia" w:hAnsi="宋体" w:cs="Courier New"/>
                <w:bCs/>
                <w:color w:val="auto"/>
                <w:highlight w:val="none"/>
              </w:rPr>
              <w:t>1</w:t>
            </w:r>
            <w:r>
              <w:rPr>
                <w:rFonts w:hAnsi="宋体" w:cs="Courier New"/>
                <w:bCs/>
                <w:color w:val="auto"/>
                <w:highlight w:val="none"/>
              </w:rPr>
              <w:t>）</w:t>
            </w:r>
            <w:r>
              <w:rPr>
                <w:rFonts w:hint="eastAsia"/>
                <w:color w:val="auto"/>
                <w:highlight w:val="none"/>
              </w:rPr>
              <w:t>《</w:t>
            </w:r>
            <w:r>
              <w:rPr>
                <w:rFonts w:hint="eastAsia" w:ascii="宋体" w:hAnsi="宋体" w:cs="宋体"/>
                <w:color w:val="auto"/>
                <w:szCs w:val="21"/>
                <w:highlight w:val="none"/>
              </w:rPr>
              <w:t>中小企业声明函</w:t>
            </w:r>
            <w:r>
              <w:rPr>
                <w:rFonts w:hint="eastAsia"/>
                <w:color w:val="auto"/>
                <w:highlight w:val="none"/>
              </w:rPr>
              <w:t>》</w:t>
            </w:r>
            <w:r>
              <w:rPr>
                <w:rFonts w:hint="eastAsia" w:ascii="宋体" w:hAnsi="宋体" w:cs="宋体"/>
                <w:color w:val="auto"/>
                <w:szCs w:val="21"/>
                <w:highlight w:val="none"/>
              </w:rPr>
              <w:t>（格式后附）；</w:t>
            </w:r>
          </w:p>
          <w:p w14:paraId="1DDF7D53">
            <w:pPr>
              <w:spacing w:line="360" w:lineRule="auto"/>
              <w:rPr>
                <w:rFonts w:ascii="宋体" w:hAnsi="宋体" w:cs="宋体"/>
                <w:color w:val="auto"/>
                <w:szCs w:val="21"/>
                <w:highlight w:val="none"/>
              </w:rPr>
            </w:pPr>
            <w:r>
              <w:rPr>
                <w:rFonts w:hint="eastAsia"/>
                <w:color w:val="auto"/>
                <w:highlight w:val="none"/>
              </w:rPr>
              <w:t>（2）《残疾人福利性单位声明函》</w:t>
            </w:r>
            <w:r>
              <w:rPr>
                <w:rFonts w:hint="eastAsia" w:ascii="宋体" w:hAnsi="宋体" w:cs="宋体"/>
                <w:color w:val="auto"/>
                <w:szCs w:val="21"/>
                <w:highlight w:val="none"/>
              </w:rPr>
              <w:t>（格式后附）</w:t>
            </w:r>
          </w:p>
          <w:p w14:paraId="62B95BE4">
            <w:pPr>
              <w:spacing w:line="360" w:lineRule="auto"/>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olor w:val="auto"/>
                <w:highlight w:val="none"/>
              </w:rPr>
              <w:t>省级以上监狱管理局、戒毒管理局</w:t>
            </w:r>
            <w:r>
              <w:rPr>
                <w:rFonts w:ascii="宋体" w:hAnsi="宋体"/>
                <w:color w:val="auto"/>
                <w:highlight w:val="none"/>
              </w:rPr>
              <w:t>(</w:t>
            </w:r>
            <w:r>
              <w:rPr>
                <w:rFonts w:hint="eastAsia" w:ascii="宋体" w:hAnsi="宋体"/>
                <w:color w:val="auto"/>
                <w:highlight w:val="none"/>
              </w:rPr>
              <w:t>含新疆生产建设兵团</w:t>
            </w:r>
            <w:r>
              <w:rPr>
                <w:rFonts w:ascii="宋体" w:hAnsi="宋体"/>
                <w:color w:val="auto"/>
                <w:highlight w:val="none"/>
              </w:rPr>
              <w:t>)</w:t>
            </w:r>
            <w:r>
              <w:rPr>
                <w:rFonts w:hint="eastAsia" w:ascii="宋体" w:hAnsi="宋体"/>
                <w:color w:val="auto"/>
                <w:highlight w:val="none"/>
              </w:rPr>
              <w:t>出具的属于监狱企业的证明文件；</w:t>
            </w:r>
            <w:r>
              <w:rPr>
                <w:rFonts w:hint="eastAsia" w:ascii="宋体" w:hAnsi="宋体" w:cs="宋体"/>
                <w:color w:val="auto"/>
                <w:szCs w:val="21"/>
                <w:highlight w:val="none"/>
              </w:rPr>
              <w:t xml:space="preserve"> </w:t>
            </w:r>
          </w:p>
          <w:bookmarkEnd w:id="64"/>
          <w:p w14:paraId="5888A640">
            <w:pPr>
              <w:spacing w:line="360" w:lineRule="auto"/>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olor w:val="auto"/>
                <w:szCs w:val="21"/>
                <w:highlight w:val="none"/>
              </w:rPr>
              <w:t>《关于符合本国产品标准的声明函》或者财政部会同有关部门规定的有关证明文件；（供应商根据自身响应情况出具）</w:t>
            </w:r>
            <w:bookmarkEnd w:id="65"/>
          </w:p>
          <w:p w14:paraId="68FE051B">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.供应商认为需要提供的其他有关资料。</w:t>
            </w:r>
          </w:p>
        </w:tc>
      </w:tr>
      <w:tr w14:paraId="3F9D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496189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tcBorders>
              <w:top w:val="single" w:color="auto" w:sz="4" w:space="0"/>
              <w:left w:val="single" w:color="auto" w:sz="4" w:space="0"/>
              <w:bottom w:val="single" w:color="auto" w:sz="4" w:space="0"/>
              <w:right w:val="single" w:color="auto" w:sz="4" w:space="0"/>
            </w:tcBorders>
            <w:noWrap/>
            <w:vAlign w:val="center"/>
          </w:tcPr>
          <w:p w14:paraId="65388D66">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4F96AEB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396420E">
            <w:pPr>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（除自然人竞标外必须提供，否则响应文件按无效响应处理）</w:t>
            </w:r>
          </w:p>
          <w:p w14:paraId="76820C6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137607A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831BE3E">
            <w:pPr>
              <w:jc w:val="left"/>
              <w:rPr>
                <w:rFonts w:ascii="宋体" w:hAnsi="宋体" w:cs="宋体"/>
                <w:color w:val="auto"/>
                <w:szCs w:val="21"/>
                <w:highlight w:val="none"/>
              </w:rPr>
            </w:pPr>
            <w:r>
              <w:rPr>
                <w:rFonts w:hint="eastAsia" w:ascii="宋体" w:hAnsi="宋体"/>
                <w:color w:val="auto"/>
                <w:szCs w:val="21"/>
                <w:highlight w:val="none"/>
              </w:rPr>
              <w:t>5.代理服务费承诺书（格式后附）；</w:t>
            </w:r>
            <w:r>
              <w:rPr>
                <w:rFonts w:hint="eastAsia" w:ascii="宋体" w:hAnsi="宋体" w:cs="宋体"/>
                <w:color w:val="auto"/>
                <w:szCs w:val="21"/>
                <w:highlight w:val="none"/>
              </w:rPr>
              <w:t xml:space="preserve"> </w:t>
            </w:r>
          </w:p>
          <w:p w14:paraId="20EFCCC6">
            <w:pPr>
              <w:jc w:val="left"/>
              <w:rPr>
                <w:b/>
                <w:color w:val="auto"/>
                <w:highlight w:val="none"/>
              </w:rPr>
            </w:pPr>
            <w:r>
              <w:rPr>
                <w:rFonts w:hint="eastAsia" w:ascii="宋体" w:hAnsi="宋体" w:cs="宋体"/>
                <w:color w:val="auto"/>
                <w:szCs w:val="21"/>
                <w:highlight w:val="none"/>
              </w:rPr>
              <w:t>6.</w:t>
            </w:r>
            <w:r>
              <w:rPr>
                <w:rFonts w:hint="eastAsia" w:ascii="宋体" w:hAnsi="宋体"/>
                <w:color w:val="auto"/>
                <w:szCs w:val="21"/>
                <w:highlight w:val="none"/>
              </w:rPr>
              <w:t>技术要求偏离表（格式后附）；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FE7CDD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7.保障范围、服务方案及管理措施、增值服务、理赔争议解决方案、服务人员能力、理赔技术支持、增加被保险人理赔、预付赔款服务、赔案理赔时间（格式自拟）；（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71ED6E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8.对应采购需求的技术要求、商务要求提供的其他文件资料（格式自拟）；</w:t>
            </w:r>
          </w:p>
          <w:p w14:paraId="4B7EA5E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9.供应商认为需要提供的其他有关资料。</w:t>
            </w:r>
          </w:p>
          <w:p w14:paraId="6C42A05E">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 的材料 ，必须加盖供应商电子签章；必须提供的材料在第五章“响应文件格式”中 有要求法定代表人或委托代理人签字的，必须由法定代表人或委托代理人签字，否则响应文件按无效响应处理。</w:t>
            </w:r>
          </w:p>
        </w:tc>
      </w:tr>
      <w:tr w14:paraId="7E36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5EE5F1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tcBorders>
              <w:top w:val="single" w:color="auto" w:sz="4" w:space="0"/>
              <w:left w:val="single" w:color="auto" w:sz="4" w:space="0"/>
              <w:bottom w:val="single" w:color="auto" w:sz="4" w:space="0"/>
              <w:right w:val="single" w:color="auto" w:sz="4" w:space="0"/>
            </w:tcBorders>
            <w:noWrap/>
            <w:vAlign w:val="center"/>
          </w:tcPr>
          <w:p w14:paraId="710BF5C7">
            <w:pPr>
              <w:spacing w:line="360" w:lineRule="auto"/>
              <w:contextualSpacing/>
              <w:jc w:val="left"/>
              <w:rPr>
                <w:rFonts w:hint="eastAsia" w:ascii="宋体" w:hAnsi="宋体" w:eastAsia="宋体" w:cs="Times New Roman"/>
                <w:bCs/>
                <w:iCs/>
                <w:color w:val="auto"/>
                <w:kern w:val="2"/>
                <w:sz w:val="21"/>
                <w:szCs w:val="21"/>
                <w:highlight w:val="none"/>
                <w:lang w:val="en-US" w:eastAsia="zh-CN" w:bidi="ar-SA"/>
              </w:rPr>
            </w:pPr>
            <w:r>
              <w:rPr>
                <w:rFonts w:hint="eastAsia" w:ascii="宋体" w:hAnsi="宋体"/>
                <w:bCs/>
                <w:color w:val="auto"/>
                <w:szCs w:val="21"/>
                <w:highlight w:val="none"/>
              </w:rPr>
              <w:t>磋商报价必须包括保险费用、利润、税费等相关文件规定及合同包含的所有风险、责任等各项应有费用。在合同实施时，采购人将不予支付成交供应商没有列入的项目费用，并认为此项目的费用已包括在总报价中。</w:t>
            </w:r>
          </w:p>
        </w:tc>
      </w:tr>
      <w:tr w14:paraId="4604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68ADD0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tcBorders>
              <w:top w:val="single" w:color="auto" w:sz="4" w:space="0"/>
              <w:left w:val="single" w:color="auto" w:sz="4" w:space="0"/>
              <w:bottom w:val="single" w:color="auto" w:sz="4" w:space="0"/>
              <w:right w:val="single" w:color="auto" w:sz="4" w:space="0"/>
            </w:tcBorders>
            <w:noWrap/>
            <w:vAlign w:val="center"/>
          </w:tcPr>
          <w:p w14:paraId="4C8124BB">
            <w:pPr>
              <w:pStyle w:val="24"/>
              <w:widowControl w:val="0"/>
              <w:tabs>
                <w:tab w:val="clear" w:pos="454"/>
              </w:tabs>
              <w:spacing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150A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195D9F3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tcBorders>
              <w:top w:val="single" w:color="auto" w:sz="4" w:space="0"/>
              <w:left w:val="single" w:color="auto" w:sz="4" w:space="0"/>
              <w:bottom w:val="single" w:color="auto" w:sz="4" w:space="0"/>
              <w:right w:val="single" w:color="auto" w:sz="4" w:space="0"/>
            </w:tcBorders>
            <w:noWrap/>
            <w:vAlign w:val="center"/>
          </w:tcPr>
          <w:p w14:paraId="4D23076B">
            <w:pP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本项目不收取磋商保证金。</w:t>
            </w:r>
          </w:p>
        </w:tc>
      </w:tr>
      <w:tr w14:paraId="4F93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5927F67B">
            <w:pPr>
              <w:spacing w:line="360" w:lineRule="auto"/>
              <w:jc w:val="center"/>
              <w:rPr>
                <w:rFonts w:ascii="宋体" w:hAnsi="宋体" w:cs="宋体"/>
                <w:color w:val="auto"/>
                <w:szCs w:val="21"/>
                <w:highlight w:val="none"/>
              </w:rPr>
            </w:pPr>
            <w:r>
              <w:rPr>
                <w:rFonts w:ascii="宋体" w:hAnsi="宋体" w:cs="宋体"/>
                <w:color w:val="auto"/>
                <w:szCs w:val="21"/>
                <w:highlight w:val="none"/>
              </w:rPr>
              <w:t>19</w:t>
            </w:r>
          </w:p>
        </w:tc>
        <w:tc>
          <w:tcPr>
            <w:tcW w:w="7912" w:type="dxa"/>
            <w:tcBorders>
              <w:top w:val="single" w:color="auto" w:sz="4" w:space="0"/>
              <w:left w:val="single" w:color="auto" w:sz="4" w:space="0"/>
              <w:bottom w:val="single" w:color="auto" w:sz="4" w:space="0"/>
              <w:right w:val="single" w:color="auto" w:sz="4" w:space="0"/>
            </w:tcBorders>
            <w:noWrap/>
            <w:vAlign w:val="center"/>
          </w:tcPr>
          <w:p w14:paraId="56E0D220">
            <w:pPr>
              <w:spacing w:line="360" w:lineRule="auto"/>
              <w:rPr>
                <w:rFonts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71FC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5A67E43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tcBorders>
              <w:top w:val="single" w:color="auto" w:sz="4" w:space="0"/>
              <w:left w:val="single" w:color="auto" w:sz="4" w:space="0"/>
              <w:bottom w:val="single" w:color="auto" w:sz="4" w:space="0"/>
              <w:right w:val="single" w:color="auto" w:sz="4" w:space="0"/>
            </w:tcBorders>
            <w:noWrap/>
            <w:vAlign w:val="center"/>
          </w:tcPr>
          <w:p w14:paraId="33A39F57">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响应文件提交截止时间：详见竞争性磋商公告</w:t>
            </w:r>
          </w:p>
          <w:p w14:paraId="2B4E523C">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2E04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5E2E75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tcBorders>
              <w:top w:val="single" w:color="auto" w:sz="4" w:space="0"/>
              <w:left w:val="single" w:color="auto" w:sz="4" w:space="0"/>
              <w:bottom w:val="single" w:color="auto" w:sz="4" w:space="0"/>
              <w:right w:val="single" w:color="auto" w:sz="4" w:space="0"/>
            </w:tcBorders>
            <w:noWrap/>
            <w:vAlign w:val="center"/>
          </w:tcPr>
          <w:p w14:paraId="095FC932">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0022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5D493F6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tcBorders>
              <w:top w:val="single" w:color="auto" w:sz="4" w:space="0"/>
              <w:left w:val="single" w:color="auto" w:sz="4" w:space="0"/>
              <w:bottom w:val="single" w:color="auto" w:sz="4" w:space="0"/>
              <w:right w:val="single" w:color="auto" w:sz="4" w:space="0"/>
            </w:tcBorders>
            <w:noWrap/>
            <w:vAlign w:val="center"/>
          </w:tcPr>
          <w:p w14:paraId="3240443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46E1C95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rPr>
              <w:t>30分钟</w:t>
            </w:r>
          </w:p>
        </w:tc>
      </w:tr>
      <w:tr w14:paraId="5571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15E959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tcBorders>
              <w:top w:val="single" w:color="auto" w:sz="4" w:space="0"/>
              <w:left w:val="single" w:color="auto" w:sz="4" w:space="0"/>
              <w:bottom w:val="single" w:color="auto" w:sz="4" w:space="0"/>
              <w:right w:val="single" w:color="auto" w:sz="4" w:space="0"/>
            </w:tcBorders>
            <w:noWrap/>
            <w:vAlign w:val="center"/>
          </w:tcPr>
          <w:p w14:paraId="4446CEE2">
            <w:pPr>
              <w:spacing w:line="360" w:lineRule="auto"/>
              <w:rPr>
                <w:rFonts w:ascii="宋体" w:hAnsi="宋体" w:cs="宋体"/>
                <w:color w:val="auto"/>
                <w:szCs w:val="21"/>
                <w:highlight w:val="none"/>
              </w:rPr>
            </w:pPr>
            <w:r>
              <w:rPr>
                <w:rFonts w:hint="eastAsia" w:ascii="宋体" w:hAnsi="宋体" w:cs="宋体"/>
                <w:color w:val="auto"/>
                <w:szCs w:val="21"/>
                <w:highlight w:val="none"/>
              </w:rPr>
              <w:t>商务/技术要求评审中允许负偏离的条款数为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37E1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4D554CA2">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tcBorders>
              <w:top w:val="single" w:color="auto" w:sz="4" w:space="0"/>
              <w:left w:val="single" w:color="auto" w:sz="4" w:space="0"/>
              <w:bottom w:val="single" w:color="auto" w:sz="4" w:space="0"/>
              <w:right w:val="single" w:color="auto" w:sz="4" w:space="0"/>
            </w:tcBorders>
            <w:noWrap/>
            <w:vAlign w:val="center"/>
          </w:tcPr>
          <w:p w14:paraId="1F5C00AF">
            <w:pPr>
              <w:spacing w:line="360" w:lineRule="auto"/>
              <w:rPr>
                <w:rFonts w:ascii="宋体" w:hAnsi="宋体"/>
                <w:color w:val="auto"/>
                <w:szCs w:val="21"/>
                <w:highlight w:val="none"/>
              </w:rPr>
            </w:pPr>
            <w:r>
              <w:rPr>
                <w:rFonts w:hint="eastAsia" w:ascii="宋体" w:hAnsi="宋体"/>
                <w:color w:val="auto"/>
                <w:szCs w:val="21"/>
                <w:highlight w:val="none"/>
              </w:rPr>
              <w:t>本项目收取履约保证金，具体规定如下：</w:t>
            </w:r>
          </w:p>
          <w:p w14:paraId="3A5A37AC">
            <w:pPr>
              <w:spacing w:line="360" w:lineRule="auto"/>
              <w:rPr>
                <w:rFonts w:hint="eastAsia" w:ascii="宋体" w:hAnsi="宋体"/>
                <w:color w:val="auto"/>
                <w:szCs w:val="21"/>
                <w:highlight w:val="none"/>
              </w:rPr>
            </w:pPr>
            <w:r>
              <w:rPr>
                <w:rFonts w:hint="eastAsia" w:ascii="宋体" w:hAnsi="宋体"/>
                <w:color w:val="auto"/>
                <w:szCs w:val="21"/>
                <w:highlight w:val="none"/>
              </w:rPr>
              <w:t>履约保证金金额：按成交金额的</w:t>
            </w:r>
            <w:r>
              <w:rPr>
                <w:rFonts w:hint="eastAsia" w:ascii="宋体" w:hAnsi="宋体"/>
                <w:color w:val="auto"/>
                <w:szCs w:val="21"/>
                <w:highlight w:val="none"/>
                <w:lang w:val="en-US" w:eastAsia="zh-CN"/>
              </w:rPr>
              <w:t>2</w:t>
            </w:r>
            <w:r>
              <w:rPr>
                <w:rFonts w:hint="eastAsia" w:ascii="宋体" w:hAnsi="宋体"/>
                <w:color w:val="auto"/>
                <w:szCs w:val="21"/>
                <w:highlight w:val="none"/>
              </w:rPr>
              <w:t>%收取。</w:t>
            </w:r>
          </w:p>
          <w:p w14:paraId="641FBA80">
            <w:pPr>
              <w:spacing w:line="360" w:lineRule="auto"/>
              <w:rPr>
                <w:rFonts w:hint="eastAsia"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w:t>
            </w:r>
          </w:p>
          <w:p w14:paraId="7BCE9293">
            <w:pPr>
              <w:spacing w:line="360" w:lineRule="auto"/>
              <w:rPr>
                <w:rFonts w:hint="eastAsia" w:ascii="宋体" w:hAnsi="宋体"/>
                <w:color w:val="auto"/>
                <w:szCs w:val="21"/>
                <w:highlight w:val="none"/>
              </w:rPr>
            </w:pPr>
            <w:r>
              <w:rPr>
                <w:rFonts w:hint="eastAsia" w:ascii="宋体" w:hAnsi="宋体"/>
                <w:color w:val="auto"/>
                <w:szCs w:val="21"/>
                <w:highlight w:val="none"/>
              </w:rPr>
              <w:t>履约保证金退付方式、时间及条件：履约完毕（</w:t>
            </w:r>
            <w:r>
              <w:rPr>
                <w:rFonts w:hint="eastAsia" w:ascii="宋体" w:hAnsi="宋体"/>
                <w:bCs/>
                <w:color w:val="auto"/>
                <w:szCs w:val="21"/>
                <w:highlight w:val="none"/>
              </w:rPr>
              <w:t>保单失效后</w:t>
            </w:r>
            <w:r>
              <w:rPr>
                <w:rFonts w:hint="eastAsia" w:ascii="宋体" w:hAnsi="宋体"/>
                <w:color w:val="auto"/>
                <w:szCs w:val="21"/>
                <w:highlight w:val="none"/>
              </w:rPr>
              <w:t>），由成交人向履约保证金收取单位提供《广西壮族自治区政府采购项目合同验收书》</w:t>
            </w:r>
            <w:r>
              <w:rPr>
                <w:rFonts w:hint="eastAsia" w:ascii="宋体" w:hAnsi="宋体" w:cs="宋体"/>
                <w:color w:val="auto"/>
                <w:szCs w:val="21"/>
                <w:highlight w:val="none"/>
              </w:rPr>
              <w:t>（详见附件1）</w:t>
            </w:r>
            <w:r>
              <w:rPr>
                <w:rFonts w:hint="eastAsia" w:ascii="宋体" w:hAnsi="宋体"/>
                <w:color w:val="auto"/>
                <w:szCs w:val="21"/>
                <w:highlight w:val="none"/>
              </w:rPr>
              <w:t>及《政府采购项目履约保证金退付意见书》</w:t>
            </w:r>
            <w:r>
              <w:rPr>
                <w:rFonts w:hint="eastAsia" w:ascii="宋体" w:hAnsi="宋体" w:cs="宋体"/>
                <w:color w:val="auto"/>
                <w:szCs w:val="21"/>
                <w:highlight w:val="none"/>
              </w:rPr>
              <w:t>（详见附件2）</w:t>
            </w:r>
            <w:r>
              <w:rPr>
                <w:rFonts w:hint="eastAsia" w:ascii="宋体" w:hAnsi="宋体"/>
                <w:color w:val="auto"/>
                <w:szCs w:val="21"/>
                <w:highlight w:val="none"/>
              </w:rPr>
              <w:t>，保证金收取单位在收到合格材料后5个工作日内办理退还手续（不计利息）。</w:t>
            </w:r>
          </w:p>
          <w:p w14:paraId="6D1B0753">
            <w:pPr>
              <w:widowControl/>
              <w:spacing w:line="360" w:lineRule="auto"/>
              <w:rPr>
                <w:rFonts w:hint="eastAsia" w:ascii="宋体" w:hAnsi="宋体"/>
                <w:color w:val="auto"/>
                <w:kern w:val="0"/>
                <w:szCs w:val="21"/>
                <w:highlight w:val="none"/>
                <w:u w:val="single"/>
              </w:rPr>
            </w:pPr>
            <w:r>
              <w:rPr>
                <w:rFonts w:hint="eastAsia" w:ascii="宋体" w:hAnsi="宋体"/>
                <w:color w:val="auto"/>
                <w:kern w:val="0"/>
                <w:szCs w:val="21"/>
                <w:highlight w:val="none"/>
              </w:rPr>
              <w:t>履约保证金提交时间：自成交通知书发出之日起</w:t>
            </w:r>
            <w:r>
              <w:rPr>
                <w:rFonts w:ascii="宋体" w:hAnsi="宋体"/>
                <w:color w:val="auto"/>
                <w:kern w:val="0"/>
                <w:szCs w:val="21"/>
                <w:highlight w:val="none"/>
                <w:u w:val="single"/>
              </w:rPr>
              <w:t>7</w:t>
            </w:r>
            <w:r>
              <w:rPr>
                <w:rFonts w:hint="eastAsia" w:ascii="宋体" w:hAnsi="宋体"/>
                <w:color w:val="auto"/>
                <w:kern w:val="0"/>
                <w:szCs w:val="21"/>
                <w:highlight w:val="none"/>
              </w:rPr>
              <w:t>日内。</w:t>
            </w:r>
          </w:p>
          <w:p w14:paraId="69FAFB08">
            <w:pPr>
              <w:spacing w:line="360" w:lineRule="auto"/>
              <w:rPr>
                <w:rFonts w:hint="eastAsia" w:ascii="宋体" w:hAnsi="宋体"/>
                <w:color w:val="auto"/>
                <w:szCs w:val="21"/>
                <w:highlight w:val="none"/>
              </w:rPr>
            </w:pPr>
            <w:r>
              <w:rPr>
                <w:rFonts w:hint="eastAsia" w:ascii="宋体" w:hAnsi="宋体"/>
                <w:color w:val="auto"/>
                <w:szCs w:val="21"/>
                <w:highlight w:val="none"/>
              </w:rPr>
              <w:t>履约保证金指定账户：采购人在签订采购合同前向成交人提供。</w:t>
            </w:r>
          </w:p>
          <w:p w14:paraId="41025C87">
            <w:pPr>
              <w:spacing w:line="360" w:lineRule="auto"/>
              <w:rPr>
                <w:rFonts w:ascii="宋体" w:hAnsi="宋体"/>
                <w:color w:val="auto"/>
                <w:szCs w:val="21"/>
                <w:highlight w:val="none"/>
              </w:rPr>
            </w:pPr>
            <w:r>
              <w:rPr>
                <w:rFonts w:ascii="宋体" w:hAnsi="宋体"/>
                <w:color w:val="auto"/>
                <w:szCs w:val="21"/>
                <w:highlight w:val="none"/>
              </w:rPr>
              <w:t>备注：</w:t>
            </w:r>
          </w:p>
          <w:p w14:paraId="37D4E6B3">
            <w:pPr>
              <w:numPr>
                <w:ilvl w:val="0"/>
                <w:numId w:val="0"/>
              </w:numPr>
              <w:autoSpaceDE w:val="0"/>
              <w:autoSpaceDN w:val="0"/>
              <w:spacing w:line="360" w:lineRule="auto"/>
              <w:rPr>
                <w:rFonts w:hint="eastAsia" w:ascii="宋体" w:hAnsi="宋体"/>
                <w:b/>
                <w:color w:val="auto"/>
                <w:szCs w:val="21"/>
                <w:highlight w:val="none"/>
              </w:rPr>
            </w:pPr>
            <w:r>
              <w:rPr>
                <w:rFonts w:hint="eastAsia" w:ascii="宋体" w:hAnsi="宋体" w:eastAsia="宋体" w:cs="Times New Roman"/>
                <w:b/>
                <w:color w:val="auto"/>
                <w:kern w:val="2"/>
                <w:sz w:val="21"/>
                <w:szCs w:val="21"/>
                <w:highlight w:val="none"/>
                <w:lang w:val="en-US" w:eastAsia="zh-CN" w:bidi="ar-SA"/>
              </w:rPr>
              <w:t>1.</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DCDD6D3">
            <w:pPr>
              <w:numPr>
                <w:ilvl w:val="0"/>
                <w:numId w:val="0"/>
              </w:numPr>
              <w:autoSpaceDE w:val="0"/>
              <w:autoSpaceDN w:val="0"/>
              <w:spacing w:line="360" w:lineRule="auto"/>
              <w:rPr>
                <w:rFonts w:ascii="宋体" w:hAnsi="宋体"/>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.采用银行、保险机构出具的保函的，必须为无条件保函，否则不予签订合同。</w:t>
            </w:r>
          </w:p>
        </w:tc>
      </w:tr>
      <w:tr w14:paraId="1DED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0C371ECA">
            <w:pPr>
              <w:spacing w:line="360" w:lineRule="auto"/>
              <w:jc w:val="center"/>
              <w:rPr>
                <w:rFonts w:ascii="宋体" w:hAnsi="宋体" w:cs="宋体"/>
                <w:color w:val="auto"/>
                <w:szCs w:val="21"/>
                <w:highlight w:val="none"/>
              </w:rPr>
            </w:pPr>
            <w:r>
              <w:rPr>
                <w:rFonts w:ascii="宋体" w:hAnsi="宋体" w:cs="宋体"/>
                <w:color w:val="auto"/>
                <w:szCs w:val="21"/>
                <w:highlight w:val="none"/>
              </w:rPr>
              <w:t>29.1</w:t>
            </w:r>
          </w:p>
        </w:tc>
        <w:tc>
          <w:tcPr>
            <w:tcW w:w="7912" w:type="dxa"/>
            <w:tcBorders>
              <w:top w:val="single" w:color="auto" w:sz="4" w:space="0"/>
              <w:left w:val="single" w:color="auto" w:sz="4" w:space="0"/>
              <w:bottom w:val="single" w:color="auto" w:sz="4" w:space="0"/>
              <w:right w:val="single" w:color="auto" w:sz="4" w:space="0"/>
            </w:tcBorders>
            <w:noWrap/>
            <w:vAlign w:val="center"/>
          </w:tcPr>
          <w:p w14:paraId="1DCEED42">
            <w:pP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2DEF8D3E">
            <w:pP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1E44C102">
            <w:pPr>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3124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7497317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tcBorders>
              <w:top w:val="single" w:color="auto" w:sz="4" w:space="0"/>
              <w:left w:val="single" w:color="auto" w:sz="4" w:space="0"/>
              <w:bottom w:val="single" w:color="auto" w:sz="4" w:space="0"/>
              <w:right w:val="single" w:color="auto" w:sz="4" w:space="0"/>
            </w:tcBorders>
            <w:noWrap/>
            <w:vAlign w:val="center"/>
          </w:tcPr>
          <w:p w14:paraId="36ACFA83">
            <w:pPr>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6974855E">
            <w:pPr>
              <w:pStyle w:val="34"/>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u w:val="single"/>
              </w:rPr>
              <w:t>云之龙咨询集团有限公司防城港市分公司</w:t>
            </w:r>
            <w:r>
              <w:rPr>
                <w:rFonts w:hint="eastAsia" w:hAnsi="宋体" w:cs="宋体"/>
                <w:color w:val="auto"/>
                <w:kern w:val="2"/>
                <w:sz w:val="21"/>
                <w:highlight w:val="none"/>
              </w:rPr>
              <w:t>，联系电话：0770-2882899，通讯地址：防城港市港口区桃花湾广场海悦华府一单元12楼1203室）</w:t>
            </w:r>
          </w:p>
          <w:p w14:paraId="2ED1F6B9">
            <w:pPr>
              <w:autoSpaceDE w:val="0"/>
              <w:autoSpaceDN w:val="0"/>
              <w:spacing w:line="360" w:lineRule="auto"/>
              <w:rPr>
                <w:rFonts w:ascii="宋体" w:hAnsi="宋体"/>
                <w:color w:val="auto"/>
                <w:szCs w:val="21"/>
                <w:highlight w:val="none"/>
              </w:rPr>
            </w:pPr>
            <w:r>
              <w:rPr>
                <w:rFonts w:hint="eastAsia" w:hAnsi="宋体" w:cs="宋体"/>
                <w:color w:val="auto"/>
                <w:highlight w:val="none"/>
              </w:rPr>
              <w:t>业务时间：工作日每天8时00分到12时00分，15时00分到18时00分</w:t>
            </w:r>
            <w:r>
              <w:rPr>
                <w:rFonts w:hint="eastAsia" w:hAnsi="宋体"/>
                <w:color w:val="auto"/>
                <w:highlight w:val="none"/>
              </w:rPr>
              <w:t>。</w:t>
            </w:r>
          </w:p>
        </w:tc>
      </w:tr>
      <w:tr w14:paraId="24BD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092E5D1A">
            <w:pPr>
              <w:spacing w:line="360" w:lineRule="auto"/>
              <w:jc w:val="center"/>
              <w:rPr>
                <w:rFonts w:ascii="宋体" w:hAnsi="宋体" w:cs="宋体"/>
                <w:color w:val="auto"/>
                <w:szCs w:val="21"/>
                <w:highlight w:val="none"/>
              </w:rPr>
            </w:pPr>
            <w:r>
              <w:rPr>
                <w:rFonts w:ascii="宋体" w:hAnsi="宋体" w:cs="宋体"/>
                <w:color w:val="auto"/>
                <w:szCs w:val="21"/>
                <w:highlight w:val="none"/>
              </w:rPr>
              <w:t>32.1</w:t>
            </w:r>
          </w:p>
        </w:tc>
        <w:tc>
          <w:tcPr>
            <w:tcW w:w="7912" w:type="dxa"/>
            <w:tcBorders>
              <w:top w:val="single" w:color="auto" w:sz="4" w:space="0"/>
              <w:left w:val="single" w:color="auto" w:sz="4" w:space="0"/>
              <w:bottom w:val="single" w:color="auto" w:sz="4" w:space="0"/>
              <w:right w:val="single" w:color="auto" w:sz="4" w:space="0"/>
            </w:tcBorders>
            <w:noWrap/>
            <w:vAlign w:val="center"/>
          </w:tcPr>
          <w:p w14:paraId="10BE7A36">
            <w:pPr>
              <w:pStyle w:val="34"/>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1E387B9D">
            <w:pPr>
              <w:pStyle w:val="34"/>
              <w:spacing w:line="360" w:lineRule="auto"/>
              <w:rPr>
                <w:rFonts w:hAnsi="宋体" w:cs="宋体"/>
                <w:color w:val="auto"/>
                <w:sz w:val="21"/>
                <w:highlight w:val="none"/>
              </w:rPr>
            </w:pPr>
            <w:r>
              <w:rPr>
                <w:rFonts w:hint="eastAsia" w:hAnsi="宋体" w:cs="宋体"/>
                <w:color w:val="auto"/>
                <w:sz w:val="21"/>
                <w:highlight w:val="none"/>
              </w:rPr>
              <w:t>本项目代理服务费由成交供应商一次性向采购代理机构支付。</w:t>
            </w:r>
          </w:p>
          <w:p w14:paraId="3D30CB92">
            <w:pPr>
              <w:pStyle w:val="34"/>
              <w:numPr>
                <w:ilvl w:val="0"/>
                <w:numId w:val="1"/>
              </w:numPr>
              <w:spacing w:line="360" w:lineRule="auto"/>
              <w:ind w:left="0" w:leftChars="0" w:firstLine="0" w:firstLineChars="0"/>
              <w:rPr>
                <w:rFonts w:hint="eastAsia" w:hAnsi="宋体" w:eastAsia="宋体" w:cs="宋体"/>
                <w:color w:val="auto"/>
                <w:sz w:val="21"/>
                <w:highlight w:val="none"/>
                <w:lang w:eastAsia="zh-CN"/>
              </w:rPr>
            </w:pPr>
            <w:r>
              <w:rPr>
                <w:rFonts w:hint="eastAsia" w:hAnsi="宋体" w:cs="宋体"/>
                <w:color w:val="auto"/>
                <w:sz w:val="21"/>
                <w:highlight w:val="none"/>
              </w:rPr>
              <w:t>采购代理费收取标准：</w:t>
            </w:r>
            <w:r>
              <w:rPr>
                <w:rFonts w:hint="eastAsia" w:hAnsi="宋体" w:cs="宋体"/>
                <w:color w:val="auto"/>
                <w:sz w:val="21"/>
                <w:highlight w:val="none"/>
                <w:lang w:eastAsia="zh-CN"/>
              </w:rPr>
              <w:t>按壹万伍仟元整收取</w:t>
            </w:r>
            <w:r>
              <w:rPr>
                <w:rFonts w:hint="eastAsia" w:hAnsi="宋体" w:cs="宋体"/>
                <w:color w:val="auto"/>
                <w:sz w:val="21"/>
                <w:highlight w:val="none"/>
                <w:lang w:val="en-US" w:eastAsia="zh-CN"/>
              </w:rPr>
              <w:t>。</w:t>
            </w:r>
          </w:p>
          <w:p w14:paraId="554F7AD8">
            <w:pPr>
              <w:pStyle w:val="34"/>
              <w:spacing w:line="360" w:lineRule="auto"/>
              <w:rPr>
                <w:rFonts w:hAnsi="宋体" w:cs="宋体"/>
                <w:color w:val="auto"/>
                <w:sz w:val="21"/>
                <w:highlight w:val="none"/>
              </w:rPr>
            </w:pPr>
            <w:r>
              <w:rPr>
                <w:rFonts w:hint="eastAsia" w:hAnsi="宋体" w:cs="宋体"/>
                <w:color w:val="auto"/>
                <w:sz w:val="21"/>
                <w:highlight w:val="none"/>
              </w:rPr>
              <w:t>3. 采购代理费收取银行账户</w:t>
            </w:r>
          </w:p>
          <w:p w14:paraId="6B6D7CCF">
            <w:pPr>
              <w:pStyle w:val="34"/>
              <w:spacing w:line="360" w:lineRule="auto"/>
              <w:rPr>
                <w:rFonts w:hAnsi="宋体" w:cs="宋体"/>
                <w:color w:val="auto"/>
                <w:sz w:val="21"/>
                <w:highlight w:val="none"/>
              </w:rPr>
            </w:pPr>
            <w:r>
              <w:rPr>
                <w:rFonts w:hint="eastAsia" w:hAnsi="宋体" w:cs="宋体"/>
                <w:color w:val="auto"/>
                <w:sz w:val="21"/>
                <w:highlight w:val="none"/>
              </w:rPr>
              <w:t>账户名称：云之龙咨询集团有限公司防城港分公司</w:t>
            </w:r>
          </w:p>
          <w:p w14:paraId="39A64C08">
            <w:pPr>
              <w:pStyle w:val="34"/>
              <w:spacing w:line="360" w:lineRule="auto"/>
              <w:rPr>
                <w:rFonts w:hAnsi="宋体" w:cs="宋体"/>
                <w:color w:val="auto"/>
                <w:sz w:val="21"/>
                <w:highlight w:val="none"/>
              </w:rPr>
            </w:pPr>
            <w:r>
              <w:rPr>
                <w:rFonts w:hint="eastAsia" w:hAnsi="宋体" w:cs="宋体"/>
                <w:color w:val="auto"/>
                <w:sz w:val="21"/>
                <w:highlight w:val="none"/>
              </w:rPr>
              <w:t>开户银行：中信银行南宁东葛支行</w:t>
            </w:r>
          </w:p>
          <w:p w14:paraId="10895AB0">
            <w:pPr>
              <w:pStyle w:val="34"/>
              <w:spacing w:line="360" w:lineRule="auto"/>
              <w:rPr>
                <w:rFonts w:hAnsi="宋体" w:cs="宋体"/>
                <w:color w:val="auto"/>
                <w:sz w:val="21"/>
                <w:highlight w:val="none"/>
              </w:rPr>
            </w:pPr>
            <w:r>
              <w:rPr>
                <w:rFonts w:hint="eastAsia" w:hAnsi="宋体" w:cs="宋体"/>
                <w:color w:val="auto"/>
                <w:sz w:val="21"/>
                <w:highlight w:val="none"/>
              </w:rPr>
              <w:t xml:space="preserve">银行账号：8113001014000157977  </w:t>
            </w:r>
          </w:p>
        </w:tc>
      </w:tr>
      <w:tr w14:paraId="0780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45D1804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tcBorders>
              <w:top w:val="single" w:color="auto" w:sz="4" w:space="0"/>
              <w:left w:val="single" w:color="auto" w:sz="4" w:space="0"/>
              <w:bottom w:val="single" w:color="auto" w:sz="4" w:space="0"/>
              <w:right w:val="single" w:color="auto" w:sz="4" w:space="0"/>
            </w:tcBorders>
            <w:noWrap/>
            <w:vAlign w:val="center"/>
          </w:tcPr>
          <w:p w14:paraId="0470E207">
            <w:pPr>
              <w:pStyle w:val="34"/>
              <w:spacing w:line="360" w:lineRule="auto"/>
              <w:rPr>
                <w:rFonts w:hAnsi="宋体" w:cs="宋体"/>
                <w:color w:val="auto"/>
                <w:kern w:val="2"/>
                <w:sz w:val="21"/>
                <w:highlight w:val="none"/>
              </w:rPr>
            </w:pPr>
            <w:r>
              <w:rPr>
                <w:rFonts w:hint="eastAsia" w:hAnsi="宋体"/>
                <w:color w:val="auto"/>
                <w:highlight w:val="none"/>
              </w:rPr>
              <w:t>解释：</w:t>
            </w:r>
            <w:r>
              <w:rPr>
                <w:rFonts w:hAnsi="宋体"/>
                <w:color w:val="auto"/>
                <w:highlight w:val="none"/>
              </w:rPr>
              <w:t>构成本</w:t>
            </w:r>
            <w:r>
              <w:rPr>
                <w:rFonts w:hint="eastAsia" w:hAnsi="宋体"/>
                <w:color w:val="auto"/>
                <w:highlight w:val="none"/>
              </w:rPr>
              <w:t>磋商文件</w:t>
            </w:r>
            <w:r>
              <w:rPr>
                <w:rFonts w:hAnsi="宋体"/>
                <w:color w:val="auto"/>
                <w:highlight w:val="none"/>
              </w:rPr>
              <w:t>的各个组成文件应互为解释，互为说明；除</w:t>
            </w:r>
            <w:r>
              <w:rPr>
                <w:rFonts w:hint="eastAsia" w:hAnsi="宋体"/>
                <w:color w:val="auto"/>
                <w:highlight w:val="none"/>
              </w:rPr>
              <w:t>磋商文件</w:t>
            </w:r>
            <w:r>
              <w:rPr>
                <w:rFonts w:hAnsi="宋体"/>
                <w:color w:val="auto"/>
                <w:highlight w:val="none"/>
              </w:rPr>
              <w:t>中有特别规定外，仅适用于</w:t>
            </w:r>
            <w:r>
              <w:rPr>
                <w:rFonts w:hint="eastAsia" w:hAnsi="宋体"/>
                <w:color w:val="auto"/>
                <w:highlight w:val="none"/>
              </w:rPr>
              <w:t>竞标</w:t>
            </w:r>
            <w:r>
              <w:rPr>
                <w:rFonts w:hAnsi="宋体"/>
                <w:color w:val="auto"/>
                <w:highlight w:val="none"/>
              </w:rPr>
              <w:t>阶段的规定，按</w:t>
            </w:r>
            <w:r>
              <w:rPr>
                <w:rFonts w:hint="eastAsia" w:hAnsi="宋体"/>
                <w:color w:val="auto"/>
                <w:highlight w:val="none"/>
              </w:rPr>
              <w:t>更正公告（澄清公告）</w:t>
            </w:r>
            <w:r>
              <w:rPr>
                <w:rFonts w:hAnsi="宋体"/>
                <w:color w:val="auto"/>
                <w:highlight w:val="none"/>
              </w:rPr>
              <w:t>、</w:t>
            </w:r>
            <w:r>
              <w:rPr>
                <w:rFonts w:hint="eastAsia" w:hAnsi="宋体"/>
                <w:color w:val="auto"/>
                <w:highlight w:val="none"/>
              </w:rPr>
              <w:t>竞争性磋商</w:t>
            </w:r>
            <w:r>
              <w:rPr>
                <w:rFonts w:hAnsi="宋体"/>
                <w:color w:val="auto"/>
                <w:highlight w:val="none"/>
              </w:rPr>
              <w:t>公告、</w:t>
            </w:r>
            <w:r>
              <w:rPr>
                <w:rFonts w:hint="eastAsia" w:hAnsi="宋体"/>
                <w:color w:val="auto"/>
                <w:highlight w:val="none"/>
              </w:rPr>
              <w:t>供应商</w:t>
            </w:r>
            <w:r>
              <w:rPr>
                <w:rFonts w:hAnsi="宋体"/>
                <w:color w:val="auto"/>
                <w:highlight w:val="none"/>
              </w:rPr>
              <w:t>须知</w:t>
            </w:r>
            <w:r>
              <w:rPr>
                <w:rFonts w:hint="eastAsia" w:hAnsi="宋体"/>
                <w:color w:val="auto"/>
                <w:highlight w:val="none"/>
              </w:rPr>
              <w:t>、采购需求</w:t>
            </w:r>
            <w:r>
              <w:rPr>
                <w:rFonts w:hAnsi="宋体"/>
                <w:color w:val="auto"/>
                <w:highlight w:val="none"/>
              </w:rPr>
              <w:t>、</w:t>
            </w:r>
            <w:r>
              <w:rPr>
                <w:rFonts w:hint="eastAsia"/>
                <w:color w:val="auto"/>
                <w:highlight w:val="none"/>
              </w:rPr>
              <w:t>评审程序、评审方法和评审标准</w:t>
            </w:r>
            <w:r>
              <w:rPr>
                <w:rFonts w:hAnsi="宋体"/>
                <w:color w:val="auto"/>
                <w:highlight w:val="none"/>
              </w:rPr>
              <w:t>、</w:t>
            </w:r>
            <w:r>
              <w:rPr>
                <w:rFonts w:hint="eastAsia" w:hAnsi="宋体"/>
                <w:color w:val="auto"/>
                <w:highlight w:val="none"/>
              </w:rPr>
              <w:t>响应</w:t>
            </w:r>
            <w:r>
              <w:rPr>
                <w:rFonts w:hAnsi="宋体"/>
                <w:color w:val="auto"/>
                <w:highlight w:val="none"/>
              </w:rPr>
              <w:t>文件格式</w:t>
            </w:r>
            <w:r>
              <w:rPr>
                <w:rFonts w:hint="eastAsia" w:hAnsi="宋体"/>
                <w:color w:val="auto"/>
                <w:highlight w:val="none"/>
              </w:rPr>
              <w:t>、合同文本</w:t>
            </w:r>
            <w:r>
              <w:rPr>
                <w:rFonts w:hAnsi="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highlight w:val="none"/>
              </w:rPr>
              <w:t>更正公告（澄清公告）</w:t>
            </w:r>
            <w:r>
              <w:rPr>
                <w:rFonts w:hAnsi="宋体"/>
                <w:color w:val="auto"/>
                <w:highlight w:val="none"/>
              </w:rPr>
              <w:t>与同步更新的</w:t>
            </w:r>
            <w:r>
              <w:rPr>
                <w:rFonts w:hint="eastAsia" w:hAnsi="宋体"/>
                <w:color w:val="auto"/>
                <w:highlight w:val="none"/>
              </w:rPr>
              <w:t>磋商文件</w:t>
            </w:r>
            <w:r>
              <w:rPr>
                <w:rFonts w:hAnsi="宋体"/>
                <w:color w:val="auto"/>
                <w:highlight w:val="none"/>
              </w:rPr>
              <w:t>不一致时以</w:t>
            </w:r>
            <w:r>
              <w:rPr>
                <w:rFonts w:hint="eastAsia" w:hAnsi="宋体"/>
                <w:color w:val="auto"/>
                <w:highlight w:val="none"/>
              </w:rPr>
              <w:t>更正公告（澄清公告）</w:t>
            </w:r>
            <w:r>
              <w:rPr>
                <w:rFonts w:hAnsi="宋体"/>
                <w:color w:val="auto"/>
                <w:highlight w:val="none"/>
              </w:rPr>
              <w:t>为准。按本款前述规定仍不能形成结论的，由</w:t>
            </w:r>
            <w:r>
              <w:rPr>
                <w:rFonts w:hint="eastAsia" w:hAnsi="宋体"/>
                <w:color w:val="auto"/>
                <w:highlight w:val="none"/>
              </w:rPr>
              <w:t>采购</w:t>
            </w:r>
            <w:r>
              <w:rPr>
                <w:rFonts w:hAnsi="宋体"/>
                <w:color w:val="auto"/>
                <w:highlight w:val="none"/>
              </w:rPr>
              <w:t>人</w:t>
            </w:r>
            <w:r>
              <w:rPr>
                <w:rFonts w:hint="eastAsia" w:hAnsi="宋体"/>
                <w:color w:val="auto"/>
                <w:highlight w:val="none"/>
              </w:rPr>
              <w:t>或者采购代理机构</w:t>
            </w:r>
            <w:r>
              <w:rPr>
                <w:rFonts w:hAnsi="宋体"/>
                <w:color w:val="auto"/>
                <w:highlight w:val="none"/>
              </w:rPr>
              <w:t>负责解释。</w:t>
            </w:r>
          </w:p>
        </w:tc>
      </w:tr>
      <w:tr w14:paraId="2592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2AE117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tcBorders>
              <w:top w:val="single" w:color="auto" w:sz="4" w:space="0"/>
              <w:left w:val="single" w:color="auto" w:sz="4" w:space="0"/>
              <w:bottom w:val="single" w:color="auto" w:sz="4" w:space="0"/>
              <w:right w:val="single" w:color="auto" w:sz="4" w:space="0"/>
            </w:tcBorders>
            <w:noWrap/>
            <w:vAlign w:val="center"/>
          </w:tcPr>
          <w:p w14:paraId="7734A6B4">
            <w:pPr>
              <w:pStyle w:val="34"/>
              <w:spacing w:line="340" w:lineRule="exact"/>
              <w:rPr>
                <w:rFonts w:hAnsi="宋体"/>
                <w:color w:val="auto"/>
                <w:highlight w:val="none"/>
              </w:rPr>
            </w:pPr>
            <w:r>
              <w:rPr>
                <w:rFonts w:hint="eastAsia" w:hAnsi="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F69AAC2">
            <w:pPr>
              <w:pStyle w:val="34"/>
              <w:spacing w:line="340" w:lineRule="exact"/>
              <w:rPr>
                <w:rFonts w:hAnsi="宋体"/>
                <w:color w:val="auto"/>
                <w:highlight w:val="none"/>
              </w:rPr>
            </w:pPr>
            <w:r>
              <w:rPr>
                <w:rFonts w:hint="eastAsia" w:hAnsi="宋体"/>
                <w:color w:val="auto"/>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3D7AADC">
            <w:pPr>
              <w:pStyle w:val="34"/>
              <w:spacing w:line="340" w:lineRule="exact"/>
              <w:rPr>
                <w:rFonts w:hAnsi="宋体"/>
                <w:color w:val="auto"/>
                <w:highlight w:val="none"/>
              </w:rPr>
            </w:pPr>
            <w:r>
              <w:rPr>
                <w:rFonts w:hAnsi="宋体"/>
                <w:color w:val="auto"/>
                <w:highlight w:val="none"/>
              </w:rPr>
              <w:t>3</w:t>
            </w:r>
            <w:r>
              <w:rPr>
                <w:rFonts w:hint="eastAsia" w:hAnsi="宋体"/>
                <w:color w:val="auto"/>
                <w:highlight w:val="none"/>
              </w:rPr>
              <w:t>.</w:t>
            </w:r>
            <w:r>
              <w:rPr>
                <w:rFonts w:hint="eastAsia" w:hAnsi="宋体"/>
                <w:color w:val="auto"/>
                <w:highlight w:val="none"/>
                <w:lang w:val="en-US" w:eastAsia="zh-CN"/>
              </w:rPr>
              <w:t>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1A111E9C">
            <w:pPr>
              <w:pStyle w:val="34"/>
              <w:spacing w:line="340" w:lineRule="exact"/>
              <w:rPr>
                <w:rFonts w:hAnsi="宋体"/>
                <w:color w:val="auto"/>
                <w:highlight w:val="none"/>
              </w:rPr>
            </w:pPr>
            <w:r>
              <w:rPr>
                <w:rFonts w:hAnsi="宋体"/>
                <w:color w:val="auto"/>
                <w:highlight w:val="none"/>
              </w:rPr>
              <w:t>4.</w:t>
            </w:r>
            <w:r>
              <w:rPr>
                <w:rFonts w:hint="eastAsia" w:hAnsi="宋体"/>
                <w:color w:val="auto"/>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1AA09DE5">
            <w:pPr>
              <w:pStyle w:val="34"/>
              <w:spacing w:line="340" w:lineRule="exact"/>
              <w:rPr>
                <w:rFonts w:hAnsi="宋体" w:cs="宋体"/>
                <w:color w:val="auto"/>
                <w:sz w:val="21"/>
                <w:highlight w:val="none"/>
              </w:rPr>
            </w:pPr>
            <w:r>
              <w:rPr>
                <w:rFonts w:hint="eastAsia" w:hAnsi="宋体"/>
                <w:color w:val="auto"/>
                <w:highlight w:val="none"/>
              </w:rPr>
              <w:t>5</w:t>
            </w:r>
            <w:r>
              <w:rPr>
                <w:rFonts w:hAnsi="宋体"/>
                <w:color w:val="auto"/>
                <w:highlight w:val="none"/>
              </w:rPr>
              <w:t>.</w:t>
            </w:r>
            <w:r>
              <w:rPr>
                <w:rFonts w:hint="eastAsia" w:hAnsi="宋体"/>
                <w:color w:val="auto"/>
                <w:highlight w:val="none"/>
              </w:rPr>
              <w:t>本磋商文件所称的“以上”“以下”“以内”“届满”，包括本数；所称的“不满”“超过”“以外”，不包括本数。</w:t>
            </w:r>
          </w:p>
        </w:tc>
      </w:tr>
    </w:tbl>
    <w:p w14:paraId="35BED8E5">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3EC10307">
      <w:pPr>
        <w:spacing w:line="400" w:lineRule="exact"/>
        <w:jc w:val="center"/>
        <w:rPr>
          <w:rFonts w:ascii="宋体" w:hAnsi="宋体"/>
          <w:b/>
          <w:color w:val="auto"/>
          <w:sz w:val="32"/>
          <w:szCs w:val="32"/>
          <w:highlight w:val="none"/>
        </w:rPr>
      </w:pPr>
    </w:p>
    <w:p w14:paraId="013DE175">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072836B3">
      <w:pPr>
        <w:spacing w:line="400" w:lineRule="exact"/>
        <w:rPr>
          <w:rFonts w:ascii="宋体" w:hAnsi="宋体"/>
          <w:color w:val="auto"/>
          <w:szCs w:val="21"/>
          <w:highlight w:val="none"/>
        </w:rPr>
      </w:pPr>
    </w:p>
    <w:p w14:paraId="687539B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4C0CE4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及本项目本级和上级财政部门与政府采购有关规定的约束和保护。</w:t>
      </w:r>
    </w:p>
    <w:p w14:paraId="082711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C1276A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28DAAA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419912B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7DBEB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1873247">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0A28C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75469E2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05EB92E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7B9B074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4C9787C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4B36A2DE">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0151232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15640C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43FC01E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71D2C7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26B1FA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386F32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64B5259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3335E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328F90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0DE9A02F">
      <w:pPr>
        <w:pStyle w:val="15"/>
        <w:keepNext w:val="0"/>
        <w:keepLines w:val="0"/>
        <w:spacing w:before="0" w:after="0" w:line="360" w:lineRule="auto"/>
        <w:ind w:left="420" w:leftChars="200"/>
        <w:rPr>
          <w:rFonts w:ascii="宋体" w:hAnsi="宋体"/>
          <w:b w:val="0"/>
          <w:color w:val="auto"/>
          <w:sz w:val="21"/>
          <w:szCs w:val="21"/>
          <w:highlight w:val="none"/>
        </w:rPr>
      </w:pPr>
      <w:bookmarkStart w:id="68" w:name="_Toc254970673"/>
      <w:bookmarkStart w:id="69" w:name="_Toc254970532"/>
      <w:r>
        <w:rPr>
          <w:rFonts w:hint="eastAsia" w:ascii="宋体" w:hAnsi="宋体"/>
          <w:b w:val="0"/>
          <w:color w:val="auto"/>
          <w:sz w:val="21"/>
          <w:szCs w:val="21"/>
          <w:highlight w:val="none"/>
        </w:rPr>
        <w:t>6.1本项目不允许转包。</w:t>
      </w:r>
    </w:p>
    <w:p w14:paraId="674B9FC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8"/>
      <w:bookmarkEnd w:id="69"/>
    </w:p>
    <w:p w14:paraId="01520FDB">
      <w:pPr>
        <w:spacing w:line="360" w:lineRule="auto"/>
        <w:ind w:firstLine="420" w:firstLineChars="200"/>
        <w:rPr>
          <w:rFonts w:ascii="宋体" w:hAnsi="宋体" w:cs="宋体"/>
          <w:color w:val="auto"/>
          <w:szCs w:val="21"/>
          <w:highlight w:val="none"/>
        </w:rPr>
      </w:pPr>
      <w:bookmarkStart w:id="70" w:name="_8.1提供相同品牌产品且通过资格审查、符合性审查的不同投标人参加同一合"/>
      <w:bookmarkEnd w:id="70"/>
      <w:r>
        <w:rPr>
          <w:rFonts w:hint="eastAsia" w:ascii="宋体" w:hAnsi="宋体" w:cs="宋体"/>
          <w:color w:val="auto"/>
          <w:szCs w:val="21"/>
          <w:highlight w:val="none"/>
        </w:rPr>
        <w:t>7.</w:t>
      </w:r>
      <w:r>
        <w:rPr>
          <w:rFonts w:ascii="宋体" w:hAnsi="宋体" w:cs="宋体"/>
          <w:color w:val="auto"/>
          <w:szCs w:val="21"/>
          <w:highlight w:val="none"/>
        </w:rPr>
        <w:t>1</w:t>
      </w:r>
      <w:bookmarkStart w:id="71"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71"/>
    <w:p w14:paraId="1EA374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120AE6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80DC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298715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153B9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92D8B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7CE82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6BEBAE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446A5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260544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w:t>
      </w:r>
      <w:r>
        <w:rPr>
          <w:rFonts w:ascii="宋体" w:hAnsi="宋体" w:cs="宋体"/>
          <w:b/>
          <w:bCs/>
          <w:color w:val="auto"/>
          <w:szCs w:val="21"/>
          <w:highlight w:val="none"/>
        </w:rPr>
        <w:t>5</w:t>
      </w:r>
      <w:r>
        <w:rPr>
          <w:rFonts w:hint="eastAsia" w:ascii="宋体" w:hAnsi="宋体" w:cs="宋体"/>
          <w:b/>
          <w:bCs/>
          <w:color w:val="auto"/>
          <w:szCs w:val="21"/>
          <w:highlight w:val="none"/>
        </w:rPr>
        <w:t>有下列情形之一的视为供应商相互串通竞标，响应文件将被视为无效：</w:t>
      </w:r>
    </w:p>
    <w:p w14:paraId="78D4C2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（1）不同供应商的响应文件由同一单位或者个人编制或不同供应商报名的IP地址一致的；</w:t>
      </w:r>
    </w:p>
    <w:p w14:paraId="113FAA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174D3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9DA1F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07DC6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DC5B1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698AF9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1078E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0E078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A1A7B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63D3F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249B7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A7A39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1CBDDCF2">
      <w:pPr>
        <w:pStyle w:val="2"/>
        <w:spacing w:line="360" w:lineRule="auto"/>
        <w:rPr>
          <w:rFonts w:ascii="宋体" w:hAnsi="宋体"/>
          <w:color w:val="auto"/>
          <w:highlight w:val="none"/>
        </w:rPr>
      </w:pPr>
      <w:r>
        <w:rPr>
          <w:rFonts w:ascii="宋体" w:hAnsi="宋体"/>
          <w:color w:val="auto"/>
          <w:highlight w:val="none"/>
        </w:rPr>
        <w:t>7.7</w:t>
      </w:r>
      <w:r>
        <w:rPr>
          <w:rFonts w:hint="eastAsia" w:ascii="宋体" w:hAnsi="宋体"/>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E195D32">
      <w:pPr>
        <w:pStyle w:val="2"/>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5DE839A6">
      <w:pPr>
        <w:widowControl/>
        <w:shd w:val="clear" w:color="auto" w:fill="FFFFFF"/>
        <w:spacing w:before="30" w:after="30" w:line="360" w:lineRule="auto"/>
        <w:jc w:val="center"/>
        <w:rPr>
          <w:rFonts w:hint="eastAsia"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r:link="rId13"/>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24A4954F">
      <w:pPr>
        <w:pStyle w:val="2"/>
        <w:spacing w:line="360" w:lineRule="auto"/>
        <w:rPr>
          <w:rFonts w:hint="eastAsia"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2A4E24E">
      <w:pPr>
        <w:pStyle w:val="2"/>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38ECB4ED">
      <w:pPr>
        <w:pStyle w:val="2"/>
        <w:spacing w:line="360" w:lineRule="auto"/>
        <w:rPr>
          <w:rFonts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171C73E">
      <w:pPr>
        <w:spacing w:line="360" w:lineRule="auto"/>
        <w:jc w:val="center"/>
        <w:rPr>
          <w:rFonts w:ascii="宋体" w:hAnsi="宋体"/>
          <w:b/>
          <w:bCs/>
          <w:color w:val="auto"/>
          <w:sz w:val="32"/>
          <w:szCs w:val="32"/>
          <w:highlight w:val="none"/>
        </w:rPr>
      </w:pPr>
      <w:bookmarkStart w:id="72" w:name="_Toc254970675"/>
      <w:bookmarkStart w:id="73" w:name="_Toc254970534"/>
      <w:r>
        <w:rPr>
          <w:rFonts w:hint="eastAsia" w:ascii="宋体" w:hAnsi="宋体"/>
          <w:b/>
          <w:bCs/>
          <w:color w:val="auto"/>
          <w:sz w:val="32"/>
          <w:szCs w:val="32"/>
          <w:highlight w:val="none"/>
        </w:rPr>
        <w:t>二、磋商文件</w:t>
      </w:r>
      <w:bookmarkEnd w:id="72"/>
      <w:bookmarkEnd w:id="73"/>
    </w:p>
    <w:p w14:paraId="3B42C995">
      <w:pPr>
        <w:spacing w:line="360" w:lineRule="auto"/>
        <w:rPr>
          <w:rFonts w:ascii="宋体" w:hAnsi="宋体"/>
          <w:color w:val="auto"/>
          <w:szCs w:val="21"/>
          <w:highlight w:val="none"/>
        </w:rPr>
      </w:pPr>
    </w:p>
    <w:p w14:paraId="441A2A1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7DFB61D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（1）竞争性磋商公告；</w:t>
      </w:r>
    </w:p>
    <w:p w14:paraId="2CD1AB7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1DD4D75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518AD4D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（4）评审程序、评审方法和评审标准；</w:t>
      </w:r>
    </w:p>
    <w:p w14:paraId="31B786F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（5）响应文件格式；</w:t>
      </w:r>
    </w:p>
    <w:p w14:paraId="7CE61A6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（6）合同文本。</w:t>
      </w:r>
    </w:p>
    <w:p w14:paraId="749A901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338027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7032508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55B2CCD4">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7897CC7C">
      <w:pPr>
        <w:spacing w:line="360" w:lineRule="auto"/>
        <w:rPr>
          <w:rFonts w:ascii="宋体" w:hAnsi="宋体"/>
          <w:color w:val="auto"/>
          <w:szCs w:val="21"/>
          <w:highlight w:val="none"/>
        </w:rPr>
      </w:pPr>
    </w:p>
    <w:p w14:paraId="0AB32CE0">
      <w:pP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03365405">
      <w:pPr>
        <w:spacing w:line="360" w:lineRule="auto"/>
        <w:rPr>
          <w:rFonts w:ascii="宋体" w:hAnsi="宋体"/>
          <w:color w:val="auto"/>
          <w:szCs w:val="21"/>
          <w:highlight w:val="none"/>
        </w:rPr>
      </w:pPr>
    </w:p>
    <w:p w14:paraId="3A1EEAE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10F829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9C6663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6A32D6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7AFDB0E0">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56634B94">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445493F2">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8B6CBC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51C28C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AA4249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00F856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9487F7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3DDA6A07">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1464F961">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3AC8E22C">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1461579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5.3.1</w:t>
      </w:r>
      <w:r>
        <w:rPr>
          <w:rFonts w:hint="eastAsia" w:ascii="宋体" w:hAnsi="宋体" w:cs="宋体"/>
          <w:b/>
          <w:bCs/>
          <w:color w:val="auto"/>
          <w:szCs w:val="21"/>
          <w:highlight w:val="none"/>
        </w:rPr>
        <w:t>供应商的竞标报价应符合以下要求，否则响应文件按无效响应处理：</w:t>
      </w:r>
    </w:p>
    <w:p w14:paraId="1CCF2F9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20840BCD">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749802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4F84330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15.3.</w:t>
      </w:r>
      <w:r>
        <w:rPr>
          <w:rFonts w:ascii="宋体" w:hAnsi="宋体" w:cs="宋体"/>
          <w:b/>
          <w:bCs/>
          <w:color w:val="auto"/>
          <w:szCs w:val="21"/>
          <w:highlight w:val="none"/>
        </w:rPr>
        <w:t>2</w:t>
      </w:r>
      <w:r>
        <w:rPr>
          <w:rFonts w:hint="eastAsia" w:ascii="宋体" w:hAnsi="宋体" w:cs="宋体"/>
          <w:b/>
          <w:bCs/>
          <w:color w:val="auto"/>
          <w:szCs w:val="21"/>
          <w:highlight w:val="none"/>
        </w:rPr>
        <w:t>竞标报价（包含首次报价、最后报价）超过所竞标项目规定的采购预算金额或最高限价的，其响应文件将按无效处理。</w:t>
      </w:r>
    </w:p>
    <w:p w14:paraId="617489E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0645E4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4E0B5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2F2D96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57864A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17.磋商保证金：本项目不收取磋商保证金。</w:t>
      </w:r>
    </w:p>
    <w:p w14:paraId="42AEC25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46BB74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olor w:val="auto"/>
          <w:szCs w:val="21"/>
          <w:highlight w:val="none"/>
        </w:rPr>
        <w:t>广西政府采购云平台</w:t>
      </w:r>
      <w:r>
        <w:rPr>
          <w:rFonts w:hint="eastAsia" w:ascii="宋体" w:hAnsi="宋体" w:cs="宋体"/>
          <w:color w:val="auto"/>
          <w:szCs w:val="21"/>
          <w:highlight w:val="none"/>
        </w:rPr>
        <w:t>电子交易客户端”（请自行前往</w:t>
      </w:r>
      <w:r>
        <w:rPr>
          <w:rFonts w:hint="eastAsia" w:ascii="宋体" w:hAnsi="宋体"/>
          <w:color w:val="auto"/>
          <w:szCs w:val="21"/>
          <w:highlight w:val="none"/>
        </w:rPr>
        <w:t>广西政府采购云平台</w:t>
      </w:r>
      <w:r>
        <w:rPr>
          <w:rFonts w:hint="eastAsia" w:ascii="宋体" w:hAnsi="宋体" w:cs="宋体"/>
          <w:color w:val="auto"/>
          <w:szCs w:val="21"/>
          <w:highlight w:val="none"/>
        </w:rPr>
        <w:t>进行下载），并按照本项目磋商文件规定的格式和顺序和</w:t>
      </w:r>
      <w:r>
        <w:rPr>
          <w:rFonts w:hint="eastAsia" w:ascii="宋体" w:hAnsi="宋体"/>
          <w:color w:val="auto"/>
          <w:szCs w:val="21"/>
          <w:highlight w:val="none"/>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001460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olor w:val="auto"/>
          <w:szCs w:val="21"/>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1C991AE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18.3响应文件须由供应商在规定位置签字、盖章（具体以供应商须知前附表或响应文件格式规定为准），否则按无效响应处理。</w:t>
      </w:r>
    </w:p>
    <w:p w14:paraId="610D0DA5">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w:t>
      </w:r>
      <w:r>
        <w:rPr>
          <w:rFonts w:hint="eastAsia" w:ascii="宋体" w:hAnsi="宋体" w:cs="宋体"/>
          <w:b/>
          <w:bCs/>
          <w:color w:val="auto"/>
          <w:szCs w:val="21"/>
          <w:highlight w:val="none"/>
        </w:rPr>
        <w:t>否则其响应文件按无效响应处理。</w:t>
      </w:r>
    </w:p>
    <w:p w14:paraId="1EA885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06567A79">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565698A9">
      <w:pPr>
        <w:spacing w:line="360" w:lineRule="auto"/>
        <w:ind w:firstLine="420" w:firstLineChars="200"/>
        <w:rPr>
          <w:rFonts w:ascii="宋体" w:hAnsi="宋体" w:cs="宋体"/>
          <w:color w:val="auto"/>
          <w:szCs w:val="21"/>
          <w:highlight w:val="none"/>
        </w:rPr>
      </w:pPr>
      <w:r>
        <w:rPr>
          <w:rFonts w:hint="eastAsia"/>
          <w:color w:val="auto"/>
          <w:highlight w:val="none"/>
        </w:rPr>
        <w:t>电子备份响应文件是指通过“</w:t>
      </w:r>
      <w:r>
        <w:rPr>
          <w:rFonts w:hint="eastAsia" w:ascii="宋体" w:hAnsi="宋体"/>
          <w:color w:val="auto"/>
          <w:szCs w:val="21"/>
          <w:highlight w:val="none"/>
        </w:rPr>
        <w:t>广西政府采购云平台</w:t>
      </w:r>
      <w:r>
        <w:rPr>
          <w:rFonts w:hint="eastAsia"/>
          <w:color w:val="auto"/>
          <w:highlight w:val="none"/>
        </w:rPr>
        <w:t>电子竞标客户端”在线编制生成且后缀名为“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42449F0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37D268B8">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1855C7BB">
      <w:pPr>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1AC26F1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345204FA">
      <w:pPr>
        <w:spacing w:line="360" w:lineRule="auto"/>
        <w:ind w:firstLine="420"/>
        <w:jc w:val="left"/>
        <w:rPr>
          <w:rFonts w:ascii="宋体" w:hAnsi="宋体"/>
          <w:color w:val="auto"/>
          <w:szCs w:val="21"/>
          <w:highlight w:val="none"/>
        </w:rPr>
      </w:pPr>
      <w:bookmarkStart w:id="74" w:name="_Toc254970684"/>
      <w:bookmarkStart w:id="75"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文件制作与投送教程”）</w:t>
      </w:r>
    </w:p>
    <w:bookmarkEnd w:id="74"/>
    <w:bookmarkEnd w:id="75"/>
    <w:p w14:paraId="3FF21C6B">
      <w:pPr>
        <w:pStyle w:val="58"/>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681237A8">
      <w:pPr>
        <w:spacing w:line="360" w:lineRule="auto"/>
        <w:ind w:firstLine="482" w:firstLineChars="200"/>
        <w:rPr>
          <w:rFonts w:ascii="黑体" w:hAnsi="黑体" w:eastAsia="黑体" w:cs="宋体"/>
          <w:b/>
          <w:bCs/>
          <w:color w:val="auto"/>
          <w:sz w:val="24"/>
          <w:highlight w:val="none"/>
        </w:rPr>
      </w:pPr>
      <w:bookmarkStart w:id="76" w:name="_Hlk45702405"/>
      <w:r>
        <w:rPr>
          <w:rFonts w:hint="eastAsia" w:ascii="黑体" w:hAnsi="黑体" w:eastAsia="黑体" w:cs="宋体"/>
          <w:b/>
          <w:bCs/>
          <w:color w:val="auto"/>
          <w:sz w:val="24"/>
          <w:highlight w:val="none"/>
        </w:rPr>
        <w:t>22.响应文件的退回</w:t>
      </w:r>
    </w:p>
    <w:p w14:paraId="3B1849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72DCD9F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62E0C2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供应商在响应文件提交截止时间后向采购人、采购代理机构书面申请撤回响应文件的，将不予退还其响应文件。</w:t>
      </w:r>
    </w:p>
    <w:bookmarkEnd w:id="76"/>
    <w:p w14:paraId="6902494D">
      <w:pPr>
        <w:spacing w:line="360" w:lineRule="auto"/>
        <w:rPr>
          <w:rFonts w:ascii="宋体" w:hAnsi="宋体"/>
          <w:color w:val="auto"/>
          <w:szCs w:val="21"/>
          <w:highlight w:val="none"/>
        </w:rPr>
      </w:pPr>
    </w:p>
    <w:p w14:paraId="4390C625">
      <w:pPr>
        <w:spacing w:line="360" w:lineRule="auto"/>
        <w:ind w:left="420" w:firstLine="42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0865ED31">
      <w:pPr>
        <w:spacing w:line="360" w:lineRule="auto"/>
        <w:ind w:left="420" w:firstLine="420"/>
        <w:rPr>
          <w:rFonts w:ascii="宋体" w:hAnsi="宋体"/>
          <w:color w:val="auto"/>
          <w:szCs w:val="21"/>
          <w:highlight w:val="none"/>
        </w:rPr>
      </w:pPr>
    </w:p>
    <w:p w14:paraId="38EBC85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44AAED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1C1C8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BF48B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7279AC2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6CE2551F">
      <w:pP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67FDF8D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688213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61179E6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6F4100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61C2A395">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9C97637">
      <w:pPr>
        <w:spacing w:line="360" w:lineRule="auto"/>
        <w:ind w:firstLine="420" w:firstLineChars="20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1BB5673">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79F591B6">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735BD111">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2CE3CA0F">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0ACB18CE">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5A0064B6">
      <w:pPr>
        <w:spacing w:line="360" w:lineRule="auto"/>
        <w:ind w:firstLine="420" w:firstLineChars="200"/>
        <w:rPr>
          <w:rFonts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32140F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287F51A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9B2BA99">
      <w:pPr>
        <w:spacing w:line="360" w:lineRule="auto"/>
        <w:ind w:firstLine="420" w:firstLineChars="200"/>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7"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7"/>
    </w:p>
    <w:p w14:paraId="4C9F297A">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52FACFA7">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3DA1DF27">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3C13E5A1">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697E4F79">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57C290A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403311C3">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567EACB5">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51B5BAE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0F5C5599">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318D5BF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63D7D35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FECC7E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2D7D581">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7381550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6734C16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46A119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4031CC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458D02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20547FEE">
      <w:pPr>
        <w:pStyle w:val="16"/>
        <w:spacing w:line="360" w:lineRule="auto"/>
        <w:rPr>
          <w:rFonts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7A49C7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225F9D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234F70B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FE34AC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2A155F0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5273261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1A211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598FFF0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F8DAB4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451FC19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7BDC15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1D575A6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29D1A25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CB85C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7801358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963A3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D4D243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10FAC17">
      <w:pPr>
        <w:spacing w:line="360" w:lineRule="auto"/>
        <w:ind w:firstLine="420" w:firstLineChars="20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D11412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3C1BE9BB">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color w:val="auto"/>
          <w:highlight w:val="none"/>
          <w:lang w:eastAsia="zh-CN"/>
        </w:rPr>
        <w:t>费</w:t>
      </w:r>
      <w:r>
        <w:rPr>
          <w:rFonts w:hint="eastAsia" w:ascii="宋体" w:hAnsi="宋体" w:cs="宋体"/>
          <w:color w:val="auto"/>
          <w:szCs w:val="21"/>
          <w:highlight w:val="none"/>
        </w:rPr>
        <w:t>收取标准及缴费账户详见“供应商须知前附表”。</w:t>
      </w:r>
    </w:p>
    <w:p w14:paraId="433AC8A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7AE253B3">
      <w:pPr>
        <w:pStyle w:val="34"/>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759D2C72">
      <w:pPr>
        <w:pStyle w:val="34"/>
        <w:spacing w:line="360" w:lineRule="auto"/>
        <w:ind w:firstLine="420" w:firstLineChars="200"/>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14:paraId="7B0B3E64">
      <w:pPr>
        <w:pStyle w:val="34"/>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D3A5F8F">
      <w:pPr>
        <w:pStyle w:val="34"/>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C4D2B5F">
      <w:pPr>
        <w:pStyle w:val="34"/>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2AE3BF84">
      <w:pPr>
        <w:pStyle w:val="34"/>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3F3CECE">
      <w:pPr>
        <w:pStyle w:val="34"/>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FA40C50">
      <w:pPr>
        <w:pStyle w:val="34"/>
        <w:spacing w:line="360" w:lineRule="auto"/>
        <w:ind w:firstLine="420" w:firstLineChars="200"/>
        <w:rPr>
          <w:b/>
          <w:bCs/>
          <w:color w:val="auto"/>
          <w:sz w:val="18"/>
          <w:szCs w:val="18"/>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r>
        <w:rPr>
          <w:rFonts w:hAnsi="宋体"/>
          <w:b/>
          <w:color w:val="auto"/>
          <w:highlight w:val="none"/>
        </w:rPr>
        <w:br w:type="page"/>
      </w:r>
    </w:p>
    <w:p w14:paraId="228008AC">
      <w:pPr>
        <w:snapToGrid w:val="0"/>
        <w:spacing w:line="340" w:lineRule="exact"/>
        <w:rPr>
          <w:rFonts w:ascii="宋体" w:hAnsi="宋体"/>
          <w:color w:val="auto"/>
          <w:kern w:val="0"/>
          <w:sz w:val="20"/>
          <w:szCs w:val="21"/>
          <w:highlight w:val="none"/>
        </w:rPr>
      </w:pPr>
      <w:bookmarkStart w:id="78" w:name="_Toc74323458"/>
      <w:r>
        <w:rPr>
          <w:rFonts w:hint="eastAsia" w:ascii="黑体" w:hAnsi="黑体" w:eastAsia="黑体" w:cs="黑体"/>
          <w:bCs/>
          <w:color w:val="auto"/>
          <w:kern w:val="0"/>
          <w:sz w:val="32"/>
          <w:szCs w:val="32"/>
          <w:highlight w:val="none"/>
        </w:rPr>
        <w:t>附件1：</w:t>
      </w:r>
    </w:p>
    <w:p w14:paraId="74027315">
      <w:pPr>
        <w:widowControl/>
        <w:shd w:val="clear" w:color="auto" w:fill="FFFFFF"/>
        <w:spacing w:line="480" w:lineRule="atLeast"/>
        <w:jc w:val="center"/>
        <w:rPr>
          <w:rFonts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政府采购项目合同验收书（格式）</w:t>
      </w:r>
    </w:p>
    <w:p w14:paraId="150581F3">
      <w:pPr>
        <w:widowControl/>
        <w:shd w:val="clear" w:color="auto" w:fill="FFFFFF"/>
        <w:spacing w:line="480" w:lineRule="atLeast"/>
        <w:jc w:val="center"/>
        <w:rPr>
          <w:rFonts w:ascii="仿宋" w:hAnsi="仿宋" w:eastAsia="仿宋" w:cs="宋体"/>
          <w:color w:val="auto"/>
          <w:kern w:val="0"/>
          <w:sz w:val="32"/>
          <w:szCs w:val="32"/>
          <w:highlight w:val="none"/>
        </w:rPr>
      </w:pPr>
    </w:p>
    <w:p w14:paraId="77E4D46E">
      <w:pPr>
        <w:widowControl/>
        <w:shd w:val="clear" w:color="auto" w:fill="FFFFFF"/>
        <w:snapToGrid w:val="0"/>
        <w:spacing w:line="320" w:lineRule="atLeast"/>
        <w:ind w:firstLine="48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6D7351A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53A96B5C">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699" w:type="dxa"/>
            <w:gridSpan w:val="6"/>
            <w:tcBorders>
              <w:top w:val="single" w:color="auto" w:sz="8" w:space="0"/>
              <w:left w:val="nil"/>
              <w:bottom w:val="single" w:color="auto" w:sz="8" w:space="0"/>
              <w:right w:val="single" w:color="auto" w:sz="8" w:space="0"/>
            </w:tcBorders>
            <w:vAlign w:val="center"/>
          </w:tcPr>
          <w:p w14:paraId="022B783B">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04127504">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2372B546">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307BEFAD">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1C14124C">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vAlign w:val="center"/>
          </w:tcPr>
          <w:p w14:paraId="22E1B0F0">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366DA4A2">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236BF55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C773FF0">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73935E7">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17FC9BC">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7DC68E8A">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F51A1CE">
            <w:pPr>
              <w:widowControl/>
              <w:spacing w:before="100" w:beforeAutospacing="1" w:after="100" w:afterAutospacing="1" w:line="240" w:lineRule="atLeast"/>
              <w:jc w:val="center"/>
              <w:rPr>
                <w:rFonts w:ascii="Verdana" w:hAnsi="Verdana" w:cs="宋体"/>
                <w:color w:val="auto"/>
                <w:kern w:val="0"/>
                <w:szCs w:val="21"/>
                <w:highlight w:val="none"/>
              </w:rPr>
            </w:pPr>
          </w:p>
        </w:tc>
      </w:tr>
      <w:tr w14:paraId="078ECD3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E697EA4">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9858597">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97AFA37">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6F85D451">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CBFD055">
            <w:pPr>
              <w:widowControl/>
              <w:spacing w:before="100" w:beforeAutospacing="1" w:after="100" w:afterAutospacing="1" w:line="240" w:lineRule="atLeast"/>
              <w:jc w:val="center"/>
              <w:rPr>
                <w:rFonts w:ascii="Verdana" w:hAnsi="Verdana" w:cs="宋体"/>
                <w:color w:val="auto"/>
                <w:kern w:val="0"/>
                <w:szCs w:val="21"/>
                <w:highlight w:val="none"/>
              </w:rPr>
            </w:pPr>
          </w:p>
        </w:tc>
      </w:tr>
      <w:tr w14:paraId="08764C2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7F759AB">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94504EE">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F0D3889">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143D3BA2">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DCFD78F">
            <w:pPr>
              <w:widowControl/>
              <w:spacing w:before="100" w:beforeAutospacing="1" w:after="100" w:afterAutospacing="1" w:line="240" w:lineRule="atLeast"/>
              <w:jc w:val="center"/>
              <w:rPr>
                <w:rFonts w:ascii="Verdana" w:hAnsi="Verdana" w:cs="宋体"/>
                <w:color w:val="auto"/>
                <w:kern w:val="0"/>
                <w:szCs w:val="21"/>
                <w:highlight w:val="none"/>
              </w:rPr>
            </w:pPr>
          </w:p>
        </w:tc>
      </w:tr>
      <w:tr w14:paraId="07375BA8">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0F37D05F">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1369" w:type="dxa"/>
            <w:gridSpan w:val="2"/>
            <w:tcBorders>
              <w:top w:val="nil"/>
              <w:left w:val="nil"/>
              <w:bottom w:val="single" w:color="auto" w:sz="8" w:space="0"/>
              <w:right w:val="single" w:color="auto" w:sz="8" w:space="0"/>
            </w:tcBorders>
            <w:vAlign w:val="center"/>
          </w:tcPr>
          <w:p w14:paraId="1F01CAF7">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FA5AE9C">
            <w:pPr>
              <w:widowControl/>
              <w:spacing w:before="100" w:beforeAutospacing="1" w:after="100" w:afterAutospacing="1" w:line="240" w:lineRule="atLeast"/>
              <w:jc w:val="center"/>
              <w:rPr>
                <w:rFonts w:ascii="Verdana" w:hAnsi="Verdana" w:cs="宋体"/>
                <w:color w:val="auto"/>
                <w:kern w:val="0"/>
                <w:szCs w:val="21"/>
                <w:highlight w:val="none"/>
              </w:rPr>
            </w:pPr>
          </w:p>
        </w:tc>
      </w:tr>
      <w:tr w14:paraId="0DF1CF6B">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vAlign w:val="center"/>
          </w:tcPr>
          <w:p w14:paraId="282C324F">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0FC4CCAF">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07DB4C57">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71D69DB7">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62913467">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619" w:type="dxa"/>
            <w:gridSpan w:val="2"/>
            <w:tcBorders>
              <w:top w:val="nil"/>
              <w:left w:val="nil"/>
              <w:bottom w:val="single" w:color="auto" w:sz="8" w:space="0"/>
              <w:right w:val="single" w:color="auto" w:sz="8" w:space="0"/>
            </w:tcBorders>
            <w:vAlign w:val="center"/>
          </w:tcPr>
          <w:p w14:paraId="4EF78AF9">
            <w:pPr>
              <w:widowControl/>
              <w:spacing w:before="100" w:beforeAutospacing="1" w:after="100" w:afterAutospacing="1" w:line="240" w:lineRule="atLeast"/>
              <w:jc w:val="center"/>
              <w:rPr>
                <w:rFonts w:ascii="Verdana" w:hAnsi="Verdana" w:cs="宋体"/>
                <w:color w:val="auto"/>
                <w:kern w:val="0"/>
                <w:szCs w:val="21"/>
                <w:highlight w:val="none"/>
              </w:rPr>
            </w:pPr>
          </w:p>
        </w:tc>
      </w:tr>
      <w:tr w14:paraId="4CF54A93">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75BEA843">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788C1B71">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3ADA122">
            <w:pPr>
              <w:widowControl/>
              <w:spacing w:before="100" w:beforeAutospacing="1" w:after="100" w:afterAutospacing="1" w:line="240" w:lineRule="atLeast"/>
              <w:jc w:val="center"/>
              <w:rPr>
                <w:rFonts w:ascii="Verdana" w:hAnsi="Verdana" w:cs="宋体"/>
                <w:color w:val="auto"/>
                <w:kern w:val="0"/>
                <w:szCs w:val="21"/>
                <w:highlight w:val="none"/>
              </w:rPr>
            </w:pPr>
          </w:p>
        </w:tc>
        <w:tc>
          <w:tcPr>
            <w:tcW w:w="2619" w:type="dxa"/>
            <w:gridSpan w:val="2"/>
            <w:tcBorders>
              <w:top w:val="nil"/>
              <w:left w:val="nil"/>
              <w:bottom w:val="single" w:color="auto" w:sz="8" w:space="0"/>
              <w:right w:val="single" w:color="auto" w:sz="8" w:space="0"/>
            </w:tcBorders>
            <w:vAlign w:val="center"/>
          </w:tcPr>
          <w:p w14:paraId="1CDBFD2A">
            <w:pPr>
              <w:widowControl/>
              <w:spacing w:before="100" w:beforeAutospacing="1" w:after="100" w:afterAutospacing="1" w:line="240" w:lineRule="atLeast"/>
              <w:jc w:val="center"/>
              <w:rPr>
                <w:rFonts w:ascii="Verdana" w:hAnsi="Verdana" w:cs="宋体"/>
                <w:color w:val="auto"/>
                <w:kern w:val="0"/>
                <w:szCs w:val="21"/>
                <w:highlight w:val="none"/>
              </w:rPr>
            </w:pPr>
          </w:p>
        </w:tc>
      </w:tr>
      <w:tr w14:paraId="355BB79C">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EAFF59">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73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87D3552">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w:t>
            </w:r>
            <w:r>
              <w:rPr>
                <w:rFonts w:hint="eastAsia" w:ascii="Verdana" w:hAnsi="Verdana" w:cs="宋体"/>
                <w:color w:val="auto"/>
                <w:kern w:val="0"/>
                <w:szCs w:val="21"/>
                <w:highlight w:val="none"/>
                <w:lang w:eastAsia="zh-CN"/>
              </w:rPr>
              <w:t>磋商</w:t>
            </w:r>
            <w:r>
              <w:rPr>
                <w:rFonts w:ascii="Verdana" w:hAnsi="Verdana" w:cs="宋体"/>
                <w:color w:val="auto"/>
                <w:kern w:val="0"/>
                <w:szCs w:val="21"/>
                <w:highlight w:val="none"/>
              </w:rPr>
              <w:t>文件、竞标响应文件及验收方案等进行验收；并核对成交供应商在安装调试等方面是否违反合同约定或者服务规范要求、提供的质量保证证明材料是否齐全、应有的配件及附件是否达到合同约定等。</w:t>
            </w:r>
            <w:r>
              <w:rPr>
                <w:rFonts w:hint="eastAsia" w:ascii="Verdana" w:hAnsi="Verdana" w:cs="宋体"/>
                <w:color w:val="auto"/>
                <w:kern w:val="0"/>
                <w:szCs w:val="21"/>
                <w:highlight w:val="none"/>
                <w:lang w:eastAsia="zh-CN"/>
              </w:rPr>
              <w:t>见</w:t>
            </w:r>
            <w:r>
              <w:rPr>
                <w:rFonts w:ascii="Verdana" w:hAnsi="Verdana" w:cs="宋体"/>
                <w:color w:val="auto"/>
                <w:kern w:val="0"/>
                <w:szCs w:val="21"/>
                <w:highlight w:val="none"/>
              </w:rPr>
              <w:t>附件)</w:t>
            </w:r>
          </w:p>
        </w:tc>
      </w:tr>
      <w:tr w14:paraId="6A51A616">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FCEBAE">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7322" w:type="dxa"/>
            <w:gridSpan w:val="7"/>
            <w:tcBorders>
              <w:top w:val="nil"/>
              <w:left w:val="nil"/>
              <w:bottom w:val="single" w:color="auto" w:sz="8" w:space="0"/>
              <w:right w:val="single" w:color="auto" w:sz="8" w:space="0"/>
            </w:tcBorders>
            <w:vAlign w:val="center"/>
          </w:tcPr>
          <w:p w14:paraId="1D5E70CB">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059DE48D">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5D440A53">
            <w:pPr>
              <w:widowControl/>
              <w:jc w:val="left"/>
              <w:rPr>
                <w:rFonts w:ascii="Verdana" w:hAnsi="Verdana" w:cs="宋体"/>
                <w:color w:val="auto"/>
                <w:kern w:val="0"/>
                <w:szCs w:val="21"/>
                <w:highlight w:val="none"/>
              </w:rPr>
            </w:pPr>
          </w:p>
        </w:tc>
        <w:tc>
          <w:tcPr>
            <w:tcW w:w="7322" w:type="dxa"/>
            <w:gridSpan w:val="7"/>
            <w:tcBorders>
              <w:top w:val="nil"/>
              <w:left w:val="nil"/>
              <w:bottom w:val="single" w:color="auto" w:sz="8" w:space="0"/>
              <w:right w:val="single" w:color="auto" w:sz="8" w:space="0"/>
            </w:tcBorders>
            <w:vAlign w:val="center"/>
          </w:tcPr>
          <w:p w14:paraId="420D102C">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7D91FB6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3ACA95C8">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A5FE8B">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33006413">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8B52D6">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43C46783">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5774D059">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19242833">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6529D181">
            <w:pPr>
              <w:widowControl/>
              <w:spacing w:before="100" w:beforeAutospacing="1" w:after="100" w:afterAutospacing="1" w:line="320" w:lineRule="atLeast"/>
              <w:jc w:val="left"/>
              <w:rPr>
                <w:rFonts w:ascii="Verdana" w:hAnsi="Verdana" w:cs="宋体"/>
                <w:color w:val="auto"/>
                <w:kern w:val="0"/>
                <w:szCs w:val="21"/>
                <w:highlight w:val="none"/>
              </w:rPr>
            </w:pPr>
          </w:p>
          <w:p w14:paraId="3D35D10D">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799" w:type="dxa"/>
            <w:gridSpan w:val="4"/>
            <w:tcBorders>
              <w:top w:val="nil"/>
              <w:left w:val="nil"/>
              <w:bottom w:val="single" w:color="auto" w:sz="8" w:space="0"/>
              <w:right w:val="single" w:color="auto" w:sz="8" w:space="0"/>
            </w:tcBorders>
            <w:vAlign w:val="center"/>
          </w:tcPr>
          <w:p w14:paraId="3D0F157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74EAF8BB">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5CDF5A72">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720526E4">
      <w:pPr>
        <w:snapToGrid w:val="0"/>
        <w:rPr>
          <w:rFonts w:ascii="宋体"/>
          <w:b/>
          <w:bCs/>
          <w:color w:val="auto"/>
          <w:sz w:val="18"/>
          <w:szCs w:val="18"/>
          <w:highlight w:val="none"/>
        </w:rPr>
      </w:pPr>
    </w:p>
    <w:p w14:paraId="7017A02B">
      <w:pPr>
        <w:snapToGrid w:val="0"/>
        <w:rPr>
          <w:rFonts w:hint="eastAsia" w:ascii="黑体" w:hAnsi="黑体" w:eastAsia="黑体" w:cs="黑体"/>
          <w:color w:val="auto"/>
          <w:kern w:val="0"/>
          <w:sz w:val="32"/>
          <w:szCs w:val="32"/>
          <w:highlight w:val="none"/>
        </w:rPr>
      </w:pPr>
    </w:p>
    <w:p w14:paraId="6A774428">
      <w:pPr>
        <w:snapToGrid w:val="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附件2：</w:t>
      </w:r>
    </w:p>
    <w:p w14:paraId="67FFABC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14:paraId="4A3DD16D">
      <w:pPr>
        <w:jc w:val="center"/>
        <w:rPr>
          <w:rFonts w:ascii="黑体" w:hAnsi="黑体" w:eastAsia="黑体"/>
          <w:color w:val="auto"/>
          <w:sz w:val="36"/>
          <w:szCs w:val="36"/>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1444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783B62C6">
            <w:pPr>
              <w:jc w:val="center"/>
              <w:rPr>
                <w:color w:val="auto"/>
                <w:sz w:val="24"/>
                <w:highlight w:val="none"/>
              </w:rPr>
            </w:pPr>
            <w:r>
              <w:rPr>
                <w:rFonts w:hint="eastAsia"/>
                <w:color w:val="auto"/>
                <w:sz w:val="24"/>
                <w:highlight w:val="none"/>
              </w:rPr>
              <w:t>供</w:t>
            </w:r>
          </w:p>
          <w:p w14:paraId="5C7F633A">
            <w:pPr>
              <w:jc w:val="center"/>
              <w:rPr>
                <w:color w:val="auto"/>
                <w:sz w:val="24"/>
                <w:highlight w:val="none"/>
              </w:rPr>
            </w:pPr>
            <w:r>
              <w:rPr>
                <w:rFonts w:hint="eastAsia"/>
                <w:color w:val="auto"/>
                <w:sz w:val="24"/>
                <w:highlight w:val="none"/>
              </w:rPr>
              <w:t>应</w:t>
            </w:r>
          </w:p>
          <w:p w14:paraId="2EFF0B63">
            <w:pPr>
              <w:jc w:val="center"/>
              <w:rPr>
                <w:color w:val="auto"/>
                <w:sz w:val="24"/>
                <w:highlight w:val="none"/>
              </w:rPr>
            </w:pPr>
            <w:r>
              <w:rPr>
                <w:rFonts w:hint="eastAsia"/>
                <w:color w:val="auto"/>
                <w:sz w:val="24"/>
                <w:highlight w:val="none"/>
              </w:rPr>
              <w:t>商</w:t>
            </w:r>
          </w:p>
          <w:p w14:paraId="2DD35C0D">
            <w:pPr>
              <w:jc w:val="center"/>
              <w:rPr>
                <w:color w:val="auto"/>
                <w:sz w:val="24"/>
                <w:highlight w:val="none"/>
              </w:rPr>
            </w:pPr>
            <w:r>
              <w:rPr>
                <w:rFonts w:hint="eastAsia"/>
                <w:color w:val="auto"/>
                <w:sz w:val="24"/>
                <w:highlight w:val="none"/>
              </w:rPr>
              <w:t>申</w:t>
            </w:r>
          </w:p>
          <w:p w14:paraId="6822AFF5">
            <w:pPr>
              <w:jc w:val="center"/>
              <w:rPr>
                <w:color w:val="auto"/>
                <w:sz w:val="24"/>
                <w:highlight w:val="none"/>
              </w:rPr>
            </w:pPr>
            <w:r>
              <w:rPr>
                <w:rFonts w:hint="eastAsia"/>
                <w:color w:val="auto"/>
                <w:sz w:val="24"/>
                <w:highlight w:val="none"/>
              </w:rPr>
              <w:t>请</w:t>
            </w:r>
          </w:p>
        </w:tc>
        <w:tc>
          <w:tcPr>
            <w:tcW w:w="8009" w:type="dxa"/>
            <w:vAlign w:val="center"/>
          </w:tcPr>
          <w:p w14:paraId="05BA85A5">
            <w:pPr>
              <w:rPr>
                <w:color w:val="auto"/>
                <w:sz w:val="24"/>
                <w:highlight w:val="none"/>
              </w:rPr>
            </w:pPr>
            <w:r>
              <w:rPr>
                <w:rFonts w:hint="eastAsia"/>
                <w:color w:val="auto"/>
                <w:sz w:val="24"/>
                <w:highlight w:val="none"/>
              </w:rPr>
              <w:t>项目编号：</w:t>
            </w:r>
          </w:p>
        </w:tc>
      </w:tr>
      <w:tr w14:paraId="5D49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0CE8DC2D">
            <w:pPr>
              <w:rPr>
                <w:color w:val="auto"/>
                <w:sz w:val="24"/>
                <w:highlight w:val="none"/>
              </w:rPr>
            </w:pPr>
          </w:p>
        </w:tc>
        <w:tc>
          <w:tcPr>
            <w:tcW w:w="8009" w:type="dxa"/>
            <w:vAlign w:val="center"/>
          </w:tcPr>
          <w:p w14:paraId="5CC1ED15">
            <w:pPr>
              <w:rPr>
                <w:color w:val="auto"/>
                <w:sz w:val="24"/>
                <w:highlight w:val="none"/>
              </w:rPr>
            </w:pPr>
            <w:r>
              <w:rPr>
                <w:rFonts w:hint="eastAsia"/>
                <w:color w:val="auto"/>
                <w:sz w:val="24"/>
                <w:highlight w:val="none"/>
              </w:rPr>
              <w:t>项目名称：</w:t>
            </w:r>
          </w:p>
        </w:tc>
      </w:tr>
      <w:tr w14:paraId="51D9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528C0B67">
            <w:pPr>
              <w:rPr>
                <w:color w:val="auto"/>
                <w:sz w:val="24"/>
                <w:highlight w:val="none"/>
              </w:rPr>
            </w:pPr>
          </w:p>
        </w:tc>
        <w:tc>
          <w:tcPr>
            <w:tcW w:w="8009" w:type="dxa"/>
          </w:tcPr>
          <w:p w14:paraId="39669144">
            <w:pPr>
              <w:rPr>
                <w:color w:val="auto"/>
                <w:sz w:val="24"/>
                <w:highlight w:val="none"/>
              </w:rPr>
            </w:pPr>
            <w:r>
              <w:rPr>
                <w:rFonts w:hint="eastAsia"/>
                <w:color w:val="auto"/>
                <w:sz w:val="24"/>
                <w:highlight w:val="none"/>
              </w:rPr>
              <w:t xml:space="preserve">  </w:t>
            </w:r>
          </w:p>
          <w:p w14:paraId="7CB4D048">
            <w:pPr>
              <w:ind w:firstLine="480" w:firstLineChars="200"/>
              <w:rPr>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14:paraId="2950D882">
            <w:pPr>
              <w:rPr>
                <w:color w:val="auto"/>
                <w:sz w:val="24"/>
                <w:highlight w:val="none"/>
              </w:rPr>
            </w:pP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（小写）退付到达以下账户。</w:t>
            </w:r>
          </w:p>
          <w:p w14:paraId="06E03EC6">
            <w:pPr>
              <w:rPr>
                <w:color w:val="auto"/>
                <w:sz w:val="24"/>
                <w:highlight w:val="none"/>
              </w:rPr>
            </w:pPr>
            <w:r>
              <w:rPr>
                <w:rFonts w:hint="eastAsia"/>
                <w:color w:val="auto"/>
                <w:sz w:val="24"/>
                <w:highlight w:val="none"/>
              </w:rPr>
              <w:t>单位名称：</w:t>
            </w:r>
          </w:p>
          <w:p w14:paraId="432B7A2A">
            <w:pPr>
              <w:rPr>
                <w:color w:val="auto"/>
                <w:sz w:val="24"/>
                <w:highlight w:val="none"/>
              </w:rPr>
            </w:pPr>
            <w:r>
              <w:rPr>
                <w:rFonts w:hint="eastAsia"/>
                <w:color w:val="auto"/>
                <w:sz w:val="24"/>
                <w:highlight w:val="none"/>
              </w:rPr>
              <w:t>开户银行：</w:t>
            </w:r>
          </w:p>
          <w:p w14:paraId="084B4B8C">
            <w:pPr>
              <w:rPr>
                <w:color w:val="auto"/>
                <w:sz w:val="24"/>
                <w:highlight w:val="none"/>
              </w:rPr>
            </w:pPr>
            <w:r>
              <w:rPr>
                <w:rFonts w:hint="eastAsia"/>
                <w:color w:val="auto"/>
                <w:sz w:val="24"/>
                <w:highlight w:val="none"/>
              </w:rPr>
              <w:t>账    号：</w:t>
            </w:r>
          </w:p>
          <w:p w14:paraId="18C7A5DA">
            <w:pPr>
              <w:rPr>
                <w:color w:val="auto"/>
                <w:sz w:val="24"/>
                <w:highlight w:val="none"/>
              </w:rPr>
            </w:pPr>
            <w:r>
              <w:rPr>
                <w:rFonts w:hint="eastAsia"/>
                <w:color w:val="auto"/>
                <w:sz w:val="24"/>
                <w:highlight w:val="none"/>
              </w:rPr>
              <w:t>联系人及电话：</w:t>
            </w:r>
          </w:p>
          <w:p w14:paraId="63C7F6EE">
            <w:pPr>
              <w:rPr>
                <w:color w:val="auto"/>
                <w:sz w:val="24"/>
                <w:highlight w:val="none"/>
              </w:rPr>
            </w:pPr>
          </w:p>
          <w:p w14:paraId="4372250B">
            <w:pPr>
              <w:jc w:val="center"/>
              <w:rPr>
                <w:color w:val="auto"/>
                <w:sz w:val="24"/>
                <w:highlight w:val="none"/>
              </w:rPr>
            </w:pPr>
            <w:r>
              <w:rPr>
                <w:rFonts w:hint="eastAsia"/>
                <w:color w:val="auto"/>
                <w:sz w:val="24"/>
                <w:highlight w:val="none"/>
              </w:rPr>
              <w:t xml:space="preserve">                           供应商签章：</w:t>
            </w:r>
          </w:p>
          <w:p w14:paraId="69015A0E">
            <w:pPr>
              <w:jc w:val="center"/>
              <w:rPr>
                <w:color w:val="auto"/>
                <w:sz w:val="24"/>
                <w:highlight w:val="none"/>
              </w:rPr>
            </w:pPr>
            <w:r>
              <w:rPr>
                <w:rFonts w:hint="eastAsia"/>
                <w:color w:val="auto"/>
                <w:sz w:val="24"/>
                <w:highlight w:val="none"/>
              </w:rPr>
              <w:t xml:space="preserve">                                                年    月    日</w:t>
            </w:r>
          </w:p>
        </w:tc>
      </w:tr>
      <w:tr w14:paraId="4364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1D350A94">
            <w:pPr>
              <w:jc w:val="center"/>
              <w:rPr>
                <w:color w:val="auto"/>
                <w:sz w:val="24"/>
                <w:highlight w:val="none"/>
              </w:rPr>
            </w:pPr>
            <w:r>
              <w:rPr>
                <w:rFonts w:hint="eastAsia"/>
                <w:color w:val="auto"/>
                <w:sz w:val="24"/>
                <w:highlight w:val="none"/>
              </w:rPr>
              <w:t>采</w:t>
            </w:r>
          </w:p>
          <w:p w14:paraId="7C44CD64">
            <w:pPr>
              <w:jc w:val="center"/>
              <w:rPr>
                <w:color w:val="auto"/>
                <w:sz w:val="24"/>
                <w:highlight w:val="none"/>
              </w:rPr>
            </w:pPr>
            <w:r>
              <w:rPr>
                <w:rFonts w:hint="eastAsia"/>
                <w:color w:val="auto"/>
                <w:sz w:val="24"/>
                <w:highlight w:val="none"/>
              </w:rPr>
              <w:t>购</w:t>
            </w:r>
          </w:p>
          <w:p w14:paraId="55F7BF96">
            <w:pPr>
              <w:jc w:val="center"/>
              <w:rPr>
                <w:color w:val="auto"/>
                <w:sz w:val="24"/>
                <w:highlight w:val="none"/>
              </w:rPr>
            </w:pPr>
            <w:r>
              <w:rPr>
                <w:rFonts w:hint="eastAsia"/>
                <w:color w:val="auto"/>
                <w:sz w:val="24"/>
                <w:highlight w:val="none"/>
              </w:rPr>
              <w:t>单</w:t>
            </w:r>
          </w:p>
          <w:p w14:paraId="7502B2A4">
            <w:pPr>
              <w:jc w:val="center"/>
              <w:rPr>
                <w:color w:val="auto"/>
                <w:sz w:val="24"/>
                <w:highlight w:val="none"/>
              </w:rPr>
            </w:pPr>
            <w:r>
              <w:rPr>
                <w:rFonts w:hint="eastAsia"/>
                <w:color w:val="auto"/>
                <w:sz w:val="24"/>
                <w:highlight w:val="none"/>
              </w:rPr>
              <w:t>位</w:t>
            </w:r>
          </w:p>
          <w:p w14:paraId="6FDAA2FF">
            <w:pPr>
              <w:jc w:val="center"/>
              <w:rPr>
                <w:color w:val="auto"/>
                <w:sz w:val="24"/>
                <w:highlight w:val="none"/>
              </w:rPr>
            </w:pPr>
            <w:r>
              <w:rPr>
                <w:rFonts w:hint="eastAsia"/>
                <w:color w:val="auto"/>
                <w:sz w:val="24"/>
                <w:highlight w:val="none"/>
              </w:rPr>
              <w:t>意</w:t>
            </w:r>
          </w:p>
          <w:p w14:paraId="0A53F3BA">
            <w:pPr>
              <w:jc w:val="center"/>
              <w:rPr>
                <w:color w:val="auto"/>
                <w:sz w:val="24"/>
                <w:highlight w:val="none"/>
              </w:rPr>
            </w:pPr>
            <w:r>
              <w:rPr>
                <w:rFonts w:hint="eastAsia"/>
                <w:color w:val="auto"/>
                <w:sz w:val="24"/>
                <w:highlight w:val="none"/>
              </w:rPr>
              <w:t>见</w:t>
            </w:r>
          </w:p>
        </w:tc>
        <w:tc>
          <w:tcPr>
            <w:tcW w:w="8009" w:type="dxa"/>
          </w:tcPr>
          <w:p w14:paraId="01515277">
            <w:pPr>
              <w:rPr>
                <w:color w:val="auto"/>
                <w:sz w:val="24"/>
                <w:highlight w:val="none"/>
              </w:rPr>
            </w:pPr>
          </w:p>
          <w:p w14:paraId="114A9930">
            <w:pPr>
              <w:rPr>
                <w:color w:val="auto"/>
                <w:sz w:val="24"/>
                <w:highlight w:val="none"/>
              </w:rPr>
            </w:pPr>
            <w:r>
              <w:rPr>
                <w:rFonts w:hint="eastAsia"/>
                <w:color w:val="auto"/>
                <w:sz w:val="24"/>
                <w:highlight w:val="none"/>
              </w:rPr>
              <w:t>退付意见：是否同意退付履约保证金及退付金额：</w:t>
            </w:r>
          </w:p>
          <w:p w14:paraId="02000E9E">
            <w:pPr>
              <w:rPr>
                <w:color w:val="auto"/>
                <w:sz w:val="24"/>
                <w:highlight w:val="none"/>
              </w:rPr>
            </w:pPr>
          </w:p>
          <w:p w14:paraId="6F3A3F65">
            <w:pPr>
              <w:rPr>
                <w:color w:val="auto"/>
                <w:sz w:val="24"/>
                <w:highlight w:val="none"/>
              </w:rPr>
            </w:pPr>
          </w:p>
          <w:p w14:paraId="025A6648">
            <w:pPr>
              <w:rPr>
                <w:color w:val="auto"/>
                <w:sz w:val="24"/>
                <w:highlight w:val="none"/>
              </w:rPr>
            </w:pPr>
            <w:r>
              <w:rPr>
                <w:rFonts w:hint="eastAsia"/>
                <w:color w:val="auto"/>
                <w:sz w:val="24"/>
                <w:highlight w:val="none"/>
              </w:rPr>
              <w:t xml:space="preserve">联系人及电话：                                </w:t>
            </w:r>
          </w:p>
          <w:p w14:paraId="3916E143">
            <w:pPr>
              <w:rPr>
                <w:color w:val="auto"/>
                <w:sz w:val="24"/>
                <w:highlight w:val="none"/>
              </w:rPr>
            </w:pPr>
          </w:p>
          <w:p w14:paraId="70B2AEA8">
            <w:pPr>
              <w:ind w:firstLine="4560" w:firstLineChars="1900"/>
              <w:rPr>
                <w:color w:val="auto"/>
                <w:sz w:val="24"/>
                <w:highlight w:val="none"/>
              </w:rPr>
            </w:pPr>
            <w:r>
              <w:rPr>
                <w:rFonts w:hint="eastAsia"/>
                <w:color w:val="auto"/>
                <w:sz w:val="24"/>
                <w:highlight w:val="none"/>
              </w:rPr>
              <w:t xml:space="preserve"> 采购人签章：</w:t>
            </w:r>
          </w:p>
          <w:p w14:paraId="4E742026">
            <w:pPr>
              <w:jc w:val="center"/>
              <w:rPr>
                <w:color w:val="auto"/>
                <w:sz w:val="24"/>
                <w:highlight w:val="none"/>
              </w:rPr>
            </w:pPr>
            <w:r>
              <w:rPr>
                <w:rFonts w:hint="eastAsia"/>
                <w:color w:val="auto"/>
                <w:sz w:val="24"/>
                <w:highlight w:val="none"/>
              </w:rPr>
              <w:t xml:space="preserve">                                                年    月    日</w:t>
            </w:r>
          </w:p>
        </w:tc>
      </w:tr>
      <w:tr w14:paraId="7E32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498FF5D5">
            <w:pPr>
              <w:jc w:val="center"/>
              <w:rPr>
                <w:color w:val="auto"/>
                <w:sz w:val="24"/>
                <w:highlight w:val="none"/>
              </w:rPr>
            </w:pPr>
            <w:r>
              <w:rPr>
                <w:rFonts w:hint="eastAsia"/>
                <w:color w:val="auto"/>
                <w:sz w:val="24"/>
                <w:highlight w:val="none"/>
              </w:rPr>
              <w:t>财</w:t>
            </w:r>
          </w:p>
          <w:p w14:paraId="5F12DEB6">
            <w:pPr>
              <w:jc w:val="center"/>
              <w:rPr>
                <w:color w:val="auto"/>
                <w:sz w:val="24"/>
                <w:highlight w:val="none"/>
              </w:rPr>
            </w:pPr>
            <w:r>
              <w:rPr>
                <w:rFonts w:hint="eastAsia"/>
                <w:color w:val="auto"/>
                <w:sz w:val="24"/>
                <w:highlight w:val="none"/>
              </w:rPr>
              <w:t>务</w:t>
            </w:r>
          </w:p>
          <w:p w14:paraId="2322FBB8">
            <w:pPr>
              <w:jc w:val="center"/>
              <w:rPr>
                <w:color w:val="auto"/>
                <w:sz w:val="24"/>
                <w:highlight w:val="none"/>
              </w:rPr>
            </w:pPr>
            <w:r>
              <w:rPr>
                <w:rFonts w:hint="eastAsia"/>
                <w:color w:val="auto"/>
                <w:sz w:val="24"/>
                <w:highlight w:val="none"/>
              </w:rPr>
              <w:t>部</w:t>
            </w:r>
          </w:p>
          <w:p w14:paraId="61CD0929">
            <w:pPr>
              <w:jc w:val="center"/>
              <w:rPr>
                <w:color w:val="auto"/>
                <w:sz w:val="24"/>
                <w:highlight w:val="none"/>
              </w:rPr>
            </w:pPr>
            <w:r>
              <w:rPr>
                <w:rFonts w:hint="eastAsia"/>
                <w:color w:val="auto"/>
                <w:sz w:val="24"/>
                <w:highlight w:val="none"/>
              </w:rPr>
              <w:t>门</w:t>
            </w:r>
          </w:p>
          <w:p w14:paraId="4469CAA8">
            <w:pPr>
              <w:jc w:val="center"/>
              <w:rPr>
                <w:color w:val="auto"/>
                <w:sz w:val="24"/>
                <w:highlight w:val="none"/>
              </w:rPr>
            </w:pPr>
            <w:r>
              <w:rPr>
                <w:rFonts w:hint="eastAsia"/>
                <w:color w:val="auto"/>
                <w:sz w:val="24"/>
                <w:highlight w:val="none"/>
              </w:rPr>
              <w:t>意</w:t>
            </w:r>
          </w:p>
          <w:p w14:paraId="2A8CFFE5">
            <w:pPr>
              <w:jc w:val="center"/>
              <w:rPr>
                <w:color w:val="auto"/>
                <w:sz w:val="24"/>
                <w:highlight w:val="none"/>
              </w:rPr>
            </w:pPr>
            <w:r>
              <w:rPr>
                <w:rFonts w:hint="eastAsia"/>
                <w:color w:val="auto"/>
                <w:sz w:val="24"/>
                <w:highlight w:val="none"/>
              </w:rPr>
              <w:t>见</w:t>
            </w:r>
          </w:p>
        </w:tc>
        <w:tc>
          <w:tcPr>
            <w:tcW w:w="8009" w:type="dxa"/>
          </w:tcPr>
          <w:p w14:paraId="465EF78A">
            <w:pPr>
              <w:rPr>
                <w:color w:val="auto"/>
                <w:sz w:val="24"/>
                <w:highlight w:val="none"/>
              </w:rPr>
            </w:pPr>
            <w:r>
              <w:rPr>
                <w:rFonts w:hint="eastAsia"/>
                <w:color w:val="auto"/>
                <w:sz w:val="24"/>
                <w:highlight w:val="none"/>
              </w:rPr>
              <w:t>此表于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日收到。</w:t>
            </w:r>
          </w:p>
          <w:p w14:paraId="0B96A218">
            <w:pPr>
              <w:rPr>
                <w:color w:val="auto"/>
                <w:sz w:val="24"/>
                <w:highlight w:val="none"/>
              </w:rPr>
            </w:pPr>
          </w:p>
          <w:p w14:paraId="4F2E6DA4">
            <w:pPr>
              <w:rPr>
                <w:color w:val="auto"/>
                <w:sz w:val="24"/>
                <w:highlight w:val="none"/>
              </w:rPr>
            </w:pPr>
            <w:r>
              <w:rPr>
                <w:rFonts w:hint="eastAsia"/>
                <w:color w:val="auto"/>
                <w:sz w:val="24"/>
                <w:highlight w:val="none"/>
              </w:rPr>
              <w:t>会计审核：</w:t>
            </w:r>
          </w:p>
          <w:p w14:paraId="34187D76">
            <w:pPr>
              <w:rPr>
                <w:color w:val="auto"/>
                <w:sz w:val="24"/>
                <w:highlight w:val="none"/>
              </w:rPr>
            </w:pPr>
          </w:p>
          <w:p w14:paraId="059766A6">
            <w:pPr>
              <w:rPr>
                <w:color w:val="auto"/>
                <w:sz w:val="24"/>
                <w:highlight w:val="none"/>
              </w:rPr>
            </w:pPr>
            <w:r>
              <w:rPr>
                <w:rFonts w:hint="eastAsia"/>
                <w:color w:val="auto"/>
                <w:sz w:val="24"/>
                <w:highlight w:val="none"/>
              </w:rPr>
              <w:t>财务负责人审核：</w:t>
            </w:r>
          </w:p>
          <w:p w14:paraId="7E8CBD82">
            <w:pPr>
              <w:rPr>
                <w:color w:val="auto"/>
                <w:sz w:val="24"/>
                <w:highlight w:val="none"/>
              </w:rPr>
            </w:pPr>
          </w:p>
          <w:p w14:paraId="3838560E">
            <w:pPr>
              <w:rPr>
                <w:color w:val="auto"/>
                <w:sz w:val="24"/>
                <w:highlight w:val="none"/>
              </w:rPr>
            </w:pPr>
            <w:r>
              <w:rPr>
                <w:rFonts w:hint="eastAsia"/>
                <w:color w:val="auto"/>
                <w:sz w:val="24"/>
                <w:highlight w:val="none"/>
              </w:rPr>
              <w:t>单位负责人签字：</w:t>
            </w:r>
          </w:p>
          <w:p w14:paraId="67731B5B">
            <w:pPr>
              <w:rPr>
                <w:color w:val="auto"/>
                <w:sz w:val="24"/>
                <w:highlight w:val="none"/>
              </w:rPr>
            </w:pPr>
          </w:p>
          <w:p w14:paraId="418D6CAC">
            <w:pPr>
              <w:rPr>
                <w:color w:val="auto"/>
                <w:sz w:val="24"/>
                <w:highlight w:val="none"/>
              </w:rPr>
            </w:pPr>
            <w:r>
              <w:rPr>
                <w:rFonts w:hint="eastAsia"/>
                <w:color w:val="auto"/>
                <w:sz w:val="24"/>
                <w:highlight w:val="none"/>
              </w:rPr>
              <w:t>出纳办理转账日期：</w:t>
            </w:r>
          </w:p>
        </w:tc>
      </w:tr>
    </w:tbl>
    <w:p w14:paraId="0A651D98">
      <w:pPr>
        <w:spacing w:after="120"/>
        <w:ind w:left="1" w:firstLine="2" w:firstLineChars="1"/>
        <w:rPr>
          <w:rFonts w:ascii="宋体"/>
          <w:b/>
          <w:bCs/>
          <w:color w:val="auto"/>
          <w:sz w:val="18"/>
          <w:szCs w:val="18"/>
          <w:highlight w:val="none"/>
        </w:rPr>
      </w:pPr>
      <w:r>
        <w:rPr>
          <w:rFonts w:hint="eastAsia" w:ascii="宋体"/>
          <w:b/>
          <w:bCs/>
          <w:color w:val="auto"/>
          <w:sz w:val="18"/>
          <w:szCs w:val="18"/>
          <w:highlight w:val="none"/>
        </w:rPr>
        <w:t>注：供应商凭经采购人审批的退付意见书到履约保证金收取单位财务部门办理履约保证金退付事宜。</w:t>
      </w:r>
    </w:p>
    <w:p w14:paraId="65D968F4">
      <w:pPr>
        <w:pStyle w:val="12"/>
        <w:jc w:val="center"/>
        <w:rPr>
          <w:color w:val="auto"/>
          <w:highlight w:val="none"/>
        </w:rPr>
      </w:pPr>
      <w:r>
        <w:rPr>
          <w:rFonts w:hint="eastAsia"/>
          <w:color w:val="auto"/>
          <w:highlight w:val="none"/>
        </w:rPr>
        <w:t>第三章 采购需求</w:t>
      </w:r>
      <w:bookmarkEnd w:id="78"/>
    </w:p>
    <w:p w14:paraId="7644E0F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2384D2DF">
      <w:pPr>
        <w:spacing w:line="360" w:lineRule="auto"/>
        <w:ind w:firstLine="420" w:firstLineChars="200"/>
        <w:jc w:val="left"/>
        <w:rPr>
          <w:rFonts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0E17D85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0AD2297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（2）根据《财政部司法部关于政府采购支持监狱企业发展有关问题的通知》（财库〔2014〕68号）的规定，如供应商为监狱企业，视同小型、微型企业。</w:t>
      </w:r>
    </w:p>
    <w:p w14:paraId="160CDAF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（3）根据《关于促进残疾人就业政府采购政策的通知》（财库〔2017〕141号）的规定，如供应商为残疾人福利性单位，视同小型、微型企业。</w:t>
      </w:r>
    </w:p>
    <w:p w14:paraId="6253B14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F5F3EC">
      <w:pPr>
        <w:spacing w:line="360"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2.“实质性要求”是指采购需求中带“▲”的条款或者不能负偏离的条款或者已经指明不满足按响应文件无效处理的条款。</w:t>
      </w:r>
    </w:p>
    <w:p w14:paraId="7A3F178D">
      <w:pPr>
        <w:spacing w:line="360" w:lineRule="auto"/>
        <w:ind w:firstLine="424" w:firstLineChars="202"/>
        <w:jc w:val="left"/>
        <w:rPr>
          <w:b/>
          <w:bCs/>
          <w:color w:val="auto"/>
          <w:highlight w:val="none"/>
        </w:rPr>
      </w:pPr>
      <w:r>
        <w:rPr>
          <w:rFonts w:hint="eastAsia" w:ascii="宋体" w:hAnsi="宋体" w:cs="宋体"/>
          <w:color w:val="auto"/>
          <w:szCs w:val="21"/>
          <w:highlight w:val="none"/>
        </w:rPr>
        <w:t>3.供应商应根据自身实际情况如实响应磋商文件</w:t>
      </w:r>
      <w:r>
        <w:rPr>
          <w:rFonts w:hint="eastAsia" w:ascii="宋体" w:hAnsi="宋体"/>
          <w:color w:val="auto"/>
          <w:szCs w:val="21"/>
          <w:highlight w:val="none"/>
        </w:rPr>
        <w:t>，对磋商文件提出的要求和条件作出明确响应</w:t>
      </w:r>
      <w:r>
        <w:rPr>
          <w:rFonts w:hint="eastAsia" w:ascii="宋体" w:hAnsi="宋体"/>
          <w:b/>
          <w:bCs/>
          <w:color w:val="auto"/>
          <w:szCs w:val="21"/>
          <w:highlight w:val="none"/>
        </w:rPr>
        <w:t>，否则将作无效响应处理。</w:t>
      </w:r>
    </w:p>
    <w:p w14:paraId="0D24F037">
      <w:pPr>
        <w:spacing w:line="360" w:lineRule="auto"/>
        <w:ind w:firstLine="424" w:firstLineChars="202"/>
        <w:jc w:val="left"/>
        <w:rPr>
          <w:color w:val="auto"/>
          <w:highlight w:val="none"/>
        </w:rPr>
      </w:pPr>
      <w:r>
        <w:rPr>
          <w:rFonts w:hint="eastAsia" w:ascii="宋体" w:hAnsi="宋体" w:cs="宋体"/>
          <w:color w:val="auto"/>
          <w:szCs w:val="21"/>
          <w:highlight w:val="none"/>
        </w:rPr>
        <w:t>4.</w:t>
      </w:r>
      <w:r>
        <w:rPr>
          <w:rFonts w:hint="eastAsia"/>
          <w:color w:val="auto"/>
          <w:highlight w:val="none"/>
        </w:rPr>
        <w:t>供应商必须自行为其竞标产品侵犯他人的知识产权或者专利成果的行为承担相应法律责任。</w:t>
      </w:r>
    </w:p>
    <w:tbl>
      <w:tblPr>
        <w:tblStyle w:val="8"/>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4"/>
        <w:gridCol w:w="666"/>
        <w:gridCol w:w="687"/>
        <w:gridCol w:w="6369"/>
      </w:tblGrid>
      <w:tr w14:paraId="27B8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51" w:type="dxa"/>
            <w:gridSpan w:val="5"/>
            <w:tcBorders>
              <w:top w:val="single" w:color="auto" w:sz="4" w:space="0"/>
              <w:left w:val="single" w:color="auto" w:sz="4" w:space="0"/>
              <w:bottom w:val="single" w:color="auto" w:sz="4" w:space="0"/>
              <w:right w:val="single" w:color="auto" w:sz="4" w:space="0"/>
            </w:tcBorders>
            <w:vAlign w:val="center"/>
          </w:tcPr>
          <w:p w14:paraId="50D026B8">
            <w:pPr>
              <w:tabs>
                <w:tab w:val="left" w:pos="180"/>
                <w:tab w:val="left" w:pos="162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一、技术要求</w:t>
            </w:r>
          </w:p>
        </w:tc>
      </w:tr>
      <w:tr w14:paraId="19DF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48D50385">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74" w:type="dxa"/>
            <w:tcBorders>
              <w:top w:val="single" w:color="auto" w:sz="4" w:space="0"/>
              <w:left w:val="single" w:color="auto" w:sz="4" w:space="0"/>
              <w:bottom w:val="single" w:color="auto" w:sz="4" w:space="0"/>
              <w:right w:val="single" w:color="auto" w:sz="4" w:space="0"/>
            </w:tcBorders>
            <w:vAlign w:val="center"/>
          </w:tcPr>
          <w:p w14:paraId="3502A58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666" w:type="dxa"/>
            <w:tcBorders>
              <w:top w:val="single" w:color="auto" w:sz="4" w:space="0"/>
              <w:left w:val="single" w:color="auto" w:sz="4" w:space="0"/>
              <w:bottom w:val="single" w:color="auto" w:sz="4" w:space="0"/>
              <w:right w:val="single" w:color="auto" w:sz="4" w:space="0"/>
            </w:tcBorders>
            <w:vAlign w:val="center"/>
          </w:tcPr>
          <w:p w14:paraId="76CE47C1">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87" w:type="dxa"/>
            <w:tcBorders>
              <w:top w:val="single" w:color="auto" w:sz="4" w:space="0"/>
              <w:left w:val="single" w:color="auto" w:sz="4" w:space="0"/>
              <w:bottom w:val="single" w:color="auto" w:sz="4" w:space="0"/>
              <w:right w:val="single" w:color="auto" w:sz="4" w:space="0"/>
            </w:tcBorders>
            <w:vAlign w:val="center"/>
          </w:tcPr>
          <w:p w14:paraId="691F7511">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所属</w:t>
            </w:r>
          </w:p>
          <w:p w14:paraId="7B08C9C1">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行业</w:t>
            </w:r>
          </w:p>
        </w:tc>
        <w:tc>
          <w:tcPr>
            <w:tcW w:w="6369" w:type="dxa"/>
            <w:tcBorders>
              <w:top w:val="single" w:color="auto" w:sz="4" w:space="0"/>
              <w:left w:val="single" w:color="auto" w:sz="4" w:space="0"/>
              <w:bottom w:val="single" w:color="auto" w:sz="4" w:space="0"/>
              <w:right w:val="single" w:color="auto" w:sz="4" w:space="0"/>
            </w:tcBorders>
            <w:vAlign w:val="center"/>
          </w:tcPr>
          <w:p w14:paraId="5B358C8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服务要求</w:t>
            </w:r>
          </w:p>
        </w:tc>
      </w:tr>
      <w:tr w14:paraId="4856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2BE0D7F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74" w:type="dxa"/>
            <w:tcBorders>
              <w:top w:val="single" w:color="auto" w:sz="4" w:space="0"/>
              <w:left w:val="single" w:color="auto" w:sz="4" w:space="0"/>
              <w:bottom w:val="single" w:color="auto" w:sz="4" w:space="0"/>
              <w:right w:val="single" w:color="auto" w:sz="4" w:space="0"/>
            </w:tcBorders>
            <w:vAlign w:val="center"/>
          </w:tcPr>
          <w:p w14:paraId="483FE58D">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2026年度全市公安民警、机关辅警人身意外伤害及重大疾病商业保险服务项目</w:t>
            </w:r>
          </w:p>
        </w:tc>
        <w:tc>
          <w:tcPr>
            <w:tcW w:w="666" w:type="dxa"/>
            <w:tcBorders>
              <w:top w:val="single" w:color="auto" w:sz="4" w:space="0"/>
              <w:left w:val="single" w:color="auto" w:sz="4" w:space="0"/>
              <w:bottom w:val="single" w:color="auto" w:sz="4" w:space="0"/>
              <w:right w:val="single" w:color="auto" w:sz="4" w:space="0"/>
            </w:tcBorders>
            <w:vAlign w:val="center"/>
          </w:tcPr>
          <w:p w14:paraId="797E9B2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1年</w:t>
            </w:r>
          </w:p>
        </w:tc>
        <w:tc>
          <w:tcPr>
            <w:tcW w:w="687" w:type="dxa"/>
            <w:tcBorders>
              <w:top w:val="single" w:color="auto" w:sz="4" w:space="0"/>
              <w:left w:val="single" w:color="auto" w:sz="4" w:space="0"/>
              <w:bottom w:val="single" w:color="auto" w:sz="4" w:space="0"/>
              <w:right w:val="single" w:color="auto" w:sz="4" w:space="0"/>
            </w:tcBorders>
            <w:vAlign w:val="center"/>
          </w:tcPr>
          <w:p w14:paraId="5989F068">
            <w:pPr>
              <w:tabs>
                <w:tab w:val="left" w:pos="180"/>
                <w:tab w:val="left" w:pos="1620"/>
              </w:tabs>
              <w:spacing w:line="360" w:lineRule="auto"/>
              <w:jc w:val="center"/>
              <w:rPr>
                <w:rFonts w:hint="eastAsia" w:ascii="宋体" w:hAnsi="宋体" w:cs="宋体"/>
                <w:color w:val="auto"/>
                <w:szCs w:val="21"/>
                <w:highlight w:val="none"/>
              </w:rPr>
            </w:pPr>
            <w:r>
              <w:rPr>
                <w:rFonts w:hint="eastAsia"/>
                <w:color w:val="auto"/>
                <w:szCs w:val="21"/>
                <w:highlight w:val="none"/>
              </w:rPr>
              <w:t>租赁和商务服务业</w:t>
            </w:r>
          </w:p>
        </w:tc>
        <w:tc>
          <w:tcPr>
            <w:tcW w:w="6369" w:type="dxa"/>
            <w:tcBorders>
              <w:top w:val="single" w:color="auto" w:sz="4" w:space="0"/>
              <w:left w:val="single" w:color="auto" w:sz="4" w:space="0"/>
              <w:bottom w:val="single" w:color="auto" w:sz="4" w:space="0"/>
              <w:right w:val="single" w:color="auto" w:sz="4" w:space="0"/>
            </w:tcBorders>
            <w:vAlign w:val="center"/>
          </w:tcPr>
          <w:p w14:paraId="01878256">
            <w:pPr>
              <w:spacing w:line="360" w:lineRule="auto"/>
              <w:rPr>
                <w:rFonts w:hint="eastAsia" w:ascii="宋体" w:hAnsi="宋体"/>
                <w:b/>
                <w:color w:val="auto"/>
                <w:szCs w:val="21"/>
                <w:highlight w:val="none"/>
              </w:rPr>
            </w:pPr>
            <w:r>
              <w:rPr>
                <w:rFonts w:hint="eastAsia" w:ascii="宋体" w:hAnsi="宋体"/>
                <w:b/>
                <w:color w:val="auto"/>
                <w:szCs w:val="21"/>
                <w:highlight w:val="none"/>
              </w:rPr>
              <w:t>一、项目概况</w:t>
            </w:r>
          </w:p>
          <w:p w14:paraId="52108186">
            <w:pPr>
              <w:pStyle w:val="16"/>
              <w:spacing w:line="360" w:lineRule="auto"/>
              <w:rPr>
                <w:rFonts w:hint="eastAsia"/>
                <w:color w:val="auto"/>
                <w:highlight w:val="none"/>
              </w:rPr>
            </w:pPr>
            <w:r>
              <w:rPr>
                <w:color w:val="auto"/>
                <w:highlight w:val="none"/>
              </w:rPr>
              <w:t>为进一步深化从优待警举措，保障民警执法权益，根据《关于加强新时代公安工作的实施意见》精神，参照</w:t>
            </w:r>
            <w:r>
              <w:rPr>
                <w:rFonts w:hint="eastAsia"/>
                <w:color w:val="auto"/>
                <w:highlight w:val="none"/>
              </w:rPr>
              <w:t>广西壮族</w:t>
            </w:r>
            <w:r>
              <w:rPr>
                <w:color w:val="auto"/>
                <w:highlight w:val="none"/>
              </w:rPr>
              <w:t>自治区公安厅为全区公安民警购买</w:t>
            </w:r>
            <w:r>
              <w:rPr>
                <w:rFonts w:hint="eastAsia"/>
                <w:color w:val="auto"/>
                <w:highlight w:val="none"/>
              </w:rPr>
              <w:t>职业风险保障服务</w:t>
            </w:r>
            <w:r>
              <w:rPr>
                <w:color w:val="auto"/>
                <w:highlight w:val="none"/>
              </w:rPr>
              <w:t>的工作实践，拟为全市公安民警、市公安局机关辅警人员购买人身意外伤害及重大疾病保险</w:t>
            </w:r>
            <w:r>
              <w:rPr>
                <w:rFonts w:hint="eastAsia"/>
                <w:color w:val="auto"/>
                <w:highlight w:val="none"/>
              </w:rPr>
              <w:t>。</w:t>
            </w:r>
          </w:p>
          <w:p w14:paraId="291DD9A4">
            <w:pPr>
              <w:pStyle w:val="16"/>
              <w:spacing w:line="360" w:lineRule="auto"/>
              <w:ind w:firstLine="0"/>
              <w:rPr>
                <w:rFonts w:hint="eastAsia"/>
                <w:b/>
                <w:color w:val="auto"/>
                <w:highlight w:val="none"/>
              </w:rPr>
            </w:pPr>
            <w:r>
              <w:rPr>
                <w:rFonts w:hint="eastAsia"/>
                <w:b/>
                <w:color w:val="auto"/>
                <w:highlight w:val="none"/>
              </w:rPr>
              <w:t>二、保险对象</w:t>
            </w:r>
          </w:p>
          <w:p w14:paraId="20199471">
            <w:pPr>
              <w:pStyle w:val="16"/>
              <w:spacing w:line="360" w:lineRule="auto"/>
              <w:rPr>
                <w:color w:val="auto"/>
                <w:highlight w:val="none"/>
              </w:rPr>
            </w:pPr>
            <w:r>
              <w:rPr>
                <w:rFonts w:hint="eastAsia"/>
                <w:color w:val="auto"/>
                <w:highlight w:val="none"/>
              </w:rPr>
              <w:t>（一）</w:t>
            </w:r>
            <w:r>
              <w:rPr>
                <w:color w:val="auto"/>
                <w:highlight w:val="none"/>
              </w:rPr>
              <w:t>全市公安机关在职在编公安民警、干部、事业编制工作人员，约14</w:t>
            </w:r>
            <w:r>
              <w:rPr>
                <w:rFonts w:hint="eastAsia"/>
                <w:color w:val="auto"/>
                <w:highlight w:val="none"/>
              </w:rPr>
              <w:t>2</w:t>
            </w:r>
            <w:r>
              <w:rPr>
                <w:rFonts w:hint="eastAsia"/>
                <w:color w:val="auto"/>
                <w:highlight w:val="none"/>
                <w:lang w:val="en-US" w:eastAsia="zh-CN"/>
              </w:rPr>
              <w:t>8</w:t>
            </w:r>
            <w:r>
              <w:rPr>
                <w:color w:val="auto"/>
                <w:highlight w:val="none"/>
              </w:rPr>
              <w:t>人</w:t>
            </w:r>
            <w:r>
              <w:rPr>
                <w:rFonts w:hint="eastAsia"/>
                <w:color w:val="auto"/>
                <w:highlight w:val="none"/>
              </w:rPr>
              <w:t>；</w:t>
            </w:r>
          </w:p>
          <w:p w14:paraId="2EC3ECA0">
            <w:pPr>
              <w:pStyle w:val="16"/>
              <w:spacing w:line="360" w:lineRule="auto"/>
              <w:rPr>
                <w:color w:val="auto"/>
                <w:highlight w:val="none"/>
              </w:rPr>
            </w:pPr>
            <w:r>
              <w:rPr>
                <w:color w:val="auto"/>
                <w:highlight w:val="none"/>
              </w:rPr>
              <w:t>（二）公安民警、干部、事业编制工作人员的直系亲属；</w:t>
            </w:r>
          </w:p>
          <w:p w14:paraId="6812D340">
            <w:pPr>
              <w:pStyle w:val="16"/>
              <w:spacing w:line="360" w:lineRule="auto"/>
              <w:rPr>
                <w:color w:val="auto"/>
                <w:highlight w:val="none"/>
              </w:rPr>
            </w:pPr>
            <w:r>
              <w:rPr>
                <w:color w:val="auto"/>
                <w:highlight w:val="none"/>
              </w:rPr>
              <w:t>（三）辅警人员，约</w:t>
            </w:r>
            <w:r>
              <w:rPr>
                <w:rFonts w:hint="eastAsia"/>
                <w:color w:val="auto"/>
                <w:highlight w:val="none"/>
                <w:lang w:val="en-US" w:eastAsia="zh-CN"/>
              </w:rPr>
              <w:t>592</w:t>
            </w:r>
            <w:r>
              <w:rPr>
                <w:color w:val="auto"/>
                <w:highlight w:val="none"/>
              </w:rPr>
              <w:t>人。</w:t>
            </w:r>
          </w:p>
          <w:p w14:paraId="4F42D40C">
            <w:pPr>
              <w:pStyle w:val="16"/>
              <w:spacing w:line="360" w:lineRule="auto"/>
              <w:rPr>
                <w:rFonts w:hint="eastAsia" w:ascii="宋体" w:hAnsi="宋体"/>
                <w:color w:val="auto"/>
                <w:szCs w:val="21"/>
                <w:highlight w:val="none"/>
                <w:lang w:eastAsia="zh-CN"/>
              </w:rPr>
            </w:pPr>
            <w:r>
              <w:rPr>
                <w:rFonts w:hint="eastAsia"/>
                <w:b/>
                <w:color w:val="auto"/>
                <w:highlight w:val="none"/>
              </w:rPr>
              <w:t>三、承保时间：</w:t>
            </w:r>
            <w:r>
              <w:rPr>
                <w:rFonts w:hint="eastAsia" w:ascii="宋体" w:hAnsi="宋体"/>
                <w:color w:val="auto"/>
                <w:szCs w:val="21"/>
                <w:highlight w:val="none"/>
              </w:rPr>
              <w:t>1年，自保单生效时起至保单</w:t>
            </w:r>
            <w:r>
              <w:rPr>
                <w:rFonts w:hint="eastAsia" w:ascii="宋体" w:hAnsi="宋体"/>
                <w:color w:val="auto"/>
                <w:szCs w:val="21"/>
                <w:highlight w:val="none"/>
                <w:lang w:val="en-US" w:eastAsia="zh-CN"/>
              </w:rPr>
              <w:t>失</w:t>
            </w:r>
            <w:r>
              <w:rPr>
                <w:rFonts w:hint="eastAsia" w:ascii="宋体" w:hAnsi="宋体"/>
                <w:color w:val="auto"/>
                <w:szCs w:val="21"/>
                <w:highlight w:val="none"/>
              </w:rPr>
              <w:t>效时止</w:t>
            </w:r>
            <w:r>
              <w:rPr>
                <w:rFonts w:hint="eastAsia" w:ascii="宋体" w:hAnsi="宋体"/>
                <w:color w:val="auto"/>
                <w:szCs w:val="21"/>
                <w:highlight w:val="none"/>
                <w:lang w:eastAsia="zh-CN"/>
              </w:rPr>
              <w:t>，</w:t>
            </w:r>
            <w:r>
              <w:rPr>
                <w:rFonts w:hint="eastAsia" w:ascii="宋体" w:hAnsi="宋体"/>
                <w:color w:val="auto"/>
                <w:szCs w:val="21"/>
                <w:highlight w:val="none"/>
              </w:rPr>
              <w:t>保险责任开始时间为保单生效之时开始计算</w:t>
            </w:r>
            <w:r>
              <w:rPr>
                <w:rFonts w:hint="eastAsia" w:ascii="宋体" w:hAnsi="宋体"/>
                <w:color w:val="auto"/>
                <w:szCs w:val="21"/>
                <w:highlight w:val="none"/>
                <w:lang w:eastAsia="zh-CN"/>
              </w:rPr>
              <w:t>。</w:t>
            </w:r>
          </w:p>
          <w:p w14:paraId="672F72B5">
            <w:pPr>
              <w:pStyle w:val="16"/>
              <w:spacing w:line="360" w:lineRule="auto"/>
              <w:ind w:firstLine="0"/>
              <w:rPr>
                <w:rFonts w:hint="eastAsia"/>
                <w:b/>
                <w:color w:val="auto"/>
                <w:highlight w:val="none"/>
              </w:rPr>
            </w:pPr>
            <w:r>
              <w:rPr>
                <w:rFonts w:hint="eastAsia"/>
                <w:b/>
                <w:color w:val="auto"/>
                <w:highlight w:val="none"/>
              </w:rPr>
              <w:t>四、保险项目及保险金额</w:t>
            </w:r>
          </w:p>
          <w:p w14:paraId="17BB5AC7">
            <w:pPr>
              <w:pStyle w:val="16"/>
              <w:spacing w:line="360" w:lineRule="auto"/>
              <w:ind w:firstLine="0"/>
              <w:rPr>
                <w:rFonts w:hint="eastAsia"/>
                <w:b/>
                <w:color w:val="auto"/>
                <w:highlight w:val="none"/>
              </w:rPr>
            </w:pPr>
            <w:r>
              <w:rPr>
                <w:rFonts w:hint="eastAsia"/>
                <w:b/>
                <w:color w:val="auto"/>
                <w:highlight w:val="none"/>
              </w:rPr>
              <w:t>（一）</w:t>
            </w:r>
            <w:r>
              <w:rPr>
                <w:b/>
                <w:color w:val="auto"/>
                <w:highlight w:val="none"/>
              </w:rPr>
              <w:t>公安民警、干部、事业编制工作人员、辅警</w:t>
            </w:r>
          </w:p>
          <w:tbl>
            <w:tblPr>
              <w:tblStyle w:val="8"/>
              <w:tblW w:w="5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560"/>
              <w:gridCol w:w="1842"/>
            </w:tblGrid>
            <w:tr w14:paraId="3299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6" w:type="dxa"/>
                  <w:tcBorders>
                    <w:top w:val="single" w:color="auto" w:sz="4" w:space="0"/>
                    <w:left w:val="single" w:color="auto" w:sz="4" w:space="0"/>
                    <w:bottom w:val="single" w:color="auto" w:sz="4" w:space="0"/>
                    <w:right w:val="single" w:color="auto" w:sz="4" w:space="0"/>
                  </w:tcBorders>
                  <w:shd w:val="clear" w:color="auto" w:fill="99CCFF"/>
                  <w:vAlign w:val="center"/>
                </w:tcPr>
                <w:p w14:paraId="646F1E49">
                  <w:pPr>
                    <w:spacing w:line="380" w:lineRule="exact"/>
                    <w:jc w:val="center"/>
                    <w:rPr>
                      <w:color w:val="auto"/>
                      <w:szCs w:val="21"/>
                      <w:highlight w:val="none"/>
                    </w:rPr>
                  </w:pPr>
                  <w:r>
                    <w:rPr>
                      <w:color w:val="auto"/>
                      <w:szCs w:val="21"/>
                      <w:highlight w:val="none"/>
                    </w:rPr>
                    <w:t>保障项目</w:t>
                  </w:r>
                </w:p>
              </w:tc>
              <w:tc>
                <w:tcPr>
                  <w:tcW w:w="1560" w:type="dxa"/>
                  <w:tcBorders>
                    <w:top w:val="single" w:color="auto" w:sz="4" w:space="0"/>
                    <w:left w:val="single" w:color="auto" w:sz="4" w:space="0"/>
                    <w:bottom w:val="single" w:color="auto" w:sz="4" w:space="0"/>
                    <w:right w:val="single" w:color="auto" w:sz="4" w:space="0"/>
                  </w:tcBorders>
                  <w:shd w:val="clear" w:color="auto" w:fill="99CCFF"/>
                  <w:vAlign w:val="center"/>
                </w:tcPr>
                <w:p w14:paraId="20F7215E">
                  <w:pPr>
                    <w:spacing w:line="380" w:lineRule="exact"/>
                    <w:jc w:val="center"/>
                    <w:rPr>
                      <w:color w:val="auto"/>
                      <w:szCs w:val="21"/>
                      <w:highlight w:val="none"/>
                    </w:rPr>
                  </w:pPr>
                  <w:r>
                    <w:rPr>
                      <w:color w:val="auto"/>
                      <w:szCs w:val="21"/>
                      <w:highlight w:val="none"/>
                    </w:rPr>
                    <w:t>保险金额</w:t>
                  </w:r>
                </w:p>
              </w:tc>
              <w:tc>
                <w:tcPr>
                  <w:tcW w:w="1842" w:type="dxa"/>
                  <w:tcBorders>
                    <w:top w:val="single" w:color="auto" w:sz="4" w:space="0"/>
                    <w:left w:val="single" w:color="auto" w:sz="4" w:space="0"/>
                    <w:bottom w:val="single" w:color="auto" w:sz="4" w:space="0"/>
                    <w:right w:val="single" w:color="auto" w:sz="4" w:space="0"/>
                  </w:tcBorders>
                  <w:shd w:val="clear" w:color="auto" w:fill="99CCFF"/>
                  <w:vAlign w:val="center"/>
                </w:tcPr>
                <w:p w14:paraId="296B1324">
                  <w:pPr>
                    <w:spacing w:line="380" w:lineRule="exact"/>
                    <w:jc w:val="center"/>
                    <w:rPr>
                      <w:color w:val="auto"/>
                      <w:szCs w:val="21"/>
                      <w:highlight w:val="none"/>
                    </w:rPr>
                  </w:pPr>
                  <w:r>
                    <w:rPr>
                      <w:color w:val="auto"/>
                      <w:szCs w:val="21"/>
                      <w:highlight w:val="none"/>
                    </w:rPr>
                    <w:t>保障方式</w:t>
                  </w:r>
                </w:p>
              </w:tc>
            </w:tr>
            <w:tr w14:paraId="3557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6" w:type="dxa"/>
                  <w:tcBorders>
                    <w:top w:val="single" w:color="auto" w:sz="4" w:space="0"/>
                    <w:left w:val="single" w:color="auto" w:sz="4" w:space="0"/>
                    <w:bottom w:val="single" w:color="auto" w:sz="4" w:space="0"/>
                    <w:right w:val="single" w:color="auto" w:sz="4" w:space="0"/>
                  </w:tcBorders>
                  <w:vAlign w:val="center"/>
                </w:tcPr>
                <w:p w14:paraId="2A4B69D6">
                  <w:pPr>
                    <w:spacing w:line="380" w:lineRule="exact"/>
                    <w:ind w:firstLine="210" w:firstLineChars="100"/>
                    <w:jc w:val="center"/>
                    <w:rPr>
                      <w:color w:val="auto"/>
                      <w:szCs w:val="21"/>
                      <w:highlight w:val="none"/>
                    </w:rPr>
                  </w:pPr>
                  <w:r>
                    <w:rPr>
                      <w:color w:val="auto"/>
                      <w:highlight w:val="none"/>
                    </w:rPr>
                    <w:t>烈士、因公牺牲、因工死亡保险金</w:t>
                  </w:r>
                </w:p>
              </w:tc>
              <w:tc>
                <w:tcPr>
                  <w:tcW w:w="1560" w:type="dxa"/>
                  <w:tcBorders>
                    <w:top w:val="single" w:color="auto" w:sz="4" w:space="0"/>
                    <w:left w:val="single" w:color="auto" w:sz="4" w:space="0"/>
                    <w:bottom w:val="single" w:color="auto" w:sz="4" w:space="0"/>
                    <w:right w:val="single" w:color="auto" w:sz="4" w:space="0"/>
                  </w:tcBorders>
                  <w:vAlign w:val="center"/>
                </w:tcPr>
                <w:p w14:paraId="1579A7C1">
                  <w:pPr>
                    <w:spacing w:line="380" w:lineRule="exact"/>
                    <w:ind w:firstLine="211" w:firstLineChars="100"/>
                    <w:jc w:val="center"/>
                    <w:rPr>
                      <w:b/>
                      <w:color w:val="auto"/>
                      <w:szCs w:val="21"/>
                      <w:highlight w:val="none"/>
                    </w:rPr>
                  </w:pPr>
                  <w:r>
                    <w:rPr>
                      <w:b/>
                      <w:color w:val="auto"/>
                      <w:szCs w:val="21"/>
                      <w:highlight w:val="none"/>
                    </w:rPr>
                    <w:t>20万元</w:t>
                  </w:r>
                </w:p>
              </w:tc>
              <w:tc>
                <w:tcPr>
                  <w:tcW w:w="1842" w:type="dxa"/>
                  <w:tcBorders>
                    <w:top w:val="single" w:color="auto" w:sz="4" w:space="0"/>
                    <w:left w:val="single" w:color="auto" w:sz="4" w:space="0"/>
                    <w:bottom w:val="single" w:color="auto" w:sz="4" w:space="0"/>
                    <w:right w:val="single" w:color="auto" w:sz="4" w:space="0"/>
                  </w:tcBorders>
                  <w:vAlign w:val="center"/>
                </w:tcPr>
                <w:p w14:paraId="44074B7D">
                  <w:pPr>
                    <w:spacing w:line="380" w:lineRule="exact"/>
                    <w:jc w:val="center"/>
                    <w:rPr>
                      <w:color w:val="auto"/>
                      <w:szCs w:val="21"/>
                      <w:highlight w:val="none"/>
                    </w:rPr>
                  </w:pPr>
                  <w:r>
                    <w:rPr>
                      <w:color w:val="auto"/>
                      <w:szCs w:val="21"/>
                      <w:highlight w:val="none"/>
                    </w:rPr>
                    <w:t>全额给付</w:t>
                  </w:r>
                </w:p>
              </w:tc>
            </w:tr>
            <w:tr w14:paraId="64B8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6" w:type="dxa"/>
                  <w:tcBorders>
                    <w:top w:val="single" w:color="auto" w:sz="4" w:space="0"/>
                    <w:left w:val="single" w:color="auto" w:sz="4" w:space="0"/>
                    <w:bottom w:val="single" w:color="auto" w:sz="4" w:space="0"/>
                    <w:right w:val="single" w:color="auto" w:sz="4" w:space="0"/>
                  </w:tcBorders>
                  <w:vAlign w:val="center"/>
                </w:tcPr>
                <w:p w14:paraId="02D19795">
                  <w:pPr>
                    <w:spacing w:line="380" w:lineRule="exact"/>
                    <w:ind w:firstLine="210" w:firstLineChars="100"/>
                    <w:jc w:val="center"/>
                    <w:rPr>
                      <w:color w:val="auto"/>
                      <w:szCs w:val="21"/>
                      <w:highlight w:val="none"/>
                    </w:rPr>
                  </w:pPr>
                  <w:r>
                    <w:rPr>
                      <w:color w:val="auto"/>
                      <w:szCs w:val="21"/>
                      <w:highlight w:val="none"/>
                    </w:rPr>
                    <w:t>意外或疾病身故保险金</w:t>
                  </w:r>
                </w:p>
              </w:tc>
              <w:tc>
                <w:tcPr>
                  <w:tcW w:w="1560" w:type="dxa"/>
                  <w:tcBorders>
                    <w:top w:val="single" w:color="auto" w:sz="4" w:space="0"/>
                    <w:left w:val="single" w:color="auto" w:sz="4" w:space="0"/>
                    <w:bottom w:val="single" w:color="auto" w:sz="4" w:space="0"/>
                    <w:right w:val="single" w:color="auto" w:sz="4" w:space="0"/>
                  </w:tcBorders>
                  <w:vAlign w:val="center"/>
                </w:tcPr>
                <w:p w14:paraId="52B1FDAE">
                  <w:pPr>
                    <w:spacing w:line="380" w:lineRule="exact"/>
                    <w:ind w:firstLine="211" w:firstLineChars="100"/>
                    <w:jc w:val="center"/>
                    <w:rPr>
                      <w:b/>
                      <w:color w:val="auto"/>
                      <w:szCs w:val="21"/>
                      <w:highlight w:val="none"/>
                    </w:rPr>
                  </w:pPr>
                  <w:r>
                    <w:rPr>
                      <w:b/>
                      <w:color w:val="auto"/>
                      <w:szCs w:val="21"/>
                      <w:highlight w:val="none"/>
                    </w:rPr>
                    <w:t>10万元</w:t>
                  </w:r>
                </w:p>
              </w:tc>
              <w:tc>
                <w:tcPr>
                  <w:tcW w:w="1842" w:type="dxa"/>
                  <w:tcBorders>
                    <w:top w:val="single" w:color="auto" w:sz="4" w:space="0"/>
                    <w:left w:val="single" w:color="auto" w:sz="4" w:space="0"/>
                    <w:bottom w:val="single" w:color="auto" w:sz="4" w:space="0"/>
                    <w:right w:val="single" w:color="auto" w:sz="4" w:space="0"/>
                  </w:tcBorders>
                  <w:vAlign w:val="center"/>
                </w:tcPr>
                <w:p w14:paraId="1363A129">
                  <w:pPr>
                    <w:spacing w:line="380" w:lineRule="exact"/>
                    <w:jc w:val="center"/>
                    <w:rPr>
                      <w:color w:val="auto"/>
                      <w:szCs w:val="21"/>
                      <w:highlight w:val="none"/>
                    </w:rPr>
                  </w:pPr>
                  <w:r>
                    <w:rPr>
                      <w:color w:val="auto"/>
                      <w:szCs w:val="21"/>
                      <w:highlight w:val="none"/>
                    </w:rPr>
                    <w:t>全额给付</w:t>
                  </w:r>
                </w:p>
              </w:tc>
            </w:tr>
            <w:tr w14:paraId="2B57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6" w:type="dxa"/>
                  <w:tcBorders>
                    <w:top w:val="single" w:color="auto" w:sz="4" w:space="0"/>
                    <w:left w:val="single" w:color="auto" w:sz="4" w:space="0"/>
                    <w:bottom w:val="single" w:color="auto" w:sz="4" w:space="0"/>
                    <w:right w:val="single" w:color="auto" w:sz="4" w:space="0"/>
                  </w:tcBorders>
                  <w:vAlign w:val="center"/>
                </w:tcPr>
                <w:p w14:paraId="2E5132C4">
                  <w:pPr>
                    <w:spacing w:line="380" w:lineRule="exact"/>
                    <w:ind w:firstLine="315" w:firstLineChars="150"/>
                    <w:jc w:val="center"/>
                    <w:rPr>
                      <w:color w:val="auto"/>
                      <w:szCs w:val="21"/>
                      <w:highlight w:val="none"/>
                    </w:rPr>
                  </w:pPr>
                  <w:r>
                    <w:rPr>
                      <w:color w:val="auto"/>
                      <w:szCs w:val="21"/>
                      <w:highlight w:val="none"/>
                    </w:rPr>
                    <w:t>意外伤害残疾保险金</w:t>
                  </w:r>
                </w:p>
              </w:tc>
              <w:tc>
                <w:tcPr>
                  <w:tcW w:w="1560" w:type="dxa"/>
                  <w:tcBorders>
                    <w:top w:val="single" w:color="auto" w:sz="4" w:space="0"/>
                    <w:left w:val="single" w:color="auto" w:sz="4" w:space="0"/>
                    <w:bottom w:val="single" w:color="auto" w:sz="4" w:space="0"/>
                    <w:right w:val="single" w:color="auto" w:sz="4" w:space="0"/>
                  </w:tcBorders>
                  <w:vAlign w:val="center"/>
                </w:tcPr>
                <w:p w14:paraId="67AAE957">
                  <w:pPr>
                    <w:spacing w:line="380" w:lineRule="exact"/>
                    <w:ind w:firstLine="211" w:firstLineChars="100"/>
                    <w:jc w:val="center"/>
                    <w:rPr>
                      <w:b/>
                      <w:color w:val="auto"/>
                      <w:szCs w:val="21"/>
                      <w:highlight w:val="none"/>
                    </w:rPr>
                  </w:pPr>
                  <w:r>
                    <w:rPr>
                      <w:b/>
                      <w:color w:val="auto"/>
                      <w:szCs w:val="21"/>
                      <w:highlight w:val="none"/>
                    </w:rPr>
                    <w:t>10万元</w:t>
                  </w:r>
                </w:p>
              </w:tc>
              <w:tc>
                <w:tcPr>
                  <w:tcW w:w="1842" w:type="dxa"/>
                  <w:tcBorders>
                    <w:top w:val="single" w:color="auto" w:sz="4" w:space="0"/>
                    <w:left w:val="single" w:color="auto" w:sz="4" w:space="0"/>
                    <w:bottom w:val="single" w:color="auto" w:sz="4" w:space="0"/>
                    <w:right w:val="single" w:color="auto" w:sz="4" w:space="0"/>
                  </w:tcBorders>
                  <w:vAlign w:val="center"/>
                </w:tcPr>
                <w:p w14:paraId="5C447B1A">
                  <w:pPr>
                    <w:spacing w:line="380" w:lineRule="exact"/>
                    <w:jc w:val="center"/>
                    <w:rPr>
                      <w:color w:val="auto"/>
                      <w:szCs w:val="21"/>
                      <w:highlight w:val="none"/>
                    </w:rPr>
                  </w:pPr>
                  <w:r>
                    <w:rPr>
                      <w:color w:val="auto"/>
                      <w:szCs w:val="21"/>
                      <w:highlight w:val="none"/>
                    </w:rPr>
                    <w:t>按照残疾等级比例给付</w:t>
                  </w:r>
                </w:p>
              </w:tc>
            </w:tr>
            <w:tr w14:paraId="7BE7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6" w:type="dxa"/>
                  <w:tcBorders>
                    <w:top w:val="single" w:color="auto" w:sz="4" w:space="0"/>
                    <w:left w:val="single" w:color="auto" w:sz="4" w:space="0"/>
                    <w:bottom w:val="single" w:color="auto" w:sz="4" w:space="0"/>
                    <w:right w:val="single" w:color="auto" w:sz="4" w:space="0"/>
                  </w:tcBorders>
                  <w:vAlign w:val="center"/>
                </w:tcPr>
                <w:p w14:paraId="235C85A5">
                  <w:pPr>
                    <w:spacing w:line="380" w:lineRule="exact"/>
                    <w:ind w:firstLine="315" w:firstLineChars="150"/>
                    <w:jc w:val="center"/>
                    <w:rPr>
                      <w:color w:val="auto"/>
                      <w:szCs w:val="21"/>
                      <w:highlight w:val="none"/>
                    </w:rPr>
                  </w:pPr>
                  <w:r>
                    <w:rPr>
                      <w:color w:val="auto"/>
                      <w:szCs w:val="21"/>
                      <w:highlight w:val="none"/>
                    </w:rPr>
                    <w:t>重大疾病保险金</w:t>
                  </w:r>
                </w:p>
              </w:tc>
              <w:tc>
                <w:tcPr>
                  <w:tcW w:w="1560" w:type="dxa"/>
                  <w:tcBorders>
                    <w:top w:val="single" w:color="auto" w:sz="4" w:space="0"/>
                    <w:left w:val="single" w:color="auto" w:sz="4" w:space="0"/>
                    <w:bottom w:val="single" w:color="auto" w:sz="4" w:space="0"/>
                    <w:right w:val="single" w:color="auto" w:sz="4" w:space="0"/>
                  </w:tcBorders>
                  <w:vAlign w:val="center"/>
                </w:tcPr>
                <w:p w14:paraId="0D981528">
                  <w:pPr>
                    <w:spacing w:line="380" w:lineRule="exact"/>
                    <w:ind w:firstLine="211" w:firstLineChars="100"/>
                    <w:jc w:val="center"/>
                    <w:rPr>
                      <w:b/>
                      <w:color w:val="auto"/>
                      <w:szCs w:val="21"/>
                      <w:highlight w:val="none"/>
                    </w:rPr>
                  </w:pPr>
                  <w:r>
                    <w:rPr>
                      <w:b/>
                      <w:color w:val="auto"/>
                      <w:szCs w:val="21"/>
                      <w:highlight w:val="none"/>
                    </w:rPr>
                    <w:t>10万元</w:t>
                  </w:r>
                </w:p>
              </w:tc>
              <w:tc>
                <w:tcPr>
                  <w:tcW w:w="1842" w:type="dxa"/>
                  <w:tcBorders>
                    <w:top w:val="single" w:color="auto" w:sz="4" w:space="0"/>
                    <w:left w:val="single" w:color="auto" w:sz="4" w:space="0"/>
                    <w:bottom w:val="single" w:color="auto" w:sz="4" w:space="0"/>
                    <w:right w:val="single" w:color="auto" w:sz="4" w:space="0"/>
                  </w:tcBorders>
                  <w:vAlign w:val="center"/>
                </w:tcPr>
                <w:p w14:paraId="51874CE0">
                  <w:pPr>
                    <w:spacing w:line="380" w:lineRule="exact"/>
                    <w:jc w:val="center"/>
                    <w:rPr>
                      <w:color w:val="auto"/>
                      <w:szCs w:val="21"/>
                      <w:highlight w:val="none"/>
                    </w:rPr>
                  </w:pPr>
                  <w:r>
                    <w:rPr>
                      <w:color w:val="auto"/>
                      <w:szCs w:val="21"/>
                      <w:highlight w:val="none"/>
                    </w:rPr>
                    <w:t>承保3</w:t>
                  </w:r>
                  <w:r>
                    <w:rPr>
                      <w:rFonts w:hint="eastAsia"/>
                      <w:color w:val="auto"/>
                      <w:szCs w:val="21"/>
                      <w:highlight w:val="none"/>
                    </w:rPr>
                    <w:t>5</w:t>
                  </w:r>
                  <w:r>
                    <w:rPr>
                      <w:color w:val="auto"/>
                      <w:szCs w:val="21"/>
                      <w:highlight w:val="none"/>
                    </w:rPr>
                    <w:t>种重大疾病</w:t>
                  </w:r>
                </w:p>
              </w:tc>
            </w:tr>
            <w:tr w14:paraId="2358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6" w:type="dxa"/>
                  <w:tcBorders>
                    <w:top w:val="single" w:color="auto" w:sz="4" w:space="0"/>
                    <w:left w:val="single" w:color="auto" w:sz="4" w:space="0"/>
                    <w:bottom w:val="single" w:color="auto" w:sz="4" w:space="0"/>
                    <w:right w:val="single" w:color="auto" w:sz="4" w:space="0"/>
                  </w:tcBorders>
                  <w:vAlign w:val="center"/>
                </w:tcPr>
                <w:p w14:paraId="2870B686">
                  <w:pPr>
                    <w:spacing w:line="380" w:lineRule="exact"/>
                    <w:jc w:val="center"/>
                    <w:rPr>
                      <w:color w:val="auto"/>
                      <w:szCs w:val="21"/>
                      <w:highlight w:val="none"/>
                    </w:rPr>
                  </w:pPr>
                  <w:r>
                    <w:rPr>
                      <w:color w:val="auto"/>
                      <w:szCs w:val="21"/>
                      <w:highlight w:val="none"/>
                    </w:rPr>
                    <w:t>意外或疾病住院津贴</w:t>
                  </w:r>
                </w:p>
              </w:tc>
              <w:tc>
                <w:tcPr>
                  <w:tcW w:w="1560" w:type="dxa"/>
                  <w:tcBorders>
                    <w:top w:val="single" w:color="auto" w:sz="4" w:space="0"/>
                    <w:left w:val="single" w:color="auto" w:sz="4" w:space="0"/>
                    <w:bottom w:val="single" w:color="auto" w:sz="4" w:space="0"/>
                    <w:right w:val="single" w:color="auto" w:sz="4" w:space="0"/>
                  </w:tcBorders>
                  <w:vAlign w:val="center"/>
                </w:tcPr>
                <w:p w14:paraId="77D9C816">
                  <w:pPr>
                    <w:spacing w:line="380" w:lineRule="exact"/>
                    <w:ind w:firstLine="211" w:firstLineChars="100"/>
                    <w:jc w:val="center"/>
                    <w:rPr>
                      <w:b/>
                      <w:color w:val="auto"/>
                      <w:szCs w:val="21"/>
                      <w:highlight w:val="none"/>
                    </w:rPr>
                  </w:pPr>
                  <w:r>
                    <w:rPr>
                      <w:b/>
                      <w:color w:val="auto"/>
                      <w:szCs w:val="21"/>
                      <w:highlight w:val="none"/>
                    </w:rPr>
                    <w:t>100元/天</w:t>
                  </w:r>
                </w:p>
              </w:tc>
              <w:tc>
                <w:tcPr>
                  <w:tcW w:w="1842" w:type="dxa"/>
                  <w:tcBorders>
                    <w:top w:val="single" w:color="auto" w:sz="4" w:space="0"/>
                    <w:left w:val="single" w:color="auto" w:sz="4" w:space="0"/>
                    <w:bottom w:val="single" w:color="auto" w:sz="4" w:space="0"/>
                    <w:right w:val="single" w:color="auto" w:sz="4" w:space="0"/>
                  </w:tcBorders>
                  <w:vAlign w:val="center"/>
                </w:tcPr>
                <w:p w14:paraId="7C3C93AE">
                  <w:pPr>
                    <w:spacing w:line="380" w:lineRule="exact"/>
                    <w:jc w:val="center"/>
                    <w:rPr>
                      <w:color w:val="auto"/>
                      <w:szCs w:val="21"/>
                      <w:highlight w:val="none"/>
                    </w:rPr>
                  </w:pPr>
                  <w:r>
                    <w:rPr>
                      <w:color w:val="auto"/>
                      <w:szCs w:val="21"/>
                      <w:highlight w:val="none"/>
                    </w:rPr>
                    <w:t>每次最高90天，累计180天。</w:t>
                  </w:r>
                </w:p>
              </w:tc>
            </w:tr>
            <w:tr w14:paraId="12BC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6" w:type="dxa"/>
                  <w:tcBorders>
                    <w:top w:val="single" w:color="auto" w:sz="4" w:space="0"/>
                    <w:left w:val="single" w:color="auto" w:sz="4" w:space="0"/>
                    <w:bottom w:val="single" w:color="auto" w:sz="4" w:space="0"/>
                    <w:right w:val="single" w:color="auto" w:sz="4" w:space="0"/>
                  </w:tcBorders>
                  <w:vAlign w:val="center"/>
                </w:tcPr>
                <w:p w14:paraId="7DEBCE46">
                  <w:pPr>
                    <w:spacing w:line="380" w:lineRule="exact"/>
                    <w:jc w:val="center"/>
                    <w:rPr>
                      <w:color w:val="auto"/>
                      <w:szCs w:val="21"/>
                      <w:highlight w:val="none"/>
                    </w:rPr>
                  </w:pPr>
                  <w:r>
                    <w:rPr>
                      <w:color w:val="auto"/>
                      <w:szCs w:val="21"/>
                      <w:highlight w:val="none"/>
                    </w:rPr>
                    <w:t>住院医疗费用补偿保险金</w:t>
                  </w:r>
                </w:p>
              </w:tc>
              <w:tc>
                <w:tcPr>
                  <w:tcW w:w="1560" w:type="dxa"/>
                  <w:tcBorders>
                    <w:top w:val="single" w:color="auto" w:sz="4" w:space="0"/>
                    <w:left w:val="single" w:color="auto" w:sz="4" w:space="0"/>
                    <w:bottom w:val="single" w:color="auto" w:sz="4" w:space="0"/>
                    <w:right w:val="single" w:color="auto" w:sz="4" w:space="0"/>
                  </w:tcBorders>
                  <w:vAlign w:val="center"/>
                </w:tcPr>
                <w:p w14:paraId="5D5ED86B">
                  <w:pPr>
                    <w:spacing w:line="380" w:lineRule="exact"/>
                    <w:ind w:firstLine="211" w:firstLineChars="100"/>
                    <w:jc w:val="center"/>
                    <w:rPr>
                      <w:b/>
                      <w:color w:val="auto"/>
                      <w:szCs w:val="21"/>
                      <w:highlight w:val="none"/>
                    </w:rPr>
                  </w:pPr>
                  <w:r>
                    <w:rPr>
                      <w:b/>
                      <w:color w:val="auto"/>
                      <w:szCs w:val="21"/>
                      <w:highlight w:val="none"/>
                    </w:rPr>
                    <w:t>3万元</w:t>
                  </w:r>
                </w:p>
              </w:tc>
              <w:tc>
                <w:tcPr>
                  <w:tcW w:w="1842" w:type="dxa"/>
                  <w:tcBorders>
                    <w:top w:val="single" w:color="auto" w:sz="4" w:space="0"/>
                    <w:left w:val="single" w:color="auto" w:sz="4" w:space="0"/>
                    <w:bottom w:val="single" w:color="auto" w:sz="4" w:space="0"/>
                    <w:right w:val="single" w:color="auto" w:sz="4" w:space="0"/>
                  </w:tcBorders>
                  <w:vAlign w:val="center"/>
                </w:tcPr>
                <w:p w14:paraId="2930548E">
                  <w:pPr>
                    <w:spacing w:line="380" w:lineRule="exact"/>
                    <w:jc w:val="center"/>
                    <w:rPr>
                      <w:color w:val="auto"/>
                      <w:szCs w:val="21"/>
                      <w:highlight w:val="none"/>
                    </w:rPr>
                  </w:pPr>
                  <w:r>
                    <w:rPr>
                      <w:color w:val="auto"/>
                      <w:szCs w:val="21"/>
                      <w:highlight w:val="none"/>
                    </w:rPr>
                    <w:t>意外或疾病住院费用补偿</w:t>
                  </w:r>
                </w:p>
              </w:tc>
            </w:tr>
          </w:tbl>
          <w:p w14:paraId="6564934A">
            <w:pPr>
              <w:pStyle w:val="16"/>
              <w:spacing w:line="360" w:lineRule="auto"/>
              <w:ind w:firstLine="0"/>
              <w:rPr>
                <w:rFonts w:hint="eastAsia"/>
                <w:b/>
                <w:color w:val="auto"/>
                <w:highlight w:val="none"/>
              </w:rPr>
            </w:pPr>
            <w:r>
              <w:rPr>
                <w:rFonts w:hint="eastAsia"/>
                <w:b/>
                <w:color w:val="auto"/>
                <w:highlight w:val="none"/>
              </w:rPr>
              <w:t>（二）</w:t>
            </w:r>
            <w:r>
              <w:rPr>
                <w:b/>
                <w:color w:val="auto"/>
                <w:highlight w:val="none"/>
              </w:rPr>
              <w:t>公安民警、干部、事业编制工作人员直系亲属</w:t>
            </w:r>
          </w:p>
          <w:tbl>
            <w:tblPr>
              <w:tblStyle w:val="8"/>
              <w:tblW w:w="5913" w:type="dxa"/>
              <w:jc w:val="center"/>
              <w:tblLayout w:type="fixed"/>
              <w:tblCellMar>
                <w:top w:w="0" w:type="dxa"/>
                <w:left w:w="108" w:type="dxa"/>
                <w:bottom w:w="0" w:type="dxa"/>
                <w:right w:w="108" w:type="dxa"/>
              </w:tblCellMar>
            </w:tblPr>
            <w:tblGrid>
              <w:gridCol w:w="2323"/>
              <w:gridCol w:w="1560"/>
              <w:gridCol w:w="2030"/>
            </w:tblGrid>
            <w:tr w14:paraId="44ED590C">
              <w:tblPrEx>
                <w:tblCellMar>
                  <w:top w:w="0" w:type="dxa"/>
                  <w:left w:w="108" w:type="dxa"/>
                  <w:bottom w:w="0" w:type="dxa"/>
                  <w:right w:w="108" w:type="dxa"/>
                </w:tblCellMar>
              </w:tblPrEx>
              <w:trPr>
                <w:trHeight w:val="624" w:hRule="atLeast"/>
                <w:jc w:val="center"/>
              </w:trPr>
              <w:tc>
                <w:tcPr>
                  <w:tcW w:w="2323" w:type="dxa"/>
                  <w:tcBorders>
                    <w:top w:val="single" w:color="auto" w:sz="8" w:space="0"/>
                    <w:left w:val="single" w:color="auto" w:sz="8" w:space="0"/>
                    <w:bottom w:val="single" w:color="auto" w:sz="8" w:space="0"/>
                    <w:right w:val="single" w:color="auto" w:sz="8" w:space="0"/>
                  </w:tcBorders>
                  <w:shd w:val="clear" w:color="000000" w:fill="99CCFF"/>
                  <w:vAlign w:val="center"/>
                </w:tcPr>
                <w:p w14:paraId="19DC33EA">
                  <w:pPr>
                    <w:widowControl/>
                    <w:spacing w:line="380" w:lineRule="exact"/>
                    <w:jc w:val="center"/>
                    <w:rPr>
                      <w:color w:val="auto"/>
                      <w:kern w:val="0"/>
                      <w:szCs w:val="21"/>
                      <w:highlight w:val="none"/>
                    </w:rPr>
                  </w:pPr>
                  <w:r>
                    <w:rPr>
                      <w:color w:val="auto"/>
                      <w:kern w:val="0"/>
                      <w:szCs w:val="21"/>
                      <w:highlight w:val="none"/>
                    </w:rPr>
                    <w:t>保障项目</w:t>
                  </w:r>
                </w:p>
              </w:tc>
              <w:tc>
                <w:tcPr>
                  <w:tcW w:w="1560" w:type="dxa"/>
                  <w:tcBorders>
                    <w:top w:val="single" w:color="auto" w:sz="8" w:space="0"/>
                    <w:left w:val="nil"/>
                    <w:bottom w:val="single" w:color="auto" w:sz="8" w:space="0"/>
                    <w:right w:val="single" w:color="auto" w:sz="8" w:space="0"/>
                  </w:tcBorders>
                  <w:shd w:val="clear" w:color="000000" w:fill="99CCFF"/>
                  <w:vAlign w:val="center"/>
                </w:tcPr>
                <w:p w14:paraId="61F19F6D">
                  <w:pPr>
                    <w:widowControl/>
                    <w:spacing w:line="380" w:lineRule="exact"/>
                    <w:jc w:val="center"/>
                    <w:rPr>
                      <w:color w:val="auto"/>
                      <w:kern w:val="0"/>
                      <w:szCs w:val="21"/>
                      <w:highlight w:val="none"/>
                    </w:rPr>
                  </w:pPr>
                  <w:r>
                    <w:rPr>
                      <w:color w:val="auto"/>
                      <w:kern w:val="0"/>
                      <w:szCs w:val="21"/>
                      <w:highlight w:val="none"/>
                    </w:rPr>
                    <w:t>保险金额</w:t>
                  </w:r>
                </w:p>
              </w:tc>
              <w:tc>
                <w:tcPr>
                  <w:tcW w:w="2030" w:type="dxa"/>
                  <w:tcBorders>
                    <w:top w:val="single" w:color="auto" w:sz="8" w:space="0"/>
                    <w:left w:val="nil"/>
                    <w:bottom w:val="single" w:color="auto" w:sz="8" w:space="0"/>
                    <w:right w:val="single" w:color="auto" w:sz="8" w:space="0"/>
                  </w:tcBorders>
                  <w:shd w:val="clear" w:color="000000" w:fill="99CCFF"/>
                  <w:vAlign w:val="center"/>
                </w:tcPr>
                <w:p w14:paraId="6344D91B">
                  <w:pPr>
                    <w:widowControl/>
                    <w:spacing w:line="380" w:lineRule="exact"/>
                    <w:jc w:val="center"/>
                    <w:rPr>
                      <w:color w:val="auto"/>
                      <w:kern w:val="0"/>
                      <w:szCs w:val="21"/>
                      <w:highlight w:val="none"/>
                    </w:rPr>
                  </w:pPr>
                  <w:r>
                    <w:rPr>
                      <w:color w:val="auto"/>
                      <w:kern w:val="0"/>
                      <w:szCs w:val="21"/>
                      <w:highlight w:val="none"/>
                    </w:rPr>
                    <w:t>保障方式</w:t>
                  </w:r>
                </w:p>
              </w:tc>
            </w:tr>
            <w:tr w14:paraId="03D10ACB">
              <w:tblPrEx>
                <w:tblCellMar>
                  <w:top w:w="0" w:type="dxa"/>
                  <w:left w:w="108" w:type="dxa"/>
                  <w:bottom w:w="0" w:type="dxa"/>
                  <w:right w:w="108" w:type="dxa"/>
                </w:tblCellMar>
              </w:tblPrEx>
              <w:trPr>
                <w:trHeight w:val="624" w:hRule="atLeast"/>
                <w:jc w:val="center"/>
              </w:trPr>
              <w:tc>
                <w:tcPr>
                  <w:tcW w:w="2323" w:type="dxa"/>
                  <w:tcBorders>
                    <w:top w:val="nil"/>
                    <w:left w:val="single" w:color="auto" w:sz="8" w:space="0"/>
                    <w:bottom w:val="single" w:color="auto" w:sz="8" w:space="0"/>
                    <w:right w:val="single" w:color="auto" w:sz="8" w:space="0"/>
                  </w:tcBorders>
                  <w:vAlign w:val="center"/>
                </w:tcPr>
                <w:p w14:paraId="649151DF">
                  <w:pPr>
                    <w:widowControl/>
                    <w:spacing w:line="380" w:lineRule="exact"/>
                    <w:rPr>
                      <w:color w:val="auto"/>
                      <w:kern w:val="0"/>
                      <w:szCs w:val="21"/>
                      <w:highlight w:val="none"/>
                    </w:rPr>
                  </w:pPr>
                  <w:r>
                    <w:rPr>
                      <w:color w:val="auto"/>
                      <w:kern w:val="0"/>
                      <w:szCs w:val="21"/>
                      <w:highlight w:val="none"/>
                    </w:rPr>
                    <w:t>普通意外身故或意外残疾保险金</w:t>
                  </w:r>
                </w:p>
              </w:tc>
              <w:tc>
                <w:tcPr>
                  <w:tcW w:w="1560" w:type="dxa"/>
                  <w:tcBorders>
                    <w:top w:val="nil"/>
                    <w:left w:val="nil"/>
                    <w:bottom w:val="single" w:color="auto" w:sz="8" w:space="0"/>
                    <w:right w:val="single" w:color="auto" w:sz="8" w:space="0"/>
                  </w:tcBorders>
                  <w:vAlign w:val="center"/>
                </w:tcPr>
                <w:p w14:paraId="4E36DFED">
                  <w:pPr>
                    <w:widowControl/>
                    <w:spacing w:line="380" w:lineRule="exact"/>
                    <w:jc w:val="center"/>
                    <w:rPr>
                      <w:b/>
                      <w:bCs/>
                      <w:color w:val="auto"/>
                      <w:spacing w:val="-20"/>
                      <w:kern w:val="0"/>
                      <w:szCs w:val="21"/>
                      <w:highlight w:val="none"/>
                    </w:rPr>
                  </w:pPr>
                  <w:r>
                    <w:rPr>
                      <w:b/>
                      <w:bCs/>
                      <w:color w:val="auto"/>
                      <w:spacing w:val="-20"/>
                      <w:kern w:val="0"/>
                      <w:szCs w:val="21"/>
                      <w:highlight w:val="none"/>
                    </w:rPr>
                    <w:t>10万元</w:t>
                  </w:r>
                </w:p>
              </w:tc>
              <w:tc>
                <w:tcPr>
                  <w:tcW w:w="2030" w:type="dxa"/>
                  <w:tcBorders>
                    <w:top w:val="nil"/>
                    <w:left w:val="nil"/>
                    <w:bottom w:val="single" w:color="auto" w:sz="8" w:space="0"/>
                    <w:right w:val="single" w:color="auto" w:sz="8" w:space="0"/>
                  </w:tcBorders>
                  <w:vAlign w:val="center"/>
                </w:tcPr>
                <w:p w14:paraId="317F1F83">
                  <w:pPr>
                    <w:widowControl/>
                    <w:spacing w:line="380" w:lineRule="exact"/>
                    <w:jc w:val="center"/>
                    <w:rPr>
                      <w:color w:val="auto"/>
                      <w:kern w:val="0"/>
                      <w:szCs w:val="21"/>
                      <w:highlight w:val="none"/>
                    </w:rPr>
                  </w:pPr>
                  <w:r>
                    <w:rPr>
                      <w:color w:val="auto"/>
                      <w:kern w:val="0"/>
                      <w:szCs w:val="21"/>
                      <w:highlight w:val="none"/>
                    </w:rPr>
                    <w:t>全额或按残疾比例给付</w:t>
                  </w:r>
                </w:p>
              </w:tc>
            </w:tr>
            <w:tr w14:paraId="3185562B">
              <w:tblPrEx>
                <w:tblCellMar>
                  <w:top w:w="0" w:type="dxa"/>
                  <w:left w:w="108" w:type="dxa"/>
                  <w:bottom w:w="0" w:type="dxa"/>
                  <w:right w:w="108" w:type="dxa"/>
                </w:tblCellMar>
              </w:tblPrEx>
              <w:trPr>
                <w:trHeight w:val="624" w:hRule="atLeast"/>
                <w:jc w:val="center"/>
              </w:trPr>
              <w:tc>
                <w:tcPr>
                  <w:tcW w:w="2323" w:type="dxa"/>
                  <w:tcBorders>
                    <w:top w:val="nil"/>
                    <w:left w:val="single" w:color="auto" w:sz="8" w:space="0"/>
                    <w:bottom w:val="single" w:color="auto" w:sz="8" w:space="0"/>
                    <w:right w:val="single" w:color="auto" w:sz="8" w:space="0"/>
                  </w:tcBorders>
                  <w:vAlign w:val="center"/>
                </w:tcPr>
                <w:p w14:paraId="01810F6C">
                  <w:pPr>
                    <w:widowControl/>
                    <w:spacing w:line="380" w:lineRule="exact"/>
                    <w:rPr>
                      <w:color w:val="auto"/>
                      <w:kern w:val="0"/>
                      <w:szCs w:val="21"/>
                      <w:highlight w:val="none"/>
                    </w:rPr>
                  </w:pPr>
                  <w:r>
                    <w:rPr>
                      <w:color w:val="auto"/>
                      <w:kern w:val="0"/>
                      <w:szCs w:val="21"/>
                      <w:highlight w:val="none"/>
                    </w:rPr>
                    <w:t>因犯罪分子报复导致的身故或残疾</w:t>
                  </w:r>
                </w:p>
              </w:tc>
              <w:tc>
                <w:tcPr>
                  <w:tcW w:w="1560" w:type="dxa"/>
                  <w:tcBorders>
                    <w:top w:val="nil"/>
                    <w:left w:val="nil"/>
                    <w:bottom w:val="single" w:color="auto" w:sz="8" w:space="0"/>
                    <w:right w:val="single" w:color="auto" w:sz="8" w:space="0"/>
                  </w:tcBorders>
                  <w:vAlign w:val="center"/>
                </w:tcPr>
                <w:p w14:paraId="58BD06B1">
                  <w:pPr>
                    <w:widowControl/>
                    <w:spacing w:line="380" w:lineRule="exact"/>
                    <w:jc w:val="center"/>
                    <w:rPr>
                      <w:b/>
                      <w:bCs/>
                      <w:color w:val="auto"/>
                      <w:spacing w:val="-20"/>
                      <w:kern w:val="0"/>
                      <w:szCs w:val="21"/>
                      <w:highlight w:val="none"/>
                    </w:rPr>
                  </w:pPr>
                  <w:r>
                    <w:rPr>
                      <w:b/>
                      <w:bCs/>
                      <w:color w:val="auto"/>
                      <w:spacing w:val="-20"/>
                      <w:kern w:val="0"/>
                      <w:szCs w:val="21"/>
                      <w:highlight w:val="none"/>
                    </w:rPr>
                    <w:t>20万元</w:t>
                  </w:r>
                </w:p>
              </w:tc>
              <w:tc>
                <w:tcPr>
                  <w:tcW w:w="2030" w:type="dxa"/>
                  <w:tcBorders>
                    <w:top w:val="nil"/>
                    <w:left w:val="nil"/>
                    <w:bottom w:val="single" w:color="auto" w:sz="8" w:space="0"/>
                    <w:right w:val="single" w:color="auto" w:sz="8" w:space="0"/>
                  </w:tcBorders>
                  <w:vAlign w:val="center"/>
                </w:tcPr>
                <w:p w14:paraId="7876DC80">
                  <w:pPr>
                    <w:widowControl/>
                    <w:spacing w:line="380" w:lineRule="exact"/>
                    <w:jc w:val="center"/>
                    <w:rPr>
                      <w:color w:val="auto"/>
                      <w:kern w:val="0"/>
                      <w:szCs w:val="21"/>
                      <w:highlight w:val="none"/>
                    </w:rPr>
                  </w:pPr>
                  <w:r>
                    <w:rPr>
                      <w:color w:val="auto"/>
                      <w:kern w:val="0"/>
                      <w:szCs w:val="21"/>
                      <w:highlight w:val="none"/>
                    </w:rPr>
                    <w:t>全额或按残疾比例给付</w:t>
                  </w:r>
                </w:p>
              </w:tc>
            </w:tr>
            <w:tr w14:paraId="4227D36A">
              <w:tblPrEx>
                <w:tblCellMar>
                  <w:top w:w="0" w:type="dxa"/>
                  <w:left w:w="108" w:type="dxa"/>
                  <w:bottom w:w="0" w:type="dxa"/>
                  <w:right w:w="108" w:type="dxa"/>
                </w:tblCellMar>
              </w:tblPrEx>
              <w:trPr>
                <w:trHeight w:val="624" w:hRule="atLeast"/>
                <w:jc w:val="center"/>
              </w:trPr>
              <w:tc>
                <w:tcPr>
                  <w:tcW w:w="2323" w:type="dxa"/>
                  <w:tcBorders>
                    <w:top w:val="nil"/>
                    <w:left w:val="single" w:color="auto" w:sz="8" w:space="0"/>
                    <w:bottom w:val="single" w:color="auto" w:sz="8" w:space="0"/>
                    <w:right w:val="single" w:color="auto" w:sz="8" w:space="0"/>
                  </w:tcBorders>
                  <w:vAlign w:val="center"/>
                </w:tcPr>
                <w:p w14:paraId="2D856617">
                  <w:pPr>
                    <w:widowControl/>
                    <w:spacing w:line="380" w:lineRule="exact"/>
                    <w:rPr>
                      <w:color w:val="auto"/>
                      <w:spacing w:val="-6"/>
                      <w:kern w:val="0"/>
                      <w:szCs w:val="21"/>
                      <w:highlight w:val="none"/>
                    </w:rPr>
                  </w:pPr>
                  <w:r>
                    <w:rPr>
                      <w:color w:val="auto"/>
                      <w:spacing w:val="-6"/>
                      <w:kern w:val="0"/>
                      <w:szCs w:val="21"/>
                      <w:highlight w:val="none"/>
                    </w:rPr>
                    <w:t>因犯罪分子报复导致的受伤产生的医疗费</w:t>
                  </w:r>
                </w:p>
              </w:tc>
              <w:tc>
                <w:tcPr>
                  <w:tcW w:w="1560" w:type="dxa"/>
                  <w:tcBorders>
                    <w:top w:val="nil"/>
                    <w:left w:val="nil"/>
                    <w:bottom w:val="single" w:color="auto" w:sz="8" w:space="0"/>
                    <w:right w:val="single" w:color="auto" w:sz="8" w:space="0"/>
                  </w:tcBorders>
                  <w:vAlign w:val="center"/>
                </w:tcPr>
                <w:p w14:paraId="52D93B40">
                  <w:pPr>
                    <w:widowControl/>
                    <w:spacing w:line="340" w:lineRule="exact"/>
                    <w:jc w:val="center"/>
                    <w:rPr>
                      <w:b/>
                      <w:bCs/>
                      <w:color w:val="auto"/>
                      <w:spacing w:val="-20"/>
                      <w:kern w:val="0"/>
                      <w:szCs w:val="21"/>
                      <w:highlight w:val="none"/>
                    </w:rPr>
                  </w:pPr>
                  <w:r>
                    <w:rPr>
                      <w:b/>
                      <w:bCs/>
                      <w:color w:val="auto"/>
                      <w:spacing w:val="-20"/>
                      <w:kern w:val="0"/>
                      <w:szCs w:val="21"/>
                      <w:highlight w:val="none"/>
                    </w:rPr>
                    <w:t>10万元</w:t>
                  </w:r>
                </w:p>
              </w:tc>
              <w:tc>
                <w:tcPr>
                  <w:tcW w:w="2030" w:type="dxa"/>
                  <w:tcBorders>
                    <w:top w:val="nil"/>
                    <w:left w:val="nil"/>
                    <w:bottom w:val="single" w:color="auto" w:sz="8" w:space="0"/>
                    <w:right w:val="single" w:color="auto" w:sz="8" w:space="0"/>
                  </w:tcBorders>
                  <w:vAlign w:val="center"/>
                </w:tcPr>
                <w:p w14:paraId="7DFD1FE7">
                  <w:pPr>
                    <w:widowControl/>
                    <w:spacing w:line="380" w:lineRule="exact"/>
                    <w:jc w:val="center"/>
                    <w:rPr>
                      <w:color w:val="auto"/>
                      <w:spacing w:val="-6"/>
                      <w:kern w:val="0"/>
                      <w:szCs w:val="21"/>
                      <w:highlight w:val="none"/>
                    </w:rPr>
                  </w:pPr>
                  <w:r>
                    <w:rPr>
                      <w:color w:val="auto"/>
                      <w:spacing w:val="-6"/>
                      <w:kern w:val="0"/>
                      <w:szCs w:val="21"/>
                      <w:highlight w:val="none"/>
                    </w:rPr>
                    <w:t>按实际产生的合理医疗费用全额给付</w:t>
                  </w:r>
                </w:p>
              </w:tc>
            </w:tr>
            <w:tr w14:paraId="1A44BF75">
              <w:tblPrEx>
                <w:tblCellMar>
                  <w:top w:w="0" w:type="dxa"/>
                  <w:left w:w="108" w:type="dxa"/>
                  <w:bottom w:w="0" w:type="dxa"/>
                  <w:right w:w="108" w:type="dxa"/>
                </w:tblCellMar>
              </w:tblPrEx>
              <w:trPr>
                <w:trHeight w:val="624" w:hRule="atLeast"/>
                <w:jc w:val="center"/>
              </w:trPr>
              <w:tc>
                <w:tcPr>
                  <w:tcW w:w="2323" w:type="dxa"/>
                  <w:tcBorders>
                    <w:top w:val="nil"/>
                    <w:left w:val="single" w:color="auto" w:sz="8" w:space="0"/>
                    <w:bottom w:val="single" w:color="auto" w:sz="8" w:space="0"/>
                    <w:right w:val="single" w:color="auto" w:sz="8" w:space="0"/>
                  </w:tcBorders>
                  <w:vAlign w:val="center"/>
                </w:tcPr>
                <w:p w14:paraId="035995CD">
                  <w:pPr>
                    <w:widowControl/>
                    <w:spacing w:line="380" w:lineRule="exact"/>
                    <w:rPr>
                      <w:color w:val="auto"/>
                      <w:kern w:val="0"/>
                      <w:szCs w:val="21"/>
                      <w:highlight w:val="none"/>
                    </w:rPr>
                  </w:pPr>
                  <w:r>
                    <w:rPr>
                      <w:color w:val="auto"/>
                      <w:kern w:val="0"/>
                      <w:szCs w:val="21"/>
                      <w:highlight w:val="none"/>
                    </w:rPr>
                    <w:t>乘坐飞机意外保险金</w:t>
                  </w:r>
                </w:p>
              </w:tc>
              <w:tc>
                <w:tcPr>
                  <w:tcW w:w="1560" w:type="dxa"/>
                  <w:tcBorders>
                    <w:top w:val="nil"/>
                    <w:left w:val="nil"/>
                    <w:bottom w:val="single" w:color="auto" w:sz="8" w:space="0"/>
                    <w:right w:val="single" w:color="auto" w:sz="8" w:space="0"/>
                  </w:tcBorders>
                  <w:vAlign w:val="center"/>
                </w:tcPr>
                <w:p w14:paraId="4FA0528E">
                  <w:pPr>
                    <w:widowControl/>
                    <w:spacing w:line="380" w:lineRule="exact"/>
                    <w:jc w:val="center"/>
                    <w:rPr>
                      <w:b/>
                      <w:bCs/>
                      <w:color w:val="auto"/>
                      <w:kern w:val="0"/>
                      <w:szCs w:val="21"/>
                      <w:highlight w:val="none"/>
                    </w:rPr>
                  </w:pPr>
                  <w:r>
                    <w:rPr>
                      <w:b/>
                      <w:bCs/>
                      <w:color w:val="auto"/>
                      <w:kern w:val="0"/>
                      <w:szCs w:val="21"/>
                      <w:highlight w:val="none"/>
                    </w:rPr>
                    <w:t>10万元</w:t>
                  </w:r>
                </w:p>
              </w:tc>
              <w:tc>
                <w:tcPr>
                  <w:tcW w:w="2030" w:type="dxa"/>
                  <w:tcBorders>
                    <w:top w:val="nil"/>
                    <w:left w:val="nil"/>
                    <w:bottom w:val="single" w:color="auto" w:sz="8" w:space="0"/>
                    <w:right w:val="single" w:color="auto" w:sz="8" w:space="0"/>
                  </w:tcBorders>
                  <w:vAlign w:val="center"/>
                </w:tcPr>
                <w:p w14:paraId="61396844">
                  <w:pPr>
                    <w:widowControl/>
                    <w:spacing w:line="380" w:lineRule="exact"/>
                    <w:jc w:val="center"/>
                    <w:rPr>
                      <w:color w:val="auto"/>
                      <w:kern w:val="0"/>
                      <w:szCs w:val="21"/>
                      <w:highlight w:val="none"/>
                    </w:rPr>
                  </w:pPr>
                  <w:r>
                    <w:rPr>
                      <w:color w:val="auto"/>
                      <w:kern w:val="0"/>
                      <w:szCs w:val="21"/>
                      <w:highlight w:val="none"/>
                    </w:rPr>
                    <w:t>全额或按残疾比例给付</w:t>
                  </w:r>
                </w:p>
              </w:tc>
            </w:tr>
            <w:tr w14:paraId="2FCEAC30">
              <w:tblPrEx>
                <w:tblCellMar>
                  <w:top w:w="0" w:type="dxa"/>
                  <w:left w:w="108" w:type="dxa"/>
                  <w:bottom w:w="0" w:type="dxa"/>
                  <w:right w:w="108" w:type="dxa"/>
                </w:tblCellMar>
              </w:tblPrEx>
              <w:trPr>
                <w:trHeight w:val="624" w:hRule="atLeast"/>
                <w:jc w:val="center"/>
              </w:trPr>
              <w:tc>
                <w:tcPr>
                  <w:tcW w:w="2323" w:type="dxa"/>
                  <w:tcBorders>
                    <w:top w:val="nil"/>
                    <w:left w:val="single" w:color="auto" w:sz="8" w:space="0"/>
                    <w:bottom w:val="single" w:color="auto" w:sz="8" w:space="0"/>
                    <w:right w:val="single" w:color="auto" w:sz="8" w:space="0"/>
                  </w:tcBorders>
                  <w:vAlign w:val="center"/>
                </w:tcPr>
                <w:p w14:paraId="440BD0E2">
                  <w:pPr>
                    <w:widowControl/>
                    <w:spacing w:line="380" w:lineRule="exact"/>
                    <w:rPr>
                      <w:color w:val="auto"/>
                      <w:kern w:val="0"/>
                      <w:szCs w:val="21"/>
                      <w:highlight w:val="none"/>
                    </w:rPr>
                  </w:pPr>
                  <w:r>
                    <w:rPr>
                      <w:color w:val="auto"/>
                      <w:kern w:val="0"/>
                      <w:szCs w:val="21"/>
                      <w:highlight w:val="none"/>
                    </w:rPr>
                    <w:t>乘坐水上交通工具意外保险金</w:t>
                  </w:r>
                </w:p>
              </w:tc>
              <w:tc>
                <w:tcPr>
                  <w:tcW w:w="1560" w:type="dxa"/>
                  <w:tcBorders>
                    <w:top w:val="nil"/>
                    <w:left w:val="nil"/>
                    <w:bottom w:val="single" w:color="auto" w:sz="8" w:space="0"/>
                    <w:right w:val="single" w:color="auto" w:sz="8" w:space="0"/>
                  </w:tcBorders>
                  <w:vAlign w:val="center"/>
                </w:tcPr>
                <w:p w14:paraId="135BD1AA">
                  <w:pPr>
                    <w:widowControl/>
                    <w:spacing w:line="380" w:lineRule="exact"/>
                    <w:jc w:val="center"/>
                    <w:rPr>
                      <w:b/>
                      <w:bCs/>
                      <w:color w:val="auto"/>
                      <w:kern w:val="0"/>
                      <w:szCs w:val="21"/>
                      <w:highlight w:val="none"/>
                    </w:rPr>
                  </w:pPr>
                  <w:r>
                    <w:rPr>
                      <w:b/>
                      <w:bCs/>
                      <w:color w:val="auto"/>
                      <w:kern w:val="0"/>
                      <w:szCs w:val="21"/>
                      <w:highlight w:val="none"/>
                    </w:rPr>
                    <w:t>10万元</w:t>
                  </w:r>
                </w:p>
              </w:tc>
              <w:tc>
                <w:tcPr>
                  <w:tcW w:w="2030" w:type="dxa"/>
                  <w:tcBorders>
                    <w:top w:val="nil"/>
                    <w:left w:val="nil"/>
                    <w:bottom w:val="single" w:color="auto" w:sz="8" w:space="0"/>
                    <w:right w:val="single" w:color="auto" w:sz="8" w:space="0"/>
                  </w:tcBorders>
                  <w:vAlign w:val="center"/>
                </w:tcPr>
                <w:p w14:paraId="3947C8E2">
                  <w:pPr>
                    <w:widowControl/>
                    <w:spacing w:line="380" w:lineRule="exact"/>
                    <w:jc w:val="center"/>
                    <w:rPr>
                      <w:color w:val="auto"/>
                      <w:kern w:val="0"/>
                      <w:szCs w:val="21"/>
                      <w:highlight w:val="none"/>
                    </w:rPr>
                  </w:pPr>
                  <w:r>
                    <w:rPr>
                      <w:color w:val="auto"/>
                      <w:kern w:val="0"/>
                      <w:szCs w:val="21"/>
                      <w:highlight w:val="none"/>
                    </w:rPr>
                    <w:t>全额或按残疾比例给付</w:t>
                  </w:r>
                </w:p>
              </w:tc>
            </w:tr>
            <w:tr w14:paraId="759197ED">
              <w:tblPrEx>
                <w:tblCellMar>
                  <w:top w:w="0" w:type="dxa"/>
                  <w:left w:w="108" w:type="dxa"/>
                  <w:bottom w:w="0" w:type="dxa"/>
                  <w:right w:w="108" w:type="dxa"/>
                </w:tblCellMar>
              </w:tblPrEx>
              <w:trPr>
                <w:trHeight w:val="624" w:hRule="atLeast"/>
                <w:jc w:val="center"/>
              </w:trPr>
              <w:tc>
                <w:tcPr>
                  <w:tcW w:w="2323" w:type="dxa"/>
                  <w:tcBorders>
                    <w:top w:val="nil"/>
                    <w:left w:val="single" w:color="auto" w:sz="8" w:space="0"/>
                    <w:bottom w:val="single" w:color="auto" w:sz="8" w:space="0"/>
                    <w:right w:val="single" w:color="auto" w:sz="8" w:space="0"/>
                  </w:tcBorders>
                  <w:vAlign w:val="center"/>
                </w:tcPr>
                <w:p w14:paraId="74133FB9">
                  <w:pPr>
                    <w:widowControl/>
                    <w:spacing w:line="380" w:lineRule="exact"/>
                    <w:rPr>
                      <w:color w:val="auto"/>
                      <w:kern w:val="0"/>
                      <w:szCs w:val="21"/>
                      <w:highlight w:val="none"/>
                    </w:rPr>
                  </w:pPr>
                  <w:r>
                    <w:rPr>
                      <w:color w:val="auto"/>
                      <w:kern w:val="0"/>
                      <w:szCs w:val="21"/>
                      <w:highlight w:val="none"/>
                    </w:rPr>
                    <w:t>乘坐轨道交通工具意外保险金</w:t>
                  </w:r>
                </w:p>
              </w:tc>
              <w:tc>
                <w:tcPr>
                  <w:tcW w:w="1560" w:type="dxa"/>
                  <w:tcBorders>
                    <w:top w:val="nil"/>
                    <w:left w:val="nil"/>
                    <w:bottom w:val="single" w:color="auto" w:sz="8" w:space="0"/>
                    <w:right w:val="single" w:color="auto" w:sz="8" w:space="0"/>
                  </w:tcBorders>
                  <w:vAlign w:val="center"/>
                </w:tcPr>
                <w:p w14:paraId="07641E92">
                  <w:pPr>
                    <w:widowControl/>
                    <w:spacing w:line="380" w:lineRule="exact"/>
                    <w:jc w:val="center"/>
                    <w:rPr>
                      <w:b/>
                      <w:bCs/>
                      <w:color w:val="auto"/>
                      <w:kern w:val="0"/>
                      <w:szCs w:val="21"/>
                      <w:highlight w:val="none"/>
                    </w:rPr>
                  </w:pPr>
                  <w:r>
                    <w:rPr>
                      <w:b/>
                      <w:bCs/>
                      <w:color w:val="auto"/>
                      <w:kern w:val="0"/>
                      <w:szCs w:val="21"/>
                      <w:highlight w:val="none"/>
                    </w:rPr>
                    <w:t>10万元</w:t>
                  </w:r>
                </w:p>
              </w:tc>
              <w:tc>
                <w:tcPr>
                  <w:tcW w:w="2030" w:type="dxa"/>
                  <w:tcBorders>
                    <w:top w:val="nil"/>
                    <w:left w:val="nil"/>
                    <w:bottom w:val="single" w:color="auto" w:sz="8" w:space="0"/>
                    <w:right w:val="single" w:color="auto" w:sz="8" w:space="0"/>
                  </w:tcBorders>
                  <w:vAlign w:val="center"/>
                </w:tcPr>
                <w:p w14:paraId="5159693E">
                  <w:pPr>
                    <w:widowControl/>
                    <w:spacing w:line="380" w:lineRule="exact"/>
                    <w:jc w:val="center"/>
                    <w:rPr>
                      <w:color w:val="auto"/>
                      <w:kern w:val="0"/>
                      <w:szCs w:val="21"/>
                      <w:highlight w:val="none"/>
                    </w:rPr>
                  </w:pPr>
                  <w:r>
                    <w:rPr>
                      <w:color w:val="auto"/>
                      <w:kern w:val="0"/>
                      <w:szCs w:val="21"/>
                      <w:highlight w:val="none"/>
                    </w:rPr>
                    <w:t>全额或按残疾比例给付</w:t>
                  </w:r>
                </w:p>
              </w:tc>
            </w:tr>
            <w:tr w14:paraId="378B0F91">
              <w:tblPrEx>
                <w:tblCellMar>
                  <w:top w:w="0" w:type="dxa"/>
                  <w:left w:w="108" w:type="dxa"/>
                  <w:bottom w:w="0" w:type="dxa"/>
                  <w:right w:w="108" w:type="dxa"/>
                </w:tblCellMar>
              </w:tblPrEx>
              <w:trPr>
                <w:trHeight w:val="624" w:hRule="atLeast"/>
                <w:jc w:val="center"/>
              </w:trPr>
              <w:tc>
                <w:tcPr>
                  <w:tcW w:w="2323" w:type="dxa"/>
                  <w:tcBorders>
                    <w:top w:val="nil"/>
                    <w:left w:val="single" w:color="auto" w:sz="8" w:space="0"/>
                    <w:bottom w:val="single" w:color="auto" w:sz="4" w:space="0"/>
                    <w:right w:val="single" w:color="auto" w:sz="8" w:space="0"/>
                  </w:tcBorders>
                  <w:vAlign w:val="center"/>
                </w:tcPr>
                <w:p w14:paraId="424F9470">
                  <w:pPr>
                    <w:widowControl/>
                    <w:spacing w:line="380" w:lineRule="exact"/>
                    <w:rPr>
                      <w:color w:val="auto"/>
                      <w:kern w:val="0"/>
                      <w:szCs w:val="21"/>
                      <w:highlight w:val="none"/>
                    </w:rPr>
                  </w:pPr>
                  <w:r>
                    <w:rPr>
                      <w:color w:val="auto"/>
                      <w:kern w:val="0"/>
                      <w:szCs w:val="21"/>
                      <w:highlight w:val="none"/>
                    </w:rPr>
                    <w:t>搭乘机动车意外保险金</w:t>
                  </w:r>
                </w:p>
              </w:tc>
              <w:tc>
                <w:tcPr>
                  <w:tcW w:w="1560" w:type="dxa"/>
                  <w:tcBorders>
                    <w:top w:val="nil"/>
                    <w:left w:val="nil"/>
                    <w:bottom w:val="single" w:color="auto" w:sz="4" w:space="0"/>
                    <w:right w:val="single" w:color="auto" w:sz="8" w:space="0"/>
                  </w:tcBorders>
                  <w:vAlign w:val="center"/>
                </w:tcPr>
                <w:p w14:paraId="376DD511">
                  <w:pPr>
                    <w:widowControl/>
                    <w:spacing w:line="380" w:lineRule="exact"/>
                    <w:jc w:val="center"/>
                    <w:rPr>
                      <w:b/>
                      <w:bCs/>
                      <w:color w:val="auto"/>
                      <w:kern w:val="0"/>
                      <w:szCs w:val="21"/>
                      <w:highlight w:val="none"/>
                    </w:rPr>
                  </w:pPr>
                  <w:r>
                    <w:rPr>
                      <w:b/>
                      <w:bCs/>
                      <w:color w:val="auto"/>
                      <w:kern w:val="0"/>
                      <w:szCs w:val="21"/>
                      <w:highlight w:val="none"/>
                    </w:rPr>
                    <w:t>10万元</w:t>
                  </w:r>
                </w:p>
              </w:tc>
              <w:tc>
                <w:tcPr>
                  <w:tcW w:w="2030" w:type="dxa"/>
                  <w:tcBorders>
                    <w:top w:val="nil"/>
                    <w:left w:val="nil"/>
                    <w:bottom w:val="single" w:color="auto" w:sz="4" w:space="0"/>
                    <w:right w:val="single" w:color="auto" w:sz="8" w:space="0"/>
                  </w:tcBorders>
                  <w:vAlign w:val="center"/>
                </w:tcPr>
                <w:p w14:paraId="4398DBB2">
                  <w:pPr>
                    <w:widowControl/>
                    <w:spacing w:line="380" w:lineRule="exact"/>
                    <w:jc w:val="center"/>
                    <w:rPr>
                      <w:color w:val="auto"/>
                      <w:kern w:val="0"/>
                      <w:szCs w:val="21"/>
                      <w:highlight w:val="none"/>
                    </w:rPr>
                  </w:pPr>
                  <w:r>
                    <w:rPr>
                      <w:color w:val="auto"/>
                      <w:kern w:val="0"/>
                      <w:szCs w:val="21"/>
                      <w:highlight w:val="none"/>
                    </w:rPr>
                    <w:t>全额或按残疾比例给付</w:t>
                  </w:r>
                </w:p>
              </w:tc>
            </w:tr>
          </w:tbl>
          <w:p w14:paraId="4289058A">
            <w:pPr>
              <w:pStyle w:val="16"/>
              <w:spacing w:line="360" w:lineRule="auto"/>
              <w:ind w:firstLine="0"/>
              <w:rPr>
                <w:rFonts w:hint="eastAsia"/>
                <w:b/>
                <w:color w:val="auto"/>
                <w:highlight w:val="none"/>
              </w:rPr>
            </w:pPr>
            <w:r>
              <w:rPr>
                <w:b/>
                <w:color w:val="auto"/>
                <w:highlight w:val="none"/>
              </w:rPr>
              <w:t>注：公安民警家属是指民警的父母、配偶和子女。</w:t>
            </w:r>
            <w:r>
              <w:rPr>
                <w:rFonts w:hint="eastAsia"/>
                <w:b/>
                <w:color w:val="auto"/>
                <w:highlight w:val="none"/>
              </w:rPr>
              <w:t>包括年龄在10周岁至65周岁人员和超龄人员 (出生满60天以上至9周岁，65周岁以上)。</w:t>
            </w:r>
          </w:p>
          <w:p w14:paraId="34E88557">
            <w:pPr>
              <w:pStyle w:val="16"/>
              <w:spacing w:line="360" w:lineRule="auto"/>
              <w:ind w:firstLine="0"/>
              <w:rPr>
                <w:rFonts w:hint="eastAsia"/>
                <w:b/>
                <w:color w:val="auto"/>
                <w:highlight w:val="none"/>
              </w:rPr>
            </w:pPr>
            <w:r>
              <w:rPr>
                <w:rFonts w:hint="eastAsia"/>
                <w:b/>
                <w:color w:val="auto"/>
                <w:highlight w:val="none"/>
              </w:rPr>
              <w:t>五、保险责任及特别约定</w:t>
            </w:r>
          </w:p>
          <w:p w14:paraId="7A6B833B">
            <w:pPr>
              <w:pStyle w:val="16"/>
              <w:spacing w:line="360" w:lineRule="auto"/>
              <w:ind w:firstLine="0"/>
              <w:rPr>
                <w:rFonts w:hint="eastAsia"/>
                <w:b/>
                <w:color w:val="auto"/>
                <w:highlight w:val="none"/>
              </w:rPr>
            </w:pPr>
            <w:r>
              <w:rPr>
                <w:rFonts w:hint="eastAsia"/>
                <w:b/>
                <w:color w:val="auto"/>
                <w:highlight w:val="none"/>
              </w:rPr>
              <w:t>（一）</w:t>
            </w:r>
            <w:r>
              <w:rPr>
                <w:b/>
                <w:color w:val="auto"/>
                <w:highlight w:val="none"/>
              </w:rPr>
              <w:t>全市公安机关在职在编公安民警、干部、事业编制工作人员及辅警保险责任。</w:t>
            </w:r>
          </w:p>
          <w:p w14:paraId="26611DE4">
            <w:pPr>
              <w:pStyle w:val="16"/>
              <w:spacing w:line="360" w:lineRule="auto"/>
              <w:rPr>
                <w:b/>
                <w:bCs/>
                <w:color w:val="auto"/>
                <w:highlight w:val="none"/>
              </w:rPr>
            </w:pPr>
            <w:r>
              <w:rPr>
                <w:b/>
                <w:bCs/>
                <w:color w:val="auto"/>
                <w:highlight w:val="none"/>
              </w:rPr>
              <w:t>1.烈士、因公牺牲、因工死亡保险金</w:t>
            </w:r>
          </w:p>
          <w:p w14:paraId="2853B38E">
            <w:pPr>
              <w:pStyle w:val="16"/>
              <w:spacing w:line="360" w:lineRule="auto"/>
              <w:rPr>
                <w:color w:val="auto"/>
                <w:highlight w:val="none"/>
              </w:rPr>
            </w:pPr>
            <w:r>
              <w:rPr>
                <w:color w:val="auto"/>
                <w:highlight w:val="none"/>
              </w:rPr>
              <w:t>被保险人被退役军人事务部门认定为烈士或因公牺牲的；被保险人被工伤保险主</w:t>
            </w:r>
            <w:r>
              <w:rPr>
                <w:rFonts w:hint="eastAsia"/>
                <w:color w:val="auto"/>
                <w:highlight w:val="none"/>
              </w:rPr>
              <w:t>管</w:t>
            </w:r>
            <w:r>
              <w:rPr>
                <w:color w:val="auto"/>
                <w:highlight w:val="none"/>
              </w:rPr>
              <w:t>部门认定为因工死亡的。保险公司按其意外伤害保险金额扣除已给付的残疾保险金后给付</w:t>
            </w:r>
            <w:r>
              <w:rPr>
                <w:rFonts w:hint="eastAsia"/>
                <w:color w:val="auto"/>
                <w:highlight w:val="none"/>
              </w:rPr>
              <w:t>“烈士、因公牺牲、因工死亡保险金”</w:t>
            </w:r>
            <w:r>
              <w:rPr>
                <w:color w:val="auto"/>
                <w:highlight w:val="none"/>
              </w:rPr>
              <w:t>，对该被保险人的保险责任终止。每一被保险人的烈士、因公牺牲、因工死亡保险金的给付金额以其烈士、因公牺牲</w:t>
            </w:r>
            <w:r>
              <w:rPr>
                <w:rFonts w:hint="eastAsia"/>
                <w:color w:val="auto"/>
                <w:highlight w:val="none"/>
              </w:rPr>
              <w:t>、因工死亡</w:t>
            </w:r>
            <w:r>
              <w:rPr>
                <w:color w:val="auto"/>
                <w:highlight w:val="none"/>
              </w:rPr>
              <w:t>保险金额为限。</w:t>
            </w:r>
          </w:p>
          <w:p w14:paraId="62B4AC61">
            <w:pPr>
              <w:pStyle w:val="16"/>
              <w:spacing w:line="360" w:lineRule="auto"/>
              <w:rPr>
                <w:b/>
                <w:bCs/>
                <w:color w:val="auto"/>
                <w:highlight w:val="none"/>
              </w:rPr>
            </w:pPr>
            <w:r>
              <w:rPr>
                <w:b/>
                <w:bCs/>
                <w:color w:val="auto"/>
                <w:highlight w:val="none"/>
              </w:rPr>
              <w:t>2.意外伤害身故保险金</w:t>
            </w:r>
          </w:p>
          <w:p w14:paraId="43F2690A">
            <w:pPr>
              <w:pStyle w:val="16"/>
              <w:spacing w:line="360" w:lineRule="auto"/>
              <w:rPr>
                <w:color w:val="auto"/>
                <w:highlight w:val="none"/>
              </w:rPr>
            </w:pPr>
            <w:r>
              <w:rPr>
                <w:color w:val="auto"/>
                <w:highlight w:val="none"/>
              </w:rPr>
              <w:t>被保险人遭受意外伤害，并自事故发生之日起一百八十日内因该事故身故，保险公司按其意外伤害保险金额扣除已给付的残疾保险金后给付</w:t>
            </w:r>
            <w:r>
              <w:rPr>
                <w:rFonts w:hint="eastAsia"/>
                <w:color w:val="auto"/>
                <w:highlight w:val="none"/>
              </w:rPr>
              <w:t>“</w:t>
            </w:r>
            <w:r>
              <w:rPr>
                <w:color w:val="auto"/>
                <w:highlight w:val="none"/>
              </w:rPr>
              <w:t>意外伤害身故保险金</w:t>
            </w:r>
            <w:r>
              <w:rPr>
                <w:rFonts w:hint="eastAsia"/>
                <w:color w:val="auto"/>
                <w:highlight w:val="none"/>
              </w:rPr>
              <w:t>”</w:t>
            </w:r>
            <w:r>
              <w:rPr>
                <w:color w:val="auto"/>
                <w:highlight w:val="none"/>
              </w:rPr>
              <w:t>，对该被保险人的保险责任终止。每一被保险人的意外伤害身故保险金的给付金额以其意外伤害身故保险金额为限。</w:t>
            </w:r>
          </w:p>
          <w:p w14:paraId="585CB741">
            <w:pPr>
              <w:pStyle w:val="16"/>
              <w:spacing w:line="360" w:lineRule="auto"/>
              <w:rPr>
                <w:b/>
                <w:bCs/>
                <w:color w:val="auto"/>
                <w:highlight w:val="none"/>
              </w:rPr>
            </w:pPr>
            <w:r>
              <w:rPr>
                <w:b/>
                <w:bCs/>
                <w:color w:val="auto"/>
                <w:highlight w:val="none"/>
              </w:rPr>
              <w:t>3.意外伤害残疾保险金</w:t>
            </w:r>
          </w:p>
          <w:p w14:paraId="04A36099">
            <w:pPr>
              <w:pStyle w:val="16"/>
              <w:spacing w:line="360" w:lineRule="auto"/>
              <w:rPr>
                <w:color w:val="auto"/>
                <w:highlight w:val="none"/>
              </w:rPr>
            </w:pPr>
            <w:r>
              <w:rPr>
                <w:color w:val="auto"/>
                <w:highlight w:val="none"/>
              </w:rPr>
              <w:t>被保险人遭受意外伤害事故，并自事故发生之日起一百八十日内因该事故造成保险合同所</w:t>
            </w:r>
            <w:r>
              <w:rPr>
                <w:rFonts w:hint="eastAsia"/>
                <w:color w:val="auto"/>
                <w:highlight w:val="none"/>
                <w:lang w:eastAsia="zh-CN"/>
              </w:rPr>
              <w:t>附</w:t>
            </w:r>
            <w:r>
              <w:rPr>
                <w:rFonts w:hint="eastAsia"/>
                <w:color w:val="auto"/>
                <w:highlight w:val="none"/>
              </w:rPr>
              <w:t>“</w:t>
            </w:r>
            <w:r>
              <w:rPr>
                <w:color w:val="auto"/>
                <w:highlight w:val="none"/>
              </w:rPr>
              <w:t>残疾程度与给付比例表</w:t>
            </w:r>
            <w:r>
              <w:rPr>
                <w:rFonts w:hint="eastAsia"/>
                <w:color w:val="auto"/>
                <w:highlight w:val="none"/>
              </w:rPr>
              <w:t>”</w:t>
            </w:r>
            <w:r>
              <w:rPr>
                <w:color w:val="auto"/>
                <w:highlight w:val="none"/>
              </w:rPr>
              <w:t>所列残疾程度之一者，保险公司按</w:t>
            </w:r>
            <w:r>
              <w:rPr>
                <w:rFonts w:hint="eastAsia"/>
                <w:color w:val="auto"/>
                <w:highlight w:val="none"/>
              </w:rPr>
              <w:t>该表</w:t>
            </w:r>
            <w:r>
              <w:rPr>
                <w:color w:val="auto"/>
                <w:highlight w:val="none"/>
              </w:rPr>
              <w:t>所列比例乘以其意外伤害保险金额给付</w:t>
            </w:r>
            <w:r>
              <w:rPr>
                <w:rFonts w:hint="eastAsia"/>
                <w:color w:val="auto"/>
                <w:highlight w:val="none"/>
              </w:rPr>
              <w:t>“</w:t>
            </w:r>
            <w:r>
              <w:rPr>
                <w:color w:val="auto"/>
                <w:highlight w:val="none"/>
              </w:rPr>
              <w:t>意外伤害残疾保险金</w:t>
            </w:r>
            <w:r>
              <w:rPr>
                <w:rFonts w:hint="eastAsia"/>
                <w:color w:val="auto"/>
                <w:highlight w:val="none"/>
              </w:rPr>
              <w:t>”</w:t>
            </w:r>
            <w:r>
              <w:rPr>
                <w:color w:val="auto"/>
                <w:highlight w:val="none"/>
              </w:rPr>
              <w:t>。如治疗仍未结束的，按第一百八十天的身体情况进行残疾鉴定，并据此给付意外伤害残疾保险金。每一被保险人的意外伤害残疾保险金的累计给付金额以其意外伤害残疾保险金额为限。</w:t>
            </w:r>
          </w:p>
          <w:p w14:paraId="5B3D9B3F">
            <w:pPr>
              <w:pStyle w:val="16"/>
              <w:spacing w:line="360" w:lineRule="auto"/>
              <w:rPr>
                <w:b/>
                <w:bCs/>
                <w:color w:val="auto"/>
                <w:highlight w:val="none"/>
              </w:rPr>
            </w:pPr>
            <w:r>
              <w:rPr>
                <w:b/>
                <w:bCs/>
                <w:color w:val="auto"/>
                <w:highlight w:val="none"/>
              </w:rPr>
              <w:t>4.疾病身故保障金</w:t>
            </w:r>
          </w:p>
          <w:p w14:paraId="462AA657">
            <w:pPr>
              <w:pStyle w:val="16"/>
              <w:spacing w:line="360" w:lineRule="auto"/>
              <w:rPr>
                <w:color w:val="auto"/>
                <w:highlight w:val="none"/>
              </w:rPr>
            </w:pPr>
            <w:r>
              <w:rPr>
                <w:color w:val="auto"/>
                <w:highlight w:val="none"/>
              </w:rPr>
              <w:t>被保险人</w:t>
            </w:r>
            <w:r>
              <w:rPr>
                <w:rFonts w:hint="eastAsia"/>
                <w:color w:val="auto"/>
                <w:highlight w:val="none"/>
              </w:rPr>
              <w:t>因</w:t>
            </w:r>
            <w:r>
              <w:rPr>
                <w:color w:val="auto"/>
                <w:highlight w:val="none"/>
              </w:rPr>
              <w:t>突发性疾病身故或其它疾病身故，保险公司按合同约定赔付保险金，对该被保险人的保险责任终止。</w:t>
            </w:r>
          </w:p>
          <w:p w14:paraId="560CCEF1">
            <w:pPr>
              <w:pStyle w:val="16"/>
              <w:spacing w:line="360" w:lineRule="auto"/>
              <w:rPr>
                <w:b/>
                <w:bCs/>
                <w:color w:val="auto"/>
                <w:highlight w:val="none"/>
              </w:rPr>
            </w:pPr>
            <w:r>
              <w:rPr>
                <w:b/>
                <w:bCs/>
                <w:color w:val="auto"/>
                <w:highlight w:val="none"/>
              </w:rPr>
              <w:t>5.既往疾病身故保障金</w:t>
            </w:r>
          </w:p>
          <w:p w14:paraId="2CC9BF20">
            <w:pPr>
              <w:pStyle w:val="16"/>
              <w:spacing w:line="360" w:lineRule="auto"/>
              <w:rPr>
                <w:rFonts w:hint="eastAsia"/>
                <w:b w:val="0"/>
                <w:bCs w:val="0"/>
                <w:color w:val="auto"/>
                <w:highlight w:val="none"/>
              </w:rPr>
            </w:pPr>
            <w:r>
              <w:rPr>
                <w:b w:val="0"/>
                <w:bCs w:val="0"/>
                <w:color w:val="auto"/>
                <w:highlight w:val="none"/>
              </w:rPr>
              <w:t>被保险人自保险期间开始之日起经过保险合同约定的等待期后（续保不受此限制），因既往病症及其并发症（不含遗传性疾病，先天性畸形、变形或染色体异常）引起的身故</w:t>
            </w:r>
            <w:r>
              <w:rPr>
                <w:rFonts w:hint="eastAsia"/>
                <w:b w:val="0"/>
                <w:bCs w:val="0"/>
                <w:color w:val="auto"/>
                <w:highlight w:val="none"/>
              </w:rPr>
              <w:t>，</w:t>
            </w:r>
            <w:r>
              <w:rPr>
                <w:rFonts w:hint="eastAsia"/>
                <w:b w:val="0"/>
                <w:bCs w:val="0"/>
                <w:color w:val="auto"/>
                <w:highlight w:val="none"/>
                <w:lang w:eastAsia="zh-CN"/>
              </w:rPr>
              <w:t>供应商</w:t>
            </w:r>
            <w:r>
              <w:rPr>
                <w:b w:val="0"/>
                <w:bCs w:val="0"/>
                <w:color w:val="auto"/>
                <w:highlight w:val="none"/>
              </w:rPr>
              <w:t>按合同中疾病身故保障金约定赔付保险金，对该被保险人的保险责任终止。</w:t>
            </w:r>
            <w:r>
              <w:rPr>
                <w:rFonts w:hint="eastAsia"/>
                <w:b w:val="0"/>
                <w:bCs w:val="0"/>
                <w:color w:val="auto"/>
                <w:highlight w:val="none"/>
              </w:rPr>
              <w:t>同时也扩展疾病住院津贴、住院医疗费用既往病责任。</w:t>
            </w:r>
          </w:p>
          <w:p w14:paraId="5E0E42D4">
            <w:pPr>
              <w:pStyle w:val="16"/>
              <w:spacing w:line="360" w:lineRule="auto"/>
              <w:rPr>
                <w:b/>
                <w:bCs/>
                <w:color w:val="auto"/>
                <w:highlight w:val="none"/>
              </w:rPr>
            </w:pPr>
            <w:r>
              <w:rPr>
                <w:b/>
                <w:bCs/>
                <w:color w:val="auto"/>
                <w:highlight w:val="none"/>
              </w:rPr>
              <w:t>6.重大疾病保险金</w:t>
            </w:r>
          </w:p>
          <w:p w14:paraId="42CBE5DE">
            <w:pPr>
              <w:pStyle w:val="16"/>
              <w:spacing w:line="360" w:lineRule="auto"/>
              <w:rPr>
                <w:color w:val="auto"/>
                <w:highlight w:val="none"/>
              </w:rPr>
            </w:pPr>
            <w:r>
              <w:rPr>
                <w:color w:val="auto"/>
                <w:highlight w:val="none"/>
              </w:rPr>
              <w:t>首次投保重大疾病等待期为90天（续保不受此限制）。在保险期间内，被保险人首次确诊为</w:t>
            </w:r>
            <w:r>
              <w:rPr>
                <w:rFonts w:hint="eastAsia"/>
                <w:color w:val="auto"/>
                <w:highlight w:val="none"/>
              </w:rPr>
              <w:t>35</w:t>
            </w:r>
            <w:r>
              <w:rPr>
                <w:color w:val="auto"/>
                <w:highlight w:val="none"/>
              </w:rPr>
              <w:t>种重大疾病的一种或多种，保险公司一次性给付被保险人重大疾病保险金10万元。重大疾病病种名称采用中国保险行业协会</w:t>
            </w:r>
            <w:r>
              <w:rPr>
                <w:rFonts w:hint="eastAsia"/>
                <w:color w:val="auto"/>
                <w:highlight w:val="none"/>
              </w:rPr>
              <w:t>制定的《重大疾病保险的疾病定义使用范围》列明的</w:t>
            </w:r>
            <w:r>
              <w:rPr>
                <w:color w:val="auto"/>
                <w:highlight w:val="none"/>
              </w:rPr>
              <w:t>恶性肿瘤--重度、较重急性心肌梗死、严重脑中风后遗症、重大器官移植术或造血干细胞移植术、冠状动脉搭桥术(或称冠状动脉旁路移植术)、严重慢性肾衰竭、多个肢体缺失、急性重症肝炎或亚急性重症肝炎、严重非恶性颅内肿瘤、严重慢性肝衰竭、严重脑炎后遗症或严重脑膜炎后遗症、深度昏迷、双耳失聪、双目失明、瘫痪、心脏瓣膜手术、严重阿尔茨海默病、严重脑损伤、严重原发性帕金森病、严重</w:t>
            </w:r>
            <w:r>
              <w:rPr>
                <w:rFonts w:hint="eastAsia" w:ascii="宋体" w:hAnsi="宋体" w:cs="宋体"/>
                <w:color w:val="auto"/>
                <w:highlight w:val="none"/>
              </w:rPr>
              <w:t>Ⅲ</w:t>
            </w:r>
            <w:r>
              <w:rPr>
                <w:color w:val="auto"/>
                <w:highlight w:val="none"/>
              </w:rPr>
              <w:t>度烧伤、严重特发性肺动脉高压、严重运动神经元病、语言能力丧失、重型再生障碍性贫血、主动脉手术、严重慢性呼吸衰竭、严重克罗恩病、严重溃疡性结</w:t>
            </w:r>
            <w:r>
              <w:rPr>
                <w:rFonts w:hint="eastAsia"/>
                <w:color w:val="auto"/>
                <w:highlight w:val="none"/>
              </w:rPr>
              <w:t>肠</w:t>
            </w:r>
            <w:r>
              <w:rPr>
                <w:color w:val="auto"/>
                <w:highlight w:val="none"/>
              </w:rPr>
              <w:t>炎</w:t>
            </w:r>
            <w:r>
              <w:rPr>
                <w:rFonts w:hint="eastAsia"/>
                <w:color w:val="auto"/>
                <w:highlight w:val="none"/>
                <w:lang w:eastAsia="zh-CN"/>
              </w:rPr>
              <w:t>等</w:t>
            </w:r>
            <w:r>
              <w:rPr>
                <w:rFonts w:hint="eastAsia"/>
                <w:color w:val="auto"/>
                <w:highlight w:val="none"/>
              </w:rPr>
              <w:t>28种疾病外还包含颅脑手术或破裂脑动脉瘤夹闭手术、严重多发性硬化、系统性红斑狼疮—Ш型或以上狼疮性肾炎、重症肌无力、因职业关系导致的艾滋病毒（HIV）感染、严重肾上腺脑白质营养不良、严重强直性脊柱炎7种重大疾病</w:t>
            </w:r>
            <w:r>
              <w:rPr>
                <w:color w:val="auto"/>
                <w:highlight w:val="none"/>
              </w:rPr>
              <w:t>，</w:t>
            </w:r>
            <w:r>
              <w:rPr>
                <w:rFonts w:hint="eastAsia"/>
                <w:color w:val="auto"/>
                <w:highlight w:val="none"/>
              </w:rPr>
              <w:t>共35种重大疾病。</w:t>
            </w:r>
          </w:p>
          <w:p w14:paraId="708C08C6">
            <w:pPr>
              <w:pStyle w:val="16"/>
              <w:spacing w:line="360" w:lineRule="auto"/>
              <w:rPr>
                <w:b/>
                <w:bCs/>
                <w:color w:val="auto"/>
                <w:highlight w:val="none"/>
              </w:rPr>
            </w:pPr>
            <w:r>
              <w:rPr>
                <w:b/>
                <w:bCs/>
                <w:color w:val="auto"/>
                <w:highlight w:val="none"/>
              </w:rPr>
              <w:t>7.意外或疾病住院日额补贴</w:t>
            </w:r>
          </w:p>
          <w:p w14:paraId="6AA12315">
            <w:pPr>
              <w:pStyle w:val="16"/>
              <w:spacing w:line="360" w:lineRule="auto"/>
              <w:rPr>
                <w:color w:val="auto"/>
                <w:highlight w:val="none"/>
              </w:rPr>
            </w:pPr>
            <w:r>
              <w:rPr>
                <w:color w:val="auto"/>
                <w:highlight w:val="none"/>
              </w:rPr>
              <w:t>被保险人因意外或疾病住院，保险公司按照约定的住院日额补贴100元/天的标准乘以实际住院日数，给予意外或疾病住院日额补助，每次补助天数不高于90天，累计最高给付限额180天。</w:t>
            </w:r>
          </w:p>
          <w:p w14:paraId="72A5B10D">
            <w:pPr>
              <w:pStyle w:val="16"/>
              <w:spacing w:line="360" w:lineRule="auto"/>
              <w:rPr>
                <w:b/>
                <w:bCs/>
                <w:color w:val="auto"/>
                <w:highlight w:val="none"/>
              </w:rPr>
            </w:pPr>
            <w:r>
              <w:rPr>
                <w:b/>
                <w:bCs/>
                <w:color w:val="auto"/>
                <w:highlight w:val="none"/>
              </w:rPr>
              <w:t>8.意外或疾病住院费用补偿医疗保险金</w:t>
            </w:r>
          </w:p>
          <w:p w14:paraId="26077BA6">
            <w:pPr>
              <w:pStyle w:val="16"/>
              <w:spacing w:line="360" w:lineRule="auto"/>
              <w:ind w:firstLine="420" w:firstLineChars="200"/>
              <w:rPr>
                <w:rFonts w:hint="eastAsia" w:ascii="宋体" w:hAnsi="宋体" w:cs="宋体"/>
                <w:b w:val="0"/>
                <w:bCs/>
                <w:color w:val="auto"/>
                <w:highlight w:val="none"/>
              </w:rPr>
            </w:pPr>
            <w:r>
              <w:rPr>
                <w:rFonts w:hint="eastAsia" w:ascii="宋体" w:hAnsi="宋体" w:cs="宋体"/>
                <w:b w:val="0"/>
                <w:bCs/>
                <w:color w:val="auto"/>
                <w:highlight w:val="none"/>
              </w:rPr>
              <w:t>首次投保疾病等待期为30天（续保不受此限制），被保险人因意外或疾病需要治疗且在二级（含）以上公立医院住院治疗（可加上需有治疗住院治疗二级私人医院），</w:t>
            </w:r>
            <w:r>
              <w:rPr>
                <w:rFonts w:hint="eastAsia" w:ascii="宋体" w:hAnsi="宋体" w:cs="宋体"/>
                <w:b w:val="0"/>
                <w:bCs/>
                <w:color w:val="auto"/>
                <w:highlight w:val="none"/>
                <w:lang w:eastAsia="zh-CN"/>
              </w:rPr>
              <w:t>供应商</w:t>
            </w:r>
            <w:r>
              <w:rPr>
                <w:rFonts w:hint="eastAsia" w:ascii="宋体" w:hAnsi="宋体" w:cs="宋体"/>
                <w:b w:val="0"/>
                <w:bCs/>
                <w:color w:val="auto"/>
                <w:highlight w:val="none"/>
              </w:rPr>
              <w:t>按照被保险人实际支出的合理医疗费进行补偿，免赔额0元，给付比例为100%。每人住院费用补偿最高给付限额为3万元。</w:t>
            </w:r>
          </w:p>
          <w:p w14:paraId="37864559">
            <w:pPr>
              <w:pStyle w:val="16"/>
              <w:spacing w:line="360" w:lineRule="auto"/>
              <w:ind w:firstLine="422" w:firstLineChars="200"/>
              <w:rPr>
                <w:b/>
                <w:bCs/>
                <w:color w:val="auto"/>
                <w:highlight w:val="none"/>
              </w:rPr>
            </w:pPr>
            <w:r>
              <w:rPr>
                <w:rFonts w:hint="eastAsia" w:ascii="宋体" w:hAnsi="宋体" w:cs="宋体"/>
                <w:b/>
                <w:color w:val="auto"/>
                <w:highlight w:val="none"/>
              </w:rPr>
              <w:t>(二)</w:t>
            </w:r>
            <w:r>
              <w:rPr>
                <w:b/>
                <w:color w:val="auto"/>
                <w:highlight w:val="none"/>
              </w:rPr>
              <w:t>承保对象2：公安民警、干部、事业编制工作人员直系亲属</w:t>
            </w:r>
          </w:p>
          <w:p w14:paraId="2152BD5B">
            <w:pPr>
              <w:pStyle w:val="16"/>
              <w:spacing w:line="360" w:lineRule="auto"/>
              <w:ind w:firstLine="422" w:firstLineChars="200"/>
              <w:rPr>
                <w:b/>
                <w:color w:val="auto"/>
                <w:highlight w:val="none"/>
              </w:rPr>
            </w:pPr>
            <w:r>
              <w:rPr>
                <w:b/>
                <w:color w:val="auto"/>
                <w:highlight w:val="none"/>
              </w:rPr>
              <w:t>1.意外伤害保险金</w:t>
            </w:r>
          </w:p>
          <w:p w14:paraId="5EA77DD9">
            <w:pPr>
              <w:pStyle w:val="16"/>
              <w:spacing w:line="360" w:lineRule="auto"/>
              <w:rPr>
                <w:color w:val="auto"/>
                <w:highlight w:val="none"/>
              </w:rPr>
            </w:pPr>
            <w:r>
              <w:rPr>
                <w:color w:val="auto"/>
                <w:highlight w:val="none"/>
              </w:rPr>
              <w:t>被保险人遭受意外伤害，并自事故发生之日起一百八十日内因该事故身故，保险公司按其意外伤害保险金额扣除已给付的残疾保险金后给付</w:t>
            </w:r>
            <w:r>
              <w:rPr>
                <w:rFonts w:hint="eastAsia"/>
                <w:color w:val="auto"/>
                <w:highlight w:val="none"/>
              </w:rPr>
              <w:t>“</w:t>
            </w:r>
            <w:r>
              <w:rPr>
                <w:color w:val="auto"/>
                <w:highlight w:val="none"/>
              </w:rPr>
              <w:t>意外伤害身故保险金</w:t>
            </w:r>
            <w:r>
              <w:rPr>
                <w:rFonts w:hint="eastAsia"/>
                <w:color w:val="auto"/>
                <w:highlight w:val="none"/>
              </w:rPr>
              <w:t>”</w:t>
            </w:r>
            <w:r>
              <w:rPr>
                <w:color w:val="auto"/>
                <w:highlight w:val="none"/>
              </w:rPr>
              <w:t>，对该被保险人的保险责任终止。每一被保险人的意外伤害身故保险金的给付金额以其意外伤害身故保险金额为限。</w:t>
            </w:r>
          </w:p>
          <w:p w14:paraId="1160B77E">
            <w:pPr>
              <w:pStyle w:val="16"/>
              <w:spacing w:line="360" w:lineRule="auto"/>
              <w:rPr>
                <w:color w:val="auto"/>
                <w:highlight w:val="none"/>
              </w:rPr>
            </w:pPr>
            <w:r>
              <w:rPr>
                <w:color w:val="auto"/>
                <w:highlight w:val="none"/>
              </w:rPr>
              <w:t>普通意外身故的保险金额为10万元，因犯罪分子报复导致的身故保险金为20万元。</w:t>
            </w:r>
          </w:p>
          <w:p w14:paraId="7F66ABB3">
            <w:pPr>
              <w:pStyle w:val="16"/>
              <w:spacing w:line="360" w:lineRule="auto"/>
              <w:rPr>
                <w:b/>
                <w:color w:val="auto"/>
                <w:highlight w:val="none"/>
              </w:rPr>
            </w:pPr>
            <w:r>
              <w:rPr>
                <w:b/>
                <w:color w:val="auto"/>
                <w:highlight w:val="none"/>
              </w:rPr>
              <w:t>2.伤残保险金</w:t>
            </w:r>
          </w:p>
          <w:p w14:paraId="2783AA60">
            <w:pPr>
              <w:pStyle w:val="16"/>
              <w:spacing w:line="360" w:lineRule="auto"/>
              <w:rPr>
                <w:color w:val="auto"/>
                <w:highlight w:val="none"/>
              </w:rPr>
            </w:pPr>
            <w:r>
              <w:rPr>
                <w:color w:val="auto"/>
                <w:highlight w:val="none"/>
              </w:rPr>
              <w:t>被保险人遭受意外伤害事故，并自事故发生之日起一百八十日内因该事故造成保险合同所</w:t>
            </w:r>
            <w:r>
              <w:rPr>
                <w:rFonts w:hint="eastAsia"/>
                <w:color w:val="auto"/>
                <w:highlight w:val="none"/>
                <w:lang w:eastAsia="zh-CN"/>
              </w:rPr>
              <w:t>附</w:t>
            </w:r>
            <w:r>
              <w:rPr>
                <w:rFonts w:hint="eastAsia"/>
                <w:color w:val="auto"/>
                <w:highlight w:val="none"/>
              </w:rPr>
              <w:t>“</w:t>
            </w:r>
            <w:r>
              <w:rPr>
                <w:color w:val="auto"/>
                <w:highlight w:val="none"/>
              </w:rPr>
              <w:t>残疾程度与给付比例表</w:t>
            </w:r>
            <w:r>
              <w:rPr>
                <w:rFonts w:hint="eastAsia"/>
                <w:color w:val="auto"/>
                <w:highlight w:val="none"/>
              </w:rPr>
              <w:t>”</w:t>
            </w:r>
            <w:r>
              <w:rPr>
                <w:color w:val="auto"/>
                <w:highlight w:val="none"/>
              </w:rPr>
              <w:t>所列残疾程度之一者，保险公司按该表所列比例乘以其意外伤害保险金额给付</w:t>
            </w:r>
            <w:r>
              <w:rPr>
                <w:rFonts w:hint="eastAsia"/>
                <w:color w:val="auto"/>
                <w:highlight w:val="none"/>
              </w:rPr>
              <w:t>“</w:t>
            </w:r>
            <w:r>
              <w:rPr>
                <w:color w:val="auto"/>
                <w:highlight w:val="none"/>
              </w:rPr>
              <w:t>意外伤害残疾保险金</w:t>
            </w:r>
            <w:r>
              <w:rPr>
                <w:rFonts w:hint="eastAsia"/>
                <w:color w:val="auto"/>
                <w:highlight w:val="none"/>
              </w:rPr>
              <w:t>”</w:t>
            </w:r>
            <w:r>
              <w:rPr>
                <w:color w:val="auto"/>
                <w:highlight w:val="none"/>
              </w:rPr>
              <w:t>。如治疗仍未结束的，按第一百八十天的身体情况进行残疾鉴定，并据此给付意外伤害残疾保险金。每一被保险人的意外伤害残疾保险金的累计给付金额以其意外伤害残疾保险金额为限。</w:t>
            </w:r>
          </w:p>
          <w:p w14:paraId="3F64722E">
            <w:pPr>
              <w:pStyle w:val="16"/>
              <w:spacing w:line="360" w:lineRule="auto"/>
              <w:rPr>
                <w:color w:val="auto"/>
                <w:highlight w:val="none"/>
              </w:rPr>
            </w:pPr>
            <w:r>
              <w:rPr>
                <w:color w:val="auto"/>
                <w:highlight w:val="none"/>
              </w:rPr>
              <w:t>普通意外导致的残疾的最高保险金额为10万元，因犯罪分子报复导致的残疾保险金最高为20万元。</w:t>
            </w:r>
          </w:p>
          <w:p w14:paraId="366ECE71">
            <w:pPr>
              <w:pStyle w:val="16"/>
              <w:spacing w:line="360" w:lineRule="auto"/>
              <w:rPr>
                <w:b/>
                <w:color w:val="auto"/>
                <w:highlight w:val="none"/>
              </w:rPr>
            </w:pPr>
            <w:r>
              <w:rPr>
                <w:b/>
                <w:color w:val="auto"/>
                <w:highlight w:val="none"/>
              </w:rPr>
              <w:t>3.医疗费保障金</w:t>
            </w:r>
          </w:p>
          <w:p w14:paraId="50863F68">
            <w:pPr>
              <w:pStyle w:val="16"/>
              <w:spacing w:line="360" w:lineRule="auto"/>
              <w:rPr>
                <w:color w:val="auto"/>
                <w:highlight w:val="none"/>
              </w:rPr>
            </w:pPr>
            <w:r>
              <w:rPr>
                <w:color w:val="auto"/>
                <w:highlight w:val="none"/>
              </w:rPr>
              <w:t>被保险人因犯罪分子报复导致的受伤产生的医疗费要治疗且在二级（含）以上公立医院住院治疗；保险公司按照被保险人实际支出的合理医疗费进行全额补偿，每人医疗费用补偿最高给付限额为10万元。</w:t>
            </w:r>
          </w:p>
          <w:p w14:paraId="67D9CBF4">
            <w:pPr>
              <w:pStyle w:val="16"/>
              <w:spacing w:line="360" w:lineRule="auto"/>
              <w:ind w:firstLine="422" w:firstLineChars="200"/>
              <w:rPr>
                <w:rFonts w:hint="eastAsia"/>
                <w:b/>
                <w:color w:val="auto"/>
                <w:highlight w:val="none"/>
              </w:rPr>
            </w:pPr>
            <w:r>
              <w:rPr>
                <w:rFonts w:hint="eastAsia"/>
                <w:b/>
                <w:color w:val="auto"/>
                <w:highlight w:val="none"/>
              </w:rPr>
              <w:t>六、追溯期特别约定：</w:t>
            </w:r>
          </w:p>
          <w:p w14:paraId="1DC5038B">
            <w:pPr>
              <w:spacing w:line="360" w:lineRule="auto"/>
              <w:ind w:firstLine="420" w:firstLineChars="200"/>
              <w:rPr>
                <w:rFonts w:hint="eastAsia"/>
                <w:color w:val="auto"/>
                <w:szCs w:val="20"/>
                <w:highlight w:val="none"/>
              </w:rPr>
            </w:pPr>
            <w:r>
              <w:rPr>
                <w:rFonts w:hint="eastAsia"/>
                <w:color w:val="auto"/>
                <w:szCs w:val="20"/>
                <w:highlight w:val="none"/>
              </w:rPr>
              <w:t>本项目的保险合同效力追溯期为2年，即被保险人在承保时间内发生的保险事故，在合同期满2年内可向保险公司申请理赔，保险公司要给予赔偿。</w:t>
            </w:r>
          </w:p>
          <w:p w14:paraId="72D2C756">
            <w:pPr>
              <w:spacing w:line="360" w:lineRule="auto"/>
              <w:ind w:firstLine="422" w:firstLineChars="200"/>
              <w:rPr>
                <w:rFonts w:hint="eastAsia" w:ascii="Calibri" w:hAnsi="Calibri"/>
                <w:bCs/>
                <w:color w:val="auto"/>
                <w:szCs w:val="20"/>
                <w:highlight w:val="none"/>
              </w:rPr>
            </w:pPr>
            <w:r>
              <w:rPr>
                <w:rFonts w:hint="eastAsia"/>
                <w:b/>
                <w:color w:val="auto"/>
                <w:highlight w:val="none"/>
              </w:rPr>
              <w:t>七、其他说明：</w:t>
            </w:r>
            <w:r>
              <w:rPr>
                <w:rFonts w:hint="eastAsia" w:ascii="Calibri" w:hAnsi="Calibri"/>
                <w:bCs/>
                <w:color w:val="auto"/>
                <w:szCs w:val="20"/>
                <w:highlight w:val="none"/>
              </w:rPr>
              <w:t>为进一步加大对民警执法及直系亲属权益的保护力度，第二大点中的保险对象（二）作为保险对象（一）的</w:t>
            </w:r>
            <w:r>
              <w:rPr>
                <w:rFonts w:hint="eastAsia" w:ascii="Calibri" w:hAnsi="Calibri"/>
                <w:bCs/>
                <w:color w:val="auto"/>
                <w:szCs w:val="20"/>
                <w:highlight w:val="none"/>
                <w:lang w:eastAsia="zh-CN"/>
              </w:rPr>
              <w:t>附带保障对象</w:t>
            </w:r>
            <w:r>
              <w:rPr>
                <w:rFonts w:hint="eastAsia" w:ascii="Calibri" w:hAnsi="Calibri"/>
                <w:bCs/>
                <w:color w:val="auto"/>
                <w:szCs w:val="20"/>
                <w:highlight w:val="none"/>
              </w:rPr>
              <w:t>，</w:t>
            </w:r>
            <w:r>
              <w:rPr>
                <w:rFonts w:hint="eastAsia" w:ascii="Calibri" w:hAnsi="Calibri"/>
                <w:bCs/>
                <w:color w:val="auto"/>
                <w:szCs w:val="20"/>
                <w:highlight w:val="none"/>
                <w:lang w:eastAsia="zh-CN"/>
              </w:rPr>
              <w:t>保险费一并计入磋商报价</w:t>
            </w:r>
            <w:r>
              <w:rPr>
                <w:rFonts w:hint="eastAsia" w:ascii="Calibri" w:hAnsi="Calibri"/>
                <w:bCs/>
                <w:color w:val="auto"/>
                <w:szCs w:val="20"/>
                <w:highlight w:val="none"/>
              </w:rPr>
              <w:t>。</w:t>
            </w:r>
          </w:p>
        </w:tc>
      </w:tr>
      <w:tr w14:paraId="2ADA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251" w:type="dxa"/>
            <w:gridSpan w:val="5"/>
            <w:tcBorders>
              <w:top w:val="single" w:color="auto" w:sz="4" w:space="0"/>
              <w:left w:val="single" w:color="auto" w:sz="4" w:space="0"/>
              <w:bottom w:val="single" w:color="auto" w:sz="4" w:space="0"/>
              <w:right w:val="single" w:color="auto" w:sz="4" w:space="0"/>
            </w:tcBorders>
            <w:vAlign w:val="center"/>
          </w:tcPr>
          <w:p w14:paraId="6510438D">
            <w:pPr>
              <w:spacing w:line="360" w:lineRule="auto"/>
              <w:jc w:val="left"/>
              <w:rPr>
                <w:rFonts w:hint="eastAsia" w:ascii="宋体" w:hAnsi="宋体" w:cs="Arial"/>
                <w:b/>
                <w:bCs/>
                <w:iCs/>
                <w:color w:val="auto"/>
                <w:szCs w:val="21"/>
                <w:highlight w:val="none"/>
              </w:rPr>
            </w:pPr>
            <w:r>
              <w:rPr>
                <w:rFonts w:hint="eastAsia" w:ascii="宋体" w:hAnsi="宋体" w:cs="Arial"/>
                <w:b/>
                <w:bCs/>
                <w:iCs/>
                <w:color w:val="auto"/>
                <w:szCs w:val="21"/>
                <w:highlight w:val="none"/>
              </w:rPr>
              <w:t>▲二、商务要求</w:t>
            </w:r>
          </w:p>
        </w:tc>
      </w:tr>
      <w:tr w14:paraId="1CED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tcBorders>
              <w:top w:val="single" w:color="auto" w:sz="4" w:space="0"/>
              <w:left w:val="single" w:color="auto" w:sz="4" w:space="0"/>
              <w:bottom w:val="single" w:color="auto" w:sz="4" w:space="0"/>
              <w:right w:val="single" w:color="auto" w:sz="4" w:space="0"/>
            </w:tcBorders>
            <w:vAlign w:val="center"/>
          </w:tcPr>
          <w:p w14:paraId="4F6E45D5">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w:t>
            </w:r>
          </w:p>
        </w:tc>
        <w:tc>
          <w:tcPr>
            <w:tcW w:w="6369" w:type="dxa"/>
            <w:tcBorders>
              <w:top w:val="single" w:color="auto" w:sz="4" w:space="0"/>
              <w:left w:val="single" w:color="auto" w:sz="4" w:space="0"/>
              <w:bottom w:val="single" w:color="auto" w:sz="4" w:space="0"/>
              <w:right w:val="single" w:color="auto" w:sz="4" w:space="0"/>
            </w:tcBorders>
            <w:vAlign w:val="center"/>
          </w:tcPr>
          <w:p w14:paraId="37EEC5EC">
            <w:pPr>
              <w:spacing w:line="360" w:lineRule="auto"/>
              <w:jc w:val="left"/>
              <w:rPr>
                <w:rFonts w:hint="eastAsia" w:ascii="宋体" w:hAnsi="宋体" w:cs="Arial"/>
                <w:bCs/>
                <w:iCs/>
                <w:color w:val="auto"/>
                <w:szCs w:val="21"/>
                <w:highlight w:val="none"/>
              </w:rPr>
            </w:pPr>
            <w:r>
              <w:rPr>
                <w:rFonts w:hint="eastAsia" w:ascii="宋体" w:hAnsi="宋体" w:cs="Arial"/>
                <w:bCs/>
                <w:iCs/>
                <w:color w:val="auto"/>
                <w:szCs w:val="21"/>
                <w:highlight w:val="none"/>
              </w:rPr>
              <w:t>1.自成交通知书发出之日起2</w:t>
            </w:r>
            <w:r>
              <w:rPr>
                <w:rFonts w:ascii="宋体" w:hAnsi="宋体" w:cs="Arial"/>
                <w:bCs/>
                <w:iCs/>
                <w:color w:val="auto"/>
                <w:szCs w:val="21"/>
                <w:highlight w:val="none"/>
              </w:rPr>
              <w:t>5</w:t>
            </w:r>
            <w:r>
              <w:rPr>
                <w:rFonts w:hint="eastAsia" w:ascii="宋体" w:hAnsi="宋体" w:cs="Arial"/>
                <w:bCs/>
                <w:iCs/>
                <w:color w:val="auto"/>
                <w:szCs w:val="21"/>
                <w:highlight w:val="none"/>
              </w:rPr>
              <w:t>日内。</w:t>
            </w:r>
          </w:p>
          <w:p w14:paraId="1FA45A14">
            <w:pPr>
              <w:pStyle w:val="16"/>
              <w:ind w:firstLine="0"/>
              <w:rPr>
                <w:rFonts w:hint="eastAsia"/>
                <w:color w:val="auto"/>
                <w:highlight w:val="none"/>
              </w:rPr>
            </w:pPr>
            <w:r>
              <w:rPr>
                <w:rFonts w:hint="eastAsia"/>
                <w:color w:val="auto"/>
                <w:highlight w:val="none"/>
              </w:rPr>
              <w:t>2.</w:t>
            </w:r>
            <w:r>
              <w:rPr>
                <w:rFonts w:hint="eastAsia"/>
                <w:bCs/>
                <w:iCs/>
                <w:color w:val="auto"/>
                <w:highlight w:val="none"/>
              </w:rPr>
              <w:t>保单在收到保费后二个工作日内送交采购人。</w:t>
            </w:r>
          </w:p>
        </w:tc>
      </w:tr>
      <w:tr w14:paraId="4A48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tcBorders>
              <w:top w:val="single" w:color="auto" w:sz="4" w:space="0"/>
              <w:left w:val="single" w:color="auto" w:sz="4" w:space="0"/>
              <w:bottom w:val="single" w:color="auto" w:sz="4" w:space="0"/>
              <w:right w:val="single" w:color="auto" w:sz="4" w:space="0"/>
            </w:tcBorders>
            <w:vAlign w:val="center"/>
          </w:tcPr>
          <w:p w14:paraId="40D60F51">
            <w:pPr>
              <w:tabs>
                <w:tab w:val="left" w:pos="180"/>
                <w:tab w:val="left" w:pos="1620"/>
              </w:tabs>
              <w:spacing w:line="360" w:lineRule="auto"/>
              <w:jc w:val="center"/>
              <w:rPr>
                <w:rFonts w:hint="eastAsia" w:ascii="宋体" w:hAnsi="宋体"/>
                <w:bCs/>
                <w:iCs/>
                <w:color w:val="auto"/>
                <w:szCs w:val="21"/>
                <w:highlight w:val="none"/>
              </w:rPr>
            </w:pPr>
            <w:r>
              <w:rPr>
                <w:rFonts w:hint="eastAsia" w:ascii="宋体" w:hAnsi="宋体"/>
                <w:bCs/>
                <w:iCs/>
                <w:color w:val="auto"/>
                <w:szCs w:val="21"/>
                <w:highlight w:val="none"/>
              </w:rPr>
              <w:t>磋商报价</w:t>
            </w:r>
          </w:p>
        </w:tc>
        <w:tc>
          <w:tcPr>
            <w:tcW w:w="6369" w:type="dxa"/>
            <w:tcBorders>
              <w:top w:val="single" w:color="auto" w:sz="4" w:space="0"/>
              <w:left w:val="single" w:color="auto" w:sz="4" w:space="0"/>
              <w:bottom w:val="single" w:color="auto" w:sz="4" w:space="0"/>
              <w:right w:val="single" w:color="auto" w:sz="4" w:space="0"/>
            </w:tcBorders>
            <w:vAlign w:val="center"/>
          </w:tcPr>
          <w:p w14:paraId="603CF73E">
            <w:pPr>
              <w:pStyle w:val="16"/>
              <w:spacing w:line="360" w:lineRule="auto"/>
              <w:ind w:firstLine="0"/>
              <w:rPr>
                <w:rFonts w:hint="eastAsia" w:ascii="宋体" w:hAnsi="宋体"/>
                <w:bCs/>
                <w:color w:val="auto"/>
                <w:szCs w:val="21"/>
                <w:highlight w:val="none"/>
              </w:rPr>
            </w:pPr>
            <w:r>
              <w:rPr>
                <w:rFonts w:hint="eastAsia" w:ascii="宋体" w:hAnsi="宋体"/>
                <w:bCs/>
                <w:color w:val="auto"/>
                <w:szCs w:val="21"/>
                <w:highlight w:val="none"/>
              </w:rPr>
              <w:t>磋商报价必须包括保险费用、利润、税费等相关文件规定及合同包含的所有风险、责任等各项应有费用。在合同实施时，采购人将不予支付成交供应商没有列入的项目费用，并认为此项目的费用已包括在总报价中。</w:t>
            </w:r>
          </w:p>
        </w:tc>
      </w:tr>
      <w:tr w14:paraId="2963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tcBorders>
              <w:top w:val="single" w:color="auto" w:sz="4" w:space="0"/>
              <w:left w:val="single" w:color="auto" w:sz="4" w:space="0"/>
              <w:bottom w:val="single" w:color="auto" w:sz="4" w:space="0"/>
              <w:right w:val="single" w:color="auto" w:sz="4" w:space="0"/>
            </w:tcBorders>
            <w:vAlign w:val="center"/>
          </w:tcPr>
          <w:p w14:paraId="0B19D327">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结算及付款</w:t>
            </w:r>
          </w:p>
        </w:tc>
        <w:tc>
          <w:tcPr>
            <w:tcW w:w="6369" w:type="dxa"/>
            <w:tcBorders>
              <w:top w:val="single" w:color="auto" w:sz="4" w:space="0"/>
              <w:left w:val="single" w:color="auto" w:sz="4" w:space="0"/>
              <w:bottom w:val="single" w:color="auto" w:sz="4" w:space="0"/>
              <w:right w:val="single" w:color="auto" w:sz="4" w:space="0"/>
            </w:tcBorders>
            <w:vAlign w:val="center"/>
          </w:tcPr>
          <w:p w14:paraId="617F526A">
            <w:pPr>
              <w:spacing w:line="360" w:lineRule="auto"/>
              <w:rPr>
                <w:rFonts w:hint="eastAsia" w:ascii="宋体" w:hAnsi="宋体"/>
                <w:color w:val="auto"/>
                <w:szCs w:val="21"/>
                <w:highlight w:val="none"/>
              </w:rPr>
            </w:pPr>
            <w:r>
              <w:rPr>
                <w:rFonts w:hint="eastAsia" w:ascii="宋体" w:hAnsi="宋体"/>
                <w:color w:val="auto"/>
                <w:szCs w:val="21"/>
                <w:highlight w:val="none"/>
              </w:rPr>
              <w:t>合同签订后，</w:t>
            </w:r>
            <w:r>
              <w:rPr>
                <w:rFonts w:hint="eastAsia"/>
                <w:bCs/>
                <w:color w:val="auto"/>
                <w:szCs w:val="20"/>
                <w:highlight w:val="none"/>
              </w:rPr>
              <w:t>在财政资金下达采购人账户后且具备支付条件之日起10个工作日内一次性支付保费。</w:t>
            </w:r>
          </w:p>
        </w:tc>
      </w:tr>
      <w:tr w14:paraId="1EE6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tcBorders>
              <w:top w:val="single" w:color="auto" w:sz="4" w:space="0"/>
              <w:left w:val="single" w:color="auto" w:sz="4" w:space="0"/>
              <w:bottom w:val="single" w:color="auto" w:sz="4" w:space="0"/>
              <w:right w:val="single" w:color="auto" w:sz="4" w:space="0"/>
            </w:tcBorders>
            <w:vAlign w:val="center"/>
          </w:tcPr>
          <w:p w14:paraId="59B75ABE">
            <w:pPr>
              <w:spacing w:line="360" w:lineRule="auto"/>
              <w:jc w:val="center"/>
              <w:rPr>
                <w:rFonts w:hint="eastAsia" w:ascii="宋体" w:hAnsi="宋体"/>
                <w:b/>
                <w:color w:val="auto"/>
                <w:szCs w:val="21"/>
                <w:highlight w:val="none"/>
              </w:rPr>
            </w:pPr>
            <w:r>
              <w:rPr>
                <w:rFonts w:hint="eastAsia" w:ascii="宋体" w:hAnsi="宋体"/>
                <w:color w:val="auto"/>
                <w:szCs w:val="21"/>
                <w:highlight w:val="none"/>
              </w:rPr>
              <w:t>赔付管理要求</w:t>
            </w:r>
          </w:p>
        </w:tc>
        <w:tc>
          <w:tcPr>
            <w:tcW w:w="6369" w:type="dxa"/>
            <w:tcBorders>
              <w:top w:val="single" w:color="auto" w:sz="4" w:space="0"/>
              <w:left w:val="single" w:color="auto" w:sz="4" w:space="0"/>
              <w:bottom w:val="single" w:color="auto" w:sz="4" w:space="0"/>
              <w:right w:val="single" w:color="auto" w:sz="4" w:space="0"/>
            </w:tcBorders>
            <w:vAlign w:val="center"/>
          </w:tcPr>
          <w:p w14:paraId="3F0D717F">
            <w:pPr>
              <w:pStyle w:val="16"/>
              <w:spacing w:line="360" w:lineRule="auto"/>
              <w:ind w:firstLine="0"/>
              <w:rPr>
                <w:rFonts w:hint="eastAsia"/>
                <w:color w:val="auto"/>
                <w:highlight w:val="none"/>
              </w:rPr>
            </w:pPr>
            <w:r>
              <w:rPr>
                <w:rFonts w:hint="eastAsia"/>
                <w:color w:val="auto"/>
                <w:highlight w:val="none"/>
              </w:rPr>
              <w:t>1.发生理赔时，被保险人通过保险公司服务电话报案，保险公司收到索赔材料齐全后，赔款金额在5万元以下的（不含），在10个工作日内赔付完；赔款金额在5万元以上的（含），在15个工作日内赔付完；如情形复杂无法确定是否属于保险责任的，应当在20个工作日内作出核定告知采购人及被保险人或者受益人。</w:t>
            </w:r>
          </w:p>
          <w:p w14:paraId="2A3E144D">
            <w:pPr>
              <w:pStyle w:val="16"/>
              <w:spacing w:line="360" w:lineRule="auto"/>
              <w:ind w:firstLine="0"/>
              <w:rPr>
                <w:rFonts w:hint="eastAsia" w:ascii="宋体" w:hAnsi="宋体"/>
                <w:color w:val="auto"/>
                <w:szCs w:val="21"/>
                <w:highlight w:val="none"/>
              </w:rPr>
            </w:pPr>
            <w:r>
              <w:rPr>
                <w:rFonts w:hint="eastAsia" w:ascii="宋体" w:hAnsi="宋体"/>
                <w:color w:val="auto"/>
                <w:szCs w:val="21"/>
                <w:highlight w:val="none"/>
              </w:rPr>
              <w:t>2.对理赔案件，保险公司要开通快捷方便的绿色通道，做到意外伤害赔付“立等可取”、意外死亡赔付快速兑现、特殊情况上门赔付等。对于在理赔过程中出现的问题，保险公司要在</w:t>
            </w:r>
            <w:r>
              <w:rPr>
                <w:rFonts w:hint="eastAsia" w:ascii="宋体" w:hAnsi="宋体"/>
                <w:color w:val="auto"/>
                <w:szCs w:val="21"/>
                <w:highlight w:val="none"/>
                <w:lang w:val="en-US" w:eastAsia="zh-CN"/>
              </w:rPr>
              <w:t>3个工作日</w:t>
            </w:r>
            <w:r>
              <w:rPr>
                <w:rFonts w:hint="eastAsia" w:ascii="宋体" w:hAnsi="宋体"/>
                <w:color w:val="auto"/>
                <w:szCs w:val="21"/>
                <w:highlight w:val="none"/>
              </w:rPr>
              <w:t>内报采购人，双方进行有效沟通并对问题进行有效解决，全力做好理赔的管控工作。</w:t>
            </w:r>
          </w:p>
          <w:p w14:paraId="29875BA7">
            <w:pPr>
              <w:pStyle w:val="16"/>
              <w:spacing w:line="360" w:lineRule="auto"/>
              <w:ind w:firstLine="0"/>
              <w:rPr>
                <w:rFonts w:hint="eastAsia"/>
                <w:color w:val="auto"/>
                <w:highlight w:val="none"/>
              </w:rPr>
            </w:pPr>
            <w:r>
              <w:rPr>
                <w:rFonts w:hint="eastAsia" w:ascii="宋体" w:hAnsi="宋体"/>
                <w:color w:val="auto"/>
                <w:szCs w:val="21"/>
                <w:highlight w:val="none"/>
              </w:rPr>
              <w:t>3.处理问题响应时间：接到被保险人报案通知后2小时内到达现场进行处理，到达现场后2小时内解决问题。</w:t>
            </w:r>
          </w:p>
        </w:tc>
      </w:tr>
      <w:tr w14:paraId="4CBD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882" w:type="dxa"/>
            <w:gridSpan w:val="4"/>
            <w:tcBorders>
              <w:top w:val="single" w:color="auto" w:sz="4" w:space="0"/>
              <w:left w:val="single" w:color="auto" w:sz="4" w:space="0"/>
              <w:bottom w:val="single" w:color="auto" w:sz="4" w:space="0"/>
              <w:right w:val="single" w:color="auto" w:sz="4" w:space="0"/>
            </w:tcBorders>
            <w:vAlign w:val="center"/>
          </w:tcPr>
          <w:p w14:paraId="44F973B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验收标准</w:t>
            </w:r>
          </w:p>
        </w:tc>
        <w:tc>
          <w:tcPr>
            <w:tcW w:w="6369" w:type="dxa"/>
            <w:tcBorders>
              <w:top w:val="single" w:color="auto" w:sz="4" w:space="0"/>
              <w:left w:val="single" w:color="auto" w:sz="4" w:space="0"/>
              <w:bottom w:val="single" w:color="auto" w:sz="4" w:space="0"/>
              <w:right w:val="single" w:color="auto" w:sz="4" w:space="0"/>
            </w:tcBorders>
            <w:vAlign w:val="center"/>
          </w:tcPr>
          <w:p w14:paraId="216C579C">
            <w:pPr>
              <w:spacing w:line="320" w:lineRule="exact"/>
              <w:jc w:val="left"/>
              <w:rPr>
                <w:rFonts w:hint="eastAsia" w:ascii="宋体" w:hAnsi="宋体" w:cs="Arial"/>
                <w:color w:val="auto"/>
                <w:szCs w:val="21"/>
                <w:highlight w:val="none"/>
              </w:rPr>
            </w:pPr>
            <w:r>
              <w:rPr>
                <w:rFonts w:hint="eastAsia" w:ascii="宋体" w:hAnsi="宋体" w:cs="Arial"/>
                <w:bCs/>
                <w:iCs/>
                <w:color w:val="auto"/>
                <w:szCs w:val="21"/>
                <w:highlight w:val="none"/>
              </w:rPr>
              <w:t>按国家及行业相关标准执行。</w:t>
            </w:r>
          </w:p>
        </w:tc>
      </w:tr>
      <w:tr w14:paraId="0E31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882" w:type="dxa"/>
            <w:gridSpan w:val="4"/>
            <w:tcBorders>
              <w:top w:val="single" w:color="auto" w:sz="4" w:space="0"/>
              <w:left w:val="single" w:color="auto" w:sz="4" w:space="0"/>
              <w:bottom w:val="single" w:color="auto" w:sz="4" w:space="0"/>
              <w:right w:val="single" w:color="auto" w:sz="4" w:space="0"/>
            </w:tcBorders>
            <w:vAlign w:val="center"/>
          </w:tcPr>
          <w:p w14:paraId="6AFF53F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保密承诺</w:t>
            </w:r>
          </w:p>
        </w:tc>
        <w:tc>
          <w:tcPr>
            <w:tcW w:w="6369" w:type="dxa"/>
            <w:tcBorders>
              <w:top w:val="single" w:color="auto" w:sz="4" w:space="0"/>
              <w:left w:val="single" w:color="auto" w:sz="4" w:space="0"/>
              <w:bottom w:val="single" w:color="auto" w:sz="4" w:space="0"/>
              <w:right w:val="single" w:color="auto" w:sz="4" w:space="0"/>
            </w:tcBorders>
            <w:vAlign w:val="center"/>
          </w:tcPr>
          <w:p w14:paraId="5AB39ADF">
            <w:pPr>
              <w:spacing w:line="320" w:lineRule="exact"/>
              <w:jc w:val="left"/>
              <w:rPr>
                <w:rFonts w:hint="eastAsia" w:ascii="宋体" w:hAnsi="宋体" w:cs="Arial"/>
                <w:bCs/>
                <w:iCs/>
                <w:color w:val="auto"/>
                <w:szCs w:val="21"/>
                <w:highlight w:val="none"/>
              </w:rPr>
            </w:pPr>
            <w:r>
              <w:rPr>
                <w:rFonts w:hint="eastAsia" w:ascii="宋体" w:hAnsi="宋体" w:cs="宋体"/>
                <w:color w:val="auto"/>
                <w:szCs w:val="21"/>
                <w:highlight w:val="none"/>
              </w:rPr>
              <w:t>保险公司须承诺在没有采购人事先书面同意，不得将由采购人提供的有关与本项目合同或者任何合同条文或者资料提供给与履行本项目合同无关的任何其他人。即使向履行本项目合同有关的人员提供，也要注意保密并限于履行本项目合同的必需范围。保险公司的保密义务持续有效，不因为本项目合同履行终止、解除或者无效而解除。</w:t>
            </w:r>
          </w:p>
        </w:tc>
      </w:tr>
      <w:tr w14:paraId="4FA6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882" w:type="dxa"/>
            <w:gridSpan w:val="4"/>
            <w:tcBorders>
              <w:top w:val="single" w:color="auto" w:sz="4" w:space="0"/>
              <w:left w:val="single" w:color="auto" w:sz="4" w:space="0"/>
              <w:bottom w:val="single" w:color="auto" w:sz="4" w:space="0"/>
              <w:right w:val="single" w:color="auto" w:sz="4" w:space="0"/>
            </w:tcBorders>
            <w:vAlign w:val="center"/>
          </w:tcPr>
          <w:p w14:paraId="30E59EB4">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三、其他要求</w:t>
            </w:r>
          </w:p>
        </w:tc>
        <w:tc>
          <w:tcPr>
            <w:tcW w:w="6369" w:type="dxa"/>
            <w:tcBorders>
              <w:top w:val="single" w:color="auto" w:sz="4" w:space="0"/>
              <w:left w:val="single" w:color="auto" w:sz="4" w:space="0"/>
              <w:bottom w:val="single" w:color="auto" w:sz="4" w:space="0"/>
              <w:right w:val="single" w:color="auto" w:sz="4" w:space="0"/>
            </w:tcBorders>
            <w:vAlign w:val="center"/>
          </w:tcPr>
          <w:p w14:paraId="74951A5F">
            <w:pPr>
              <w:spacing w:line="360" w:lineRule="auto"/>
              <w:jc w:val="left"/>
              <w:rPr>
                <w:rFonts w:hint="eastAsia" w:ascii="宋体" w:hAnsi="宋体" w:cs="Arial"/>
                <w:bCs/>
                <w:iCs/>
                <w:color w:val="auto"/>
                <w:szCs w:val="21"/>
                <w:highlight w:val="none"/>
              </w:rPr>
            </w:pPr>
            <w:r>
              <w:rPr>
                <w:rFonts w:hint="eastAsia" w:ascii="宋体" w:hAnsi="宋体" w:cs="Arial"/>
                <w:b/>
                <w:bCs w:val="0"/>
                <w:iCs/>
                <w:color w:val="auto"/>
                <w:szCs w:val="21"/>
                <w:highlight w:val="none"/>
              </w:rPr>
              <w:t>1.以上服务要求及商务均不允许负偏离，如有一项则按无效响应处理</w:t>
            </w:r>
            <w:r>
              <w:rPr>
                <w:rFonts w:hint="eastAsia" w:ascii="宋体" w:hAnsi="宋体" w:cs="Arial"/>
                <w:bCs/>
                <w:iCs/>
                <w:color w:val="auto"/>
                <w:szCs w:val="21"/>
                <w:highlight w:val="none"/>
              </w:rPr>
              <w:t>。</w:t>
            </w:r>
          </w:p>
          <w:p w14:paraId="1CCCD0EB">
            <w:pPr>
              <w:spacing w:line="360" w:lineRule="auto"/>
              <w:rPr>
                <w:rFonts w:hint="eastAsia" w:ascii="宋体" w:hAnsi="宋体" w:eastAsia="宋体" w:cs="Courier New"/>
                <w:bCs/>
                <w:color w:val="auto"/>
                <w:kern w:val="0"/>
                <w:szCs w:val="21"/>
                <w:highlight w:val="none"/>
                <w:lang w:eastAsia="zh-CN"/>
              </w:rPr>
            </w:pPr>
            <w:r>
              <w:rPr>
                <w:rFonts w:hint="eastAsia"/>
                <w:color w:val="auto"/>
                <w:highlight w:val="none"/>
              </w:rPr>
              <w:t>2.供应商须提供</w:t>
            </w:r>
            <w:r>
              <w:rPr>
                <w:rFonts w:hint="eastAsia" w:ascii="宋体" w:hAnsi="宋体"/>
                <w:bCs/>
                <w:color w:val="auto"/>
                <w:kern w:val="0"/>
                <w:szCs w:val="21"/>
                <w:highlight w:val="none"/>
              </w:rPr>
              <w:t>保障范围、服务方案及管理措施、增值服务（如有）、理赔争议解决方案、服务人员能力、理赔技术支持、增加被保险人理赔、预付赔款服务、赔案理赔时间</w:t>
            </w:r>
            <w:r>
              <w:rPr>
                <w:rFonts w:hint="eastAsia" w:ascii="宋体" w:hAnsi="宋体" w:cs="Courier New"/>
                <w:bCs/>
                <w:color w:val="auto"/>
                <w:kern w:val="0"/>
                <w:szCs w:val="21"/>
                <w:highlight w:val="none"/>
              </w:rPr>
              <w:t>以供评审，具体要求详见评审标准。</w:t>
            </w:r>
          </w:p>
          <w:p w14:paraId="4B55C840">
            <w:pPr>
              <w:spacing w:line="360" w:lineRule="auto"/>
              <w:rPr>
                <w:rFonts w:hint="eastAsia"/>
                <w:color w:val="auto"/>
                <w:highlight w:val="none"/>
              </w:rPr>
            </w:pPr>
            <w:r>
              <w:rPr>
                <w:rFonts w:hint="eastAsia" w:ascii="宋体" w:hAnsi="宋体" w:cs="Courier New"/>
                <w:bCs/>
                <w:color w:val="auto"/>
                <w:kern w:val="0"/>
                <w:szCs w:val="21"/>
                <w:highlight w:val="none"/>
                <w:lang w:val="en-US" w:eastAsia="zh-CN"/>
              </w:rPr>
              <w:t>3.供应商可在响应文件中提供与项目相关的业绩进行评分</w:t>
            </w:r>
            <w:r>
              <w:rPr>
                <w:rFonts w:hint="eastAsia" w:ascii="宋体" w:hAnsi="宋体" w:cs="Courier New"/>
                <w:bCs/>
                <w:color w:val="auto"/>
                <w:kern w:val="0"/>
                <w:szCs w:val="21"/>
                <w:highlight w:val="none"/>
              </w:rPr>
              <w:t>，具体要求详见评审标准。</w:t>
            </w:r>
          </w:p>
        </w:tc>
      </w:tr>
    </w:tbl>
    <w:p w14:paraId="11F26EC5">
      <w:pPr>
        <w:spacing w:line="360" w:lineRule="auto"/>
        <w:jc w:val="left"/>
        <w:rPr>
          <w:rFonts w:ascii="宋体" w:hAnsi="宋体" w:cs="Arial"/>
          <w:bCs/>
          <w:iCs/>
          <w:color w:val="auto"/>
          <w:szCs w:val="21"/>
          <w:highlight w:val="none"/>
        </w:rPr>
      </w:pPr>
    </w:p>
    <w:p w14:paraId="1688DAD7">
      <w:pPr>
        <w:widowControl/>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14:paraId="47518C35">
      <w:pPr>
        <w:pStyle w:val="4"/>
        <w:jc w:val="center"/>
        <w:rPr>
          <w:rFonts w:hint="eastAsia"/>
          <w:b/>
          <w:color w:val="auto"/>
          <w:sz w:val="28"/>
          <w:szCs w:val="28"/>
          <w:highlight w:val="none"/>
        </w:rPr>
      </w:pPr>
      <w:r>
        <w:rPr>
          <w:rFonts w:hint="eastAsia"/>
          <w:b/>
          <w:color w:val="auto"/>
          <w:sz w:val="28"/>
          <w:szCs w:val="28"/>
          <w:highlight w:val="none"/>
        </w:rPr>
        <w:t>中小企业划型标准规定</w:t>
      </w:r>
    </w:p>
    <w:p w14:paraId="66A82E21">
      <w:pPr>
        <w:pStyle w:val="4"/>
        <w:jc w:val="center"/>
        <w:rPr>
          <w:rFonts w:ascii="宋体" w:hAnsi="宋体"/>
          <w:color w:val="auto"/>
          <w:szCs w:val="21"/>
          <w:highlight w:val="none"/>
        </w:rPr>
      </w:pPr>
      <w:r>
        <w:rPr>
          <w:rFonts w:hint="eastAsia" w:ascii="宋体" w:hAnsi="宋体"/>
          <w:color w:val="auto"/>
          <w:szCs w:val="21"/>
          <w:highlight w:val="none"/>
        </w:rPr>
        <w:t>工信部联企业</w:t>
      </w:r>
      <w:r>
        <w:rPr>
          <w:rFonts w:hint="eastAsia" w:ascii="宋体" w:hAnsi="宋体"/>
          <w:color w:val="auto"/>
          <w:szCs w:val="21"/>
          <w:highlight w:val="none"/>
          <w:lang w:eastAsia="zh-CN"/>
        </w:rPr>
        <w:t>〔2011〕300号</w:t>
      </w:r>
    </w:p>
    <w:p w14:paraId="4CA610C6">
      <w:pPr>
        <w:pStyle w:val="4"/>
        <w:rPr>
          <w:rFonts w:hint="eastAsia"/>
          <w:color w:val="auto"/>
          <w:sz w:val="24"/>
          <w:szCs w:val="21"/>
          <w:highlight w:val="none"/>
        </w:rPr>
      </w:pPr>
    </w:p>
    <w:p w14:paraId="4E620A47">
      <w:pPr>
        <w:pStyle w:val="4"/>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rFonts w:hint="eastAsia" w:ascii="宋体" w:hAnsi="宋体"/>
          <w:color w:val="auto"/>
          <w:szCs w:val="21"/>
          <w:highlight w:val="none"/>
          <w:lang w:eastAsia="zh-CN"/>
        </w:rPr>
        <w:t>〔20</w:t>
      </w:r>
      <w:r>
        <w:rPr>
          <w:rFonts w:hint="eastAsia" w:ascii="宋体" w:hAnsi="宋体"/>
          <w:color w:val="auto"/>
          <w:szCs w:val="21"/>
          <w:highlight w:val="none"/>
        </w:rPr>
        <w:t>09</w:t>
      </w:r>
      <w:r>
        <w:rPr>
          <w:rFonts w:hint="eastAsia" w:ascii="宋体" w:hAnsi="宋体"/>
          <w:color w:val="auto"/>
          <w:szCs w:val="21"/>
          <w:highlight w:val="none"/>
          <w:lang w:eastAsia="zh-CN"/>
        </w:rPr>
        <w:t>〕</w:t>
      </w:r>
      <w:r>
        <w:rPr>
          <w:rFonts w:hint="eastAsia" w:ascii="宋体" w:hAnsi="宋体"/>
          <w:color w:val="auto"/>
          <w:szCs w:val="21"/>
          <w:highlight w:val="none"/>
        </w:rPr>
        <w:t>36</w:t>
      </w:r>
      <w:r>
        <w:rPr>
          <w:rFonts w:hint="eastAsia" w:ascii="宋体" w:hAnsi="宋体"/>
          <w:color w:val="auto"/>
          <w:szCs w:val="21"/>
          <w:highlight w:val="none"/>
          <w:lang w:eastAsia="zh-CN"/>
        </w:rPr>
        <w:t>号</w:t>
      </w:r>
      <w:r>
        <w:rPr>
          <w:color w:val="auto"/>
          <w:szCs w:val="21"/>
          <w:highlight w:val="none"/>
        </w:rPr>
        <w:t>)</w:t>
      </w:r>
      <w:r>
        <w:rPr>
          <w:rFonts w:hint="eastAsia"/>
          <w:color w:val="auto"/>
          <w:szCs w:val="21"/>
          <w:highlight w:val="none"/>
        </w:rPr>
        <w:t>，制定本规定。</w:t>
      </w:r>
    </w:p>
    <w:p w14:paraId="7F827AA4">
      <w:pPr>
        <w:pStyle w:val="4"/>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1B81B42F">
      <w:pPr>
        <w:pStyle w:val="4"/>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29DFEE0">
      <w:pPr>
        <w:pStyle w:val="4"/>
        <w:rPr>
          <w:color w:val="auto"/>
          <w:szCs w:val="21"/>
          <w:highlight w:val="none"/>
        </w:rPr>
      </w:pPr>
      <w:r>
        <w:rPr>
          <w:rFonts w:hint="eastAsia"/>
          <w:color w:val="auto"/>
          <w:szCs w:val="21"/>
          <w:highlight w:val="none"/>
        </w:rPr>
        <w:t>　　四、各行业划型标准为：</w:t>
      </w:r>
    </w:p>
    <w:p w14:paraId="5110984A">
      <w:pPr>
        <w:pStyle w:val="4"/>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07D749A1">
      <w:pPr>
        <w:pStyle w:val="4"/>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2FEEE1B3">
      <w:pPr>
        <w:pStyle w:val="4"/>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4F8D779F">
      <w:pPr>
        <w:pStyle w:val="4"/>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255886F9">
      <w:pPr>
        <w:pStyle w:val="4"/>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B968818">
      <w:pPr>
        <w:pStyle w:val="4"/>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3D3B3ED1">
      <w:pPr>
        <w:pStyle w:val="4"/>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6F51978">
      <w:pPr>
        <w:pStyle w:val="4"/>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6A4C49A">
      <w:pPr>
        <w:pStyle w:val="4"/>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18B79957">
      <w:pPr>
        <w:pStyle w:val="4"/>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53D7FD9">
      <w:pPr>
        <w:pStyle w:val="4"/>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87AFA80">
      <w:pPr>
        <w:pStyle w:val="4"/>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3844AA3B">
      <w:pPr>
        <w:pStyle w:val="4"/>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267B6AD7">
      <w:pPr>
        <w:pStyle w:val="4"/>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60208300">
      <w:pPr>
        <w:pStyle w:val="4"/>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6A0542EF">
      <w:pPr>
        <w:pStyle w:val="4"/>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51658E66">
      <w:pPr>
        <w:pStyle w:val="4"/>
        <w:rPr>
          <w:color w:val="auto"/>
          <w:szCs w:val="21"/>
          <w:highlight w:val="none"/>
        </w:rPr>
      </w:pPr>
      <w:r>
        <w:rPr>
          <w:rFonts w:hint="eastAsia"/>
          <w:color w:val="auto"/>
          <w:szCs w:val="21"/>
          <w:highlight w:val="none"/>
        </w:rPr>
        <w:t>　　五、企业类型的划分以统计部门的统计数据为依据。</w:t>
      </w:r>
    </w:p>
    <w:p w14:paraId="60DEE940">
      <w:pPr>
        <w:pStyle w:val="4"/>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2B079B97">
      <w:pPr>
        <w:pStyle w:val="4"/>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2F39AC9A">
      <w:pPr>
        <w:pStyle w:val="4"/>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2F663B87">
      <w:pPr>
        <w:pStyle w:val="4"/>
        <w:rPr>
          <w:color w:val="auto"/>
          <w:szCs w:val="21"/>
          <w:highlight w:val="none"/>
        </w:rPr>
      </w:pPr>
      <w:r>
        <w:rPr>
          <w:rFonts w:hint="eastAsia"/>
          <w:color w:val="auto"/>
          <w:szCs w:val="21"/>
          <w:highlight w:val="none"/>
        </w:rPr>
        <w:t>　　九、本规定由工业和信息化部、国家统计局会同有关部门负责解释。</w:t>
      </w:r>
    </w:p>
    <w:p w14:paraId="144861EF">
      <w:pPr>
        <w:pStyle w:val="4"/>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0D98D224">
      <w:pPr>
        <w:spacing w:line="360" w:lineRule="auto"/>
        <w:jc w:val="left"/>
        <w:rPr>
          <w:rFonts w:ascii="宋体" w:hAnsi="宋体" w:cs="Arial"/>
          <w:bCs/>
          <w:iCs/>
          <w:color w:val="auto"/>
          <w:szCs w:val="21"/>
          <w:highlight w:val="none"/>
        </w:rPr>
      </w:pPr>
    </w:p>
    <w:p w14:paraId="02EB56B1">
      <w:pPr>
        <w:pStyle w:val="12"/>
        <w:jc w:val="center"/>
        <w:rPr>
          <w:color w:val="auto"/>
          <w:highlight w:val="none"/>
        </w:rPr>
      </w:pPr>
      <w:bookmarkStart w:id="79" w:name="_Toc74323459"/>
      <w:r>
        <w:rPr>
          <w:rFonts w:hint="eastAsia"/>
          <w:color w:val="auto"/>
          <w:highlight w:val="none"/>
        </w:rPr>
        <w:t>第四章  评审程序、评审方法和评审标准</w:t>
      </w:r>
      <w:bookmarkEnd w:id="79"/>
    </w:p>
    <w:p w14:paraId="07293750">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190AB02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3DF96219">
      <w:pPr>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2BDE18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09B095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广西政府采购云平台</w:t>
      </w:r>
      <w:r>
        <w:rPr>
          <w:rFonts w:hint="eastAsia" w:ascii="宋体" w:hAnsi="宋体" w:cs="宋体"/>
          <w:color w:val="auto"/>
          <w:szCs w:val="21"/>
          <w:highlight w:val="none"/>
        </w:rPr>
        <w:t>“信用中国”网站(www.creditchina.gov.cn)、中国政府采购网(www.ccgp.gov.cn)链接入口。</w:t>
      </w:r>
    </w:p>
    <w:p w14:paraId="36E324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1F465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52D39A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72D7020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1659A1B9">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.3供应商有下列情形之一的，资格审查不通过，其响应文件按无效响应处理：</w:t>
      </w:r>
    </w:p>
    <w:p w14:paraId="497916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7A26BA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0552E8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07B3E1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6DAE15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0ED0589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087C7E9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30ED175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p w14:paraId="31817B1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0F63F3">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02B6E496">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48A6F86">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0B9FFC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595567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50320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1990A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22391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D3C21C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1B412B2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在评审时，如发现下列情形之一的，将被视为响应文件无效处理：</w:t>
      </w:r>
    </w:p>
    <w:p w14:paraId="66E9DB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09DED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722436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332523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ACE7A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4）商务要求允许负偏离的条款数超过“供应商须知前附表”规定项数的；</w:t>
      </w:r>
    </w:p>
    <w:p w14:paraId="75BA4D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35B93E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96C77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03696D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FA0FC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0F3323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10）技术要求允许负偏离的条款数超过“供应商须知前附表”规定项数；</w:t>
      </w:r>
    </w:p>
    <w:p w14:paraId="24FC96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619E5E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12）磋商文件未载明允许提供备选（替代）竞标方案或明确不允许提供备选（替代）竞标方案时，供应商提供了备选（替代）竞标方案的；</w:t>
      </w:r>
    </w:p>
    <w:p w14:paraId="3C24DF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13）响应文件标注的项目名称或者项目编号与磋商文件标注的项目名称或者项目编号不一致的；</w:t>
      </w:r>
    </w:p>
    <w:p w14:paraId="5483EA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b/>
          <w:color w:val="auto"/>
          <w:szCs w:val="21"/>
          <w:highlight w:val="none"/>
        </w:rPr>
        <w:t>竞争性磋商文件明确不允许分包，响应文件拟分包的；</w:t>
      </w:r>
    </w:p>
    <w:p w14:paraId="2ED60F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15）未响应磋商文件实质性要求；</w:t>
      </w:r>
    </w:p>
    <w:p w14:paraId="576F2A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0E0F78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2D8013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0D7FCA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67DDA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项目进行报价或者存在漏项报价；供应商未就所竞标项目内容作唯一报价；供应商未就所竞标项目的全部内容作完整唯一总价报价；供应商响应文件中存在有选择、有条件报价的（磋商文件允许有备选方案或者其他约定的除外）；</w:t>
      </w:r>
    </w:p>
    <w:p w14:paraId="1F89AA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4）竞标报价（包含首次报价、最后报价）超过所竞标项目规定的</w:t>
      </w:r>
      <w:r>
        <w:rPr>
          <w:rFonts w:hint="eastAsia" w:ascii="宋体" w:hAnsi="宋体" w:cs="宋体"/>
          <w:bCs/>
          <w:color w:val="auto"/>
          <w:szCs w:val="21"/>
          <w:highlight w:val="none"/>
        </w:rPr>
        <w:t>采购预算或最高限价的</w:t>
      </w:r>
      <w:r>
        <w:rPr>
          <w:rFonts w:hint="eastAsia" w:ascii="宋体" w:hAnsi="宋体" w:cs="宋体"/>
          <w:color w:val="auto"/>
          <w:szCs w:val="21"/>
          <w:highlight w:val="none"/>
        </w:rPr>
        <w:t>；</w:t>
      </w:r>
    </w:p>
    <w:p w14:paraId="128252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5）修正后的报价，供应商不确认的；或者经供应商确认修正后的竞标报价（包含首次报价、最后报价）超过所竞标项目规定的</w:t>
      </w:r>
      <w:r>
        <w:rPr>
          <w:rFonts w:hint="eastAsia" w:ascii="宋体" w:hAnsi="宋体" w:cs="宋体"/>
          <w:bCs/>
          <w:color w:val="auto"/>
          <w:szCs w:val="21"/>
          <w:highlight w:val="none"/>
        </w:rPr>
        <w:t>采购预算或最高限价的</w:t>
      </w:r>
      <w:r>
        <w:rPr>
          <w:rFonts w:hint="eastAsia" w:ascii="宋体" w:hAnsi="宋体" w:cs="宋体"/>
          <w:color w:val="auto"/>
          <w:szCs w:val="21"/>
          <w:highlight w:val="none"/>
        </w:rPr>
        <w:t>；</w:t>
      </w:r>
    </w:p>
    <w:p w14:paraId="731C4D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0681152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w:t>
      </w:r>
      <w:r>
        <w:rPr>
          <w:rFonts w:hint="eastAsia" w:ascii="宋体" w:hAnsi="宋体" w:cs="宋体"/>
          <w:b/>
          <w:bCs/>
          <w:color w:val="auto"/>
          <w:szCs w:val="21"/>
          <w:highlight w:val="none"/>
        </w:rPr>
        <w:t>未实质性响应磋商文件的响应文件按无效处理，</w:t>
      </w:r>
      <w:r>
        <w:rPr>
          <w:rFonts w:hint="eastAsia" w:ascii="宋体" w:hAnsi="宋体" w:cs="宋体"/>
          <w:color w:val="auto"/>
          <w:szCs w:val="21"/>
          <w:highlight w:val="none"/>
        </w:rPr>
        <w:t>磋商小组应当将资格和符合性不通过的情况告知有关供应商。磋商小组从符合磋商文件规定的相应资格条件的供应商名单中确定不少于3家的供应商参加磋商。</w:t>
      </w:r>
    </w:p>
    <w:p w14:paraId="4B65583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4CA5268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62214A11">
      <w:pPr>
        <w:spacing w:line="360" w:lineRule="auto"/>
        <w:ind w:firstLine="420" w:firstLineChars="200"/>
        <w:rPr>
          <w:rFonts w:ascii="宋体" w:hAnsi="宋体" w:cs="宋体"/>
          <w:b/>
          <w:bCs/>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w:t>
      </w:r>
      <w:r>
        <w:rPr>
          <w:rFonts w:hint="eastAsia" w:ascii="宋体" w:hAnsi="宋体" w:cs="宋体"/>
          <w:b/>
          <w:bCs/>
          <w:color w:val="auto"/>
          <w:szCs w:val="21"/>
          <w:highlight w:val="none"/>
        </w:rPr>
        <w:t>未在规定时间内参加磋商的视同放弃参加磋商权利，其响应文件按无效响应处理。</w:t>
      </w:r>
    </w:p>
    <w:p w14:paraId="253ECF5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FB8A4F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23E80FBC">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3.4</w:t>
      </w:r>
      <w:r>
        <w:rPr>
          <w:rFonts w:hint="eastAsia" w:ascii="宋体" w:hAnsi="宋体" w:cs="宋体"/>
          <w:b/>
          <w:bCs/>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60B43CD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2D3066B6">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028A25E2">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15DDEE6">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2478565F">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2A5A4C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68CBDA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w:t>
      </w:r>
    </w:p>
    <w:p w14:paraId="36EEB0B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2FF8C21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w:t>
      </w:r>
      <w:r>
        <w:rPr>
          <w:rFonts w:hint="eastAsia" w:ascii="宋体" w:hAnsi="宋体" w:cs="宋体"/>
          <w:b/>
          <w:bCs/>
          <w:color w:val="auto"/>
          <w:szCs w:val="21"/>
          <w:highlight w:val="none"/>
        </w:rPr>
        <w:t>退出磋商的供应商的响应文件按无效响应处理。</w:t>
      </w:r>
      <w:r>
        <w:rPr>
          <w:rFonts w:hint="eastAsia" w:ascii="宋体" w:hAnsi="宋体" w:cs="宋体"/>
          <w:color w:val="auto"/>
          <w:szCs w:val="21"/>
          <w:highlight w:val="none"/>
        </w:rPr>
        <w:t>采购人、采购代理机构将退还退出磋商的供应商的保证金。</w:t>
      </w:r>
    </w:p>
    <w:p w14:paraId="0D21E214">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4.5</w:t>
      </w:r>
      <w:r>
        <w:rPr>
          <w:rFonts w:hint="eastAsia" w:ascii="宋体" w:hAnsi="宋体" w:cs="宋体"/>
          <w:b/>
          <w:bCs/>
          <w:color w:val="auto"/>
          <w:szCs w:val="21"/>
          <w:highlight w:val="none"/>
        </w:rPr>
        <w:t>供应商未在规定时间内提交最后报价的，视同退出磋商，其响应文件按无效处理。</w:t>
      </w:r>
    </w:p>
    <w:p w14:paraId="47065A3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3BF23F2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2EF05AFA">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4.8</w:t>
      </w:r>
      <w:r>
        <w:rPr>
          <w:rFonts w:hint="eastAsia" w:ascii="宋体" w:hAnsi="宋体" w:cs="宋体"/>
          <w:b/>
          <w:bCs/>
          <w:color w:val="auto"/>
          <w:szCs w:val="21"/>
          <w:highlight w:val="none"/>
        </w:rPr>
        <w:t>修正后的报价出现下列情形的，按无效响应处理：</w:t>
      </w:r>
    </w:p>
    <w:p w14:paraId="36D68F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B8721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（2）经供应商确认修正后的竞标报价（包含首次报价、最后报价）超过所竞标项目规定的</w:t>
      </w:r>
      <w:r>
        <w:rPr>
          <w:rFonts w:hint="eastAsia" w:ascii="宋体" w:hAnsi="宋体" w:cs="宋体"/>
          <w:bCs/>
          <w:color w:val="auto"/>
          <w:szCs w:val="21"/>
          <w:highlight w:val="none"/>
        </w:rPr>
        <w:t>采购预算或最高限价的</w:t>
      </w:r>
      <w:r>
        <w:rPr>
          <w:rFonts w:hint="eastAsia" w:ascii="宋体" w:hAnsi="宋体" w:cs="宋体"/>
          <w:color w:val="auto"/>
          <w:szCs w:val="21"/>
          <w:highlight w:val="none"/>
        </w:rPr>
        <w:t>；</w:t>
      </w:r>
    </w:p>
    <w:p w14:paraId="61E6336F">
      <w:pPr>
        <w:spacing w:line="360" w:lineRule="auto"/>
        <w:ind w:firstLine="420" w:firstLineChars="200"/>
        <w:rPr>
          <w:color w:val="auto"/>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1058D3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7844C8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最后报价结束后，磋商小组不得再与供应商进行任何形式的商谈。</w:t>
      </w:r>
    </w:p>
    <w:p w14:paraId="63AE7F6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56495BA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1E6DD2D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0E6AF8A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20420E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5E87F3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389EE56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02ABD9C">
      <w:pPr>
        <w:snapToGrid w:val="0"/>
        <w:spacing w:line="360" w:lineRule="auto"/>
        <w:ind w:firstLine="424" w:firstLineChars="202"/>
        <w:jc w:val="left"/>
        <w:rPr>
          <w:rFonts w:hint="eastAsia" w:ascii="宋体" w:hAnsi="宋体"/>
          <w:color w:val="auto"/>
          <w:spacing w:val="-6"/>
          <w:szCs w:val="21"/>
          <w:highlight w:val="none"/>
        </w:rPr>
      </w:pPr>
      <w:r>
        <w:rPr>
          <w:rFonts w:ascii="宋体" w:hAnsi="宋体" w:cs="宋体"/>
          <w:color w:val="auto"/>
          <w:szCs w:val="21"/>
          <w:highlight w:val="none"/>
        </w:rPr>
        <w:t>5.5</w:t>
      </w:r>
      <w:r>
        <w:rPr>
          <w:rFonts w:hint="eastAsia" w:ascii="宋体" w:hAnsi="宋体"/>
          <w:color w:val="auto"/>
          <w:szCs w:val="21"/>
          <w:highlight w:val="none"/>
        </w:rPr>
        <w:t>异常低价响应审查</w:t>
      </w:r>
    </w:p>
    <w:p w14:paraId="1DA9DFB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（1）磋商小组在评审中发现下列情形之一的，应当启动异常低价响应审查程序：</w:t>
      </w:r>
    </w:p>
    <w:p w14:paraId="3A0039C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color w:val="auto"/>
          <w:szCs w:val="21"/>
          <w:highlight w:val="none"/>
          <w:u w:val="single"/>
          <w:lang w:val="en-US" w:eastAsia="zh-CN"/>
        </w:rPr>
        <w:t>50%</w:t>
      </w:r>
      <w:r>
        <w:rPr>
          <w:rFonts w:hint="eastAsia" w:ascii="宋体" w:hAnsi="宋体"/>
          <w:color w:val="auto"/>
          <w:szCs w:val="21"/>
          <w:highlight w:val="none"/>
        </w:rPr>
        <w:t>的，即响应报价＜全部通过符合性审查供应商响应报价平均值×</w:t>
      </w:r>
      <w:r>
        <w:rPr>
          <w:rFonts w:hint="eastAsia" w:ascii="宋体" w:hAnsi="宋体"/>
          <w:color w:val="auto"/>
          <w:szCs w:val="21"/>
          <w:highlight w:val="none"/>
          <w:u w:val="single"/>
          <w:lang w:val="en-US" w:eastAsia="zh-CN"/>
        </w:rPr>
        <w:t>50%</w:t>
      </w:r>
      <w:r>
        <w:rPr>
          <w:rFonts w:hint="eastAsia" w:ascii="宋体" w:hAnsi="宋体"/>
          <w:color w:val="auto"/>
          <w:szCs w:val="21"/>
          <w:highlight w:val="none"/>
        </w:rPr>
        <w:t>；</w:t>
      </w:r>
    </w:p>
    <w:p w14:paraId="2ECB8FF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color w:val="auto"/>
          <w:szCs w:val="21"/>
          <w:highlight w:val="none"/>
          <w:u w:val="single"/>
          <w:lang w:val="en-US" w:eastAsia="zh-CN"/>
        </w:rPr>
        <w:t>50%</w:t>
      </w:r>
      <w:r>
        <w:rPr>
          <w:rFonts w:hint="eastAsia" w:ascii="宋体" w:hAnsi="宋体"/>
          <w:color w:val="auto"/>
          <w:szCs w:val="21"/>
          <w:highlight w:val="none"/>
        </w:rPr>
        <w:t>的，即响应报价＜通过符合性审查的次低报价供应商响应报价×</w:t>
      </w:r>
      <w:r>
        <w:rPr>
          <w:rFonts w:hint="eastAsia" w:ascii="宋体" w:hAnsi="宋体"/>
          <w:color w:val="auto"/>
          <w:szCs w:val="21"/>
          <w:highlight w:val="none"/>
          <w:u w:val="single"/>
          <w:lang w:val="en-US" w:eastAsia="zh-CN"/>
        </w:rPr>
        <w:t>50%</w:t>
      </w:r>
      <w:r>
        <w:rPr>
          <w:rFonts w:hint="eastAsia" w:ascii="宋体" w:hAnsi="宋体"/>
          <w:color w:val="auto"/>
          <w:szCs w:val="21"/>
          <w:highlight w:val="none"/>
        </w:rPr>
        <w:t>；</w:t>
      </w:r>
    </w:p>
    <w:p w14:paraId="154D787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color w:val="auto"/>
          <w:szCs w:val="21"/>
          <w:highlight w:val="none"/>
          <w:u w:val="single"/>
          <w:lang w:val="en-US" w:eastAsia="zh-CN"/>
        </w:rPr>
        <w:t>45%</w:t>
      </w:r>
      <w:r>
        <w:rPr>
          <w:rFonts w:hint="eastAsia" w:ascii="宋体" w:hAnsi="宋体"/>
          <w:color w:val="auto"/>
          <w:szCs w:val="21"/>
          <w:highlight w:val="none"/>
        </w:rPr>
        <w:t>的，即响应报价＜采购项目最高限价×</w:t>
      </w:r>
      <w:r>
        <w:rPr>
          <w:rFonts w:hint="eastAsia" w:ascii="宋体" w:hAnsi="宋体"/>
          <w:color w:val="auto"/>
          <w:szCs w:val="21"/>
          <w:highlight w:val="none"/>
          <w:u w:val="single"/>
          <w:lang w:val="en-US" w:eastAsia="zh-CN"/>
        </w:rPr>
        <w:t>45%</w:t>
      </w:r>
      <w:r>
        <w:rPr>
          <w:rFonts w:hint="eastAsia" w:ascii="宋体" w:hAnsi="宋体"/>
          <w:color w:val="auto"/>
          <w:szCs w:val="21"/>
          <w:highlight w:val="none"/>
        </w:rPr>
        <w:t>；</w:t>
      </w:r>
      <w:r>
        <w:rPr>
          <w:rFonts w:ascii="宋体" w:hAnsi="宋体"/>
          <w:i/>
          <w:color w:val="auto"/>
          <w:szCs w:val="21"/>
          <w:highlight w:val="none"/>
        </w:rPr>
        <w:t>（范围为45%-65%）</w:t>
      </w:r>
    </w:p>
    <w:p w14:paraId="26E775E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④磋商小组基于专业判断，认为供应商报价过低，有可能影响产品质量或者不能诚信履约的其他情形。</w:t>
      </w:r>
    </w:p>
    <w:p w14:paraId="42639E3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CCF71F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相关供应商不能提供书面说明、证明材料，或者提供的书面说明、证明材料不能证明其报价合理性的，磋商小组应当将其作为无效响应处理。</w:t>
      </w:r>
    </w:p>
    <w:p w14:paraId="474D1C5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F628388">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2158BA20">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w:t>
      </w:r>
      <w:r>
        <w:rPr>
          <w:rFonts w:hint="eastAsia" w:ascii="宋体" w:hAnsi="宋体"/>
          <w:color w:val="auto"/>
          <w:kern w:val="0"/>
          <w:szCs w:val="21"/>
          <w:highlight w:val="none"/>
          <w:lang w:eastAsia="zh-CN"/>
        </w:rPr>
        <w:t>项目实施方案</w:t>
      </w:r>
      <w:r>
        <w:rPr>
          <w:rFonts w:hint="eastAsia" w:ascii="宋体" w:hAnsi="宋体"/>
          <w:color w:val="auto"/>
          <w:kern w:val="0"/>
          <w:szCs w:val="21"/>
          <w:highlight w:val="none"/>
        </w:rPr>
        <w:t>优劣顺序推荐。</w:t>
      </w:r>
    </w:p>
    <w:p w14:paraId="0440BF91">
      <w:pPr>
        <w:spacing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w:t>
      </w:r>
      <w:r>
        <w:rPr>
          <w:rFonts w:hint="eastAsia" w:ascii="宋体" w:hAnsi="宋体"/>
          <w:color w:val="auto"/>
          <w:kern w:val="0"/>
          <w:szCs w:val="21"/>
          <w:highlight w:val="none"/>
          <w:lang w:val="en-US" w:eastAsia="zh-CN"/>
        </w:rPr>
        <w:t>7</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6B04C8B">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7262473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6225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1F0E5923">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5E395940">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288" w:type="dxa"/>
            <w:tcBorders>
              <w:top w:val="single" w:color="auto" w:sz="4" w:space="0"/>
              <w:left w:val="single" w:color="auto" w:sz="4" w:space="0"/>
              <w:bottom w:val="single" w:color="auto" w:sz="4" w:space="0"/>
              <w:right w:val="single" w:color="auto" w:sz="4" w:space="0"/>
            </w:tcBorders>
            <w:vAlign w:val="center"/>
          </w:tcPr>
          <w:p w14:paraId="249C25E6">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851" w:type="dxa"/>
            <w:tcBorders>
              <w:top w:val="single" w:color="auto" w:sz="4" w:space="0"/>
              <w:left w:val="single" w:color="auto" w:sz="4" w:space="0"/>
              <w:bottom w:val="single" w:color="auto" w:sz="4" w:space="0"/>
              <w:right w:val="single" w:color="auto" w:sz="4" w:space="0"/>
            </w:tcBorders>
            <w:vAlign w:val="center"/>
          </w:tcPr>
          <w:p w14:paraId="260787C5">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39E3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234EE55B">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752459F0">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6288" w:type="dxa"/>
            <w:tcBorders>
              <w:top w:val="single" w:color="auto" w:sz="4" w:space="0"/>
              <w:left w:val="single" w:color="auto" w:sz="4" w:space="0"/>
              <w:bottom w:val="single" w:color="auto" w:sz="4" w:space="0"/>
              <w:right w:val="single" w:color="auto" w:sz="4" w:space="0"/>
            </w:tcBorders>
            <w:vAlign w:val="top"/>
          </w:tcPr>
          <w:p w14:paraId="23BDB458">
            <w:pPr>
              <w:pStyle w:val="6"/>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lang w:eastAsia="zh-CN"/>
              </w:rPr>
              <w:t>（</w:t>
            </w:r>
            <w:r>
              <w:rPr>
                <w:rFonts w:hint="eastAsia" w:hAnsi="宋体" w:cs="宋体"/>
                <w:bCs/>
                <w:color w:val="auto"/>
                <w:sz w:val="21"/>
                <w:highlight w:val="none"/>
                <w:lang w:val="en-US" w:eastAsia="zh-CN"/>
              </w:rPr>
              <w:t>1</w:t>
            </w:r>
            <w:r>
              <w:rPr>
                <w:rFonts w:hint="eastAsia" w:hAnsi="宋体" w:cs="宋体"/>
                <w:bCs/>
                <w:color w:val="auto"/>
                <w:sz w:val="21"/>
                <w:highlight w:val="none"/>
                <w:lang w:eastAsia="zh-CN"/>
              </w:rPr>
              <w:t>）</w:t>
            </w:r>
            <w:r>
              <w:rPr>
                <w:rFonts w:hint="eastAsia" w:hAnsi="宋体" w:cs="宋体"/>
                <w:bCs/>
                <w:color w:val="auto"/>
                <w:sz w:val="21"/>
                <w:highlight w:val="none"/>
              </w:rPr>
              <w:t>评审价为供应商的最后报价进行政策性扣除后的价格，评审价只是作为评审时使用。最终成交供应商的成交金额等于最后报价（如有修正，以确认修正后的最后报价为准）。</w:t>
            </w:r>
          </w:p>
          <w:p w14:paraId="5ACDD9DD">
            <w:pPr>
              <w:pStyle w:val="6"/>
              <w:spacing w:line="360" w:lineRule="auto"/>
              <w:ind w:firstLine="420" w:firstLineChars="200"/>
              <w:rPr>
                <w:rFonts w:hint="eastAsia" w:hAnsi="宋体"/>
                <w:color w:val="auto"/>
                <w:sz w:val="21"/>
                <w:highlight w:val="none"/>
                <w:lang w:val="en-US" w:eastAsia="zh-CN"/>
              </w:rPr>
            </w:pPr>
            <w:r>
              <w:rPr>
                <w:rFonts w:hint="eastAsia" w:hAnsi="宋体" w:cs="Courier New"/>
                <w:bCs/>
                <w:color w:val="auto"/>
                <w:kern w:val="2"/>
                <w:sz w:val="21"/>
                <w:highlight w:val="none"/>
                <w:lang w:val="en-US" w:eastAsia="zh-CN"/>
              </w:rPr>
              <w:t>（2）中小企业政策性扣除计算方法</w:t>
            </w:r>
          </w:p>
          <w:p w14:paraId="1B8800D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服务全部由小微企业承接，对供应商的竞标报价给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10%</w:t>
            </w:r>
            <w:r>
              <w:rPr>
                <w:rFonts w:hint="eastAsia" w:ascii="宋体" w:hAnsi="宋体"/>
                <w:bCs/>
                <w:color w:val="auto"/>
                <w:szCs w:val="21"/>
                <w:highlight w:val="none"/>
                <w:u w:val="single"/>
              </w:rPr>
              <w:t xml:space="preserve"> </w:t>
            </w:r>
            <w:r>
              <w:rPr>
                <w:rFonts w:hint="eastAsia" w:ascii="宋体" w:hAnsi="宋体"/>
                <w:bCs/>
                <w:color w:val="auto"/>
                <w:szCs w:val="21"/>
                <w:highlight w:val="none"/>
              </w:rPr>
              <w:t>的扣除，</w:t>
            </w:r>
            <w:r>
              <w:rPr>
                <w:rFonts w:hint="eastAsia" w:hAnsi="宋体" w:cs="Courier New"/>
                <w:bCs/>
                <w:color w:val="auto"/>
                <w:highlight w:val="none"/>
              </w:rPr>
              <w:t>即中小企业</w:t>
            </w:r>
            <w:r>
              <w:rPr>
                <w:rFonts w:hint="eastAsia" w:hAnsi="宋体" w:cs="Courier New"/>
                <w:bCs/>
                <w:color w:val="auto"/>
                <w:highlight w:val="none"/>
                <w:lang w:val="en-US" w:eastAsia="zh-CN"/>
              </w:rPr>
              <w:t>政策性</w:t>
            </w:r>
            <w:r>
              <w:rPr>
                <w:rFonts w:hint="eastAsia" w:hAnsi="宋体" w:cs="Courier New"/>
                <w:bCs/>
                <w:color w:val="auto"/>
                <w:highlight w:val="none"/>
              </w:rPr>
              <w:t>折扣=竞标报价×</w:t>
            </w:r>
            <w:r>
              <w:rPr>
                <w:rFonts w:hAnsi="宋体" w:cs="Courier New"/>
                <w:bCs/>
                <w:color w:val="auto"/>
                <w:highlight w:val="none"/>
                <w:u w:val="single"/>
              </w:rPr>
              <w:t xml:space="preserve"> </w:t>
            </w:r>
            <w:r>
              <w:rPr>
                <w:rFonts w:hint="eastAsia" w:ascii="宋体" w:hAnsi="宋体" w:eastAsia="宋体" w:cs="宋体"/>
                <w:bCs/>
                <w:color w:val="auto"/>
                <w:highlight w:val="none"/>
                <w:u w:val="single"/>
                <w:lang w:val="en-US" w:eastAsia="zh-CN"/>
              </w:rPr>
              <w:t>10</w:t>
            </w:r>
            <w:r>
              <w:rPr>
                <w:rFonts w:hint="eastAsia" w:ascii="宋体" w:hAnsi="宋体"/>
                <w:bCs/>
                <w:color w:val="auto"/>
                <w:szCs w:val="21"/>
                <w:highlight w:val="none"/>
                <w:u w:val="single"/>
                <w:lang w:val="en-US" w:eastAsia="zh-CN"/>
              </w:rPr>
              <w:t>%</w:t>
            </w:r>
            <w:r>
              <w:rPr>
                <w:rFonts w:hint="eastAsia" w:ascii="宋体" w:hAnsi="宋体" w:eastAsia="宋体" w:cs="宋体"/>
                <w:bCs/>
                <w:color w:val="auto"/>
                <w:highlight w:val="none"/>
                <w:u w:val="single"/>
                <w:lang w:val="en-US" w:eastAsia="zh-CN"/>
              </w:rPr>
              <w:t xml:space="preserve"> </w:t>
            </w:r>
            <w:r>
              <w:rPr>
                <w:rFonts w:hint="eastAsia" w:ascii="宋体" w:hAnsi="宋体"/>
                <w:bCs/>
                <w:color w:val="auto"/>
                <w:szCs w:val="21"/>
                <w:highlight w:val="none"/>
              </w:rPr>
              <w:t>。</w:t>
            </w:r>
          </w:p>
          <w:p w14:paraId="595FF53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w:t>
            </w:r>
            <w:r>
              <w:rPr>
                <w:rFonts w:hint="eastAsia" w:ascii="宋体" w:hAnsi="宋体"/>
                <w:color w:val="auto"/>
                <w:szCs w:val="21"/>
                <w:highlight w:val="none"/>
              </w:rPr>
              <w:t>不重复享受政策。</w:t>
            </w:r>
          </w:p>
          <w:p w14:paraId="5A73A4C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3B8B859">
            <w:pPr>
              <w:spacing w:line="360" w:lineRule="auto"/>
              <w:ind w:firstLine="420" w:firstLineChars="200"/>
              <w:rPr>
                <w:rFonts w:hint="eastAsia" w:ascii="宋体" w:hAnsi="宋体"/>
                <w:color w:val="auto"/>
                <w:szCs w:val="21"/>
                <w:highlight w:val="none"/>
              </w:rPr>
            </w:pPr>
            <w:r>
              <w:rPr>
                <w:rFonts w:hint="eastAsia" w:hAnsi="宋体" w:cs="Courier New"/>
                <w:bCs/>
                <w:color w:val="auto"/>
                <w:highlight w:val="none"/>
              </w:rPr>
              <w:t>（</w:t>
            </w:r>
            <w:r>
              <w:rPr>
                <w:rFonts w:hAnsi="宋体" w:cs="Courier New"/>
                <w:bCs/>
                <w:color w:val="auto"/>
                <w:highlight w:val="none"/>
              </w:rPr>
              <w:t>5</w:t>
            </w:r>
            <w:r>
              <w:rPr>
                <w:rFonts w:hint="eastAsia" w:hAnsi="宋体" w:cs="Courier New"/>
                <w:bCs/>
                <w:color w:val="auto"/>
                <w:highlight w:val="none"/>
              </w:rPr>
              <w:t>）本项目不涉及本国产品的</w:t>
            </w:r>
            <w:r>
              <w:rPr>
                <w:rFonts w:hint="eastAsia" w:hAnsi="宋体" w:cs="Courier New"/>
                <w:bCs/>
                <w:color w:val="auto"/>
                <w:highlight w:val="none"/>
                <w:lang w:eastAsia="zh-CN"/>
              </w:rPr>
              <w:t>竞标</w:t>
            </w:r>
            <w:r>
              <w:rPr>
                <w:rFonts w:hint="eastAsia" w:hAnsi="宋体" w:cs="Courier New"/>
                <w:bCs/>
                <w:color w:val="auto"/>
                <w:highlight w:val="none"/>
              </w:rPr>
              <w:t>，根据《国务院办公厅关于在政府采购中实施本国产品标准及相关政策的通知》（国办发〔2025〕34号）的规定，不再对供应商的最后报价进行本国产品价格扣除</w:t>
            </w:r>
            <w:r>
              <w:rPr>
                <w:rFonts w:hint="eastAsia" w:hAnsi="宋体"/>
                <w:color w:val="auto"/>
                <w:highlight w:val="none"/>
              </w:rPr>
              <w:t>。</w:t>
            </w:r>
          </w:p>
          <w:p w14:paraId="64B1F61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（6）中小企业</w:t>
            </w:r>
            <w:r>
              <w:rPr>
                <w:rFonts w:hint="eastAsia" w:ascii="宋体" w:hAnsi="宋体"/>
                <w:color w:val="auto"/>
                <w:szCs w:val="21"/>
                <w:highlight w:val="none"/>
                <w:lang w:val="en-US" w:eastAsia="zh-CN"/>
              </w:rPr>
              <w:t>政策性</w:t>
            </w:r>
            <w:r>
              <w:rPr>
                <w:rFonts w:hint="eastAsia" w:ascii="宋体" w:hAnsi="宋体"/>
                <w:color w:val="auto"/>
                <w:szCs w:val="21"/>
                <w:highlight w:val="none"/>
              </w:rPr>
              <w:t>折扣与本国产品折扣进行叠加计算，用扣除后的价格参加评审。即评审价=竞标报价-中小企业</w:t>
            </w:r>
            <w:r>
              <w:rPr>
                <w:rFonts w:hint="eastAsia" w:ascii="宋体" w:hAnsi="宋体"/>
                <w:color w:val="auto"/>
                <w:szCs w:val="21"/>
                <w:highlight w:val="none"/>
                <w:lang w:val="en-US" w:eastAsia="zh-CN"/>
              </w:rPr>
              <w:t>政策性</w:t>
            </w:r>
            <w:r>
              <w:rPr>
                <w:rFonts w:hint="eastAsia" w:ascii="宋体" w:hAnsi="宋体"/>
                <w:color w:val="auto"/>
                <w:szCs w:val="21"/>
                <w:highlight w:val="none"/>
              </w:rPr>
              <w:t>折扣-本国产品折扣，除上述情况外，评审价=竞标报价。</w:t>
            </w:r>
          </w:p>
          <w:p w14:paraId="767AAD81">
            <w:pPr>
              <w:pStyle w:val="6"/>
              <w:spacing w:line="360" w:lineRule="auto"/>
              <w:ind w:firstLine="420" w:firstLineChars="200"/>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（7）以进入比较与评价环节的最低的评审价为基准价，基准价得分为</w:t>
            </w:r>
            <w:r>
              <w:rPr>
                <w:rFonts w:hint="eastAsia" w:hAnsi="宋体" w:cs="Courier New"/>
                <w:bCs/>
                <w:color w:val="auto"/>
                <w:kern w:val="2"/>
                <w:sz w:val="21"/>
                <w:highlight w:val="none"/>
                <w:u w:val="single"/>
                <w:lang w:val="en-US" w:eastAsia="zh-CN"/>
              </w:rPr>
              <w:t xml:space="preserve"> 20 分</w:t>
            </w:r>
            <w:r>
              <w:rPr>
                <w:rFonts w:hint="eastAsia" w:hAnsi="宋体" w:cs="Courier New"/>
                <w:bCs/>
                <w:color w:val="auto"/>
                <w:kern w:val="2"/>
                <w:sz w:val="21"/>
                <w:highlight w:val="none"/>
                <w:lang w:val="en-US" w:eastAsia="zh-CN"/>
              </w:rPr>
              <w:t>。</w:t>
            </w:r>
          </w:p>
          <w:p w14:paraId="45B3129A">
            <w:pPr>
              <w:pStyle w:val="6"/>
              <w:spacing w:line="360" w:lineRule="auto"/>
              <w:ind w:firstLine="420" w:firstLineChars="200"/>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（8）价格分计算公式：</w:t>
            </w:r>
          </w:p>
          <w:p w14:paraId="116F26E7">
            <w:pPr>
              <w:pStyle w:val="3"/>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报价得分=（基准价/最后报价）×</w:t>
            </w:r>
            <w:r>
              <w:rPr>
                <w:rFonts w:hint="eastAsia" w:hAnsi="宋体" w:cs="Courier New"/>
                <w:bCs/>
                <w:color w:val="auto"/>
                <w:kern w:val="2"/>
                <w:sz w:val="21"/>
                <w:highlight w:val="none"/>
                <w:u w:val="single"/>
                <w:lang w:val="en-US" w:eastAsia="zh-CN"/>
              </w:rPr>
              <w:t xml:space="preserve"> 20 分</w:t>
            </w:r>
          </w:p>
        </w:tc>
        <w:tc>
          <w:tcPr>
            <w:tcW w:w="851" w:type="dxa"/>
            <w:tcBorders>
              <w:top w:val="single" w:color="auto" w:sz="4" w:space="0"/>
              <w:left w:val="single" w:color="auto" w:sz="4" w:space="0"/>
              <w:bottom w:val="single" w:color="auto" w:sz="4" w:space="0"/>
              <w:right w:val="single" w:color="auto" w:sz="4" w:space="0"/>
            </w:tcBorders>
            <w:vAlign w:val="center"/>
          </w:tcPr>
          <w:p w14:paraId="17A7CE61">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20分</w:t>
            </w:r>
          </w:p>
        </w:tc>
      </w:tr>
      <w:tr w14:paraId="408D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1ECC86F8">
            <w:pPr>
              <w:widowControl/>
              <w:spacing w:line="360" w:lineRule="auto"/>
              <w:jc w:val="center"/>
              <w:rPr>
                <w:rFonts w:hint="eastAsia" w:ascii="宋体" w:hAnsi="宋体" w:cs="Tahoma"/>
                <w:color w:val="auto"/>
                <w:kern w:val="0"/>
                <w:szCs w:val="21"/>
                <w:highlight w:val="none"/>
              </w:rPr>
            </w:pPr>
            <w:r>
              <w:rPr>
                <w:rFonts w:hint="eastAsia" w:ascii="宋体" w:hAnsi="宋体"/>
                <w:bCs/>
                <w:color w:val="auto"/>
                <w:kern w:val="0"/>
                <w:szCs w:val="21"/>
                <w:highlight w:val="none"/>
              </w:rPr>
              <w:t>2</w:t>
            </w:r>
          </w:p>
        </w:tc>
        <w:tc>
          <w:tcPr>
            <w:tcW w:w="1418" w:type="dxa"/>
            <w:tcBorders>
              <w:top w:val="single" w:color="auto" w:sz="4" w:space="0"/>
              <w:left w:val="single" w:color="auto" w:sz="4" w:space="0"/>
              <w:bottom w:val="single" w:color="auto" w:sz="4" w:space="0"/>
              <w:right w:val="single" w:color="auto" w:sz="4" w:space="0"/>
            </w:tcBorders>
            <w:vAlign w:val="center"/>
          </w:tcPr>
          <w:p w14:paraId="440F4800">
            <w:pPr>
              <w:widowControl/>
              <w:spacing w:line="360" w:lineRule="auto"/>
              <w:jc w:val="center"/>
              <w:rPr>
                <w:rFonts w:hint="eastAsia" w:ascii="宋体" w:hAnsi="宋体" w:cs="Tahoma"/>
                <w:color w:val="auto"/>
                <w:kern w:val="0"/>
                <w:szCs w:val="21"/>
                <w:highlight w:val="none"/>
              </w:rPr>
            </w:pPr>
            <w:r>
              <w:rPr>
                <w:rFonts w:hint="eastAsia" w:ascii="宋体" w:hAnsi="宋体"/>
                <w:bCs/>
                <w:color w:val="auto"/>
                <w:kern w:val="0"/>
                <w:szCs w:val="21"/>
                <w:highlight w:val="none"/>
              </w:rPr>
              <w:t>技术分</w:t>
            </w:r>
          </w:p>
        </w:tc>
        <w:tc>
          <w:tcPr>
            <w:tcW w:w="7139" w:type="dxa"/>
            <w:gridSpan w:val="2"/>
            <w:tcBorders>
              <w:top w:val="single" w:color="auto" w:sz="4" w:space="0"/>
              <w:left w:val="single" w:color="auto" w:sz="4" w:space="0"/>
              <w:bottom w:val="single" w:color="auto" w:sz="4" w:space="0"/>
              <w:right w:val="single" w:color="auto" w:sz="4" w:space="0"/>
            </w:tcBorders>
            <w:vAlign w:val="top"/>
          </w:tcPr>
          <w:p w14:paraId="533E0574">
            <w:pPr>
              <w:widowControl/>
              <w:spacing w:line="360"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评审因素</w:t>
            </w:r>
          </w:p>
        </w:tc>
      </w:tr>
      <w:tr w14:paraId="40E2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458C2EA3">
            <w:pPr>
              <w:spacing w:line="360" w:lineRule="auto"/>
              <w:ind w:left="-105" w:leftChars="-50" w:right="-105" w:rightChars="-50"/>
              <w:jc w:val="center"/>
              <w:rPr>
                <w:rFonts w:hint="eastAsia" w:ascii="宋体" w:hAnsi="宋体"/>
                <w:bCs/>
                <w:color w:val="auto"/>
                <w:kern w:val="0"/>
                <w:szCs w:val="21"/>
                <w:highlight w:val="none"/>
              </w:rPr>
            </w:pPr>
            <w:r>
              <w:rPr>
                <w:rFonts w:hint="eastAsia" w:ascii="宋体" w:hAnsi="宋体"/>
                <w:bCs/>
                <w:color w:val="auto"/>
                <w:kern w:val="0"/>
                <w:szCs w:val="21"/>
                <w:highlight w:val="none"/>
              </w:rPr>
              <w:t>2.1</w:t>
            </w:r>
          </w:p>
        </w:tc>
        <w:tc>
          <w:tcPr>
            <w:tcW w:w="1418" w:type="dxa"/>
            <w:tcBorders>
              <w:top w:val="single" w:color="auto" w:sz="4" w:space="0"/>
              <w:left w:val="single" w:color="auto" w:sz="4" w:space="0"/>
              <w:bottom w:val="single" w:color="auto" w:sz="4" w:space="0"/>
              <w:right w:val="single" w:color="auto" w:sz="4" w:space="0"/>
            </w:tcBorders>
            <w:vAlign w:val="center"/>
          </w:tcPr>
          <w:p w14:paraId="2995A828">
            <w:pPr>
              <w:spacing w:line="360" w:lineRule="auto"/>
              <w:jc w:val="center"/>
              <w:rPr>
                <w:rFonts w:ascii="宋体" w:hAnsi="宋体"/>
                <w:bCs/>
                <w:color w:val="auto"/>
                <w:kern w:val="0"/>
                <w:szCs w:val="21"/>
                <w:highlight w:val="none"/>
              </w:rPr>
            </w:pPr>
            <w:r>
              <w:rPr>
                <w:rFonts w:hint="eastAsia" w:ascii="宋体" w:hAnsi="宋体"/>
                <w:bCs/>
                <w:color w:val="auto"/>
                <w:kern w:val="0"/>
                <w:szCs w:val="21"/>
                <w:highlight w:val="none"/>
              </w:rPr>
              <w:t>保障范围分</w:t>
            </w:r>
          </w:p>
        </w:tc>
        <w:tc>
          <w:tcPr>
            <w:tcW w:w="6288" w:type="dxa"/>
            <w:tcBorders>
              <w:top w:val="single" w:color="auto" w:sz="4" w:space="0"/>
              <w:left w:val="single" w:color="auto" w:sz="4" w:space="0"/>
              <w:bottom w:val="single" w:color="auto" w:sz="4" w:space="0"/>
              <w:right w:val="single" w:color="auto" w:sz="4" w:space="0"/>
            </w:tcBorders>
            <w:vAlign w:val="center"/>
          </w:tcPr>
          <w:p w14:paraId="625B8D2F">
            <w:pPr>
              <w:pStyle w:val="34"/>
              <w:spacing w:line="360" w:lineRule="auto"/>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由磋商小组成员根据下列标准进行独立评审，并独立打分。不入档不得分。</w:t>
            </w:r>
          </w:p>
          <w:p w14:paraId="5D95966E">
            <w:pPr>
              <w:pStyle w:val="34"/>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一档（1分）：保障范围符合竞争性磋商文件要求；</w:t>
            </w:r>
          </w:p>
          <w:p w14:paraId="0968BBBA">
            <w:pPr>
              <w:pStyle w:val="34"/>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二档（2分）：保障范围符合竞争性磋商文件要求，且措辞无歧义，保障内容基本完整；</w:t>
            </w:r>
          </w:p>
          <w:p w14:paraId="28F00CC8">
            <w:pPr>
              <w:pStyle w:val="34"/>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三档（3分）：保障范围高于竞争性磋商文件要求，且措辞严谨，描述清晰，保障内容全面。</w:t>
            </w:r>
          </w:p>
        </w:tc>
        <w:tc>
          <w:tcPr>
            <w:tcW w:w="851" w:type="dxa"/>
            <w:tcBorders>
              <w:top w:val="single" w:color="auto" w:sz="4" w:space="0"/>
              <w:left w:val="single" w:color="auto" w:sz="4" w:space="0"/>
              <w:bottom w:val="single" w:color="auto" w:sz="4" w:space="0"/>
              <w:right w:val="single" w:color="auto" w:sz="4" w:space="0"/>
            </w:tcBorders>
            <w:vAlign w:val="center"/>
          </w:tcPr>
          <w:p w14:paraId="30693368">
            <w:pPr>
              <w:spacing w:line="360" w:lineRule="auto"/>
              <w:jc w:val="center"/>
              <w:rPr>
                <w:rFonts w:ascii="宋体" w:hAnsi="宋体" w:cs="Courier New"/>
                <w:bCs/>
                <w:color w:val="auto"/>
                <w:szCs w:val="21"/>
                <w:highlight w:val="none"/>
              </w:rPr>
            </w:pPr>
            <w:r>
              <w:rPr>
                <w:rFonts w:hint="eastAsia" w:ascii="宋体" w:hAnsi="宋体" w:cs="Courier New"/>
                <w:bCs/>
                <w:color w:val="auto"/>
                <w:szCs w:val="21"/>
                <w:highlight w:val="none"/>
              </w:rPr>
              <w:t>3分</w:t>
            </w:r>
          </w:p>
        </w:tc>
      </w:tr>
      <w:tr w14:paraId="4307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043471BA">
            <w:pPr>
              <w:spacing w:line="360" w:lineRule="auto"/>
              <w:ind w:left="-105" w:leftChars="-50" w:right="-105" w:rightChars="-50"/>
              <w:jc w:val="center"/>
              <w:rPr>
                <w:rFonts w:hint="eastAsia" w:ascii="宋体" w:hAnsi="宋体"/>
                <w:bCs/>
                <w:color w:val="auto"/>
                <w:kern w:val="0"/>
                <w:szCs w:val="21"/>
                <w:highlight w:val="none"/>
              </w:rPr>
            </w:pPr>
            <w:r>
              <w:rPr>
                <w:rFonts w:hint="eastAsia" w:ascii="宋体" w:hAnsi="宋体"/>
                <w:bCs/>
                <w:color w:val="auto"/>
                <w:kern w:val="0"/>
                <w:szCs w:val="21"/>
                <w:highlight w:val="none"/>
              </w:rPr>
              <w:t>2.2</w:t>
            </w:r>
          </w:p>
        </w:tc>
        <w:tc>
          <w:tcPr>
            <w:tcW w:w="1418" w:type="dxa"/>
            <w:tcBorders>
              <w:top w:val="single" w:color="auto" w:sz="4" w:space="0"/>
              <w:left w:val="single" w:color="auto" w:sz="4" w:space="0"/>
              <w:bottom w:val="single" w:color="auto" w:sz="4" w:space="0"/>
              <w:right w:val="single" w:color="auto" w:sz="4" w:space="0"/>
            </w:tcBorders>
            <w:vAlign w:val="center"/>
          </w:tcPr>
          <w:p w14:paraId="5F67779A">
            <w:pPr>
              <w:spacing w:line="360" w:lineRule="auto"/>
              <w:jc w:val="center"/>
              <w:rPr>
                <w:rFonts w:hint="eastAsia" w:ascii="宋体" w:hAnsi="宋体"/>
                <w:b/>
                <w:bCs/>
                <w:color w:val="auto"/>
                <w:kern w:val="0"/>
                <w:szCs w:val="21"/>
                <w:highlight w:val="none"/>
              </w:rPr>
            </w:pPr>
            <w:r>
              <w:rPr>
                <w:rFonts w:hint="eastAsia" w:ascii="宋体" w:hAnsi="宋体" w:cs="Courier New"/>
                <w:bCs/>
                <w:color w:val="auto"/>
                <w:kern w:val="0"/>
                <w:szCs w:val="21"/>
                <w:highlight w:val="none"/>
              </w:rPr>
              <w:t>服务方案及管理措施分</w:t>
            </w:r>
          </w:p>
        </w:tc>
        <w:tc>
          <w:tcPr>
            <w:tcW w:w="6288" w:type="dxa"/>
            <w:tcBorders>
              <w:top w:val="single" w:color="auto" w:sz="4" w:space="0"/>
              <w:left w:val="single" w:color="auto" w:sz="4" w:space="0"/>
              <w:bottom w:val="single" w:color="auto" w:sz="4" w:space="0"/>
              <w:right w:val="single" w:color="auto" w:sz="4" w:space="0"/>
            </w:tcBorders>
            <w:vAlign w:val="center"/>
          </w:tcPr>
          <w:p w14:paraId="5C48343A">
            <w:pPr>
              <w:pStyle w:val="34"/>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由磋商小组成员根据下列标准进行独立评审，并独立打分。不入档不得分。</w:t>
            </w:r>
          </w:p>
          <w:p w14:paraId="4FEC319E">
            <w:pPr>
              <w:pStyle w:val="16"/>
              <w:spacing w:line="360" w:lineRule="auto"/>
              <w:ind w:firstLine="0"/>
              <w:rPr>
                <w:rFonts w:hint="eastAsia" w:ascii="宋体" w:hAnsi="宋体"/>
                <w:bCs/>
                <w:color w:val="auto"/>
                <w:kern w:val="0"/>
                <w:szCs w:val="21"/>
                <w:highlight w:val="none"/>
              </w:rPr>
            </w:pPr>
            <w:r>
              <w:rPr>
                <w:rFonts w:hint="eastAsia" w:ascii="宋体" w:hAnsi="宋体"/>
                <w:bCs/>
                <w:color w:val="auto"/>
                <w:kern w:val="0"/>
                <w:szCs w:val="21"/>
                <w:highlight w:val="none"/>
              </w:rPr>
              <w:t>一档（3分）：项目整体实施方案内容、保障方案内容描述不够</w:t>
            </w:r>
            <w:r>
              <w:rPr>
                <w:rFonts w:hint="eastAsia" w:ascii="宋体" w:hAnsi="宋体"/>
                <w:bCs/>
                <w:color w:val="auto"/>
                <w:kern w:val="0"/>
                <w:szCs w:val="21"/>
                <w:highlight w:val="none"/>
                <w:lang w:eastAsia="zh-CN"/>
              </w:rPr>
              <w:t>完善</w:t>
            </w:r>
            <w:r>
              <w:rPr>
                <w:rFonts w:hint="eastAsia" w:ascii="宋体" w:hAnsi="宋体"/>
                <w:bCs/>
                <w:color w:val="auto"/>
                <w:kern w:val="0"/>
                <w:szCs w:val="21"/>
                <w:highlight w:val="none"/>
              </w:rPr>
              <w:t>，承保、保全、理赔服务实施方案</w:t>
            </w:r>
            <w:r>
              <w:rPr>
                <w:rFonts w:hint="eastAsia" w:ascii="宋体" w:hAnsi="宋体"/>
                <w:bCs/>
                <w:color w:val="auto"/>
                <w:kern w:val="0"/>
                <w:szCs w:val="21"/>
                <w:highlight w:val="none"/>
                <w:lang w:eastAsia="zh-CN"/>
              </w:rPr>
              <w:t>不能</w:t>
            </w:r>
            <w:r>
              <w:rPr>
                <w:rFonts w:hint="eastAsia" w:ascii="宋体" w:hAnsi="宋体"/>
                <w:bCs/>
                <w:color w:val="auto"/>
                <w:kern w:val="0"/>
                <w:szCs w:val="21"/>
                <w:highlight w:val="none"/>
              </w:rPr>
              <w:t>满足磋商文件要求。</w:t>
            </w:r>
          </w:p>
          <w:p w14:paraId="6667A329">
            <w:pPr>
              <w:pStyle w:val="16"/>
              <w:spacing w:line="360" w:lineRule="auto"/>
              <w:ind w:firstLine="0"/>
              <w:rPr>
                <w:rFonts w:hint="eastAsia" w:ascii="宋体" w:hAnsi="宋体"/>
                <w:bCs/>
                <w:color w:val="auto"/>
                <w:kern w:val="0"/>
                <w:szCs w:val="21"/>
                <w:highlight w:val="none"/>
              </w:rPr>
            </w:pPr>
            <w:r>
              <w:rPr>
                <w:rFonts w:hint="eastAsia" w:ascii="宋体" w:hAnsi="宋体"/>
                <w:bCs/>
                <w:color w:val="auto"/>
                <w:kern w:val="0"/>
                <w:szCs w:val="21"/>
                <w:highlight w:val="none"/>
              </w:rPr>
              <w:t>二档（5分）：项目整体实施方案内容、保障方案内容描述完善，承保、保全、理赔服务实施方案清楚，流程能满足磋商文件要求。</w:t>
            </w:r>
          </w:p>
          <w:p w14:paraId="2AD653C6">
            <w:pPr>
              <w:pStyle w:val="16"/>
              <w:spacing w:line="360" w:lineRule="auto"/>
              <w:ind w:firstLine="0"/>
              <w:rPr>
                <w:rFonts w:hint="eastAsia" w:hAnsi="宋体"/>
                <w:bCs/>
                <w:color w:val="auto"/>
                <w:highlight w:val="none"/>
              </w:rPr>
            </w:pPr>
            <w:r>
              <w:rPr>
                <w:rFonts w:hint="eastAsia"/>
                <w:color w:val="auto"/>
                <w:highlight w:val="none"/>
              </w:rPr>
              <w:t>三档（7分）：供应商提供的</w:t>
            </w:r>
            <w:r>
              <w:rPr>
                <w:rFonts w:hint="eastAsia" w:ascii="宋体" w:hAnsi="宋体" w:cs="宋体"/>
                <w:bCs/>
                <w:color w:val="auto"/>
                <w:szCs w:val="21"/>
                <w:highlight w:val="none"/>
              </w:rPr>
              <w:t>服务方案整体</w:t>
            </w:r>
            <w:r>
              <w:rPr>
                <w:rFonts w:hint="eastAsia" w:ascii="宋体" w:hAnsi="宋体"/>
                <w:bCs/>
                <w:color w:val="auto"/>
                <w:kern w:val="0"/>
                <w:szCs w:val="21"/>
                <w:highlight w:val="none"/>
              </w:rPr>
              <w:t>切合实际，方案内容详细，有详细具体的出险情况、赔付情况内容的。</w:t>
            </w:r>
          </w:p>
        </w:tc>
        <w:tc>
          <w:tcPr>
            <w:tcW w:w="851" w:type="dxa"/>
            <w:tcBorders>
              <w:top w:val="single" w:color="auto" w:sz="4" w:space="0"/>
              <w:left w:val="single" w:color="auto" w:sz="4" w:space="0"/>
              <w:bottom w:val="single" w:color="auto" w:sz="4" w:space="0"/>
              <w:right w:val="single" w:color="auto" w:sz="4" w:space="0"/>
            </w:tcBorders>
            <w:vAlign w:val="center"/>
          </w:tcPr>
          <w:p w14:paraId="75B9C25D">
            <w:pPr>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7分</w:t>
            </w:r>
          </w:p>
        </w:tc>
      </w:tr>
      <w:tr w14:paraId="590F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14681193">
            <w:pPr>
              <w:spacing w:line="360" w:lineRule="auto"/>
              <w:ind w:left="-105" w:leftChars="-50" w:right="-105" w:rightChars="-50"/>
              <w:jc w:val="center"/>
              <w:rPr>
                <w:rFonts w:hint="eastAsia" w:ascii="宋体" w:hAnsi="宋体"/>
                <w:bCs/>
                <w:color w:val="auto"/>
                <w:kern w:val="0"/>
                <w:szCs w:val="21"/>
                <w:highlight w:val="none"/>
              </w:rPr>
            </w:pPr>
            <w:r>
              <w:rPr>
                <w:rFonts w:hint="eastAsia" w:ascii="宋体" w:hAnsi="宋体"/>
                <w:bCs/>
                <w:color w:val="auto"/>
                <w:kern w:val="0"/>
                <w:szCs w:val="21"/>
                <w:highlight w:val="none"/>
              </w:rPr>
              <w:t>2.3</w:t>
            </w:r>
          </w:p>
        </w:tc>
        <w:tc>
          <w:tcPr>
            <w:tcW w:w="1418" w:type="dxa"/>
            <w:tcBorders>
              <w:top w:val="single" w:color="auto" w:sz="4" w:space="0"/>
              <w:left w:val="single" w:color="auto" w:sz="4" w:space="0"/>
              <w:bottom w:val="single" w:color="auto" w:sz="4" w:space="0"/>
              <w:right w:val="single" w:color="auto" w:sz="4" w:space="0"/>
            </w:tcBorders>
            <w:vAlign w:val="center"/>
          </w:tcPr>
          <w:p w14:paraId="7DA7E812">
            <w:pPr>
              <w:spacing w:line="360" w:lineRule="auto"/>
              <w:jc w:val="center"/>
              <w:rPr>
                <w:rFonts w:hint="eastAsia" w:ascii="宋体" w:hAnsi="宋体"/>
                <w:bCs/>
                <w:color w:val="auto"/>
                <w:kern w:val="0"/>
                <w:szCs w:val="21"/>
                <w:highlight w:val="none"/>
              </w:rPr>
            </w:pPr>
            <w:r>
              <w:rPr>
                <w:rFonts w:hint="eastAsia" w:ascii="宋体" w:hAnsi="宋体"/>
                <w:bCs/>
                <w:color w:val="auto"/>
                <w:kern w:val="0"/>
                <w:szCs w:val="21"/>
                <w:highlight w:val="none"/>
              </w:rPr>
              <w:t>增值服务分</w:t>
            </w:r>
          </w:p>
        </w:tc>
        <w:tc>
          <w:tcPr>
            <w:tcW w:w="6288" w:type="dxa"/>
            <w:tcBorders>
              <w:top w:val="single" w:color="auto" w:sz="4" w:space="0"/>
              <w:left w:val="single" w:color="auto" w:sz="4" w:space="0"/>
              <w:bottom w:val="single" w:color="auto" w:sz="4" w:space="0"/>
              <w:right w:val="single" w:color="auto" w:sz="4" w:space="0"/>
            </w:tcBorders>
            <w:vAlign w:val="center"/>
          </w:tcPr>
          <w:p w14:paraId="5C9A5824">
            <w:pPr>
              <w:spacing w:line="360" w:lineRule="auto"/>
              <w:rPr>
                <w:rFonts w:hint="eastAsia" w:ascii="Calibri" w:hAnsi="宋体" w:cs="Courier New"/>
                <w:bCs/>
                <w:color w:val="auto"/>
                <w:szCs w:val="20"/>
                <w:highlight w:val="none"/>
              </w:rPr>
            </w:pPr>
            <w:r>
              <w:rPr>
                <w:rFonts w:hint="eastAsia" w:ascii="Calibri" w:hAnsi="宋体" w:cs="Courier New"/>
                <w:bCs/>
                <w:color w:val="auto"/>
                <w:szCs w:val="20"/>
                <w:highlight w:val="none"/>
              </w:rPr>
              <w:t>由磋商小组成员根据下列标准进行独立评审，并独立打分。不入档不得分。</w:t>
            </w:r>
          </w:p>
          <w:p w14:paraId="04C49405">
            <w:pPr>
              <w:spacing w:line="360" w:lineRule="auto"/>
              <w:rPr>
                <w:rFonts w:hint="eastAsia" w:ascii="Calibri" w:hAnsi="宋体" w:cs="Courier New"/>
                <w:bCs/>
                <w:color w:val="auto"/>
                <w:szCs w:val="20"/>
                <w:highlight w:val="none"/>
              </w:rPr>
            </w:pPr>
            <w:r>
              <w:rPr>
                <w:rFonts w:hint="eastAsia" w:ascii="Calibri" w:hAnsi="宋体" w:cs="Courier New"/>
                <w:bCs/>
                <w:color w:val="auto"/>
                <w:szCs w:val="20"/>
                <w:highlight w:val="none"/>
              </w:rPr>
              <w:t>一档（1分）：增值服务方案不够全面且不够详细，有1项附加增值服务且被磋商小组接受的。</w:t>
            </w:r>
          </w:p>
          <w:p w14:paraId="2D2A751A">
            <w:pPr>
              <w:spacing w:line="360" w:lineRule="auto"/>
              <w:rPr>
                <w:rFonts w:hint="eastAsia" w:ascii="Calibri" w:hAnsi="宋体" w:cs="Courier New"/>
                <w:bCs/>
                <w:color w:val="auto"/>
                <w:szCs w:val="20"/>
                <w:highlight w:val="none"/>
              </w:rPr>
            </w:pPr>
            <w:r>
              <w:rPr>
                <w:rFonts w:hint="eastAsia" w:ascii="Calibri" w:hAnsi="宋体" w:cs="Courier New"/>
                <w:bCs/>
                <w:color w:val="auto"/>
                <w:szCs w:val="20"/>
                <w:highlight w:val="none"/>
              </w:rPr>
              <w:t>二档（3分）：增值服务方案合理且详细，有2-3项附加增值服务且被磋商小组接受的。</w:t>
            </w:r>
          </w:p>
          <w:p w14:paraId="1C9F99BD">
            <w:pPr>
              <w:pStyle w:val="16"/>
              <w:spacing w:line="360" w:lineRule="auto"/>
              <w:ind w:firstLine="0"/>
              <w:rPr>
                <w:rFonts w:hint="eastAsia" w:hAnsi="宋体" w:cs="Courier New"/>
                <w:bCs/>
                <w:color w:val="auto"/>
                <w:highlight w:val="none"/>
              </w:rPr>
            </w:pPr>
            <w:r>
              <w:rPr>
                <w:rFonts w:hint="eastAsia" w:ascii="Calibri" w:hAnsi="宋体" w:cs="Courier New"/>
                <w:bCs/>
                <w:color w:val="auto"/>
                <w:szCs w:val="24"/>
                <w:highlight w:val="none"/>
              </w:rPr>
              <w:t>三档（5分）：</w:t>
            </w:r>
            <w:r>
              <w:rPr>
                <w:rFonts w:hint="eastAsia" w:ascii="宋体" w:hAnsi="宋体" w:cs="宋体"/>
                <w:bCs/>
                <w:color w:val="auto"/>
                <w:szCs w:val="21"/>
                <w:highlight w:val="none"/>
              </w:rPr>
              <w:t>增值服务方案内容合理、详细、丰富、</w:t>
            </w:r>
            <w:r>
              <w:rPr>
                <w:color w:val="auto"/>
                <w:highlight w:val="none"/>
              </w:rPr>
              <w:t>可行性及针对性强</w:t>
            </w:r>
            <w:r>
              <w:rPr>
                <w:rFonts w:hint="eastAsia" w:ascii="宋体" w:hAnsi="宋体" w:cs="宋体"/>
                <w:bCs/>
                <w:color w:val="auto"/>
                <w:szCs w:val="21"/>
                <w:highlight w:val="none"/>
              </w:rPr>
              <w:t>，</w:t>
            </w:r>
            <w:r>
              <w:rPr>
                <w:rFonts w:hint="eastAsia" w:ascii="宋体" w:hAnsi="宋体" w:cs="宋体"/>
                <w:bCs/>
                <w:color w:val="auto"/>
                <w:kern w:val="0"/>
                <w:szCs w:val="21"/>
                <w:highlight w:val="none"/>
              </w:rPr>
              <w:t>有4项</w:t>
            </w:r>
            <w:r>
              <w:rPr>
                <w:rFonts w:hint="eastAsia" w:ascii="宋体" w:hAnsi="宋体" w:cs="宋体"/>
                <w:color w:val="auto"/>
                <w:kern w:val="0"/>
                <w:szCs w:val="21"/>
                <w:highlight w:val="none"/>
              </w:rPr>
              <w:t>及以上</w:t>
            </w:r>
            <w:r>
              <w:rPr>
                <w:rFonts w:hint="eastAsia" w:ascii="宋体" w:hAnsi="宋体" w:cs="宋体"/>
                <w:bCs/>
                <w:color w:val="auto"/>
                <w:kern w:val="0"/>
                <w:szCs w:val="21"/>
                <w:highlight w:val="none"/>
              </w:rPr>
              <w:t>附加增值服务且被磋商小组接受的</w:t>
            </w:r>
            <w:r>
              <w:rPr>
                <w:rFonts w:hint="eastAsia" w:ascii="宋体" w:hAnsi="宋体" w:cs="宋体"/>
                <w:color w:val="auto"/>
                <w:kern w:val="0"/>
                <w:szCs w:val="21"/>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14:paraId="0297EBD8">
            <w:pPr>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5分</w:t>
            </w:r>
          </w:p>
        </w:tc>
      </w:tr>
      <w:tr w14:paraId="7792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753FAF7F">
            <w:pPr>
              <w:spacing w:line="360" w:lineRule="auto"/>
              <w:ind w:left="-105" w:leftChars="-50" w:right="-105" w:rightChars="-50"/>
              <w:jc w:val="center"/>
              <w:rPr>
                <w:rFonts w:hint="eastAsia" w:ascii="宋体" w:hAnsi="宋体"/>
                <w:bCs/>
                <w:color w:val="auto"/>
                <w:kern w:val="0"/>
                <w:szCs w:val="21"/>
                <w:highlight w:val="none"/>
              </w:rPr>
            </w:pPr>
            <w:r>
              <w:rPr>
                <w:rFonts w:hint="eastAsia" w:ascii="宋体" w:hAnsi="宋体"/>
                <w:bCs/>
                <w:color w:val="auto"/>
                <w:kern w:val="0"/>
                <w:szCs w:val="21"/>
                <w:highlight w:val="none"/>
              </w:rPr>
              <w:t>2.4</w:t>
            </w:r>
          </w:p>
        </w:tc>
        <w:tc>
          <w:tcPr>
            <w:tcW w:w="1418" w:type="dxa"/>
            <w:tcBorders>
              <w:top w:val="single" w:color="auto" w:sz="4" w:space="0"/>
              <w:left w:val="single" w:color="auto" w:sz="4" w:space="0"/>
              <w:bottom w:val="single" w:color="auto" w:sz="4" w:space="0"/>
              <w:right w:val="single" w:color="auto" w:sz="4" w:space="0"/>
            </w:tcBorders>
            <w:vAlign w:val="center"/>
          </w:tcPr>
          <w:p w14:paraId="0C2EF9F5">
            <w:pPr>
              <w:spacing w:line="360" w:lineRule="auto"/>
              <w:jc w:val="center"/>
              <w:rPr>
                <w:rFonts w:hint="eastAsia" w:ascii="宋体" w:hAnsi="宋体" w:cs="Courier New"/>
                <w:bCs/>
                <w:color w:val="auto"/>
                <w:kern w:val="0"/>
                <w:szCs w:val="21"/>
                <w:highlight w:val="none"/>
              </w:rPr>
            </w:pPr>
            <w:r>
              <w:rPr>
                <w:rFonts w:hint="eastAsia" w:ascii="宋体" w:hAnsi="宋体" w:cs="Courier New"/>
                <w:bCs/>
                <w:color w:val="auto"/>
                <w:kern w:val="0"/>
                <w:szCs w:val="21"/>
                <w:highlight w:val="none"/>
              </w:rPr>
              <w:t>理赔争议解决方案</w:t>
            </w:r>
          </w:p>
        </w:tc>
        <w:tc>
          <w:tcPr>
            <w:tcW w:w="6288" w:type="dxa"/>
            <w:tcBorders>
              <w:top w:val="single" w:color="auto" w:sz="4" w:space="0"/>
              <w:left w:val="single" w:color="auto" w:sz="4" w:space="0"/>
              <w:bottom w:val="single" w:color="auto" w:sz="4" w:space="0"/>
              <w:right w:val="single" w:color="auto" w:sz="4" w:space="0"/>
            </w:tcBorders>
            <w:vAlign w:val="center"/>
          </w:tcPr>
          <w:p w14:paraId="4F154857">
            <w:pPr>
              <w:pStyle w:val="34"/>
              <w:spacing w:line="360" w:lineRule="auto"/>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由磋商小组成员根据下列标准进行独立评审，并独立打分。不入档不得分。</w:t>
            </w:r>
          </w:p>
          <w:p w14:paraId="3305A440">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一档（1分）：供应商提供的理赔争议解决方案有解决途径的；</w:t>
            </w:r>
          </w:p>
          <w:p w14:paraId="3B80BED6">
            <w:pPr>
              <w:pStyle w:val="16"/>
              <w:spacing w:line="360" w:lineRule="auto"/>
              <w:ind w:firstLine="0"/>
              <w:rPr>
                <w:rFonts w:hint="eastAsia"/>
                <w:color w:val="auto"/>
                <w:highlight w:val="none"/>
              </w:rPr>
            </w:pPr>
            <w:r>
              <w:rPr>
                <w:rFonts w:hint="eastAsia"/>
                <w:color w:val="auto"/>
                <w:highlight w:val="none"/>
              </w:rPr>
              <w:t>二档（2分）：供应商提供的理赔争议解决方案内容有相应的详细解决途径，有投诉处理方式、方法，符合采购人的实际需求；</w:t>
            </w:r>
          </w:p>
          <w:p w14:paraId="7B1CEC3C">
            <w:pPr>
              <w:pStyle w:val="16"/>
              <w:spacing w:line="360" w:lineRule="auto"/>
              <w:ind w:firstLine="0"/>
              <w:rPr>
                <w:rFonts w:hint="eastAsia"/>
                <w:color w:val="auto"/>
                <w:highlight w:val="none"/>
              </w:rPr>
            </w:pPr>
            <w:r>
              <w:rPr>
                <w:rFonts w:hint="eastAsia"/>
                <w:color w:val="auto"/>
                <w:highlight w:val="none"/>
              </w:rPr>
              <w:t>三档（3分）：供应商提供的理赔争议解决方案有详细的解决途径，有投诉处理方式、方法，方案描述清晰、详细的。</w:t>
            </w:r>
          </w:p>
        </w:tc>
        <w:tc>
          <w:tcPr>
            <w:tcW w:w="851" w:type="dxa"/>
            <w:tcBorders>
              <w:top w:val="single" w:color="auto" w:sz="4" w:space="0"/>
              <w:left w:val="single" w:color="auto" w:sz="4" w:space="0"/>
              <w:bottom w:val="single" w:color="auto" w:sz="4" w:space="0"/>
              <w:right w:val="single" w:color="auto" w:sz="4" w:space="0"/>
            </w:tcBorders>
            <w:vAlign w:val="center"/>
          </w:tcPr>
          <w:p w14:paraId="7790DB9C">
            <w:pPr>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3分</w:t>
            </w:r>
          </w:p>
        </w:tc>
      </w:tr>
      <w:tr w14:paraId="0C7B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7F28854C">
            <w:pPr>
              <w:spacing w:line="360" w:lineRule="auto"/>
              <w:ind w:left="-105" w:leftChars="-50" w:right="-105" w:rightChars="-50"/>
              <w:jc w:val="center"/>
              <w:rPr>
                <w:rFonts w:hint="eastAsia" w:ascii="宋体" w:hAnsi="宋体"/>
                <w:bCs/>
                <w:color w:val="auto"/>
                <w:kern w:val="0"/>
                <w:szCs w:val="21"/>
                <w:highlight w:val="none"/>
              </w:rPr>
            </w:pPr>
            <w:r>
              <w:rPr>
                <w:rFonts w:hint="eastAsia" w:ascii="宋体" w:hAnsi="宋体"/>
                <w:bCs/>
                <w:color w:val="auto"/>
                <w:kern w:val="0"/>
                <w:szCs w:val="21"/>
                <w:highlight w:val="none"/>
              </w:rPr>
              <w:t>2.5</w:t>
            </w:r>
          </w:p>
        </w:tc>
        <w:tc>
          <w:tcPr>
            <w:tcW w:w="1418" w:type="dxa"/>
            <w:tcBorders>
              <w:top w:val="single" w:color="auto" w:sz="4" w:space="0"/>
              <w:left w:val="single" w:color="auto" w:sz="4" w:space="0"/>
              <w:bottom w:val="single" w:color="auto" w:sz="4" w:space="0"/>
              <w:right w:val="single" w:color="auto" w:sz="4" w:space="0"/>
            </w:tcBorders>
            <w:vAlign w:val="center"/>
          </w:tcPr>
          <w:p w14:paraId="346585F8">
            <w:pPr>
              <w:spacing w:line="360" w:lineRule="auto"/>
              <w:jc w:val="center"/>
              <w:rPr>
                <w:rFonts w:ascii="宋体" w:hAnsi="宋体" w:cs="Courier New"/>
                <w:bCs/>
                <w:color w:val="auto"/>
                <w:kern w:val="0"/>
                <w:szCs w:val="21"/>
                <w:highlight w:val="none"/>
              </w:rPr>
            </w:pPr>
            <w:r>
              <w:rPr>
                <w:rFonts w:hint="eastAsia" w:ascii="宋体" w:hAnsi="宋体" w:cs="Courier New"/>
                <w:bCs/>
                <w:color w:val="auto"/>
                <w:kern w:val="0"/>
                <w:szCs w:val="21"/>
                <w:highlight w:val="none"/>
              </w:rPr>
              <w:t>服务人员能力分</w:t>
            </w:r>
          </w:p>
        </w:tc>
        <w:tc>
          <w:tcPr>
            <w:tcW w:w="6288" w:type="dxa"/>
            <w:tcBorders>
              <w:top w:val="single" w:color="auto" w:sz="4" w:space="0"/>
              <w:left w:val="single" w:color="auto" w:sz="4" w:space="0"/>
              <w:bottom w:val="single" w:color="auto" w:sz="4" w:space="0"/>
              <w:right w:val="single" w:color="auto" w:sz="4" w:space="0"/>
            </w:tcBorders>
            <w:vAlign w:val="center"/>
          </w:tcPr>
          <w:p w14:paraId="1D367D0D">
            <w:pPr>
              <w:pStyle w:val="34"/>
              <w:numPr>
                <w:ilvl w:val="0"/>
                <w:numId w:val="2"/>
              </w:numPr>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拟投入的服务团队人员中至少配置1名管理岗位人员，且人员至少有五年保险行业工作经验[</w:t>
            </w:r>
            <w:r>
              <w:rPr>
                <w:rFonts w:hint="eastAsia" w:hAnsi="宋体" w:cs="Courier New"/>
                <w:b/>
                <w:bCs/>
                <w:color w:val="auto"/>
                <w:kern w:val="2"/>
                <w:sz w:val="21"/>
                <w:highlight w:val="none"/>
                <w:lang w:val="en-US" w:eastAsia="zh-CN"/>
              </w:rPr>
              <w:t>注：响应文件中须提供个人工作经历证明材料（如社保证明或承诺等）作为评审依据，未提供证明材料或证明材料未体现评审信息的不予计分]</w:t>
            </w:r>
            <w:r>
              <w:rPr>
                <w:rFonts w:hint="eastAsia" w:hAnsi="宋体" w:cs="Courier New"/>
                <w:bCs/>
                <w:color w:val="auto"/>
                <w:kern w:val="2"/>
                <w:sz w:val="21"/>
                <w:highlight w:val="none"/>
                <w:lang w:val="en-US" w:eastAsia="zh-CN"/>
              </w:rPr>
              <w:t>，满足要求的得1分；</w:t>
            </w:r>
          </w:p>
          <w:p w14:paraId="7D1B866E">
            <w:pPr>
              <w:pStyle w:val="34"/>
              <w:spacing w:line="360" w:lineRule="auto"/>
              <w:rPr>
                <w:rFonts w:hint="eastAsia" w:hAnsi="宋体" w:cs="Courier New"/>
                <w:b/>
                <w:bCs/>
                <w:color w:val="auto"/>
                <w:kern w:val="2"/>
                <w:sz w:val="21"/>
                <w:highlight w:val="none"/>
                <w:lang w:val="en-US" w:eastAsia="zh-CN"/>
              </w:rPr>
            </w:pPr>
            <w:r>
              <w:rPr>
                <w:rFonts w:hint="eastAsia" w:hAnsi="宋体" w:cs="Courier New"/>
                <w:bCs/>
                <w:color w:val="auto"/>
                <w:kern w:val="2"/>
                <w:sz w:val="21"/>
                <w:highlight w:val="none"/>
                <w:lang w:val="en-US" w:eastAsia="zh-CN"/>
              </w:rPr>
              <w:t>2、拟投入的服务团队人员中（除管理岗位人员外），具有金融类专业毕业证书的，每有1人得1分，满分2分。</w:t>
            </w:r>
            <w:r>
              <w:rPr>
                <w:rFonts w:hint="eastAsia" w:hAnsi="宋体" w:cs="Courier New"/>
                <w:b/>
                <w:bCs/>
                <w:color w:val="auto"/>
                <w:kern w:val="2"/>
                <w:sz w:val="21"/>
                <w:highlight w:val="none"/>
                <w:lang w:val="en-US" w:eastAsia="zh-CN"/>
              </w:rPr>
              <w:t>(注:以供应商与团队人员劳动合同书或近三个月的社保或工资流水、毕业证书为评审依据，未提供证明材料或证明材料不齐全的该人员不予计分)</w:t>
            </w:r>
          </w:p>
          <w:p w14:paraId="3F35B9B8">
            <w:pPr>
              <w:pStyle w:val="34"/>
              <w:spacing w:line="360" w:lineRule="auto"/>
              <w:rPr>
                <w:rFonts w:hint="eastAsia" w:hAnsi="宋体" w:cs="Courier New"/>
                <w:bCs/>
                <w:color w:val="auto"/>
                <w:kern w:val="2"/>
                <w:sz w:val="21"/>
                <w:highlight w:val="none"/>
                <w:lang w:val="en-US" w:eastAsia="zh-CN"/>
              </w:rPr>
            </w:pPr>
            <w:r>
              <w:rPr>
                <w:rFonts w:hint="eastAsia" w:hAnsi="宋体" w:cs="Courier New"/>
                <w:b/>
                <w:bCs/>
                <w:color w:val="auto"/>
                <w:kern w:val="2"/>
                <w:sz w:val="21"/>
                <w:highlight w:val="none"/>
                <w:lang w:val="en-US" w:eastAsia="zh-CN"/>
              </w:rPr>
              <w:t>注：响应文件中须提供相关佐证材料并加盖供应商单位，否则不予计分。</w:t>
            </w:r>
          </w:p>
        </w:tc>
        <w:tc>
          <w:tcPr>
            <w:tcW w:w="851" w:type="dxa"/>
            <w:tcBorders>
              <w:top w:val="single" w:color="auto" w:sz="4" w:space="0"/>
              <w:left w:val="single" w:color="auto" w:sz="4" w:space="0"/>
              <w:bottom w:val="single" w:color="auto" w:sz="4" w:space="0"/>
              <w:right w:val="single" w:color="auto" w:sz="4" w:space="0"/>
            </w:tcBorders>
            <w:vAlign w:val="center"/>
          </w:tcPr>
          <w:p w14:paraId="043E9718">
            <w:pPr>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3分</w:t>
            </w:r>
          </w:p>
        </w:tc>
      </w:tr>
      <w:tr w14:paraId="30FA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24079811">
            <w:pPr>
              <w:spacing w:line="360" w:lineRule="auto"/>
              <w:ind w:left="-105" w:leftChars="-50" w:right="-105" w:rightChars="-50"/>
              <w:jc w:val="center"/>
              <w:rPr>
                <w:rFonts w:hint="eastAsia" w:ascii="宋体" w:hAnsi="宋体"/>
                <w:bCs/>
                <w:color w:val="auto"/>
                <w:kern w:val="0"/>
                <w:szCs w:val="21"/>
                <w:highlight w:val="none"/>
              </w:rPr>
            </w:pPr>
            <w:r>
              <w:rPr>
                <w:rFonts w:hint="eastAsia" w:ascii="宋体" w:hAnsi="宋体"/>
                <w:bCs/>
                <w:color w:val="auto"/>
                <w:kern w:val="0"/>
                <w:szCs w:val="21"/>
                <w:highlight w:val="none"/>
              </w:rPr>
              <w:t>2.6</w:t>
            </w:r>
          </w:p>
        </w:tc>
        <w:tc>
          <w:tcPr>
            <w:tcW w:w="1418" w:type="dxa"/>
            <w:tcBorders>
              <w:top w:val="single" w:color="auto" w:sz="4" w:space="0"/>
              <w:left w:val="single" w:color="auto" w:sz="4" w:space="0"/>
              <w:bottom w:val="single" w:color="auto" w:sz="4" w:space="0"/>
              <w:right w:val="single" w:color="auto" w:sz="4" w:space="0"/>
            </w:tcBorders>
            <w:vAlign w:val="center"/>
          </w:tcPr>
          <w:p w14:paraId="6D8BDF43">
            <w:pPr>
              <w:spacing w:line="360" w:lineRule="auto"/>
              <w:jc w:val="center"/>
              <w:rPr>
                <w:rFonts w:hint="eastAsia" w:ascii="宋体" w:hAnsi="宋体" w:cs="Courier New"/>
                <w:bCs/>
                <w:color w:val="auto"/>
                <w:kern w:val="0"/>
                <w:szCs w:val="21"/>
                <w:highlight w:val="none"/>
              </w:rPr>
            </w:pPr>
            <w:r>
              <w:rPr>
                <w:rFonts w:hint="eastAsia" w:ascii="宋体" w:hAnsi="宋体" w:cs="Courier New"/>
                <w:bCs/>
                <w:color w:val="auto"/>
                <w:kern w:val="0"/>
                <w:szCs w:val="21"/>
                <w:highlight w:val="none"/>
              </w:rPr>
              <w:t>理赔技术支持分</w:t>
            </w:r>
          </w:p>
        </w:tc>
        <w:tc>
          <w:tcPr>
            <w:tcW w:w="6288" w:type="dxa"/>
            <w:tcBorders>
              <w:top w:val="single" w:color="auto" w:sz="4" w:space="0"/>
              <w:left w:val="single" w:color="auto" w:sz="4" w:space="0"/>
              <w:bottom w:val="single" w:color="auto" w:sz="4" w:space="0"/>
              <w:right w:val="single" w:color="auto" w:sz="4" w:space="0"/>
            </w:tcBorders>
            <w:vAlign w:val="center"/>
          </w:tcPr>
          <w:p w14:paraId="01F3C2D4">
            <w:pPr>
              <w:pStyle w:val="34"/>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一档（1分）：理赔流程不够细化，采用以提交纸质材料为主的线下理赔模式。</w:t>
            </w:r>
          </w:p>
          <w:p w14:paraId="68D19CBA">
            <w:pPr>
              <w:pStyle w:val="34"/>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二档（2分）：理赔流程不够细化，在以提交纸质材料为主的线下理赔模式下增加线上自助理赔服务，可查询理赔进度。</w:t>
            </w:r>
          </w:p>
          <w:p w14:paraId="51634D65">
            <w:pPr>
              <w:pStyle w:val="34"/>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三档（3分）：能实现线下以及多渠道线上自助理赔，理赔平台、具有完善的相关功能，能保证客户资料的安全性、流程清晰快捷，赔付响应时效短，可快速支付理赔款，可查询理赔进度。</w:t>
            </w:r>
          </w:p>
          <w:p w14:paraId="4E234F9E">
            <w:pPr>
              <w:pStyle w:val="34"/>
              <w:spacing w:line="360" w:lineRule="auto"/>
              <w:rPr>
                <w:rFonts w:hint="eastAsia" w:hAnsi="宋体" w:cs="Courier New"/>
                <w:b/>
                <w:bCs/>
                <w:color w:val="auto"/>
                <w:kern w:val="2"/>
                <w:sz w:val="21"/>
                <w:highlight w:val="none"/>
                <w:lang w:val="en-US" w:eastAsia="zh-CN"/>
              </w:rPr>
            </w:pPr>
            <w:r>
              <w:rPr>
                <w:rFonts w:hint="eastAsia" w:hAnsi="宋体" w:cs="Courier New"/>
                <w:b/>
                <w:bCs/>
                <w:color w:val="auto"/>
                <w:kern w:val="2"/>
                <w:sz w:val="21"/>
                <w:highlight w:val="none"/>
                <w:lang w:val="en-US" w:eastAsia="zh-CN"/>
              </w:rPr>
              <w:t>注：供应商须在响应文件中提供自助理赔系统操作流程截图说明并加盖供应商单位电子签章，否则不予计分。</w:t>
            </w:r>
          </w:p>
        </w:tc>
        <w:tc>
          <w:tcPr>
            <w:tcW w:w="851" w:type="dxa"/>
            <w:tcBorders>
              <w:top w:val="single" w:color="auto" w:sz="4" w:space="0"/>
              <w:left w:val="single" w:color="auto" w:sz="4" w:space="0"/>
              <w:bottom w:val="single" w:color="auto" w:sz="4" w:space="0"/>
              <w:right w:val="single" w:color="auto" w:sz="4" w:space="0"/>
            </w:tcBorders>
            <w:vAlign w:val="center"/>
          </w:tcPr>
          <w:p w14:paraId="6591769E">
            <w:pPr>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3分</w:t>
            </w:r>
          </w:p>
        </w:tc>
      </w:tr>
      <w:tr w14:paraId="5FF3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028D85CB">
            <w:pPr>
              <w:spacing w:line="360" w:lineRule="auto"/>
              <w:ind w:left="-105" w:leftChars="-50" w:right="-105" w:rightChars="-50"/>
              <w:jc w:val="center"/>
              <w:rPr>
                <w:rFonts w:hint="eastAsia" w:ascii="宋体" w:hAnsi="宋体"/>
                <w:bCs/>
                <w:color w:val="auto"/>
                <w:kern w:val="0"/>
                <w:szCs w:val="21"/>
                <w:highlight w:val="none"/>
              </w:rPr>
            </w:pPr>
            <w:r>
              <w:rPr>
                <w:rFonts w:hint="eastAsia" w:ascii="宋体" w:hAnsi="宋体"/>
                <w:bCs/>
                <w:color w:val="auto"/>
                <w:kern w:val="0"/>
                <w:szCs w:val="21"/>
                <w:highlight w:val="none"/>
              </w:rPr>
              <w:t>2.7</w:t>
            </w:r>
          </w:p>
        </w:tc>
        <w:tc>
          <w:tcPr>
            <w:tcW w:w="1418" w:type="dxa"/>
            <w:tcBorders>
              <w:top w:val="single" w:color="auto" w:sz="4" w:space="0"/>
              <w:left w:val="single" w:color="auto" w:sz="4" w:space="0"/>
              <w:bottom w:val="single" w:color="auto" w:sz="4" w:space="0"/>
              <w:right w:val="single" w:color="auto" w:sz="4" w:space="0"/>
            </w:tcBorders>
            <w:vAlign w:val="center"/>
          </w:tcPr>
          <w:p w14:paraId="6F004D32">
            <w:pPr>
              <w:spacing w:line="360" w:lineRule="auto"/>
              <w:jc w:val="center"/>
              <w:rPr>
                <w:rFonts w:hint="eastAsia" w:ascii="宋体" w:hAnsi="宋体" w:cs="Courier New"/>
                <w:bCs/>
                <w:color w:val="auto"/>
                <w:kern w:val="0"/>
                <w:szCs w:val="21"/>
                <w:highlight w:val="none"/>
              </w:rPr>
            </w:pPr>
            <w:r>
              <w:rPr>
                <w:rFonts w:hint="eastAsia" w:ascii="宋体" w:hAnsi="宋体" w:cs="Courier New"/>
                <w:bCs/>
                <w:color w:val="auto"/>
                <w:kern w:val="0"/>
                <w:szCs w:val="21"/>
                <w:highlight w:val="none"/>
              </w:rPr>
              <w:t>增加被保险人理赔分</w:t>
            </w:r>
          </w:p>
        </w:tc>
        <w:tc>
          <w:tcPr>
            <w:tcW w:w="6288" w:type="dxa"/>
            <w:tcBorders>
              <w:top w:val="single" w:color="auto" w:sz="4" w:space="0"/>
              <w:left w:val="single" w:color="auto" w:sz="4" w:space="0"/>
              <w:bottom w:val="single" w:color="auto" w:sz="4" w:space="0"/>
              <w:right w:val="single" w:color="auto" w:sz="4" w:space="0"/>
            </w:tcBorders>
            <w:vAlign w:val="center"/>
          </w:tcPr>
          <w:p w14:paraId="70BDE643">
            <w:pPr>
              <w:pStyle w:val="34"/>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投保时除采购人提供的被保险人名单及数量外，采购人在保险期间内要求增加被保险人的，即使未在提供名单及数量内的，只要在保险期间增加的在册民警、警务辅助人员，也可以获得理赔。供应商承诺在现有承保人数的基础上，每多增加被保险人数50人得1分，满分6分。</w:t>
            </w:r>
          </w:p>
          <w:p w14:paraId="38CF9FEC">
            <w:pPr>
              <w:pStyle w:val="34"/>
              <w:spacing w:line="360" w:lineRule="auto"/>
              <w:rPr>
                <w:rFonts w:hint="eastAsia" w:hAnsi="宋体" w:cs="Courier New"/>
                <w:b/>
                <w:bCs/>
                <w:color w:val="auto"/>
                <w:kern w:val="2"/>
                <w:sz w:val="21"/>
                <w:highlight w:val="none"/>
                <w:lang w:val="en-US" w:eastAsia="zh-CN"/>
              </w:rPr>
            </w:pPr>
            <w:r>
              <w:rPr>
                <w:rFonts w:hint="eastAsia" w:hAnsi="宋体" w:cs="Courier New"/>
                <w:b/>
                <w:bCs/>
                <w:color w:val="auto"/>
                <w:kern w:val="2"/>
                <w:sz w:val="21"/>
                <w:highlight w:val="none"/>
                <w:lang w:val="en-US" w:eastAsia="zh-CN"/>
              </w:rPr>
              <w:t>注：供应商须在响应文件中提供相关承诺书，格式自拟，并加盖供应商单位电子签章，否则不予计分。</w:t>
            </w:r>
          </w:p>
        </w:tc>
        <w:tc>
          <w:tcPr>
            <w:tcW w:w="851" w:type="dxa"/>
            <w:tcBorders>
              <w:top w:val="single" w:color="auto" w:sz="4" w:space="0"/>
              <w:left w:val="single" w:color="auto" w:sz="4" w:space="0"/>
              <w:bottom w:val="single" w:color="auto" w:sz="4" w:space="0"/>
              <w:right w:val="single" w:color="auto" w:sz="4" w:space="0"/>
            </w:tcBorders>
            <w:vAlign w:val="center"/>
          </w:tcPr>
          <w:p w14:paraId="78E6CF01">
            <w:pPr>
              <w:spacing w:line="360" w:lineRule="auto"/>
              <w:jc w:val="center"/>
              <w:rPr>
                <w:rFonts w:hint="eastAsia" w:ascii="宋体" w:hAnsi="宋体" w:cs="Courier New"/>
                <w:bCs/>
                <w:color w:val="auto"/>
                <w:szCs w:val="21"/>
                <w:highlight w:val="none"/>
              </w:rPr>
            </w:pPr>
            <w:r>
              <w:rPr>
                <w:rFonts w:hint="eastAsia" w:ascii="宋体" w:hAnsi="宋体" w:cs="Courier New"/>
                <w:bCs/>
                <w:color w:val="auto"/>
                <w:kern w:val="0"/>
                <w:szCs w:val="21"/>
                <w:highlight w:val="none"/>
              </w:rPr>
              <w:t>6分</w:t>
            </w:r>
          </w:p>
        </w:tc>
      </w:tr>
      <w:tr w14:paraId="5900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386C1070">
            <w:pPr>
              <w:spacing w:line="360" w:lineRule="auto"/>
              <w:ind w:left="-105" w:leftChars="-50" w:right="-105" w:rightChars="-50"/>
              <w:jc w:val="center"/>
              <w:rPr>
                <w:rFonts w:hint="eastAsia" w:ascii="宋体" w:hAnsi="宋体"/>
                <w:bCs/>
                <w:color w:val="auto"/>
                <w:kern w:val="0"/>
                <w:szCs w:val="21"/>
                <w:highlight w:val="none"/>
              </w:rPr>
            </w:pPr>
            <w:r>
              <w:rPr>
                <w:rFonts w:hint="eastAsia" w:ascii="宋体" w:hAnsi="宋体"/>
                <w:bCs/>
                <w:color w:val="auto"/>
                <w:kern w:val="0"/>
                <w:szCs w:val="21"/>
                <w:highlight w:val="none"/>
              </w:rPr>
              <w:t>2.8</w:t>
            </w:r>
          </w:p>
        </w:tc>
        <w:tc>
          <w:tcPr>
            <w:tcW w:w="1418" w:type="dxa"/>
            <w:tcBorders>
              <w:top w:val="single" w:color="auto" w:sz="4" w:space="0"/>
              <w:left w:val="single" w:color="auto" w:sz="4" w:space="0"/>
              <w:bottom w:val="single" w:color="auto" w:sz="4" w:space="0"/>
              <w:right w:val="single" w:color="auto" w:sz="4" w:space="0"/>
            </w:tcBorders>
            <w:vAlign w:val="center"/>
          </w:tcPr>
          <w:p w14:paraId="2FA63126">
            <w:pPr>
              <w:spacing w:line="360" w:lineRule="auto"/>
              <w:jc w:val="center"/>
              <w:rPr>
                <w:rFonts w:hint="eastAsia" w:ascii="宋体" w:hAnsi="宋体" w:cs="Courier New"/>
                <w:bCs/>
                <w:color w:val="auto"/>
                <w:kern w:val="0"/>
                <w:szCs w:val="21"/>
                <w:highlight w:val="none"/>
              </w:rPr>
            </w:pPr>
            <w:r>
              <w:rPr>
                <w:rFonts w:hint="eastAsia" w:ascii="宋体" w:hAnsi="宋体" w:cs="Courier New"/>
                <w:bCs/>
                <w:color w:val="auto"/>
                <w:kern w:val="0"/>
                <w:szCs w:val="21"/>
                <w:highlight w:val="none"/>
              </w:rPr>
              <w:t>预付赔款服务分</w:t>
            </w:r>
          </w:p>
        </w:tc>
        <w:tc>
          <w:tcPr>
            <w:tcW w:w="6288" w:type="dxa"/>
            <w:tcBorders>
              <w:top w:val="single" w:color="auto" w:sz="4" w:space="0"/>
              <w:left w:val="single" w:color="auto" w:sz="4" w:space="0"/>
              <w:bottom w:val="single" w:color="auto" w:sz="4" w:space="0"/>
              <w:right w:val="single" w:color="auto" w:sz="4" w:space="0"/>
            </w:tcBorders>
            <w:vAlign w:val="center"/>
          </w:tcPr>
          <w:p w14:paraId="6297B1CA">
            <w:pPr>
              <w:pStyle w:val="34"/>
              <w:spacing w:line="360" w:lineRule="auto"/>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供应商对责任明确，且预估赔付金额在5万元（含）以上的理赔案件：</w:t>
            </w:r>
          </w:p>
          <w:p w14:paraId="07A07CDE">
            <w:pPr>
              <w:pStyle w:val="34"/>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一档（4分）：承诺按预估赔付金额的40%至45%（不含45%）进行预付赔款的；低于40%的不得分。</w:t>
            </w:r>
          </w:p>
          <w:p w14:paraId="495A4A26">
            <w:pPr>
              <w:pStyle w:val="34"/>
              <w:spacing w:line="360" w:lineRule="auto"/>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二档（6分）：承诺按预估赔付金额的45%至50%（不含50%）进行预付赔款的；</w:t>
            </w:r>
          </w:p>
          <w:p w14:paraId="7CA94980">
            <w:pPr>
              <w:pStyle w:val="34"/>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三档（8分）：承诺按预估赔付金额的50%及以上进行预付赔款的；</w:t>
            </w:r>
          </w:p>
          <w:p w14:paraId="3D49BC49">
            <w:pPr>
              <w:pStyle w:val="34"/>
              <w:spacing w:line="360" w:lineRule="auto"/>
              <w:rPr>
                <w:rFonts w:hint="eastAsia" w:hAnsi="宋体" w:cs="Courier New"/>
                <w:bCs/>
                <w:color w:val="auto"/>
                <w:kern w:val="2"/>
                <w:sz w:val="21"/>
                <w:highlight w:val="none"/>
                <w:lang w:val="en-US" w:eastAsia="zh-CN"/>
              </w:rPr>
            </w:pPr>
            <w:r>
              <w:rPr>
                <w:rFonts w:hint="eastAsia" w:hAnsi="宋体" w:cs="Courier New"/>
                <w:b/>
                <w:bCs/>
                <w:color w:val="auto"/>
                <w:kern w:val="2"/>
                <w:sz w:val="21"/>
                <w:highlight w:val="none"/>
                <w:lang w:val="en-US" w:eastAsia="zh-CN"/>
              </w:rPr>
              <w:t>注：供应商须在响应文件中提供承诺书，格式自拟，并加盖供应商单位电子签章，否则不予计分。</w:t>
            </w:r>
          </w:p>
        </w:tc>
        <w:tc>
          <w:tcPr>
            <w:tcW w:w="851" w:type="dxa"/>
            <w:tcBorders>
              <w:top w:val="single" w:color="auto" w:sz="4" w:space="0"/>
              <w:left w:val="single" w:color="auto" w:sz="4" w:space="0"/>
              <w:bottom w:val="single" w:color="auto" w:sz="4" w:space="0"/>
              <w:right w:val="single" w:color="auto" w:sz="4" w:space="0"/>
            </w:tcBorders>
            <w:vAlign w:val="center"/>
          </w:tcPr>
          <w:p w14:paraId="1CDE5314">
            <w:pPr>
              <w:spacing w:line="360" w:lineRule="auto"/>
              <w:jc w:val="center"/>
              <w:rPr>
                <w:rFonts w:hint="eastAsia" w:ascii="宋体" w:hAnsi="宋体" w:cs="Courier New"/>
                <w:bCs/>
                <w:color w:val="auto"/>
                <w:kern w:val="0"/>
                <w:szCs w:val="21"/>
                <w:highlight w:val="none"/>
              </w:rPr>
            </w:pPr>
            <w:r>
              <w:rPr>
                <w:rFonts w:hint="eastAsia" w:ascii="宋体" w:hAnsi="宋体" w:cs="Courier New"/>
                <w:bCs/>
                <w:color w:val="auto"/>
                <w:kern w:val="0"/>
                <w:szCs w:val="21"/>
                <w:highlight w:val="none"/>
                <w:lang w:val="en-US" w:eastAsia="zh-CN"/>
              </w:rPr>
              <w:t>8</w:t>
            </w:r>
            <w:r>
              <w:rPr>
                <w:rFonts w:hint="eastAsia" w:ascii="宋体" w:hAnsi="宋体" w:cs="Courier New"/>
                <w:bCs/>
                <w:color w:val="auto"/>
                <w:kern w:val="0"/>
                <w:szCs w:val="21"/>
                <w:highlight w:val="none"/>
              </w:rPr>
              <w:t>分</w:t>
            </w:r>
          </w:p>
        </w:tc>
      </w:tr>
      <w:tr w14:paraId="403F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5BC0F098">
            <w:pPr>
              <w:spacing w:line="360" w:lineRule="auto"/>
              <w:ind w:left="-105" w:leftChars="-50" w:right="-105" w:rightChars="-50"/>
              <w:jc w:val="center"/>
              <w:rPr>
                <w:rFonts w:hint="eastAsia" w:ascii="宋体" w:hAnsi="宋体"/>
                <w:bCs/>
                <w:color w:val="auto"/>
                <w:kern w:val="0"/>
                <w:szCs w:val="21"/>
                <w:highlight w:val="none"/>
              </w:rPr>
            </w:pPr>
            <w:r>
              <w:rPr>
                <w:rFonts w:hint="eastAsia" w:ascii="宋体" w:hAnsi="宋体"/>
                <w:bCs/>
                <w:color w:val="auto"/>
                <w:kern w:val="0"/>
                <w:szCs w:val="21"/>
                <w:highlight w:val="none"/>
              </w:rPr>
              <w:t>2.9</w:t>
            </w:r>
          </w:p>
        </w:tc>
        <w:tc>
          <w:tcPr>
            <w:tcW w:w="1418" w:type="dxa"/>
            <w:tcBorders>
              <w:top w:val="single" w:color="auto" w:sz="4" w:space="0"/>
              <w:left w:val="single" w:color="auto" w:sz="4" w:space="0"/>
              <w:bottom w:val="single" w:color="auto" w:sz="4" w:space="0"/>
              <w:right w:val="single" w:color="auto" w:sz="4" w:space="0"/>
            </w:tcBorders>
            <w:vAlign w:val="center"/>
          </w:tcPr>
          <w:p w14:paraId="0ED407DD">
            <w:pPr>
              <w:spacing w:line="360" w:lineRule="auto"/>
              <w:jc w:val="center"/>
              <w:rPr>
                <w:rFonts w:hint="eastAsia" w:ascii="宋体" w:hAnsi="宋体" w:cs="Courier New"/>
                <w:bCs/>
                <w:color w:val="auto"/>
                <w:kern w:val="0"/>
                <w:szCs w:val="21"/>
                <w:highlight w:val="none"/>
              </w:rPr>
            </w:pPr>
            <w:r>
              <w:rPr>
                <w:rFonts w:hint="eastAsia" w:ascii="宋体" w:hAnsi="宋体" w:cs="Courier New"/>
                <w:bCs/>
                <w:color w:val="auto"/>
                <w:kern w:val="0"/>
                <w:szCs w:val="21"/>
                <w:highlight w:val="none"/>
              </w:rPr>
              <w:t>赔案理赔时间分</w:t>
            </w:r>
          </w:p>
        </w:tc>
        <w:tc>
          <w:tcPr>
            <w:tcW w:w="6288" w:type="dxa"/>
            <w:tcBorders>
              <w:top w:val="single" w:color="auto" w:sz="4" w:space="0"/>
              <w:left w:val="single" w:color="auto" w:sz="4" w:space="0"/>
              <w:bottom w:val="single" w:color="auto" w:sz="4" w:space="0"/>
              <w:right w:val="single" w:color="auto" w:sz="4" w:space="0"/>
            </w:tcBorders>
            <w:vAlign w:val="center"/>
          </w:tcPr>
          <w:p w14:paraId="71BE0089">
            <w:pPr>
              <w:pStyle w:val="34"/>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一档（3分）：供应商承诺赔款金额在5万元以下的（不含），在9个工作日内处理赔付完；赔款金额在5万元以上的（含），在14个工作日内处理赔付完；如情形无法确定是否属于保险责任的，在19个工作日内作出核定告知采购人及被保险人或者受益人。</w:t>
            </w:r>
          </w:p>
          <w:p w14:paraId="2320695C">
            <w:pPr>
              <w:pStyle w:val="34"/>
              <w:spacing w:line="360" w:lineRule="auto"/>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二档（6分）：供应商承诺赔款金额在5万元以下的（不含），在7个工作日内处理赔付完；赔款金额在5万元以上的（含），在12个工作日内处理赔付完；如情形无法确定是否属于保险责任的，在17个工作日内作出核定告知采购人及被保险人或者受益人。</w:t>
            </w:r>
          </w:p>
          <w:p w14:paraId="10FA9837">
            <w:pPr>
              <w:pStyle w:val="34"/>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三档（9分）：供应商承诺赔款金额在5万元以下的（不含），在5个工作日内处理赔付完；赔款金额在5万元以上的（含），在10个工作日内处理赔付完；如情形无法确定是否属于保险责任的，在15个工作日内作出核定告知采购人及被保险人或者受益人。</w:t>
            </w:r>
          </w:p>
          <w:p w14:paraId="7668E163">
            <w:pPr>
              <w:pStyle w:val="34"/>
              <w:spacing w:line="360" w:lineRule="auto"/>
              <w:rPr>
                <w:rFonts w:hAnsi="宋体" w:cs="Courier New"/>
                <w:bCs/>
                <w:color w:val="auto"/>
                <w:kern w:val="2"/>
                <w:sz w:val="21"/>
                <w:highlight w:val="none"/>
                <w:lang w:val="en-US" w:eastAsia="zh-CN"/>
              </w:rPr>
            </w:pPr>
            <w:r>
              <w:rPr>
                <w:rFonts w:hint="eastAsia" w:hAnsi="宋体" w:cs="Courier New"/>
                <w:b/>
                <w:bCs/>
                <w:color w:val="auto"/>
                <w:kern w:val="2"/>
                <w:sz w:val="21"/>
                <w:highlight w:val="none"/>
                <w:lang w:val="en-US" w:eastAsia="zh-CN"/>
              </w:rPr>
              <w:t>注：供应商须在响应文件中提供承诺书，格式自拟，并加盖供应商单位电子签章，否则不予计分。</w:t>
            </w:r>
          </w:p>
        </w:tc>
        <w:tc>
          <w:tcPr>
            <w:tcW w:w="851" w:type="dxa"/>
            <w:tcBorders>
              <w:top w:val="single" w:color="auto" w:sz="4" w:space="0"/>
              <w:left w:val="single" w:color="auto" w:sz="4" w:space="0"/>
              <w:bottom w:val="single" w:color="auto" w:sz="4" w:space="0"/>
              <w:right w:val="single" w:color="auto" w:sz="4" w:space="0"/>
            </w:tcBorders>
            <w:vAlign w:val="center"/>
          </w:tcPr>
          <w:p w14:paraId="2E7447B6">
            <w:pPr>
              <w:spacing w:line="360" w:lineRule="auto"/>
              <w:jc w:val="center"/>
              <w:rPr>
                <w:rFonts w:hint="eastAsia" w:ascii="宋体" w:hAnsi="宋体" w:cs="Courier New"/>
                <w:bCs/>
                <w:color w:val="auto"/>
                <w:kern w:val="0"/>
                <w:szCs w:val="21"/>
                <w:highlight w:val="none"/>
              </w:rPr>
            </w:pPr>
            <w:r>
              <w:rPr>
                <w:rFonts w:hint="eastAsia" w:ascii="宋体" w:hAnsi="宋体" w:cs="Courier New"/>
                <w:bCs/>
                <w:color w:val="auto"/>
                <w:kern w:val="0"/>
                <w:szCs w:val="21"/>
                <w:highlight w:val="none"/>
              </w:rPr>
              <w:t>9分</w:t>
            </w:r>
          </w:p>
        </w:tc>
      </w:tr>
      <w:tr w14:paraId="2DB7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570B2EBD">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3</w:t>
            </w:r>
          </w:p>
        </w:tc>
        <w:tc>
          <w:tcPr>
            <w:tcW w:w="1418" w:type="dxa"/>
            <w:tcBorders>
              <w:top w:val="single" w:color="auto" w:sz="4" w:space="0"/>
              <w:left w:val="single" w:color="auto" w:sz="4" w:space="0"/>
              <w:bottom w:val="single" w:color="auto" w:sz="4" w:space="0"/>
              <w:right w:val="single" w:color="auto" w:sz="4" w:space="0"/>
            </w:tcBorders>
            <w:vAlign w:val="center"/>
          </w:tcPr>
          <w:p w14:paraId="7EDB6BF1">
            <w:pPr>
              <w:widowControl/>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商务分</w:t>
            </w:r>
          </w:p>
        </w:tc>
        <w:tc>
          <w:tcPr>
            <w:tcW w:w="7139" w:type="dxa"/>
            <w:gridSpan w:val="2"/>
            <w:tcBorders>
              <w:top w:val="single" w:color="auto" w:sz="4" w:space="0"/>
              <w:left w:val="single" w:color="auto" w:sz="4" w:space="0"/>
              <w:bottom w:val="single" w:color="auto" w:sz="4" w:space="0"/>
              <w:right w:val="single" w:color="auto" w:sz="4" w:space="0"/>
            </w:tcBorders>
            <w:vAlign w:val="center"/>
          </w:tcPr>
          <w:p w14:paraId="7455EF31">
            <w:pPr>
              <w:widowControl/>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评审因素</w:t>
            </w:r>
          </w:p>
        </w:tc>
      </w:tr>
      <w:tr w14:paraId="4FCA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32CFB285">
            <w:pPr>
              <w:spacing w:line="360" w:lineRule="auto"/>
              <w:jc w:val="center"/>
              <w:rPr>
                <w:rFonts w:hint="eastAsia" w:ascii="宋体" w:hAnsi="宋体" w:cs="Tahoma"/>
                <w:color w:val="auto"/>
                <w:kern w:val="0"/>
                <w:szCs w:val="21"/>
                <w:highlight w:val="none"/>
              </w:rPr>
            </w:pPr>
            <w:r>
              <w:rPr>
                <w:rFonts w:ascii="宋体" w:hAnsi="宋体" w:cs="Tahoma"/>
                <w:color w:val="auto"/>
                <w:kern w:val="0"/>
                <w:szCs w:val="21"/>
                <w:highlight w:val="none"/>
              </w:rPr>
              <w:t>3.</w:t>
            </w:r>
            <w:r>
              <w:rPr>
                <w:rFonts w:hint="eastAsia" w:ascii="宋体" w:hAnsi="宋体" w:cs="Tahoma"/>
                <w:color w:val="auto"/>
                <w:kern w:val="0"/>
                <w:szCs w:val="21"/>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3F8F57FD">
            <w:pPr>
              <w:widowControl/>
              <w:spacing w:line="360" w:lineRule="auto"/>
              <w:jc w:val="center"/>
              <w:rPr>
                <w:rFonts w:hint="eastAsia" w:ascii="宋体" w:hAnsi="宋体" w:cs="Courier New"/>
                <w:bCs/>
                <w:color w:val="auto"/>
                <w:kern w:val="0"/>
                <w:szCs w:val="21"/>
                <w:highlight w:val="none"/>
              </w:rPr>
            </w:pPr>
            <w:r>
              <w:rPr>
                <w:rFonts w:hint="eastAsia" w:ascii="宋体" w:hAnsi="宋体" w:cs="Courier New"/>
                <w:bCs/>
                <w:color w:val="auto"/>
                <w:kern w:val="0"/>
                <w:szCs w:val="21"/>
                <w:highlight w:val="none"/>
              </w:rPr>
              <w:t>企业偿付能力分</w:t>
            </w:r>
          </w:p>
        </w:tc>
        <w:tc>
          <w:tcPr>
            <w:tcW w:w="6288" w:type="dxa"/>
            <w:tcBorders>
              <w:top w:val="single" w:color="auto" w:sz="4" w:space="0"/>
              <w:left w:val="single" w:color="auto" w:sz="4" w:space="0"/>
              <w:bottom w:val="single" w:color="auto" w:sz="4" w:space="0"/>
              <w:right w:val="single" w:color="auto" w:sz="4" w:space="0"/>
            </w:tcBorders>
            <w:vAlign w:val="top"/>
          </w:tcPr>
          <w:p w14:paraId="64220654">
            <w:pPr>
              <w:pStyle w:val="16"/>
              <w:spacing w:line="360" w:lineRule="auto"/>
              <w:ind w:firstLine="0"/>
              <w:rPr>
                <w:rFonts w:hint="eastAsia"/>
                <w:color w:val="auto"/>
                <w:highlight w:val="none"/>
              </w:rPr>
            </w:pPr>
            <w:r>
              <w:rPr>
                <w:rFonts w:hint="eastAsia"/>
                <w:color w:val="auto"/>
                <w:highlight w:val="none"/>
              </w:rPr>
              <w:t>一档（4分）：综合偿付能力充足率小于100%，得4分。</w:t>
            </w:r>
          </w:p>
          <w:p w14:paraId="2246F24E">
            <w:pPr>
              <w:pStyle w:val="16"/>
              <w:spacing w:line="360" w:lineRule="auto"/>
              <w:ind w:firstLine="0"/>
              <w:rPr>
                <w:rFonts w:hint="eastAsia"/>
                <w:color w:val="auto"/>
                <w:highlight w:val="none"/>
              </w:rPr>
            </w:pPr>
            <w:r>
              <w:rPr>
                <w:rFonts w:hint="eastAsia"/>
                <w:color w:val="auto"/>
                <w:highlight w:val="none"/>
              </w:rPr>
              <w:t>二档（8分）：综合偿付能力充足率大于等于100%，小于200%的，得8分。</w:t>
            </w:r>
          </w:p>
          <w:p w14:paraId="1D383E39">
            <w:pPr>
              <w:pStyle w:val="16"/>
              <w:spacing w:line="360" w:lineRule="auto"/>
              <w:ind w:firstLine="0"/>
              <w:rPr>
                <w:rFonts w:hint="eastAsia"/>
                <w:color w:val="auto"/>
                <w:highlight w:val="none"/>
              </w:rPr>
            </w:pPr>
            <w:r>
              <w:rPr>
                <w:rFonts w:hint="eastAsia"/>
                <w:color w:val="auto"/>
                <w:highlight w:val="none"/>
              </w:rPr>
              <w:t>三档（12分）：综合偿付能力充足率大于等于200%，得12分。</w:t>
            </w:r>
          </w:p>
          <w:p w14:paraId="04F367C0">
            <w:pPr>
              <w:pStyle w:val="16"/>
              <w:spacing w:line="360" w:lineRule="auto"/>
              <w:ind w:firstLine="0"/>
              <w:rPr>
                <w:rFonts w:hint="eastAsia"/>
                <w:b/>
                <w:color w:val="auto"/>
                <w:highlight w:val="none"/>
              </w:rPr>
            </w:pPr>
            <w:r>
              <w:rPr>
                <w:rFonts w:hint="eastAsia"/>
                <w:b/>
                <w:color w:val="auto"/>
                <w:highlight w:val="none"/>
              </w:rPr>
              <w:t>注：供应商响应文件中须提供至响应文件递交截止时间止最新的已报送中国保监会审查的经审计的偿付能力报告复印件并加盖供应商单位电子签章</w:t>
            </w:r>
            <w:r>
              <w:rPr>
                <w:rFonts w:hint="eastAsia"/>
                <w:b/>
                <w:color w:val="auto"/>
                <w:highlight w:val="none"/>
                <w:lang w:eastAsia="zh-CN"/>
              </w:rPr>
              <w:t>（分公司竞标时则提供其总公司的）</w:t>
            </w:r>
            <w:r>
              <w:rPr>
                <w:rFonts w:hint="eastAsia"/>
                <w:b/>
                <w:color w:val="auto"/>
                <w:highlight w:val="none"/>
              </w:rPr>
              <w:t>，否则不予计分。</w:t>
            </w:r>
          </w:p>
        </w:tc>
        <w:tc>
          <w:tcPr>
            <w:tcW w:w="851" w:type="dxa"/>
            <w:tcBorders>
              <w:top w:val="single" w:color="auto" w:sz="4" w:space="0"/>
              <w:left w:val="single" w:color="auto" w:sz="4" w:space="0"/>
              <w:bottom w:val="single" w:color="auto" w:sz="4" w:space="0"/>
              <w:right w:val="single" w:color="auto" w:sz="4" w:space="0"/>
            </w:tcBorders>
            <w:vAlign w:val="center"/>
          </w:tcPr>
          <w:p w14:paraId="0F78E2A4">
            <w:pPr>
              <w:widowControl/>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12分</w:t>
            </w:r>
          </w:p>
        </w:tc>
      </w:tr>
      <w:tr w14:paraId="71C0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1E4C2D9D">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3.2</w:t>
            </w:r>
          </w:p>
        </w:tc>
        <w:tc>
          <w:tcPr>
            <w:tcW w:w="1418" w:type="dxa"/>
            <w:tcBorders>
              <w:top w:val="single" w:color="auto" w:sz="4" w:space="0"/>
              <w:left w:val="single" w:color="auto" w:sz="4" w:space="0"/>
              <w:bottom w:val="single" w:color="auto" w:sz="4" w:space="0"/>
              <w:right w:val="single" w:color="auto" w:sz="4" w:space="0"/>
            </w:tcBorders>
            <w:vAlign w:val="center"/>
          </w:tcPr>
          <w:p w14:paraId="6BABABD8">
            <w:pPr>
              <w:widowControl/>
              <w:spacing w:line="360" w:lineRule="auto"/>
              <w:jc w:val="center"/>
              <w:rPr>
                <w:rFonts w:hint="eastAsia" w:ascii="宋体" w:hAnsi="宋体" w:cs="Courier New"/>
                <w:bCs/>
                <w:color w:val="auto"/>
                <w:szCs w:val="21"/>
                <w:highlight w:val="none"/>
              </w:rPr>
            </w:pPr>
            <w:r>
              <w:rPr>
                <w:rFonts w:hint="eastAsia" w:ascii="宋体" w:hAnsi="宋体" w:cs="Courier New"/>
                <w:bCs/>
                <w:color w:val="auto"/>
                <w:kern w:val="0"/>
                <w:szCs w:val="21"/>
                <w:highlight w:val="none"/>
              </w:rPr>
              <w:t>分类监管情况</w:t>
            </w:r>
          </w:p>
        </w:tc>
        <w:tc>
          <w:tcPr>
            <w:tcW w:w="6288" w:type="dxa"/>
            <w:tcBorders>
              <w:top w:val="single" w:color="auto" w:sz="4" w:space="0"/>
              <w:left w:val="single" w:color="auto" w:sz="4" w:space="0"/>
              <w:bottom w:val="single" w:color="auto" w:sz="4" w:space="0"/>
              <w:right w:val="single" w:color="auto" w:sz="4" w:space="0"/>
            </w:tcBorders>
            <w:vAlign w:val="top"/>
          </w:tcPr>
          <w:p w14:paraId="4E199203">
            <w:pPr>
              <w:spacing w:line="360" w:lineRule="auto"/>
              <w:rPr>
                <w:rFonts w:hint="eastAsia" w:ascii="宋体" w:hAnsi="宋体" w:cs="Courier New"/>
                <w:bCs/>
                <w:color w:val="auto"/>
                <w:szCs w:val="21"/>
                <w:highlight w:val="none"/>
              </w:rPr>
            </w:pPr>
            <w:r>
              <w:rPr>
                <w:rFonts w:hint="eastAsia" w:ascii="宋体" w:hAnsi="宋体" w:cs="Courier New"/>
                <w:bCs/>
                <w:color w:val="auto"/>
                <w:szCs w:val="21"/>
                <w:highlight w:val="none"/>
              </w:rPr>
              <w:t>一档（4分）：供应商202</w:t>
            </w:r>
            <w:r>
              <w:rPr>
                <w:rFonts w:hint="eastAsia" w:ascii="宋体" w:hAnsi="宋体" w:cs="Courier New"/>
                <w:bCs/>
                <w:color w:val="auto"/>
                <w:szCs w:val="21"/>
                <w:highlight w:val="none"/>
                <w:lang w:val="en-US" w:eastAsia="zh-CN"/>
              </w:rPr>
              <w:t>5</w:t>
            </w:r>
            <w:r>
              <w:rPr>
                <w:rFonts w:hint="eastAsia" w:ascii="宋体" w:hAnsi="宋体" w:cs="Courier New"/>
                <w:bCs/>
                <w:color w:val="auto"/>
                <w:szCs w:val="21"/>
                <w:highlight w:val="none"/>
              </w:rPr>
              <w:t>年度的风险综合评级为C类及以下的得4分；</w:t>
            </w:r>
          </w:p>
          <w:p w14:paraId="66DA444E">
            <w:pPr>
              <w:spacing w:line="360" w:lineRule="auto"/>
              <w:rPr>
                <w:rFonts w:hint="eastAsia" w:ascii="宋体" w:hAnsi="宋体" w:cs="Courier New"/>
                <w:bCs/>
                <w:color w:val="auto"/>
                <w:szCs w:val="21"/>
                <w:highlight w:val="none"/>
              </w:rPr>
            </w:pPr>
            <w:r>
              <w:rPr>
                <w:rFonts w:hint="eastAsia" w:ascii="宋体" w:hAnsi="宋体" w:cs="Courier New"/>
                <w:bCs/>
                <w:color w:val="auto"/>
                <w:szCs w:val="21"/>
                <w:highlight w:val="none"/>
              </w:rPr>
              <w:t>二档（8分）：供应商202</w:t>
            </w:r>
            <w:r>
              <w:rPr>
                <w:rFonts w:hint="eastAsia" w:ascii="宋体" w:hAnsi="宋体" w:cs="Courier New"/>
                <w:bCs/>
                <w:color w:val="auto"/>
                <w:szCs w:val="21"/>
                <w:highlight w:val="none"/>
                <w:lang w:val="en-US" w:eastAsia="zh-CN"/>
              </w:rPr>
              <w:t>5</w:t>
            </w:r>
            <w:r>
              <w:rPr>
                <w:rFonts w:hint="eastAsia" w:ascii="宋体" w:hAnsi="宋体" w:cs="Courier New"/>
                <w:bCs/>
                <w:color w:val="auto"/>
                <w:szCs w:val="21"/>
                <w:highlight w:val="none"/>
              </w:rPr>
              <w:t>年度的风险综合评级为B类的得8分；</w:t>
            </w:r>
          </w:p>
          <w:p w14:paraId="61C9460C">
            <w:pPr>
              <w:spacing w:line="360" w:lineRule="auto"/>
              <w:rPr>
                <w:rFonts w:hint="eastAsia" w:ascii="宋体" w:hAnsi="宋体" w:cs="Courier New"/>
                <w:bCs/>
                <w:color w:val="auto"/>
                <w:szCs w:val="21"/>
                <w:highlight w:val="none"/>
              </w:rPr>
            </w:pPr>
            <w:r>
              <w:rPr>
                <w:rFonts w:hint="eastAsia" w:ascii="宋体" w:hAnsi="宋体" w:cs="Courier New"/>
                <w:bCs/>
                <w:color w:val="auto"/>
                <w:szCs w:val="21"/>
                <w:highlight w:val="none"/>
              </w:rPr>
              <w:t>三档（12分）：供应商202</w:t>
            </w:r>
            <w:r>
              <w:rPr>
                <w:rFonts w:hint="eastAsia" w:ascii="宋体" w:hAnsi="宋体" w:cs="Courier New"/>
                <w:bCs/>
                <w:color w:val="auto"/>
                <w:szCs w:val="21"/>
                <w:highlight w:val="none"/>
                <w:lang w:val="en-US" w:eastAsia="zh-CN"/>
              </w:rPr>
              <w:t>5</w:t>
            </w:r>
            <w:r>
              <w:rPr>
                <w:rFonts w:hint="eastAsia" w:ascii="宋体" w:hAnsi="宋体" w:cs="Courier New"/>
                <w:bCs/>
                <w:color w:val="auto"/>
                <w:szCs w:val="21"/>
                <w:highlight w:val="none"/>
              </w:rPr>
              <w:t>年度的风险综合评级为A类的得12分。</w:t>
            </w:r>
          </w:p>
          <w:p w14:paraId="64752DAB">
            <w:pPr>
              <w:spacing w:line="360" w:lineRule="auto"/>
              <w:rPr>
                <w:rFonts w:hint="eastAsia" w:ascii="宋体" w:hAnsi="宋体" w:cs="Courier New"/>
                <w:b/>
                <w:bCs/>
                <w:color w:val="auto"/>
                <w:szCs w:val="21"/>
                <w:highlight w:val="none"/>
              </w:rPr>
            </w:pPr>
            <w:r>
              <w:rPr>
                <w:rFonts w:hint="eastAsia" w:ascii="宋体" w:hAnsi="宋体" w:cs="Courier New"/>
                <w:b/>
                <w:bCs/>
                <w:color w:val="auto"/>
                <w:szCs w:val="21"/>
                <w:highlight w:val="none"/>
              </w:rPr>
              <w:t>注：供应商响应文件中须提供保险监管部门对供应商分类监管结果的通知文件复印件或保险监管部门偿二代监管信息系统发布信息页面截图作为证明材料并加盖供应商单位电子签章</w:t>
            </w:r>
            <w:r>
              <w:rPr>
                <w:rFonts w:hint="eastAsia"/>
                <w:b/>
                <w:color w:val="auto"/>
                <w:highlight w:val="none"/>
                <w:lang w:eastAsia="zh-CN"/>
              </w:rPr>
              <w:t>（分公司竞标时则提供其总公司的</w:t>
            </w:r>
            <w:bookmarkStart w:id="80" w:name="_GoBack"/>
            <w:bookmarkEnd w:id="80"/>
            <w:r>
              <w:rPr>
                <w:rFonts w:hint="eastAsia"/>
                <w:b/>
                <w:color w:val="auto"/>
                <w:highlight w:val="none"/>
                <w:lang w:eastAsia="zh-CN"/>
              </w:rPr>
              <w:t>）</w:t>
            </w:r>
            <w:r>
              <w:rPr>
                <w:rFonts w:hint="eastAsia" w:ascii="宋体" w:hAnsi="宋体" w:cs="Courier New"/>
                <w:b/>
                <w:bCs/>
                <w:color w:val="auto"/>
                <w:szCs w:val="21"/>
                <w:highlight w:val="none"/>
              </w:rPr>
              <w:t>，否则不予计分。</w:t>
            </w:r>
          </w:p>
        </w:tc>
        <w:tc>
          <w:tcPr>
            <w:tcW w:w="851" w:type="dxa"/>
            <w:tcBorders>
              <w:top w:val="single" w:color="auto" w:sz="4" w:space="0"/>
              <w:left w:val="single" w:color="auto" w:sz="4" w:space="0"/>
              <w:bottom w:val="single" w:color="auto" w:sz="4" w:space="0"/>
              <w:right w:val="single" w:color="auto" w:sz="4" w:space="0"/>
            </w:tcBorders>
            <w:vAlign w:val="center"/>
          </w:tcPr>
          <w:p w14:paraId="06759888">
            <w:pPr>
              <w:widowControl/>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12分</w:t>
            </w:r>
          </w:p>
        </w:tc>
      </w:tr>
      <w:tr w14:paraId="0E6A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7E338802">
            <w:pPr>
              <w:spacing w:line="360"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3.3</w:t>
            </w:r>
          </w:p>
        </w:tc>
        <w:tc>
          <w:tcPr>
            <w:tcW w:w="1418" w:type="dxa"/>
            <w:tcBorders>
              <w:top w:val="single" w:color="auto" w:sz="4" w:space="0"/>
              <w:left w:val="single" w:color="auto" w:sz="4" w:space="0"/>
              <w:bottom w:val="single" w:color="auto" w:sz="4" w:space="0"/>
              <w:right w:val="single" w:color="auto" w:sz="4" w:space="0"/>
            </w:tcBorders>
            <w:vAlign w:val="center"/>
          </w:tcPr>
          <w:p w14:paraId="5828CE87">
            <w:pPr>
              <w:widowControl/>
              <w:spacing w:line="360" w:lineRule="auto"/>
              <w:jc w:val="center"/>
              <w:rPr>
                <w:rFonts w:hint="eastAsia" w:ascii="宋体" w:hAnsi="宋体" w:cs="Courier New"/>
                <w:bCs/>
                <w:color w:val="auto"/>
                <w:kern w:val="0"/>
                <w:szCs w:val="21"/>
                <w:highlight w:val="none"/>
              </w:rPr>
            </w:pPr>
            <w:r>
              <w:rPr>
                <w:rFonts w:hint="eastAsia" w:ascii="宋体" w:hAnsi="宋体" w:cs="Courier New"/>
                <w:bCs/>
                <w:color w:val="auto"/>
                <w:kern w:val="0"/>
                <w:szCs w:val="21"/>
                <w:highlight w:val="none"/>
              </w:rPr>
              <w:t>业绩分</w:t>
            </w:r>
          </w:p>
        </w:tc>
        <w:tc>
          <w:tcPr>
            <w:tcW w:w="6288" w:type="dxa"/>
            <w:tcBorders>
              <w:top w:val="single" w:color="auto" w:sz="4" w:space="0"/>
              <w:left w:val="single" w:color="auto" w:sz="4" w:space="0"/>
              <w:bottom w:val="single" w:color="auto" w:sz="4" w:space="0"/>
              <w:right w:val="single" w:color="auto" w:sz="4" w:space="0"/>
            </w:tcBorders>
            <w:vAlign w:val="top"/>
          </w:tcPr>
          <w:p w14:paraId="3B23AEEE">
            <w:pPr>
              <w:pStyle w:val="16"/>
              <w:spacing w:line="360" w:lineRule="auto"/>
              <w:ind w:firstLine="0"/>
              <w:rPr>
                <w:rFonts w:hint="eastAsia"/>
                <w:color w:val="auto"/>
                <w:highlight w:val="none"/>
              </w:rPr>
            </w:pPr>
            <w:r>
              <w:rPr>
                <w:rFonts w:hint="eastAsia" w:ascii="宋体" w:hAnsi="宋体" w:cs="Courier New"/>
                <w:bCs/>
                <w:color w:val="auto"/>
                <w:szCs w:val="21"/>
                <w:highlight w:val="none"/>
              </w:rPr>
              <w:t>202</w:t>
            </w:r>
            <w:r>
              <w:rPr>
                <w:rFonts w:hint="eastAsia" w:ascii="宋体" w:hAnsi="宋体" w:cs="Courier New"/>
                <w:bCs/>
                <w:color w:val="auto"/>
                <w:szCs w:val="21"/>
                <w:highlight w:val="none"/>
                <w:lang w:val="en-US" w:eastAsia="zh-CN"/>
              </w:rPr>
              <w:t>3</w:t>
            </w:r>
            <w:r>
              <w:rPr>
                <w:rFonts w:hint="eastAsia" w:ascii="宋体" w:hAnsi="宋体" w:cs="Courier New"/>
                <w:bCs/>
                <w:color w:val="auto"/>
                <w:szCs w:val="21"/>
                <w:highlight w:val="none"/>
              </w:rPr>
              <w:t>年1月1日以来至响应文件递交截止日期止，供应商（包括其总公司、省级分公司的下属分公司、分支机构）有承保意外伤害及重大疾病商业保险同类项目业绩，每项得3分，满分9分。</w:t>
            </w:r>
            <w:r>
              <w:rPr>
                <w:rFonts w:hint="eastAsia" w:ascii="宋体" w:hAnsi="宋体" w:cs="Courier New"/>
                <w:b/>
                <w:bCs w:val="0"/>
                <w:color w:val="auto"/>
                <w:szCs w:val="21"/>
                <w:highlight w:val="none"/>
              </w:rPr>
              <w:t>[以保单或合同或者中标（成交）通知书复印件为准，并加盖供应商电子签章]。</w:t>
            </w:r>
          </w:p>
        </w:tc>
        <w:tc>
          <w:tcPr>
            <w:tcW w:w="851" w:type="dxa"/>
            <w:tcBorders>
              <w:top w:val="single" w:color="auto" w:sz="4" w:space="0"/>
              <w:left w:val="single" w:color="auto" w:sz="4" w:space="0"/>
              <w:bottom w:val="single" w:color="auto" w:sz="4" w:space="0"/>
              <w:right w:val="single" w:color="auto" w:sz="4" w:space="0"/>
            </w:tcBorders>
            <w:vAlign w:val="center"/>
          </w:tcPr>
          <w:p w14:paraId="5563D775">
            <w:pPr>
              <w:widowControl/>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9分</w:t>
            </w:r>
          </w:p>
        </w:tc>
      </w:tr>
      <w:tr w14:paraId="528A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tcBorders>
              <w:top w:val="single" w:color="auto" w:sz="4" w:space="0"/>
              <w:left w:val="single" w:color="auto" w:sz="4" w:space="0"/>
              <w:bottom w:val="single" w:color="auto" w:sz="4" w:space="0"/>
              <w:right w:val="single" w:color="auto" w:sz="4" w:space="0"/>
            </w:tcBorders>
            <w:vAlign w:val="top"/>
          </w:tcPr>
          <w:p w14:paraId="6CE65888">
            <w:pPr>
              <w:pStyle w:val="34"/>
              <w:spacing w:line="360" w:lineRule="auto"/>
              <w:ind w:firstLine="420" w:firstLineChars="200"/>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总得分＝1＋2＋3</w:t>
            </w:r>
          </w:p>
        </w:tc>
        <w:tc>
          <w:tcPr>
            <w:tcW w:w="851" w:type="dxa"/>
            <w:tcBorders>
              <w:top w:val="single" w:color="auto" w:sz="4" w:space="0"/>
              <w:left w:val="single" w:color="auto" w:sz="4" w:space="0"/>
              <w:bottom w:val="single" w:color="auto" w:sz="4" w:space="0"/>
              <w:right w:val="single" w:color="auto" w:sz="4" w:space="0"/>
            </w:tcBorders>
            <w:vAlign w:val="center"/>
          </w:tcPr>
          <w:p w14:paraId="4A313D93">
            <w:pPr>
              <w:widowControl/>
              <w:spacing w:line="360" w:lineRule="auto"/>
              <w:jc w:val="center"/>
              <w:rPr>
                <w:rFonts w:ascii="宋体" w:hAnsi="宋体" w:cs="Tahoma"/>
                <w:color w:val="auto"/>
                <w:kern w:val="0"/>
                <w:szCs w:val="21"/>
                <w:highlight w:val="none"/>
              </w:rPr>
            </w:pPr>
          </w:p>
        </w:tc>
      </w:tr>
    </w:tbl>
    <w:p w14:paraId="0D0B548E">
      <w:pPr>
        <w:spacing w:line="360" w:lineRule="auto"/>
        <w:ind w:firstLine="420" w:firstLineChars="200"/>
        <w:rPr>
          <w:rFonts w:ascii="宋体" w:hAnsi="宋体"/>
          <w:bCs/>
          <w:color w:val="auto"/>
          <w:szCs w:val="21"/>
          <w:highlight w:val="none"/>
        </w:rPr>
      </w:pPr>
    </w:p>
    <w:p w14:paraId="7A23FFDA">
      <w:pPr>
        <w:spacing w:line="400" w:lineRule="exact"/>
        <w:ind w:firstLine="420" w:firstLineChars="200"/>
        <w:rPr>
          <w:rFonts w:ascii="宋体" w:hAnsi="宋体" w:cs="宋体"/>
          <w:color w:val="auto"/>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由低到高的顺序推荐。评审得分且最后报价相同的，按照技术指标优劣顺序推荐（按技术得分由高到低排序）。评审得分、最后报价、技术得分均相同的，由磋商小组随机抽取推荐。</w:t>
      </w:r>
    </w:p>
    <w:p w14:paraId="4D1B13E1">
      <w:pPr>
        <w:pStyle w:val="12"/>
        <w:jc w:val="center"/>
        <w:rPr>
          <w:color w:val="auto"/>
          <w:highlight w:val="none"/>
        </w:rPr>
      </w:pPr>
      <w:r>
        <w:rPr>
          <w:color w:val="auto"/>
          <w:highlight w:val="none"/>
        </w:rPr>
        <w:br w:type="page"/>
      </w:r>
      <w:r>
        <w:rPr>
          <w:rFonts w:hint="eastAsia"/>
          <w:color w:val="auto"/>
          <w:highlight w:val="none"/>
        </w:rPr>
        <w:t>第五章 响应文件格式</w:t>
      </w:r>
    </w:p>
    <w:p w14:paraId="715252AF">
      <w:pPr>
        <w:spacing w:line="240" w:lineRule="atLeast"/>
        <w:rPr>
          <w:rFonts w:ascii="宋体" w:hAnsi="宋体"/>
          <w:b/>
          <w:color w:val="auto"/>
          <w:sz w:val="32"/>
          <w:szCs w:val="32"/>
          <w:highlight w:val="none"/>
        </w:rPr>
      </w:pPr>
    </w:p>
    <w:p w14:paraId="56339161">
      <w:pPr>
        <w:spacing w:line="240" w:lineRule="atLeast"/>
        <w:rPr>
          <w:rFonts w:ascii="宋体" w:hAnsi="宋体"/>
          <w:b/>
          <w:color w:val="auto"/>
          <w:sz w:val="32"/>
          <w:szCs w:val="32"/>
          <w:highlight w:val="none"/>
        </w:rPr>
      </w:pPr>
    </w:p>
    <w:p w14:paraId="7F7C5D7C">
      <w:pPr>
        <w:spacing w:line="240" w:lineRule="atLeast"/>
        <w:rPr>
          <w:rFonts w:ascii="宋体" w:hAnsi="宋体"/>
          <w:b/>
          <w:color w:val="auto"/>
          <w:sz w:val="32"/>
          <w:szCs w:val="32"/>
          <w:highlight w:val="none"/>
        </w:rPr>
      </w:pPr>
    </w:p>
    <w:p w14:paraId="424F3F79">
      <w:pPr>
        <w:spacing w:line="240" w:lineRule="atLeast"/>
        <w:rPr>
          <w:rFonts w:ascii="宋体" w:hAnsi="宋体"/>
          <w:b/>
          <w:color w:val="auto"/>
          <w:sz w:val="32"/>
          <w:szCs w:val="32"/>
          <w:highlight w:val="none"/>
        </w:rPr>
      </w:pPr>
    </w:p>
    <w:p w14:paraId="0DFB79C2">
      <w:pPr>
        <w:spacing w:line="240" w:lineRule="atLeast"/>
        <w:rPr>
          <w:rFonts w:ascii="宋体" w:hAnsi="宋体"/>
          <w:b/>
          <w:color w:val="auto"/>
          <w:sz w:val="32"/>
          <w:szCs w:val="32"/>
          <w:highlight w:val="none"/>
        </w:rPr>
      </w:pPr>
    </w:p>
    <w:p w14:paraId="3641CC9D">
      <w:pPr>
        <w:spacing w:line="240" w:lineRule="atLeast"/>
        <w:rPr>
          <w:rFonts w:ascii="宋体" w:hAnsi="宋体"/>
          <w:b/>
          <w:color w:val="auto"/>
          <w:sz w:val="32"/>
          <w:szCs w:val="32"/>
          <w:highlight w:val="none"/>
        </w:rPr>
      </w:pPr>
    </w:p>
    <w:p w14:paraId="08171732">
      <w:pPr>
        <w:spacing w:line="240" w:lineRule="atLeast"/>
        <w:rPr>
          <w:rFonts w:ascii="宋体" w:hAnsi="宋体"/>
          <w:b/>
          <w:color w:val="auto"/>
          <w:sz w:val="32"/>
          <w:szCs w:val="32"/>
          <w:highlight w:val="none"/>
        </w:rPr>
      </w:pPr>
    </w:p>
    <w:p w14:paraId="0C791782">
      <w:pPr>
        <w:spacing w:line="240" w:lineRule="atLeast"/>
        <w:rPr>
          <w:rFonts w:ascii="宋体" w:hAnsi="宋体"/>
          <w:b/>
          <w:color w:val="auto"/>
          <w:sz w:val="32"/>
          <w:szCs w:val="32"/>
          <w:highlight w:val="none"/>
        </w:rPr>
      </w:pPr>
    </w:p>
    <w:p w14:paraId="0DEA9800">
      <w:pPr>
        <w:spacing w:line="240" w:lineRule="atLeast"/>
        <w:rPr>
          <w:rFonts w:ascii="宋体" w:hAnsi="宋体"/>
          <w:b/>
          <w:color w:val="auto"/>
          <w:sz w:val="32"/>
          <w:szCs w:val="32"/>
          <w:highlight w:val="none"/>
        </w:rPr>
      </w:pPr>
    </w:p>
    <w:p w14:paraId="4EEA03FF">
      <w:pPr>
        <w:pStyle w:val="16"/>
        <w:rPr>
          <w:color w:val="auto"/>
          <w:highlight w:val="none"/>
        </w:rPr>
      </w:pPr>
    </w:p>
    <w:p w14:paraId="2F9BD6CB">
      <w:pPr>
        <w:pStyle w:val="16"/>
        <w:rPr>
          <w:color w:val="auto"/>
          <w:highlight w:val="none"/>
        </w:rPr>
      </w:pPr>
    </w:p>
    <w:p w14:paraId="28902DF7">
      <w:pPr>
        <w:pStyle w:val="16"/>
        <w:rPr>
          <w:color w:val="auto"/>
          <w:highlight w:val="none"/>
        </w:rPr>
      </w:pPr>
    </w:p>
    <w:p w14:paraId="64C2E0CC">
      <w:pPr>
        <w:pStyle w:val="16"/>
        <w:rPr>
          <w:color w:val="auto"/>
          <w:highlight w:val="none"/>
        </w:rPr>
      </w:pPr>
    </w:p>
    <w:p w14:paraId="234C9035">
      <w:pPr>
        <w:pStyle w:val="16"/>
        <w:rPr>
          <w:color w:val="auto"/>
          <w:highlight w:val="none"/>
        </w:rPr>
      </w:pPr>
    </w:p>
    <w:p w14:paraId="0994D104">
      <w:pPr>
        <w:pStyle w:val="16"/>
        <w:rPr>
          <w:color w:val="auto"/>
          <w:highlight w:val="none"/>
        </w:rPr>
      </w:pPr>
    </w:p>
    <w:p w14:paraId="74D7486A">
      <w:pPr>
        <w:pStyle w:val="16"/>
        <w:rPr>
          <w:color w:val="auto"/>
          <w:highlight w:val="none"/>
        </w:rPr>
      </w:pPr>
    </w:p>
    <w:p w14:paraId="56EA6C79">
      <w:pPr>
        <w:pStyle w:val="16"/>
        <w:rPr>
          <w:color w:val="auto"/>
          <w:highlight w:val="none"/>
        </w:rPr>
      </w:pPr>
    </w:p>
    <w:p w14:paraId="4E8D3C37">
      <w:pPr>
        <w:pStyle w:val="16"/>
        <w:rPr>
          <w:color w:val="auto"/>
          <w:highlight w:val="none"/>
        </w:rPr>
      </w:pPr>
    </w:p>
    <w:p w14:paraId="18135CAB">
      <w:pPr>
        <w:pStyle w:val="16"/>
        <w:rPr>
          <w:color w:val="auto"/>
          <w:highlight w:val="none"/>
        </w:rPr>
      </w:pPr>
    </w:p>
    <w:p w14:paraId="4B38F5B0">
      <w:pPr>
        <w:pStyle w:val="16"/>
        <w:rPr>
          <w:color w:val="auto"/>
          <w:highlight w:val="none"/>
        </w:rPr>
      </w:pPr>
    </w:p>
    <w:p w14:paraId="47AC7E86">
      <w:pPr>
        <w:pStyle w:val="16"/>
        <w:rPr>
          <w:color w:val="auto"/>
          <w:highlight w:val="none"/>
        </w:rPr>
      </w:pPr>
    </w:p>
    <w:p w14:paraId="37F584A9">
      <w:pPr>
        <w:pStyle w:val="16"/>
        <w:rPr>
          <w:color w:val="auto"/>
          <w:highlight w:val="none"/>
        </w:rPr>
      </w:pPr>
    </w:p>
    <w:p w14:paraId="58BFB930">
      <w:pPr>
        <w:pStyle w:val="16"/>
        <w:rPr>
          <w:color w:val="auto"/>
          <w:highlight w:val="none"/>
        </w:rPr>
      </w:pPr>
    </w:p>
    <w:p w14:paraId="41E810A6">
      <w:pPr>
        <w:pStyle w:val="16"/>
        <w:rPr>
          <w:color w:val="auto"/>
          <w:highlight w:val="none"/>
        </w:rPr>
      </w:pPr>
    </w:p>
    <w:p w14:paraId="0256495F">
      <w:pPr>
        <w:pStyle w:val="16"/>
        <w:rPr>
          <w:color w:val="auto"/>
          <w:highlight w:val="none"/>
        </w:rPr>
      </w:pPr>
    </w:p>
    <w:p w14:paraId="2333C131">
      <w:pPr>
        <w:pStyle w:val="16"/>
        <w:rPr>
          <w:color w:val="auto"/>
          <w:highlight w:val="none"/>
        </w:rPr>
      </w:pPr>
    </w:p>
    <w:p w14:paraId="75C87FD9">
      <w:pPr>
        <w:pStyle w:val="16"/>
        <w:rPr>
          <w:color w:val="auto"/>
          <w:highlight w:val="none"/>
        </w:rPr>
      </w:pPr>
    </w:p>
    <w:p w14:paraId="4075D518">
      <w:pPr>
        <w:pStyle w:val="16"/>
        <w:rPr>
          <w:color w:val="auto"/>
          <w:highlight w:val="none"/>
        </w:rPr>
      </w:pPr>
    </w:p>
    <w:p w14:paraId="745A1A30">
      <w:pPr>
        <w:pStyle w:val="16"/>
        <w:rPr>
          <w:color w:val="auto"/>
          <w:highlight w:val="none"/>
        </w:rPr>
      </w:pPr>
    </w:p>
    <w:p w14:paraId="5E2B4441">
      <w:pPr>
        <w:pStyle w:val="16"/>
        <w:rPr>
          <w:color w:val="auto"/>
          <w:highlight w:val="none"/>
        </w:rPr>
      </w:pPr>
    </w:p>
    <w:p w14:paraId="40BF0B8D">
      <w:pPr>
        <w:pStyle w:val="16"/>
        <w:rPr>
          <w:color w:val="auto"/>
          <w:highlight w:val="none"/>
        </w:rPr>
      </w:pPr>
    </w:p>
    <w:p w14:paraId="7DCC2852">
      <w:pPr>
        <w:pStyle w:val="16"/>
        <w:rPr>
          <w:color w:val="auto"/>
          <w:highlight w:val="none"/>
        </w:rPr>
      </w:pPr>
    </w:p>
    <w:p w14:paraId="6B561522">
      <w:pPr>
        <w:pStyle w:val="16"/>
        <w:rPr>
          <w:color w:val="auto"/>
          <w:highlight w:val="none"/>
        </w:rPr>
      </w:pPr>
    </w:p>
    <w:p w14:paraId="12B2709B">
      <w:pPr>
        <w:pStyle w:val="16"/>
        <w:rPr>
          <w:color w:val="auto"/>
          <w:highlight w:val="none"/>
        </w:rPr>
      </w:pPr>
    </w:p>
    <w:p w14:paraId="2615D1F9">
      <w:pPr>
        <w:pStyle w:val="16"/>
        <w:rPr>
          <w:color w:val="auto"/>
          <w:highlight w:val="none"/>
        </w:rPr>
      </w:pPr>
    </w:p>
    <w:p w14:paraId="78DC6005">
      <w:pPr>
        <w:spacing w:line="240" w:lineRule="atLeast"/>
        <w:rPr>
          <w:rFonts w:ascii="宋体" w:hAnsi="宋体"/>
          <w:b/>
          <w:color w:val="auto"/>
          <w:sz w:val="32"/>
          <w:szCs w:val="32"/>
          <w:highlight w:val="none"/>
        </w:rPr>
      </w:pPr>
    </w:p>
    <w:p w14:paraId="406D77AA">
      <w:pPr>
        <w:spacing w:line="240" w:lineRule="atLeast"/>
        <w:rPr>
          <w:rFonts w:ascii="宋体" w:hAnsi="宋体"/>
          <w:b/>
          <w:color w:val="auto"/>
          <w:sz w:val="32"/>
          <w:szCs w:val="32"/>
          <w:highlight w:val="none"/>
        </w:rPr>
      </w:pPr>
    </w:p>
    <w:p w14:paraId="2C764CB4">
      <w:pPr>
        <w:spacing w:before="50" w:after="50"/>
        <w:outlineLvl w:val="1"/>
        <w:rPr>
          <w:rFonts w:ascii="宋体" w:hAnsi="宋体"/>
          <w:b/>
          <w:bCs/>
          <w:color w:val="auto"/>
          <w:sz w:val="24"/>
          <w:highlight w:val="none"/>
        </w:rPr>
      </w:pPr>
    </w:p>
    <w:p w14:paraId="0A2CFE16">
      <w:pPr>
        <w:spacing w:after="50"/>
        <w:jc w:val="center"/>
        <w:rPr>
          <w:rFonts w:ascii="仿宋_GB2312" w:hAnsi="仿宋_GB2312" w:eastAsia="仿宋_GB2312" w:cs="仿宋_GB2312"/>
          <w:bCs/>
          <w:color w:val="auto"/>
          <w:sz w:val="32"/>
          <w:szCs w:val="32"/>
          <w:highlight w:val="none"/>
        </w:rPr>
      </w:pPr>
    </w:p>
    <w:p w14:paraId="617A591F">
      <w:pPr>
        <w:rPr>
          <w:b/>
          <w:color w:val="auto"/>
          <w:sz w:val="32"/>
          <w:szCs w:val="32"/>
          <w:highlight w:val="none"/>
        </w:rPr>
      </w:pPr>
      <w:r>
        <w:rPr>
          <w:rFonts w:hint="eastAsia"/>
          <w:b/>
          <w:color w:val="auto"/>
          <w:sz w:val="32"/>
          <w:szCs w:val="32"/>
          <w:highlight w:val="none"/>
        </w:rPr>
        <w:t>一、资格证明文件格式</w:t>
      </w:r>
    </w:p>
    <w:p w14:paraId="211F8426">
      <w:pPr>
        <w:spacing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7DDB8C05">
      <w:pPr>
        <w:spacing w:after="50"/>
        <w:jc w:val="center"/>
        <w:rPr>
          <w:rFonts w:ascii="宋体" w:hAnsi="宋体"/>
          <w:color w:val="auto"/>
          <w:sz w:val="44"/>
          <w:szCs w:val="44"/>
          <w:highlight w:val="none"/>
        </w:rPr>
      </w:pPr>
    </w:p>
    <w:p w14:paraId="7A6AFFEB">
      <w:pPr>
        <w:spacing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5C8B367A">
      <w:pPr>
        <w:spacing w:after="50"/>
        <w:rPr>
          <w:rFonts w:ascii="宋体" w:hAnsi="宋体"/>
          <w:color w:val="auto"/>
          <w:sz w:val="24"/>
          <w:szCs w:val="20"/>
          <w:highlight w:val="none"/>
        </w:rPr>
      </w:pPr>
    </w:p>
    <w:p w14:paraId="7FED2FFF">
      <w:pPr>
        <w:spacing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C026867">
      <w:pPr>
        <w:spacing w:after="50"/>
        <w:rPr>
          <w:rFonts w:ascii="宋体" w:hAnsi="宋体"/>
          <w:bCs/>
          <w:color w:val="auto"/>
          <w:sz w:val="24"/>
          <w:szCs w:val="20"/>
          <w:highlight w:val="none"/>
        </w:rPr>
      </w:pPr>
    </w:p>
    <w:p w14:paraId="67838F53">
      <w:pPr>
        <w:spacing w:after="50"/>
        <w:rPr>
          <w:rFonts w:ascii="宋体" w:hAnsi="宋体"/>
          <w:bCs/>
          <w:color w:val="auto"/>
          <w:sz w:val="24"/>
          <w:szCs w:val="20"/>
          <w:highlight w:val="none"/>
        </w:rPr>
      </w:pPr>
    </w:p>
    <w:p w14:paraId="004ED5A5">
      <w:pPr>
        <w:spacing w:after="50"/>
        <w:rPr>
          <w:rFonts w:ascii="宋体" w:hAnsi="宋体"/>
          <w:bCs/>
          <w:color w:val="auto"/>
          <w:sz w:val="24"/>
          <w:szCs w:val="20"/>
          <w:highlight w:val="none"/>
        </w:rPr>
      </w:pPr>
    </w:p>
    <w:p w14:paraId="32AA8ECF">
      <w:pPr>
        <w:spacing w:after="50"/>
        <w:rPr>
          <w:rFonts w:ascii="宋体" w:hAnsi="宋体"/>
          <w:bCs/>
          <w:color w:val="auto"/>
          <w:sz w:val="24"/>
          <w:szCs w:val="20"/>
          <w:highlight w:val="none"/>
        </w:rPr>
      </w:pPr>
    </w:p>
    <w:p w14:paraId="352F5422">
      <w:pPr>
        <w:spacing w:after="50"/>
        <w:rPr>
          <w:rFonts w:ascii="宋体" w:hAnsi="宋体"/>
          <w:bCs/>
          <w:color w:val="auto"/>
          <w:sz w:val="24"/>
          <w:szCs w:val="20"/>
          <w:highlight w:val="none"/>
        </w:rPr>
      </w:pPr>
    </w:p>
    <w:p w14:paraId="3900755C">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1987612">
      <w:pPr>
        <w:spacing w:after="50"/>
        <w:ind w:firstLine="720" w:firstLineChars="225"/>
        <w:rPr>
          <w:rFonts w:ascii="宋体" w:hAnsi="宋体" w:cs="仿宋_GB2312"/>
          <w:bCs/>
          <w:color w:val="auto"/>
          <w:sz w:val="32"/>
          <w:szCs w:val="32"/>
          <w:highlight w:val="none"/>
        </w:rPr>
      </w:pPr>
    </w:p>
    <w:p w14:paraId="10904E9C">
      <w:pPr>
        <w:spacing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77A2151">
      <w:pPr>
        <w:spacing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7478D6B3">
      <w:pPr>
        <w:spacing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7A8EB11">
      <w:pPr>
        <w:spacing w:after="50"/>
        <w:ind w:firstLine="720" w:firstLineChars="225"/>
        <w:rPr>
          <w:rFonts w:ascii="宋体" w:hAnsi="宋体" w:cs="仿宋_GB2312"/>
          <w:bCs/>
          <w:color w:val="auto"/>
          <w:sz w:val="32"/>
          <w:szCs w:val="32"/>
          <w:highlight w:val="none"/>
        </w:rPr>
      </w:pPr>
    </w:p>
    <w:p w14:paraId="74ED1C67">
      <w:pPr>
        <w:pStyle w:val="16"/>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3337C74">
      <w:pPr>
        <w:spacing w:after="50"/>
        <w:ind w:firstLine="640" w:firstLineChars="200"/>
        <w:rPr>
          <w:rFonts w:ascii="宋体" w:hAnsi="宋体" w:cs="仿宋_GB2312"/>
          <w:bCs/>
          <w:color w:val="auto"/>
          <w:sz w:val="32"/>
          <w:szCs w:val="32"/>
          <w:highlight w:val="none"/>
        </w:rPr>
      </w:pPr>
    </w:p>
    <w:p w14:paraId="6917DD3B">
      <w:pPr>
        <w:pStyle w:val="16"/>
        <w:spacing w:before="50" w:after="50"/>
        <w:ind w:firstLine="720" w:firstLineChars="225"/>
        <w:rPr>
          <w:rFonts w:ascii="宋体" w:hAnsi="宋体" w:cs="仿宋_GB2312"/>
          <w:bCs/>
          <w:color w:val="auto"/>
          <w:sz w:val="32"/>
          <w:szCs w:val="32"/>
          <w:highlight w:val="none"/>
        </w:rPr>
      </w:pPr>
    </w:p>
    <w:p w14:paraId="07353CCB">
      <w:pPr>
        <w:pStyle w:val="16"/>
        <w:spacing w:before="50" w:after="50"/>
        <w:ind w:firstLine="720" w:firstLineChars="225"/>
        <w:rPr>
          <w:rFonts w:ascii="宋体" w:hAnsi="宋体" w:cs="仿宋_GB2312"/>
          <w:bCs/>
          <w:color w:val="auto"/>
          <w:sz w:val="32"/>
          <w:szCs w:val="32"/>
          <w:highlight w:val="none"/>
        </w:rPr>
      </w:pPr>
    </w:p>
    <w:p w14:paraId="1B87EDBF">
      <w:pPr>
        <w:pStyle w:val="16"/>
        <w:spacing w:before="50" w:after="50"/>
        <w:ind w:firstLine="1280" w:firstLineChars="400"/>
        <w:rPr>
          <w:rFonts w:ascii="宋体" w:hAnsi="宋体" w:cs="仿宋_GB2312"/>
          <w:bCs/>
          <w:color w:val="auto"/>
          <w:sz w:val="32"/>
          <w:szCs w:val="32"/>
          <w:highlight w:val="none"/>
        </w:rPr>
      </w:pPr>
    </w:p>
    <w:p w14:paraId="02BCAA7E">
      <w:pPr>
        <w:spacing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D114245">
      <w:pPr>
        <w:spacing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6B71F4B1">
      <w:pPr>
        <w:spacing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4315654">
      <w:pPr>
        <w:spacing w:after="50"/>
        <w:rPr>
          <w:rFonts w:ascii="宋体" w:hAnsi="宋体"/>
          <w:color w:val="auto"/>
          <w:sz w:val="24"/>
          <w:szCs w:val="20"/>
          <w:highlight w:val="none"/>
        </w:rPr>
      </w:pPr>
      <w:r>
        <w:rPr>
          <w:rFonts w:ascii="宋体" w:hAnsi="宋体"/>
          <w:color w:val="auto"/>
          <w:sz w:val="24"/>
          <w:szCs w:val="20"/>
          <w:highlight w:val="none"/>
        </w:rPr>
        <w:t xml:space="preserve"> </w:t>
      </w:r>
    </w:p>
    <w:p w14:paraId="71ACF25F">
      <w:pPr>
        <w:spacing w:line="300" w:lineRule="auto"/>
        <w:rPr>
          <w:rFonts w:ascii="宋体" w:hAnsi="宋体"/>
          <w:color w:val="auto"/>
          <w:szCs w:val="21"/>
          <w:highlight w:val="none"/>
        </w:rPr>
      </w:pPr>
    </w:p>
    <w:p w14:paraId="28A6AA5F">
      <w:pPr>
        <w:spacing w:line="300" w:lineRule="auto"/>
        <w:rPr>
          <w:rFonts w:ascii="宋体" w:hAnsi="宋体"/>
          <w:color w:val="auto"/>
          <w:szCs w:val="21"/>
          <w:highlight w:val="none"/>
        </w:rPr>
      </w:pPr>
    </w:p>
    <w:p w14:paraId="37E85F4C">
      <w:pPr>
        <w:spacing w:line="300" w:lineRule="auto"/>
        <w:rPr>
          <w:rFonts w:ascii="宋体" w:hAnsi="宋体"/>
          <w:color w:val="auto"/>
          <w:szCs w:val="21"/>
          <w:highlight w:val="none"/>
        </w:rPr>
      </w:pPr>
    </w:p>
    <w:p w14:paraId="70B15DB8">
      <w:pPr>
        <w:spacing w:line="300" w:lineRule="auto"/>
        <w:rPr>
          <w:rFonts w:ascii="宋体" w:hAnsi="宋体"/>
          <w:color w:val="auto"/>
          <w:szCs w:val="21"/>
          <w:highlight w:val="none"/>
        </w:rPr>
      </w:pPr>
    </w:p>
    <w:p w14:paraId="167D664D">
      <w:pPr>
        <w:spacing w:line="300" w:lineRule="auto"/>
        <w:rPr>
          <w:rFonts w:ascii="宋体" w:hAnsi="宋体"/>
          <w:color w:val="auto"/>
          <w:szCs w:val="21"/>
          <w:highlight w:val="none"/>
        </w:rPr>
      </w:pPr>
    </w:p>
    <w:p w14:paraId="4FFF4EB7">
      <w:pPr>
        <w:spacing w:line="300" w:lineRule="auto"/>
        <w:rPr>
          <w:rFonts w:ascii="宋体" w:hAnsi="宋体"/>
          <w:color w:val="auto"/>
          <w:szCs w:val="21"/>
          <w:highlight w:val="none"/>
        </w:rPr>
      </w:pPr>
    </w:p>
    <w:p w14:paraId="417BD9E6">
      <w:pPr>
        <w:spacing w:line="300" w:lineRule="auto"/>
        <w:rPr>
          <w:rFonts w:ascii="宋体" w:hAnsi="宋体"/>
          <w:color w:val="auto"/>
          <w:szCs w:val="21"/>
          <w:highlight w:val="none"/>
        </w:rPr>
      </w:pPr>
    </w:p>
    <w:p w14:paraId="1A3B572A">
      <w:pPr>
        <w:spacing w:line="300" w:lineRule="auto"/>
        <w:rPr>
          <w:rFonts w:ascii="宋体" w:hAnsi="宋体"/>
          <w:color w:val="auto"/>
          <w:szCs w:val="21"/>
          <w:highlight w:val="none"/>
        </w:rPr>
      </w:pPr>
    </w:p>
    <w:p w14:paraId="7852F61F">
      <w:pPr>
        <w:spacing w:line="300" w:lineRule="auto"/>
        <w:rPr>
          <w:rFonts w:ascii="宋体" w:hAnsi="宋体"/>
          <w:color w:val="auto"/>
          <w:szCs w:val="21"/>
          <w:highlight w:val="none"/>
        </w:rPr>
      </w:pPr>
    </w:p>
    <w:p w14:paraId="4D69D072">
      <w:pPr>
        <w:spacing w:line="300" w:lineRule="auto"/>
        <w:rPr>
          <w:rFonts w:ascii="宋体" w:hAnsi="宋体"/>
          <w:color w:val="auto"/>
          <w:szCs w:val="21"/>
          <w:highlight w:val="none"/>
        </w:rPr>
      </w:pPr>
    </w:p>
    <w:p w14:paraId="2EEB1720">
      <w:pPr>
        <w:spacing w:line="300" w:lineRule="auto"/>
        <w:rPr>
          <w:rFonts w:ascii="宋体" w:hAnsi="宋体"/>
          <w:color w:val="auto"/>
          <w:szCs w:val="21"/>
          <w:highlight w:val="none"/>
        </w:rPr>
      </w:pPr>
    </w:p>
    <w:p w14:paraId="4111E9C5">
      <w:pPr>
        <w:spacing w:line="300" w:lineRule="auto"/>
        <w:rPr>
          <w:rFonts w:ascii="宋体" w:hAnsi="宋体"/>
          <w:color w:val="auto"/>
          <w:szCs w:val="21"/>
          <w:highlight w:val="none"/>
        </w:rPr>
      </w:pPr>
    </w:p>
    <w:p w14:paraId="0E232859">
      <w:pPr>
        <w:spacing w:line="300" w:lineRule="auto"/>
        <w:rPr>
          <w:rFonts w:ascii="宋体" w:hAnsi="宋体"/>
          <w:color w:val="auto"/>
          <w:szCs w:val="21"/>
          <w:highlight w:val="none"/>
        </w:rPr>
      </w:pPr>
    </w:p>
    <w:p w14:paraId="7C58C54C">
      <w:pPr>
        <w:spacing w:line="300" w:lineRule="auto"/>
        <w:rPr>
          <w:rFonts w:ascii="宋体" w:hAnsi="宋体"/>
          <w:color w:val="auto"/>
          <w:szCs w:val="21"/>
          <w:highlight w:val="none"/>
        </w:rPr>
      </w:pPr>
    </w:p>
    <w:p w14:paraId="5810A90C">
      <w:pPr>
        <w:spacing w:line="300" w:lineRule="auto"/>
        <w:rPr>
          <w:rFonts w:ascii="宋体" w:hAnsi="宋体"/>
          <w:color w:val="auto"/>
          <w:szCs w:val="21"/>
          <w:highlight w:val="none"/>
        </w:rPr>
      </w:pPr>
    </w:p>
    <w:p w14:paraId="138A11CF">
      <w:pPr>
        <w:spacing w:line="320" w:lineRule="exact"/>
        <w:jc w:val="center"/>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r>
        <w:rPr>
          <w:rFonts w:hint="eastAsia" w:ascii="宋体" w:hAnsi="宋体"/>
          <w:b/>
          <w:color w:val="auto"/>
          <w:sz w:val="32"/>
          <w:szCs w:val="32"/>
          <w:highlight w:val="none"/>
        </w:rPr>
        <w:t>防城港市政府采购供应商信用承诺函（格式）</w:t>
      </w:r>
    </w:p>
    <w:p w14:paraId="3A2AA58C">
      <w:pPr>
        <w:spacing w:line="320" w:lineRule="exact"/>
        <w:jc w:val="left"/>
        <w:rPr>
          <w:rFonts w:ascii="宋体" w:hAnsi="宋体"/>
          <w:color w:val="auto"/>
          <w:szCs w:val="21"/>
          <w:highlight w:val="none"/>
        </w:rPr>
      </w:pPr>
    </w:p>
    <w:p w14:paraId="5F5D2ABC">
      <w:pPr>
        <w:spacing w:line="360" w:lineRule="auto"/>
        <w:jc w:val="left"/>
        <w:rPr>
          <w:rFonts w:ascii="宋体" w:hAnsi="宋体"/>
          <w:color w:val="auto"/>
          <w:sz w:val="24"/>
          <w:highlight w:val="none"/>
        </w:rPr>
      </w:pPr>
      <w:r>
        <w:rPr>
          <w:rFonts w:hint="eastAsia" w:ascii="宋体" w:hAnsi="宋体"/>
          <w:color w:val="auto"/>
          <w:sz w:val="24"/>
          <w:highlight w:val="none"/>
        </w:rPr>
        <w:t>致（采购人或采购代理机构） ：</w:t>
      </w:r>
    </w:p>
    <w:p w14:paraId="590E622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36BD3784">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1FF94F9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6D50253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16F393B9">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301D9587">
      <w:pPr>
        <w:spacing w:line="360" w:lineRule="auto"/>
        <w:jc w:val="left"/>
        <w:rPr>
          <w:rFonts w:ascii="宋体" w:hAnsi="宋体"/>
          <w:color w:val="auto"/>
          <w:sz w:val="24"/>
          <w:highlight w:val="none"/>
        </w:rPr>
      </w:pPr>
    </w:p>
    <w:p w14:paraId="3D94B37C">
      <w:pPr>
        <w:spacing w:line="360" w:lineRule="auto"/>
        <w:jc w:val="left"/>
        <w:rPr>
          <w:rFonts w:ascii="宋体" w:hAnsi="宋体"/>
          <w:color w:val="auto"/>
          <w:sz w:val="24"/>
          <w:highlight w:val="none"/>
        </w:rPr>
      </w:pPr>
    </w:p>
    <w:p w14:paraId="4AAD8A4B">
      <w:pPr>
        <w:spacing w:line="360" w:lineRule="auto"/>
        <w:jc w:val="left"/>
        <w:rPr>
          <w:rFonts w:ascii="宋体" w:hAnsi="宋体"/>
          <w:color w:val="auto"/>
          <w:sz w:val="24"/>
          <w:highlight w:val="none"/>
        </w:rPr>
      </w:pPr>
      <w:r>
        <w:rPr>
          <w:rFonts w:hint="eastAsia" w:ascii="宋体" w:hAnsi="宋体"/>
          <w:color w:val="auto"/>
          <w:sz w:val="24"/>
          <w:highlight w:val="none"/>
        </w:rPr>
        <w:t>供应商名称（电子签章）：</w:t>
      </w:r>
    </w:p>
    <w:p w14:paraId="604E107F">
      <w:pPr>
        <w:spacing w:line="360" w:lineRule="auto"/>
        <w:jc w:val="left"/>
        <w:rPr>
          <w:rFonts w:ascii="宋体" w:hAnsi="宋体"/>
          <w:color w:val="auto"/>
          <w:sz w:val="24"/>
          <w:highlight w:val="none"/>
        </w:rPr>
      </w:pPr>
      <w:r>
        <w:rPr>
          <w:rFonts w:hint="eastAsia" w:ascii="宋体" w:hAnsi="宋体"/>
          <w:color w:val="auto"/>
          <w:sz w:val="24"/>
          <w:highlight w:val="none"/>
        </w:rPr>
        <w:t>统一社会信用代码：</w:t>
      </w:r>
    </w:p>
    <w:p w14:paraId="11564209">
      <w:pPr>
        <w:spacing w:line="360" w:lineRule="auto"/>
        <w:jc w:val="left"/>
        <w:rPr>
          <w:rFonts w:ascii="宋体" w:hAnsi="宋体"/>
          <w:color w:val="auto"/>
          <w:sz w:val="24"/>
          <w:highlight w:val="none"/>
        </w:rPr>
      </w:pPr>
      <w:r>
        <w:rPr>
          <w:rFonts w:hint="eastAsia" w:ascii="宋体" w:hAnsi="宋体"/>
          <w:color w:val="auto"/>
          <w:sz w:val="24"/>
          <w:highlight w:val="none"/>
        </w:rPr>
        <w:t>法定代表人或授权代表(签字或者电子签名)：</w:t>
      </w:r>
    </w:p>
    <w:p w14:paraId="125CB49F">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04F80EDB">
      <w:pPr>
        <w:spacing w:line="360" w:lineRule="auto"/>
        <w:jc w:val="left"/>
        <w:rPr>
          <w:rFonts w:ascii="宋体" w:hAnsi="宋体"/>
          <w:color w:val="auto"/>
          <w:sz w:val="24"/>
          <w:highlight w:val="none"/>
        </w:rPr>
      </w:pPr>
    </w:p>
    <w:p w14:paraId="76EE9E27">
      <w:pPr>
        <w:spacing w:line="360" w:lineRule="auto"/>
        <w:jc w:val="left"/>
        <w:rPr>
          <w:rFonts w:ascii="宋体" w:hAnsi="宋体"/>
          <w:b/>
          <w:bCs/>
          <w:color w:val="auto"/>
          <w:sz w:val="24"/>
          <w:highlight w:val="none"/>
        </w:rPr>
      </w:pPr>
      <w:r>
        <w:rPr>
          <w:rFonts w:hint="eastAsia" w:ascii="宋体" w:hAnsi="宋体"/>
          <w:b/>
          <w:bCs/>
          <w:color w:val="auto"/>
          <w:sz w:val="24"/>
          <w:highlight w:val="none"/>
        </w:rPr>
        <w:t>注：1.供应商须在响应文件中按此模板提供承诺函，未提供视为未实质性响应采购文件要求，按无效响应处理。</w:t>
      </w:r>
    </w:p>
    <w:p w14:paraId="516D8E85">
      <w:pPr>
        <w:spacing w:line="360" w:lineRule="auto"/>
        <w:jc w:val="left"/>
        <w:rPr>
          <w:rFonts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3DE6088F">
      <w:pPr>
        <w:spacing w:line="320" w:lineRule="exact"/>
        <w:jc w:val="left"/>
        <w:rPr>
          <w:rFonts w:ascii="宋体" w:hAnsi="宋体"/>
          <w:color w:val="auto"/>
          <w:szCs w:val="21"/>
          <w:highlight w:val="none"/>
        </w:rPr>
      </w:pPr>
    </w:p>
    <w:p w14:paraId="764DCF26">
      <w:pPr>
        <w:pStyle w:val="16"/>
        <w:rPr>
          <w:color w:val="auto"/>
          <w:highlight w:val="none"/>
        </w:rPr>
      </w:pPr>
    </w:p>
    <w:p w14:paraId="67EA1902">
      <w:pPr>
        <w:pStyle w:val="16"/>
        <w:rPr>
          <w:color w:val="auto"/>
          <w:highlight w:val="none"/>
        </w:rPr>
      </w:pPr>
    </w:p>
    <w:p w14:paraId="699F7064">
      <w:pPr>
        <w:pStyle w:val="16"/>
        <w:rPr>
          <w:color w:val="auto"/>
          <w:highlight w:val="none"/>
        </w:rPr>
      </w:pPr>
    </w:p>
    <w:p w14:paraId="6C939194">
      <w:pPr>
        <w:pStyle w:val="16"/>
        <w:rPr>
          <w:color w:val="auto"/>
          <w:highlight w:val="none"/>
        </w:rPr>
      </w:pPr>
    </w:p>
    <w:p w14:paraId="344DCD57">
      <w:pPr>
        <w:pStyle w:val="16"/>
        <w:rPr>
          <w:color w:val="auto"/>
          <w:highlight w:val="none"/>
        </w:rPr>
      </w:pPr>
    </w:p>
    <w:p w14:paraId="2BEAF859">
      <w:pPr>
        <w:pStyle w:val="16"/>
        <w:rPr>
          <w:color w:val="auto"/>
          <w:highlight w:val="none"/>
        </w:rPr>
      </w:pPr>
    </w:p>
    <w:p w14:paraId="5203BD47">
      <w:pPr>
        <w:pStyle w:val="16"/>
        <w:rPr>
          <w:color w:val="auto"/>
          <w:highlight w:val="none"/>
        </w:rPr>
      </w:pPr>
    </w:p>
    <w:p w14:paraId="0427F97E">
      <w:pPr>
        <w:pStyle w:val="16"/>
        <w:rPr>
          <w:color w:val="auto"/>
          <w:highlight w:val="none"/>
        </w:rPr>
      </w:pPr>
    </w:p>
    <w:p w14:paraId="6750AE60">
      <w:pPr>
        <w:pStyle w:val="16"/>
        <w:rPr>
          <w:color w:val="auto"/>
          <w:highlight w:val="none"/>
        </w:rPr>
      </w:pPr>
    </w:p>
    <w:p w14:paraId="116A0E5D">
      <w:pPr>
        <w:pStyle w:val="16"/>
        <w:rPr>
          <w:color w:val="auto"/>
          <w:highlight w:val="none"/>
        </w:rPr>
      </w:pPr>
    </w:p>
    <w:p w14:paraId="560D2DA3">
      <w:pPr>
        <w:pStyle w:val="16"/>
        <w:rPr>
          <w:color w:val="auto"/>
          <w:highlight w:val="none"/>
        </w:rPr>
      </w:pPr>
    </w:p>
    <w:p w14:paraId="3C3CB95A">
      <w:pPr>
        <w:pStyle w:val="16"/>
        <w:rPr>
          <w:color w:val="auto"/>
          <w:highlight w:val="none"/>
        </w:rPr>
      </w:pPr>
    </w:p>
    <w:p w14:paraId="04E2DE71">
      <w:pPr>
        <w:wordWrap w:val="0"/>
        <w:spacing w:after="50" w:line="320" w:lineRule="exact"/>
        <w:ind w:right="482" w:firstLine="210" w:firstLineChars="100"/>
        <w:contextualSpacing/>
        <w:jc w:val="center"/>
        <w:rPr>
          <w:rFonts w:ascii="宋体" w:hAnsi="宋体"/>
          <w:color w:val="auto"/>
          <w:szCs w:val="21"/>
          <w:highlight w:val="none"/>
        </w:rPr>
      </w:pPr>
    </w:p>
    <w:p w14:paraId="1BF970A9">
      <w:pPr>
        <w:pStyle w:val="2"/>
        <w:rPr>
          <w:color w:val="auto"/>
          <w:highlight w:val="none"/>
        </w:rPr>
      </w:pPr>
    </w:p>
    <w:p w14:paraId="6CCA3028">
      <w:pPr>
        <w:wordWrap w:val="0"/>
        <w:spacing w:after="50" w:line="320" w:lineRule="exact"/>
        <w:ind w:right="482" w:firstLine="210" w:firstLineChars="100"/>
        <w:contextualSpacing/>
        <w:jc w:val="center"/>
        <w:rPr>
          <w:rFonts w:ascii="宋体" w:hAnsi="宋体"/>
          <w:color w:val="auto"/>
          <w:szCs w:val="21"/>
          <w:highlight w:val="none"/>
        </w:rPr>
      </w:pPr>
    </w:p>
    <w:p w14:paraId="19420119">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61184A47">
      <w:pPr>
        <w:spacing w:after="50" w:line="360" w:lineRule="auto"/>
        <w:jc w:val="center"/>
        <w:rPr>
          <w:rFonts w:ascii="宋体" w:hAnsi="宋体"/>
          <w:b/>
          <w:color w:val="auto"/>
          <w:sz w:val="24"/>
          <w:highlight w:val="none"/>
        </w:rPr>
      </w:pPr>
    </w:p>
    <w:p w14:paraId="55E3E24B">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426EB9FC">
      <w:pPr>
        <w:spacing w:line="360" w:lineRule="auto"/>
        <w:contextualSpacing/>
        <w:jc w:val="center"/>
        <w:rPr>
          <w:rFonts w:ascii="宋体" w:hAnsi="宋体"/>
          <w:b/>
          <w:color w:val="auto"/>
          <w:sz w:val="24"/>
          <w:highlight w:val="none"/>
        </w:rPr>
      </w:pPr>
    </w:p>
    <w:tbl>
      <w:tblPr>
        <w:tblStyle w:val="8"/>
        <w:tblW w:w="9255" w:type="dxa"/>
        <w:jc w:val="center"/>
        <w:shd w:val="clear" w:color="auto" w:fill="FBFBFB"/>
        <w:tblLayout w:type="fixed"/>
        <w:tblCellMar>
          <w:top w:w="120" w:type="dxa"/>
          <w:left w:w="120" w:type="dxa"/>
          <w:bottom w:w="120" w:type="dxa"/>
          <w:right w:w="120" w:type="dxa"/>
        </w:tblCellMar>
      </w:tblPr>
      <w:tblGrid>
        <w:gridCol w:w="880"/>
        <w:gridCol w:w="2655"/>
        <w:gridCol w:w="1455"/>
        <w:gridCol w:w="3065"/>
        <w:gridCol w:w="1200"/>
      </w:tblGrid>
      <w:tr w14:paraId="0E098111">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5FDAFD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C1D576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032251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268DFA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0C5F80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E73D675">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8C6535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1368CA4">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5972242">
            <w:pPr>
              <w:widowControl/>
              <w:spacing w:line="360" w:lineRule="auto"/>
              <w:contextualSpacing/>
              <w:jc w:val="center"/>
              <w:rPr>
                <w:rFonts w:ascii="宋体" w:hAnsi="宋体" w:cs="宋体"/>
                <w:color w:val="auto"/>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5127308">
            <w:pPr>
              <w:widowControl/>
              <w:spacing w:line="360" w:lineRule="auto"/>
              <w:contextualSpacing/>
              <w:jc w:val="center"/>
              <w:rPr>
                <w:rFonts w:ascii="宋体" w:hAnsi="宋体" w:cs="宋体"/>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22C8706">
            <w:pPr>
              <w:widowControl/>
              <w:spacing w:line="360" w:lineRule="auto"/>
              <w:contextualSpacing/>
              <w:jc w:val="center"/>
              <w:rPr>
                <w:rFonts w:ascii="宋体" w:hAnsi="宋体" w:cs="宋体"/>
                <w:color w:val="auto"/>
                <w:kern w:val="0"/>
                <w:sz w:val="24"/>
                <w:highlight w:val="none"/>
              </w:rPr>
            </w:pPr>
          </w:p>
        </w:tc>
      </w:tr>
      <w:tr w14:paraId="10F9D2AE">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54118E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E42E7EE">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098F42C">
            <w:pPr>
              <w:widowControl/>
              <w:spacing w:line="360" w:lineRule="auto"/>
              <w:contextualSpacing/>
              <w:jc w:val="center"/>
              <w:rPr>
                <w:rFonts w:ascii="宋体" w:hAnsi="宋体" w:cs="宋体"/>
                <w:color w:val="auto"/>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61D41D3">
            <w:pPr>
              <w:widowControl/>
              <w:spacing w:line="360" w:lineRule="auto"/>
              <w:contextualSpacing/>
              <w:jc w:val="center"/>
              <w:rPr>
                <w:rFonts w:ascii="宋体" w:hAnsi="宋体" w:cs="宋体"/>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293E228">
            <w:pPr>
              <w:widowControl/>
              <w:spacing w:line="360" w:lineRule="auto"/>
              <w:contextualSpacing/>
              <w:jc w:val="center"/>
              <w:rPr>
                <w:rFonts w:ascii="宋体" w:hAnsi="宋体" w:cs="宋体"/>
                <w:color w:val="auto"/>
                <w:kern w:val="0"/>
                <w:sz w:val="24"/>
                <w:highlight w:val="none"/>
              </w:rPr>
            </w:pPr>
          </w:p>
        </w:tc>
      </w:tr>
      <w:tr w14:paraId="00083B49">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2C8FF4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C164F2A">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06D2F5C">
            <w:pPr>
              <w:widowControl/>
              <w:spacing w:line="360" w:lineRule="auto"/>
              <w:contextualSpacing/>
              <w:jc w:val="center"/>
              <w:rPr>
                <w:rFonts w:ascii="宋体" w:hAnsi="宋体" w:cs="宋体"/>
                <w:color w:val="auto"/>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BD502A6">
            <w:pPr>
              <w:widowControl/>
              <w:spacing w:line="360" w:lineRule="auto"/>
              <w:contextualSpacing/>
              <w:jc w:val="center"/>
              <w:rPr>
                <w:rFonts w:ascii="宋体" w:hAnsi="宋体" w:cs="宋体"/>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60532B6">
            <w:pPr>
              <w:widowControl/>
              <w:spacing w:line="360" w:lineRule="auto"/>
              <w:contextualSpacing/>
              <w:jc w:val="center"/>
              <w:rPr>
                <w:rFonts w:ascii="宋体" w:hAnsi="宋体" w:cs="宋体"/>
                <w:color w:val="auto"/>
                <w:kern w:val="0"/>
                <w:sz w:val="24"/>
                <w:highlight w:val="none"/>
              </w:rPr>
            </w:pPr>
          </w:p>
        </w:tc>
      </w:tr>
      <w:tr w14:paraId="2338E81F">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C837F7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76B1002">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AB8022E">
            <w:pPr>
              <w:widowControl/>
              <w:spacing w:line="360" w:lineRule="auto"/>
              <w:contextualSpacing/>
              <w:jc w:val="center"/>
              <w:rPr>
                <w:rFonts w:ascii="宋体" w:hAnsi="宋体" w:cs="宋体"/>
                <w:color w:val="auto"/>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03F39C6">
            <w:pPr>
              <w:widowControl/>
              <w:spacing w:line="360" w:lineRule="auto"/>
              <w:contextualSpacing/>
              <w:jc w:val="center"/>
              <w:rPr>
                <w:rFonts w:ascii="宋体" w:hAnsi="宋体" w:cs="宋体"/>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874AA5D">
            <w:pPr>
              <w:widowControl/>
              <w:spacing w:line="360" w:lineRule="auto"/>
              <w:contextualSpacing/>
              <w:jc w:val="center"/>
              <w:rPr>
                <w:rFonts w:ascii="宋体" w:hAnsi="宋体" w:cs="宋体"/>
                <w:color w:val="auto"/>
                <w:kern w:val="0"/>
                <w:sz w:val="24"/>
                <w:highlight w:val="none"/>
              </w:rPr>
            </w:pPr>
          </w:p>
        </w:tc>
      </w:tr>
    </w:tbl>
    <w:p w14:paraId="799433BC">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08F9CF8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CABD85">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8D7750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79A20B0A">
      <w:pPr>
        <w:spacing w:line="360" w:lineRule="auto"/>
        <w:ind w:firstLine="420" w:firstLineChars="200"/>
        <w:contextualSpacing/>
        <w:jc w:val="left"/>
        <w:rPr>
          <w:rFonts w:ascii="宋体" w:hAnsi="宋体" w:cs="宋体"/>
          <w:color w:val="auto"/>
          <w:szCs w:val="21"/>
          <w:highlight w:val="none"/>
        </w:rPr>
      </w:pPr>
    </w:p>
    <w:p w14:paraId="26135E12">
      <w:pPr>
        <w:spacing w:line="360" w:lineRule="auto"/>
        <w:ind w:firstLine="560" w:firstLineChars="200"/>
        <w:contextualSpacing/>
        <w:jc w:val="left"/>
        <w:rPr>
          <w:rFonts w:ascii="宋体" w:hAnsi="宋体" w:cs="宋体"/>
          <w:color w:val="auto"/>
          <w:sz w:val="28"/>
          <w:szCs w:val="28"/>
          <w:highlight w:val="none"/>
        </w:rPr>
      </w:pPr>
    </w:p>
    <w:p w14:paraId="1CC8684C">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5900AF6">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65138751">
      <w:pPr>
        <w:spacing w:line="360" w:lineRule="auto"/>
        <w:ind w:firstLine="480" w:firstLineChars="200"/>
        <w:contextualSpacing/>
        <w:jc w:val="right"/>
        <w:rPr>
          <w:rFonts w:ascii="宋体" w:hAnsi="宋体" w:cs="宋体"/>
          <w:color w:val="auto"/>
          <w:sz w:val="28"/>
          <w:szCs w:val="28"/>
          <w:highlight w:val="none"/>
        </w:rPr>
      </w:pPr>
      <w:r>
        <w:rPr>
          <w:rFonts w:hint="eastAsia" w:ascii="宋体" w:hAnsi="宋体" w:cs="宋体"/>
          <w:color w:val="auto"/>
          <w:sz w:val="24"/>
          <w:highlight w:val="none"/>
        </w:rPr>
        <w:t>年    月    日</w:t>
      </w:r>
    </w:p>
    <w:p w14:paraId="29C6DC56">
      <w:pPr>
        <w:jc w:val="center"/>
        <w:rPr>
          <w:rFonts w:ascii="宋体" w:hAnsi="宋体"/>
          <w:b/>
          <w:color w:val="auto"/>
          <w:sz w:val="28"/>
          <w:szCs w:val="28"/>
          <w:highlight w:val="none"/>
        </w:rPr>
      </w:pPr>
      <w:r>
        <w:rPr>
          <w:rFonts w:ascii="宋体" w:hAnsi="宋体"/>
          <w:b/>
          <w:color w:val="auto"/>
          <w:sz w:val="28"/>
          <w:szCs w:val="28"/>
          <w:highlight w:val="none"/>
        </w:rPr>
        <w:br w:type="page"/>
      </w:r>
    </w:p>
    <w:p w14:paraId="4B57EE7B">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7676A436">
      <w:pPr>
        <w:spacing w:line="360" w:lineRule="auto"/>
        <w:jc w:val="center"/>
        <w:rPr>
          <w:rFonts w:ascii="宋体" w:hAnsi="宋体"/>
          <w:b/>
          <w:color w:val="auto"/>
          <w:sz w:val="24"/>
          <w:highlight w:val="none"/>
        </w:rPr>
      </w:pPr>
    </w:p>
    <w:tbl>
      <w:tblPr>
        <w:tblStyle w:val="8"/>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5F86CD6A">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D3EEF5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404785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76BC2F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5EAE8F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4105BFD">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55645B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4C7C32B">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F961805">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4E4A0B6">
            <w:pPr>
              <w:widowControl/>
              <w:spacing w:line="360" w:lineRule="auto"/>
              <w:contextualSpacing/>
              <w:jc w:val="center"/>
              <w:rPr>
                <w:rFonts w:ascii="宋体" w:hAnsi="宋体" w:cs="宋体"/>
                <w:color w:val="auto"/>
                <w:kern w:val="0"/>
                <w:sz w:val="24"/>
                <w:highlight w:val="none"/>
              </w:rPr>
            </w:pPr>
          </w:p>
        </w:tc>
      </w:tr>
      <w:tr w14:paraId="60DCE2D4">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84075DD">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6A90EC3">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F34A977">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85D8468">
            <w:pPr>
              <w:widowControl/>
              <w:spacing w:line="360" w:lineRule="auto"/>
              <w:contextualSpacing/>
              <w:jc w:val="center"/>
              <w:rPr>
                <w:rFonts w:ascii="宋体" w:hAnsi="宋体" w:cs="宋体"/>
                <w:color w:val="auto"/>
                <w:kern w:val="0"/>
                <w:sz w:val="24"/>
                <w:highlight w:val="none"/>
              </w:rPr>
            </w:pPr>
          </w:p>
        </w:tc>
      </w:tr>
      <w:tr w14:paraId="49DBA92B">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01A01E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859A15C">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35B49D1">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F48A26E">
            <w:pPr>
              <w:widowControl/>
              <w:spacing w:line="360" w:lineRule="auto"/>
              <w:contextualSpacing/>
              <w:jc w:val="center"/>
              <w:rPr>
                <w:rFonts w:ascii="宋体" w:hAnsi="宋体" w:cs="宋体"/>
                <w:color w:val="auto"/>
                <w:kern w:val="0"/>
                <w:sz w:val="24"/>
                <w:highlight w:val="none"/>
              </w:rPr>
            </w:pPr>
          </w:p>
        </w:tc>
      </w:tr>
      <w:tr w14:paraId="317411F0">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75D902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4C1A312">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2BC001A">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51489B7">
            <w:pPr>
              <w:widowControl/>
              <w:spacing w:line="360" w:lineRule="auto"/>
              <w:contextualSpacing/>
              <w:jc w:val="center"/>
              <w:rPr>
                <w:rFonts w:ascii="宋体" w:hAnsi="宋体" w:cs="宋体"/>
                <w:color w:val="auto"/>
                <w:kern w:val="0"/>
                <w:sz w:val="24"/>
                <w:highlight w:val="none"/>
              </w:rPr>
            </w:pPr>
          </w:p>
        </w:tc>
      </w:tr>
    </w:tbl>
    <w:p w14:paraId="2F0E1F0A">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907CF05">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3D5435A">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53E260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56879942">
      <w:pPr>
        <w:spacing w:line="360" w:lineRule="auto"/>
        <w:contextualSpacing/>
        <w:jc w:val="left"/>
        <w:rPr>
          <w:rFonts w:ascii="宋体" w:hAnsi="宋体"/>
          <w:color w:val="auto"/>
          <w:sz w:val="28"/>
          <w:szCs w:val="28"/>
          <w:highlight w:val="none"/>
        </w:rPr>
      </w:pPr>
    </w:p>
    <w:p w14:paraId="3E6B9D1C">
      <w:pPr>
        <w:spacing w:line="360" w:lineRule="auto"/>
        <w:contextualSpacing/>
        <w:jc w:val="left"/>
        <w:rPr>
          <w:rFonts w:ascii="宋体" w:hAnsi="宋体"/>
          <w:color w:val="auto"/>
          <w:sz w:val="28"/>
          <w:szCs w:val="28"/>
          <w:highlight w:val="none"/>
        </w:rPr>
      </w:pPr>
    </w:p>
    <w:p w14:paraId="00008A04">
      <w:pPr>
        <w:spacing w:line="360" w:lineRule="auto"/>
        <w:contextualSpacing/>
        <w:jc w:val="left"/>
        <w:rPr>
          <w:color w:val="auto"/>
          <w:sz w:val="28"/>
          <w:szCs w:val="28"/>
          <w:highlight w:val="none"/>
        </w:rPr>
      </w:pPr>
    </w:p>
    <w:p w14:paraId="501ADA57">
      <w:pPr>
        <w:spacing w:line="360" w:lineRule="auto"/>
        <w:contextualSpacing/>
        <w:jc w:val="left"/>
        <w:rPr>
          <w:color w:val="auto"/>
          <w:sz w:val="28"/>
          <w:szCs w:val="28"/>
          <w:highlight w:val="none"/>
        </w:rPr>
      </w:pPr>
    </w:p>
    <w:p w14:paraId="1D50BBA2">
      <w:pPr>
        <w:spacing w:line="360" w:lineRule="auto"/>
        <w:contextualSpacing/>
        <w:jc w:val="left"/>
        <w:rPr>
          <w:color w:val="auto"/>
          <w:sz w:val="28"/>
          <w:szCs w:val="28"/>
          <w:highlight w:val="none"/>
        </w:rPr>
      </w:pPr>
    </w:p>
    <w:p w14:paraId="1D29DA51">
      <w:pPr>
        <w:spacing w:line="360" w:lineRule="auto"/>
        <w:contextualSpacing/>
        <w:jc w:val="left"/>
        <w:rPr>
          <w:rFonts w:ascii="宋体" w:hAnsi="宋体"/>
          <w:color w:val="auto"/>
          <w:sz w:val="28"/>
          <w:szCs w:val="28"/>
          <w:highlight w:val="none"/>
        </w:rPr>
      </w:pPr>
    </w:p>
    <w:p w14:paraId="6DEB854B">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97E2B74">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635FA16B">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1D1D29FA">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517E0129">
      <w:pPr>
        <w:spacing w:line="320" w:lineRule="exact"/>
        <w:jc w:val="center"/>
        <w:rPr>
          <w:rFonts w:ascii="宋体" w:hAnsi="宋体"/>
          <w:color w:val="auto"/>
          <w:sz w:val="24"/>
          <w:szCs w:val="20"/>
          <w:highlight w:val="none"/>
        </w:rPr>
      </w:pPr>
    </w:p>
    <w:p w14:paraId="352710D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ADF150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A1258E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3F7E488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0A77AEF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2592277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115ED20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13BC96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30F4B75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D670C3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57FD602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188C93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5146C32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3DF663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24BBCC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89E0C5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9E7508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7792BE2E">
      <w:pPr>
        <w:spacing w:line="360" w:lineRule="auto"/>
        <w:ind w:firstLine="480" w:firstLineChars="200"/>
        <w:contextualSpacing/>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szCs w:val="24"/>
          <w:highlight w:val="none"/>
        </w:rPr>
        <w:t>我方承诺具有满足本项目的承保资格、经营能力、售后服务和偿付能力；承诺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125B4BF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649CAA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13398A7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7F3835A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C491B28">
      <w:pPr>
        <w:pStyle w:val="34"/>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17D805ED">
      <w:pPr>
        <w:pStyle w:val="34"/>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D3B654A">
      <w:pPr>
        <w:pStyle w:val="3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3D503A31">
      <w:pPr>
        <w:pStyle w:val="3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.以上事项如有虚假或者隐瞒，我方愿意承担一切后果，并不再寻求任何旨在减轻或者免除法律责任的辩解。</w:t>
      </w:r>
    </w:p>
    <w:p w14:paraId="650F4FA1">
      <w:pPr>
        <w:pStyle w:val="3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14FEAF73">
      <w:pPr>
        <w:spacing w:line="360" w:lineRule="auto"/>
        <w:contextualSpacing/>
        <w:jc w:val="left"/>
        <w:rPr>
          <w:rFonts w:ascii="宋体" w:hAnsi="宋体" w:cs="宋体"/>
          <w:b/>
          <w:color w:val="auto"/>
          <w:sz w:val="24"/>
          <w:highlight w:val="none"/>
        </w:rPr>
      </w:pPr>
    </w:p>
    <w:p w14:paraId="2D881D17">
      <w:pPr>
        <w:spacing w:line="360" w:lineRule="auto"/>
        <w:contextualSpacing/>
        <w:jc w:val="left"/>
        <w:rPr>
          <w:rFonts w:ascii="宋体" w:hAnsi="宋体" w:cs="宋体"/>
          <w:color w:val="auto"/>
          <w:szCs w:val="21"/>
          <w:highlight w:val="none"/>
        </w:rPr>
      </w:pPr>
    </w:p>
    <w:p w14:paraId="2F6BF7C9">
      <w:pPr>
        <w:spacing w:line="360" w:lineRule="auto"/>
        <w:ind w:firstLine="1575" w:firstLineChars="750"/>
        <w:contextualSpacing/>
        <w:rPr>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287CF6C6">
      <w:pPr>
        <w:spacing w:line="360" w:lineRule="auto"/>
        <w:ind w:firstLine="3780" w:firstLineChars="1800"/>
        <w:contextualSpacing/>
        <w:rPr>
          <w:rFonts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2BDC6C21">
      <w:pPr>
        <w:pStyle w:val="33"/>
        <w:tabs>
          <w:tab w:val="left" w:pos="939"/>
        </w:tabs>
        <w:spacing w:line="360" w:lineRule="auto"/>
        <w:ind w:left="0" w:leftChars="0" w:firstLine="420" w:firstLineChars="200"/>
        <w:rPr>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14D24AA2">
      <w:pPr>
        <w:pStyle w:val="16"/>
        <w:overflowPunct w:val="0"/>
        <w:spacing w:line="520" w:lineRule="exact"/>
        <w:ind w:firstLine="0"/>
        <w:jc w:val="center"/>
        <w:rPr>
          <w:color w:val="auto"/>
          <w:sz w:val="24"/>
          <w:highlight w:val="none"/>
        </w:rPr>
      </w:pPr>
    </w:p>
    <w:p w14:paraId="7C570739">
      <w:pPr>
        <w:pStyle w:val="16"/>
        <w:overflowPunct w:val="0"/>
        <w:spacing w:line="520" w:lineRule="exact"/>
        <w:ind w:firstLine="0"/>
        <w:jc w:val="center"/>
        <w:rPr>
          <w:color w:val="auto"/>
          <w:sz w:val="24"/>
          <w:highlight w:val="none"/>
        </w:rPr>
      </w:pPr>
    </w:p>
    <w:p w14:paraId="04F58BA3">
      <w:pPr>
        <w:pStyle w:val="16"/>
        <w:overflowPunct w:val="0"/>
        <w:spacing w:line="520" w:lineRule="exact"/>
        <w:ind w:firstLine="0"/>
        <w:jc w:val="center"/>
        <w:rPr>
          <w:color w:val="auto"/>
          <w:sz w:val="24"/>
          <w:highlight w:val="none"/>
        </w:rPr>
      </w:pPr>
    </w:p>
    <w:p w14:paraId="36B60B03">
      <w:pPr>
        <w:pStyle w:val="16"/>
        <w:overflowPunct w:val="0"/>
        <w:spacing w:line="520" w:lineRule="exact"/>
        <w:ind w:firstLine="0"/>
        <w:jc w:val="center"/>
        <w:rPr>
          <w:color w:val="auto"/>
          <w:sz w:val="24"/>
          <w:highlight w:val="none"/>
        </w:rPr>
      </w:pPr>
    </w:p>
    <w:p w14:paraId="3787459E">
      <w:pPr>
        <w:pStyle w:val="16"/>
        <w:overflowPunct w:val="0"/>
        <w:spacing w:line="520" w:lineRule="exact"/>
        <w:ind w:firstLine="0"/>
        <w:jc w:val="center"/>
        <w:rPr>
          <w:color w:val="auto"/>
          <w:sz w:val="24"/>
          <w:highlight w:val="none"/>
        </w:rPr>
      </w:pPr>
    </w:p>
    <w:p w14:paraId="7BF961B4">
      <w:pPr>
        <w:pStyle w:val="16"/>
        <w:overflowPunct w:val="0"/>
        <w:spacing w:line="520" w:lineRule="exact"/>
        <w:ind w:firstLine="0"/>
        <w:jc w:val="center"/>
        <w:rPr>
          <w:color w:val="auto"/>
          <w:sz w:val="24"/>
          <w:highlight w:val="none"/>
        </w:rPr>
      </w:pPr>
    </w:p>
    <w:p w14:paraId="0A649673">
      <w:pPr>
        <w:pStyle w:val="16"/>
        <w:overflowPunct w:val="0"/>
        <w:spacing w:line="520" w:lineRule="exact"/>
        <w:ind w:firstLine="0"/>
        <w:jc w:val="center"/>
        <w:rPr>
          <w:color w:val="auto"/>
          <w:sz w:val="24"/>
          <w:highlight w:val="none"/>
        </w:rPr>
      </w:pPr>
    </w:p>
    <w:p w14:paraId="1A5F5F01">
      <w:pPr>
        <w:pStyle w:val="16"/>
        <w:overflowPunct w:val="0"/>
        <w:spacing w:line="520" w:lineRule="exact"/>
        <w:ind w:firstLine="0"/>
        <w:jc w:val="center"/>
        <w:rPr>
          <w:color w:val="auto"/>
          <w:sz w:val="24"/>
          <w:highlight w:val="none"/>
        </w:rPr>
      </w:pPr>
    </w:p>
    <w:p w14:paraId="3F2823A3">
      <w:pPr>
        <w:pStyle w:val="16"/>
        <w:overflowPunct w:val="0"/>
        <w:spacing w:line="520" w:lineRule="exact"/>
        <w:ind w:firstLine="0"/>
        <w:jc w:val="center"/>
        <w:rPr>
          <w:color w:val="auto"/>
          <w:sz w:val="24"/>
          <w:highlight w:val="none"/>
        </w:rPr>
      </w:pPr>
    </w:p>
    <w:p w14:paraId="7B09C73E">
      <w:pPr>
        <w:spacing w:line="360" w:lineRule="auto"/>
        <w:ind w:right="420"/>
        <w:contextualSpacing/>
        <w:jc w:val="left"/>
        <w:rPr>
          <w:rFonts w:hint="eastAsia" w:ascii="宋体" w:hAnsi="宋体"/>
          <w:b/>
          <w:bCs/>
          <w:color w:val="auto"/>
          <w:sz w:val="32"/>
          <w:szCs w:val="32"/>
          <w:highlight w:val="none"/>
        </w:rPr>
      </w:pPr>
    </w:p>
    <w:p w14:paraId="3FF629EF">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7DA67EA8">
      <w:pPr>
        <w:spacing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101921E4">
      <w:pPr>
        <w:spacing w:after="50"/>
        <w:rPr>
          <w:rFonts w:ascii="宋体" w:hAnsi="宋体"/>
          <w:bCs/>
          <w:color w:val="auto"/>
          <w:sz w:val="32"/>
          <w:szCs w:val="20"/>
          <w:highlight w:val="none"/>
        </w:rPr>
      </w:pPr>
      <w:r>
        <w:rPr>
          <w:rFonts w:hint="eastAsia" w:ascii="宋体" w:hAnsi="宋体"/>
          <w:color w:val="auto"/>
          <w:sz w:val="24"/>
          <w:highlight w:val="none"/>
        </w:rPr>
        <w:t xml:space="preserve">                                                    </w:t>
      </w:r>
    </w:p>
    <w:p w14:paraId="1E8EC70E">
      <w:pPr>
        <w:spacing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766AF7B0">
      <w:pPr>
        <w:spacing w:after="50"/>
        <w:rPr>
          <w:rFonts w:ascii="宋体" w:hAnsi="宋体"/>
          <w:color w:val="auto"/>
          <w:sz w:val="24"/>
          <w:szCs w:val="20"/>
          <w:highlight w:val="none"/>
        </w:rPr>
      </w:pPr>
    </w:p>
    <w:p w14:paraId="7E60B499">
      <w:pPr>
        <w:spacing w:after="50"/>
        <w:rPr>
          <w:rFonts w:ascii="宋体" w:hAnsi="宋体"/>
          <w:color w:val="auto"/>
          <w:sz w:val="24"/>
          <w:szCs w:val="20"/>
          <w:highlight w:val="none"/>
        </w:rPr>
      </w:pPr>
    </w:p>
    <w:p w14:paraId="0F8BE4FB">
      <w:pPr>
        <w:spacing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4C09BA2B">
      <w:pPr>
        <w:spacing w:after="50"/>
        <w:rPr>
          <w:rFonts w:ascii="宋体" w:hAnsi="宋体"/>
          <w:bCs/>
          <w:color w:val="auto"/>
          <w:sz w:val="24"/>
          <w:szCs w:val="20"/>
          <w:highlight w:val="none"/>
        </w:rPr>
      </w:pPr>
    </w:p>
    <w:p w14:paraId="0803B23E">
      <w:pPr>
        <w:spacing w:after="50"/>
        <w:rPr>
          <w:rFonts w:ascii="宋体" w:hAnsi="宋体"/>
          <w:bCs/>
          <w:color w:val="auto"/>
          <w:sz w:val="24"/>
          <w:szCs w:val="20"/>
          <w:highlight w:val="none"/>
        </w:rPr>
      </w:pPr>
    </w:p>
    <w:p w14:paraId="4DF8A58F">
      <w:pPr>
        <w:spacing w:after="50"/>
        <w:rPr>
          <w:rFonts w:ascii="宋体" w:hAnsi="宋体"/>
          <w:bCs/>
          <w:color w:val="auto"/>
          <w:sz w:val="24"/>
          <w:szCs w:val="20"/>
          <w:highlight w:val="none"/>
        </w:rPr>
      </w:pPr>
    </w:p>
    <w:p w14:paraId="12E4376D">
      <w:pPr>
        <w:spacing w:after="50"/>
        <w:rPr>
          <w:rFonts w:ascii="宋体" w:hAnsi="宋体"/>
          <w:bCs/>
          <w:color w:val="auto"/>
          <w:sz w:val="24"/>
          <w:szCs w:val="20"/>
          <w:highlight w:val="none"/>
        </w:rPr>
      </w:pPr>
    </w:p>
    <w:p w14:paraId="2AD74458">
      <w:pPr>
        <w:spacing w:after="50"/>
        <w:rPr>
          <w:rFonts w:ascii="宋体" w:hAnsi="宋体"/>
          <w:bCs/>
          <w:color w:val="auto"/>
          <w:sz w:val="24"/>
          <w:szCs w:val="20"/>
          <w:highlight w:val="none"/>
        </w:rPr>
      </w:pPr>
    </w:p>
    <w:p w14:paraId="5A59B621">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28B2AA9">
      <w:pPr>
        <w:spacing w:after="50"/>
        <w:ind w:firstLine="720" w:firstLineChars="225"/>
        <w:rPr>
          <w:rFonts w:ascii="宋体" w:hAnsi="宋体" w:cs="仿宋_GB2312"/>
          <w:bCs/>
          <w:color w:val="auto"/>
          <w:sz w:val="32"/>
          <w:szCs w:val="32"/>
          <w:highlight w:val="none"/>
        </w:rPr>
      </w:pPr>
    </w:p>
    <w:p w14:paraId="1685AC77">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6345E5E">
      <w:pPr>
        <w:spacing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5F95B1D">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272B522">
      <w:pPr>
        <w:spacing w:after="50"/>
        <w:ind w:firstLine="720" w:firstLineChars="225"/>
        <w:rPr>
          <w:rFonts w:ascii="宋体" w:hAnsi="宋体" w:cs="仿宋_GB2312"/>
          <w:bCs/>
          <w:color w:val="auto"/>
          <w:sz w:val="32"/>
          <w:szCs w:val="32"/>
          <w:highlight w:val="none"/>
        </w:rPr>
      </w:pPr>
    </w:p>
    <w:p w14:paraId="4AEC7614">
      <w:pPr>
        <w:pStyle w:val="16"/>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DAE1015">
      <w:pPr>
        <w:pStyle w:val="16"/>
        <w:spacing w:before="50" w:after="50"/>
        <w:ind w:firstLine="640" w:firstLineChars="200"/>
        <w:rPr>
          <w:rFonts w:ascii="宋体" w:hAnsi="宋体" w:cs="仿宋_GB2312"/>
          <w:bCs/>
          <w:color w:val="auto"/>
          <w:sz w:val="32"/>
          <w:szCs w:val="32"/>
          <w:highlight w:val="none"/>
        </w:rPr>
      </w:pPr>
    </w:p>
    <w:p w14:paraId="3C604E39">
      <w:pPr>
        <w:pStyle w:val="16"/>
        <w:spacing w:before="50" w:after="50"/>
        <w:ind w:firstLine="720" w:firstLineChars="225"/>
        <w:rPr>
          <w:rFonts w:ascii="宋体" w:hAnsi="宋体" w:cs="仿宋_GB2312"/>
          <w:bCs/>
          <w:color w:val="auto"/>
          <w:sz w:val="32"/>
          <w:szCs w:val="32"/>
          <w:highlight w:val="none"/>
        </w:rPr>
      </w:pPr>
    </w:p>
    <w:p w14:paraId="0F31611F">
      <w:pPr>
        <w:pStyle w:val="16"/>
        <w:spacing w:before="50" w:after="50"/>
        <w:ind w:firstLine="0"/>
        <w:rPr>
          <w:rFonts w:ascii="宋体" w:hAnsi="宋体" w:cs="仿宋_GB2312"/>
          <w:bCs/>
          <w:color w:val="auto"/>
          <w:sz w:val="32"/>
          <w:szCs w:val="32"/>
          <w:highlight w:val="none"/>
        </w:rPr>
      </w:pPr>
    </w:p>
    <w:p w14:paraId="1822BA2A">
      <w:pPr>
        <w:pStyle w:val="16"/>
        <w:spacing w:before="50" w:after="50"/>
        <w:ind w:firstLine="1280" w:firstLineChars="400"/>
        <w:rPr>
          <w:rFonts w:ascii="宋体" w:hAnsi="宋体" w:cs="仿宋_GB2312"/>
          <w:bCs/>
          <w:color w:val="auto"/>
          <w:sz w:val="32"/>
          <w:szCs w:val="32"/>
          <w:highlight w:val="none"/>
        </w:rPr>
      </w:pPr>
    </w:p>
    <w:p w14:paraId="7ECD57AD">
      <w:pPr>
        <w:spacing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A1EC558">
      <w:pPr>
        <w:spacing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09141D67">
      <w:pPr>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45343E3B">
      <w:pPr>
        <w:spacing w:line="440" w:lineRule="exact"/>
        <w:jc w:val="center"/>
        <w:rPr>
          <w:rFonts w:ascii="方正小标宋简体" w:hAnsi="方正小标宋简体" w:eastAsia="方正小标宋简体" w:cs="方正小标宋简体"/>
          <w:bCs/>
          <w:color w:val="auto"/>
          <w:sz w:val="32"/>
          <w:szCs w:val="32"/>
          <w:highlight w:val="none"/>
        </w:rPr>
      </w:pPr>
    </w:p>
    <w:p w14:paraId="5376D756">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E22786D">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4A65FEE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185A5BF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8"/>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143"/>
        <w:gridCol w:w="1157"/>
        <w:gridCol w:w="1075"/>
        <w:gridCol w:w="1687"/>
        <w:gridCol w:w="963"/>
      </w:tblGrid>
      <w:tr w14:paraId="41D8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14:paraId="552E3EE2">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3143" w:type="dxa"/>
            <w:tcBorders>
              <w:top w:val="single" w:color="auto" w:sz="4" w:space="0"/>
              <w:left w:val="single" w:color="auto" w:sz="4" w:space="0"/>
              <w:bottom w:val="single" w:color="auto" w:sz="4" w:space="0"/>
              <w:right w:val="single" w:color="auto" w:sz="4" w:space="0"/>
            </w:tcBorders>
            <w:noWrap/>
            <w:vAlign w:val="center"/>
          </w:tcPr>
          <w:p w14:paraId="2A115601">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服务名称</w:t>
            </w:r>
          </w:p>
        </w:tc>
        <w:tc>
          <w:tcPr>
            <w:tcW w:w="1157" w:type="dxa"/>
            <w:tcBorders>
              <w:top w:val="single" w:color="auto" w:sz="4" w:space="0"/>
              <w:left w:val="single" w:color="auto" w:sz="4" w:space="0"/>
              <w:bottom w:val="single" w:color="auto" w:sz="4" w:space="0"/>
              <w:right w:val="single" w:color="auto" w:sz="4" w:space="0"/>
            </w:tcBorders>
            <w:noWrap/>
            <w:vAlign w:val="center"/>
          </w:tcPr>
          <w:p w14:paraId="1033D527">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数量及单位①</w:t>
            </w:r>
          </w:p>
        </w:tc>
        <w:tc>
          <w:tcPr>
            <w:tcW w:w="1075" w:type="dxa"/>
            <w:tcBorders>
              <w:top w:val="single" w:color="auto" w:sz="4" w:space="0"/>
              <w:left w:val="single" w:color="auto" w:sz="4" w:space="0"/>
              <w:bottom w:val="single" w:color="auto" w:sz="4" w:space="0"/>
              <w:right w:val="single" w:color="auto" w:sz="4" w:space="0"/>
            </w:tcBorders>
            <w:noWrap/>
            <w:vAlign w:val="center"/>
          </w:tcPr>
          <w:p w14:paraId="13AC5880">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单价②</w:t>
            </w:r>
          </w:p>
        </w:tc>
        <w:tc>
          <w:tcPr>
            <w:tcW w:w="1687" w:type="dxa"/>
            <w:tcBorders>
              <w:top w:val="single" w:color="auto" w:sz="4" w:space="0"/>
              <w:left w:val="single" w:color="auto" w:sz="4" w:space="0"/>
              <w:bottom w:val="single" w:color="auto" w:sz="4" w:space="0"/>
              <w:right w:val="single" w:color="auto" w:sz="4" w:space="0"/>
            </w:tcBorders>
            <w:noWrap/>
            <w:vAlign w:val="center"/>
          </w:tcPr>
          <w:p w14:paraId="7CA04D33">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③合计金额=①×②</w:t>
            </w:r>
          </w:p>
        </w:tc>
        <w:tc>
          <w:tcPr>
            <w:tcW w:w="963" w:type="dxa"/>
            <w:tcBorders>
              <w:top w:val="single" w:color="auto" w:sz="4" w:space="0"/>
              <w:left w:val="single" w:color="auto" w:sz="4" w:space="0"/>
              <w:bottom w:val="single" w:color="auto" w:sz="4" w:space="0"/>
              <w:right w:val="single" w:color="auto" w:sz="4" w:space="0"/>
            </w:tcBorders>
            <w:noWrap/>
            <w:vAlign w:val="center"/>
          </w:tcPr>
          <w:p w14:paraId="6C1A12F4">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2E30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14:paraId="2FC8F05F">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3143" w:type="dxa"/>
            <w:tcBorders>
              <w:top w:val="single" w:color="auto" w:sz="4" w:space="0"/>
              <w:left w:val="single" w:color="auto" w:sz="4" w:space="0"/>
              <w:bottom w:val="single" w:color="auto" w:sz="4" w:space="0"/>
              <w:right w:val="single" w:color="auto" w:sz="4" w:space="0"/>
            </w:tcBorders>
            <w:noWrap/>
            <w:vAlign w:val="center"/>
          </w:tcPr>
          <w:p w14:paraId="35B680A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2026年度全市公安民警、机关辅警人身意外伤害及重大疾病商业保险服务项目</w:t>
            </w:r>
          </w:p>
        </w:tc>
        <w:tc>
          <w:tcPr>
            <w:tcW w:w="1157" w:type="dxa"/>
            <w:tcBorders>
              <w:top w:val="single" w:color="auto" w:sz="4" w:space="0"/>
              <w:left w:val="single" w:color="auto" w:sz="4" w:space="0"/>
              <w:bottom w:val="single" w:color="auto" w:sz="4" w:space="0"/>
              <w:right w:val="single" w:color="auto" w:sz="4" w:space="0"/>
            </w:tcBorders>
            <w:noWrap/>
            <w:vAlign w:val="center"/>
          </w:tcPr>
          <w:p w14:paraId="061AFA28">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1项</w:t>
            </w:r>
          </w:p>
        </w:tc>
        <w:tc>
          <w:tcPr>
            <w:tcW w:w="1075" w:type="dxa"/>
            <w:tcBorders>
              <w:top w:val="single" w:color="auto" w:sz="4" w:space="0"/>
              <w:left w:val="single" w:color="auto" w:sz="4" w:space="0"/>
              <w:bottom w:val="single" w:color="auto" w:sz="4" w:space="0"/>
              <w:right w:val="single" w:color="auto" w:sz="4" w:space="0"/>
            </w:tcBorders>
            <w:noWrap/>
            <w:vAlign w:val="top"/>
          </w:tcPr>
          <w:p w14:paraId="3BFC8BE1">
            <w:pPr>
              <w:spacing w:line="360" w:lineRule="auto"/>
              <w:contextualSpacing/>
              <w:rPr>
                <w:rFonts w:ascii="宋体" w:hAnsi="宋体" w:cs="仿宋_GB2312"/>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noWrap/>
            <w:vAlign w:val="center"/>
          </w:tcPr>
          <w:p w14:paraId="47C3BB97">
            <w:pPr>
              <w:spacing w:line="360" w:lineRule="auto"/>
              <w:contextualSpacing/>
              <w:rPr>
                <w:rFonts w:ascii="宋体" w:hAnsi="宋体" w:cs="仿宋_GB2312"/>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noWrap/>
            <w:vAlign w:val="center"/>
          </w:tcPr>
          <w:p w14:paraId="5A35F989">
            <w:pPr>
              <w:spacing w:line="360" w:lineRule="auto"/>
              <w:contextualSpacing/>
              <w:rPr>
                <w:rFonts w:ascii="宋体" w:hAnsi="宋体" w:cs="仿宋_GB2312"/>
                <w:color w:val="auto"/>
                <w:sz w:val="24"/>
                <w:highlight w:val="none"/>
              </w:rPr>
            </w:pPr>
          </w:p>
        </w:tc>
      </w:tr>
      <w:tr w14:paraId="1F8C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816" w:type="dxa"/>
            <w:gridSpan w:val="6"/>
            <w:tcBorders>
              <w:top w:val="single" w:color="auto" w:sz="4" w:space="0"/>
              <w:left w:val="single" w:color="auto" w:sz="4" w:space="0"/>
              <w:bottom w:val="single" w:color="auto" w:sz="4" w:space="0"/>
              <w:right w:val="single" w:color="auto" w:sz="4" w:space="0"/>
            </w:tcBorders>
            <w:noWrap/>
            <w:vAlign w:val="center"/>
          </w:tcPr>
          <w:p w14:paraId="1D5EBDC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总报价：人民币      （¥）</w:t>
            </w:r>
          </w:p>
        </w:tc>
      </w:tr>
    </w:tbl>
    <w:p w14:paraId="2EA21816">
      <w:pPr>
        <w:spacing w:line="360" w:lineRule="auto"/>
        <w:contextualSpacing/>
        <w:jc w:val="left"/>
        <w:rPr>
          <w:rFonts w:ascii="宋体" w:hAnsi="宋体" w:cs="仿宋_GB2312"/>
          <w:color w:val="auto"/>
          <w:sz w:val="24"/>
          <w:highlight w:val="none"/>
        </w:rPr>
      </w:pPr>
    </w:p>
    <w:p w14:paraId="78E96F67">
      <w:pPr>
        <w:spacing w:line="360" w:lineRule="auto"/>
        <w:contextualSpacing/>
        <w:jc w:val="left"/>
        <w:rPr>
          <w:rFonts w:ascii="宋体" w:hAnsi="宋体" w:cs="仿宋_GB2312"/>
          <w:color w:val="auto"/>
          <w:szCs w:val="21"/>
          <w:highlight w:val="none"/>
        </w:rPr>
      </w:pPr>
      <w:r>
        <w:rPr>
          <w:rFonts w:hint="eastAsia" w:ascii="宋体" w:hAnsi="宋体" w:cs="仿宋_GB2312"/>
          <w:color w:val="auto"/>
          <w:szCs w:val="21"/>
          <w:highlight w:val="none"/>
        </w:rPr>
        <w:t xml:space="preserve">注: </w:t>
      </w:r>
    </w:p>
    <w:p w14:paraId="57014064">
      <w:pPr>
        <w:spacing w:line="360" w:lineRule="auto"/>
        <w:ind w:firstLine="420" w:firstLineChars="200"/>
        <w:contextualSpacing/>
        <w:jc w:val="left"/>
        <w:rPr>
          <w:rFonts w:ascii="宋体" w:hAnsi="宋体" w:cs="仿宋_GB2312"/>
          <w:color w:val="auto"/>
          <w:szCs w:val="21"/>
          <w:highlight w:val="none"/>
        </w:rPr>
      </w:pPr>
      <w:r>
        <w:rPr>
          <w:rFonts w:hint="eastAsia" w:ascii="宋体" w:hAnsi="宋体" w:cs="仿宋_GB2312"/>
          <w:color w:val="auto"/>
          <w:szCs w:val="21"/>
          <w:highlight w:val="none"/>
        </w:rPr>
        <w:t>1.供应商的报价表必须加盖供应商电子签章并由法定代表人或者委托代理人签字或者电子签名，</w:t>
      </w:r>
      <w:r>
        <w:rPr>
          <w:rFonts w:hint="eastAsia" w:ascii="宋体" w:hAnsi="宋体" w:cs="仿宋_GB2312"/>
          <w:b/>
          <w:color w:val="auto"/>
          <w:szCs w:val="21"/>
          <w:highlight w:val="none"/>
        </w:rPr>
        <w:t>否则其响应文件按无效处理</w:t>
      </w:r>
      <w:r>
        <w:rPr>
          <w:rFonts w:hint="eastAsia" w:ascii="宋体" w:hAnsi="宋体" w:cs="仿宋_GB2312"/>
          <w:color w:val="auto"/>
          <w:szCs w:val="21"/>
          <w:highlight w:val="none"/>
        </w:rPr>
        <w:t>。</w:t>
      </w:r>
    </w:p>
    <w:p w14:paraId="39841FCC">
      <w:pPr>
        <w:spacing w:line="360" w:lineRule="auto"/>
        <w:ind w:firstLine="420" w:firstLineChars="200"/>
        <w:contextualSpacing/>
        <w:jc w:val="left"/>
        <w:rPr>
          <w:rFonts w:ascii="宋体" w:hAnsi="宋体" w:cs="仿宋_GB2312"/>
          <w:b/>
          <w:color w:val="auto"/>
          <w:szCs w:val="21"/>
          <w:highlight w:val="none"/>
        </w:rPr>
      </w:pPr>
      <w:r>
        <w:rPr>
          <w:rFonts w:hint="eastAsia" w:ascii="宋体" w:hAnsi="宋体" w:cs="仿宋_GB2312"/>
          <w:bCs/>
          <w:color w:val="auto"/>
          <w:szCs w:val="21"/>
          <w:highlight w:val="none"/>
        </w:rPr>
        <w:t>2.</w:t>
      </w:r>
      <w:r>
        <w:rPr>
          <w:rFonts w:hint="eastAsia" w:ascii="宋体" w:hAnsi="宋体" w:cs="仿宋_GB2312"/>
          <w:color w:val="auto"/>
          <w:szCs w:val="21"/>
          <w:highlight w:val="none"/>
        </w:rPr>
        <w:t>报价一经涂改，应在涂改处加盖供应商公章或者加盖电子签章或者由法定代表人或者授权委托人签字</w:t>
      </w:r>
      <w:r>
        <w:rPr>
          <w:rFonts w:hint="eastAsia" w:ascii="宋体" w:hAnsi="宋体"/>
          <w:color w:val="auto"/>
          <w:szCs w:val="21"/>
          <w:highlight w:val="none"/>
        </w:rPr>
        <w:t>（或者电子签名）</w:t>
      </w:r>
      <w:r>
        <w:rPr>
          <w:rFonts w:hint="eastAsia" w:ascii="宋体" w:hAnsi="宋体" w:cs="仿宋_GB2312"/>
          <w:b/>
          <w:color w:val="auto"/>
          <w:szCs w:val="21"/>
          <w:highlight w:val="none"/>
        </w:rPr>
        <w:t>，否则其响应文件按无效处理。</w:t>
      </w:r>
    </w:p>
    <w:p w14:paraId="47BCB0C2">
      <w:pPr>
        <w:spacing w:line="360" w:lineRule="auto"/>
        <w:ind w:right="-817" w:rightChars="-389"/>
        <w:contextualSpacing/>
        <w:rPr>
          <w:rFonts w:ascii="宋体" w:hAnsi="宋体" w:cs="仿宋_GB2312"/>
          <w:color w:val="auto"/>
          <w:sz w:val="24"/>
          <w:highlight w:val="none"/>
        </w:rPr>
      </w:pPr>
    </w:p>
    <w:p w14:paraId="06BF301F">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61784916">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0E5E4886">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3D083A1C">
      <w:pPr>
        <w:pStyle w:val="11"/>
        <w:rPr>
          <w:rFonts w:hint="eastAsia" w:ascii="宋体" w:hAnsi="宋体" w:cs="仿宋_GB2312"/>
          <w:color w:val="auto"/>
          <w:sz w:val="24"/>
          <w:highlight w:val="none"/>
        </w:rPr>
      </w:pPr>
    </w:p>
    <w:p w14:paraId="0C0909CE">
      <w:pPr>
        <w:pStyle w:val="11"/>
        <w:rPr>
          <w:rFonts w:hint="eastAsia" w:ascii="宋体" w:hAnsi="宋体" w:cs="仿宋_GB2312"/>
          <w:color w:val="auto"/>
          <w:sz w:val="24"/>
          <w:highlight w:val="none"/>
        </w:rPr>
      </w:pPr>
    </w:p>
    <w:p w14:paraId="7CFF0E3E">
      <w:pPr>
        <w:pStyle w:val="11"/>
        <w:rPr>
          <w:rFonts w:hint="eastAsia" w:ascii="宋体" w:hAnsi="宋体" w:cs="仿宋_GB2312"/>
          <w:color w:val="auto"/>
          <w:sz w:val="24"/>
          <w:highlight w:val="none"/>
        </w:rPr>
      </w:pPr>
    </w:p>
    <w:p w14:paraId="2A7A6F33">
      <w:pPr>
        <w:pStyle w:val="11"/>
        <w:rPr>
          <w:rFonts w:hint="eastAsia" w:ascii="宋体" w:hAnsi="宋体" w:cs="仿宋_GB2312"/>
          <w:color w:val="auto"/>
          <w:sz w:val="24"/>
          <w:highlight w:val="none"/>
        </w:rPr>
      </w:pPr>
    </w:p>
    <w:p w14:paraId="7D373398">
      <w:pPr>
        <w:pStyle w:val="11"/>
        <w:rPr>
          <w:rFonts w:hint="eastAsia" w:ascii="宋体" w:hAnsi="宋体" w:cs="仿宋_GB2312"/>
          <w:color w:val="auto"/>
          <w:sz w:val="24"/>
          <w:highlight w:val="none"/>
        </w:rPr>
      </w:pPr>
    </w:p>
    <w:p w14:paraId="53064F43">
      <w:pPr>
        <w:pStyle w:val="11"/>
        <w:rPr>
          <w:rFonts w:hint="eastAsia" w:ascii="宋体" w:hAnsi="宋体" w:cs="仿宋_GB2312"/>
          <w:color w:val="auto"/>
          <w:sz w:val="24"/>
          <w:highlight w:val="none"/>
        </w:rPr>
      </w:pPr>
    </w:p>
    <w:p w14:paraId="187F5300">
      <w:pPr>
        <w:pStyle w:val="11"/>
        <w:rPr>
          <w:rFonts w:hint="eastAsia" w:ascii="宋体" w:hAnsi="宋体" w:cs="仿宋_GB2312"/>
          <w:color w:val="auto"/>
          <w:sz w:val="24"/>
          <w:highlight w:val="none"/>
        </w:rPr>
      </w:pPr>
    </w:p>
    <w:p w14:paraId="22CF323B">
      <w:pPr>
        <w:pStyle w:val="11"/>
        <w:rPr>
          <w:rFonts w:hint="eastAsia" w:ascii="宋体" w:hAnsi="宋体" w:cs="仿宋_GB2312"/>
          <w:color w:val="auto"/>
          <w:sz w:val="24"/>
          <w:highlight w:val="none"/>
        </w:rPr>
      </w:pPr>
    </w:p>
    <w:p w14:paraId="03939142">
      <w:pPr>
        <w:pStyle w:val="11"/>
        <w:rPr>
          <w:rFonts w:hint="eastAsia" w:ascii="宋体" w:hAnsi="宋体" w:cs="仿宋_GB2312"/>
          <w:color w:val="auto"/>
          <w:sz w:val="24"/>
          <w:highlight w:val="none"/>
        </w:rPr>
      </w:pPr>
    </w:p>
    <w:p w14:paraId="7C494A3B">
      <w:pPr>
        <w:pStyle w:val="11"/>
        <w:rPr>
          <w:rFonts w:hint="eastAsia" w:ascii="宋体" w:hAnsi="宋体" w:cs="仿宋_GB2312"/>
          <w:color w:val="auto"/>
          <w:sz w:val="24"/>
          <w:highlight w:val="none"/>
        </w:rPr>
      </w:pPr>
    </w:p>
    <w:p w14:paraId="580A99D5">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0D32E6E3">
      <w:pPr>
        <w:spacing w:before="2" w:line="500" w:lineRule="exact"/>
        <w:ind w:firstLine="708" w:firstLineChars="294"/>
        <w:rPr>
          <w:rFonts w:ascii="宋体" w:hAnsi="宋体" w:cs="宋体"/>
          <w:b/>
          <w:bCs/>
          <w:color w:val="auto"/>
          <w:sz w:val="24"/>
          <w:highlight w:val="none"/>
        </w:rPr>
      </w:pPr>
    </w:p>
    <w:p w14:paraId="0B0D3A9B">
      <w:pPr>
        <w:pStyle w:val="29"/>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461AE9BB">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ECBCA0F">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F68AEF3">
      <w:pPr>
        <w:pStyle w:val="29"/>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73B92825">
      <w:pPr>
        <w:pStyle w:val="29"/>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755F5733">
      <w:pPr>
        <w:pStyle w:val="29"/>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15C3699B">
      <w:pPr>
        <w:pStyle w:val="29"/>
        <w:spacing w:before="56" w:line="500" w:lineRule="exact"/>
        <w:ind w:right="1808" w:firstLine="705" w:firstLineChars="294"/>
        <w:rPr>
          <w:rFonts w:ascii="宋体" w:hAnsi="宋体"/>
          <w:color w:val="auto"/>
          <w:sz w:val="24"/>
          <w:highlight w:val="none"/>
        </w:rPr>
      </w:pPr>
    </w:p>
    <w:p w14:paraId="1918E844">
      <w:pPr>
        <w:pStyle w:val="29"/>
        <w:spacing w:before="56" w:line="500" w:lineRule="exact"/>
        <w:ind w:right="650"/>
        <w:jc w:val="right"/>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z w:val="24"/>
          <w:highlight w:val="none"/>
        </w:rPr>
        <w:t>电子签章</w:t>
      </w:r>
      <w:r>
        <w:rPr>
          <w:rFonts w:ascii="宋体" w:hAnsi="宋体"/>
          <w:color w:val="auto"/>
          <w:sz w:val="24"/>
          <w:highlight w:val="none"/>
        </w:rPr>
        <w:t xml:space="preserve">）： </w:t>
      </w:r>
    </w:p>
    <w:p w14:paraId="49877245">
      <w:pPr>
        <w:pStyle w:val="29"/>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68B79188">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727B19F">
      <w:pPr>
        <w:spacing w:line="520" w:lineRule="exact"/>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41F9EB01">
      <w:pPr>
        <w:spacing w:line="360" w:lineRule="auto"/>
        <w:contextualSpacing/>
        <w:rPr>
          <w:rFonts w:ascii="仿宋_GB2312" w:hAnsi="仿宋_GB2312" w:eastAsia="仿宋_GB2312" w:cs="仿宋_GB2312"/>
          <w:color w:val="auto"/>
          <w:sz w:val="32"/>
          <w:szCs w:val="32"/>
          <w:highlight w:val="none"/>
        </w:rPr>
      </w:pPr>
    </w:p>
    <w:p w14:paraId="6E8BD2D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2CBDE8B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6E3C4356">
      <w:pPr>
        <w:spacing w:line="360" w:lineRule="auto"/>
        <w:contextualSpacing/>
        <w:rPr>
          <w:rFonts w:ascii="宋体" w:hAnsi="宋体" w:cs="仿宋_GB2312"/>
          <w:color w:val="auto"/>
          <w:sz w:val="24"/>
          <w:highlight w:val="none"/>
        </w:rPr>
      </w:pPr>
    </w:p>
    <w:p w14:paraId="5DF02354">
      <w:pPr>
        <w:spacing w:line="360" w:lineRule="auto"/>
        <w:contextualSpacing/>
        <w:rPr>
          <w:rFonts w:ascii="宋体" w:hAnsi="宋体" w:cs="仿宋_GB2312"/>
          <w:color w:val="auto"/>
          <w:sz w:val="24"/>
          <w:highlight w:val="none"/>
        </w:rPr>
      </w:pPr>
    </w:p>
    <w:p w14:paraId="44B46F77">
      <w:pPr>
        <w:spacing w:line="360" w:lineRule="auto"/>
        <w:contextualSpacing/>
        <w:rPr>
          <w:rFonts w:ascii="宋体" w:hAnsi="宋体" w:cs="仿宋_GB2312"/>
          <w:color w:val="auto"/>
          <w:sz w:val="24"/>
          <w:highlight w:val="none"/>
        </w:rPr>
      </w:pPr>
    </w:p>
    <w:p w14:paraId="06A04294">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单位名称（电子签章）：</w:t>
      </w:r>
    </w:p>
    <w:p w14:paraId="3F996C5A">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79DB66F0">
      <w:pPr>
        <w:spacing w:line="360" w:lineRule="auto"/>
        <w:contextualSpacing/>
        <w:rPr>
          <w:rFonts w:ascii="宋体" w:hAnsi="宋体" w:cs="仿宋_GB2312"/>
          <w:color w:val="auto"/>
          <w:sz w:val="24"/>
          <w:highlight w:val="none"/>
        </w:rPr>
      </w:pPr>
    </w:p>
    <w:p w14:paraId="1FF52FE7">
      <w:pPr>
        <w:spacing w:line="360" w:lineRule="auto"/>
        <w:contextualSpacing/>
        <w:rPr>
          <w:rFonts w:ascii="宋体" w:hAnsi="宋体" w:cs="仿宋_GB2312"/>
          <w:color w:val="auto"/>
          <w:sz w:val="24"/>
          <w:highlight w:val="none"/>
        </w:rPr>
      </w:pPr>
    </w:p>
    <w:p w14:paraId="263EEB19">
      <w:pPr>
        <w:spacing w:line="360" w:lineRule="auto"/>
        <w:contextualSpacing/>
        <w:rPr>
          <w:rFonts w:ascii="宋体" w:hAnsi="宋体" w:cs="仿宋_GB2312"/>
          <w:color w:val="auto"/>
          <w:sz w:val="24"/>
          <w:highlight w:val="none"/>
        </w:rPr>
      </w:pPr>
    </w:p>
    <w:p w14:paraId="6EC396C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7CE2259C">
      <w:pPr>
        <w:spacing w:line="360" w:lineRule="auto"/>
        <w:ind w:right="420"/>
        <w:contextualSpacing/>
        <w:jc w:val="left"/>
        <w:rPr>
          <w:rFonts w:ascii="宋体" w:hAnsi="宋体"/>
          <w:b/>
          <w:bCs/>
          <w:color w:val="auto"/>
          <w:sz w:val="32"/>
          <w:szCs w:val="32"/>
          <w:highlight w:val="none"/>
        </w:rPr>
      </w:pPr>
    </w:p>
    <w:p w14:paraId="37FB3079">
      <w:pPr>
        <w:spacing w:line="360" w:lineRule="auto"/>
        <w:ind w:right="420"/>
        <w:contextualSpacing/>
        <w:jc w:val="left"/>
        <w:rPr>
          <w:rFonts w:ascii="宋体" w:hAnsi="宋体"/>
          <w:b/>
          <w:bCs/>
          <w:color w:val="auto"/>
          <w:sz w:val="32"/>
          <w:szCs w:val="32"/>
          <w:highlight w:val="none"/>
        </w:rPr>
      </w:pPr>
    </w:p>
    <w:p w14:paraId="7FDACEC2">
      <w:pPr>
        <w:spacing w:line="360" w:lineRule="auto"/>
        <w:ind w:right="420"/>
        <w:contextualSpacing/>
        <w:jc w:val="left"/>
        <w:rPr>
          <w:rFonts w:ascii="宋体" w:hAnsi="宋体"/>
          <w:b/>
          <w:bCs/>
          <w:color w:val="auto"/>
          <w:sz w:val="32"/>
          <w:szCs w:val="32"/>
          <w:highlight w:val="none"/>
        </w:rPr>
      </w:pPr>
    </w:p>
    <w:p w14:paraId="13A0FAF6">
      <w:pPr>
        <w:spacing w:line="360" w:lineRule="auto"/>
        <w:ind w:right="420"/>
        <w:contextualSpacing/>
        <w:jc w:val="left"/>
        <w:rPr>
          <w:rFonts w:ascii="宋体" w:hAnsi="宋体"/>
          <w:b/>
          <w:bCs/>
          <w:color w:val="auto"/>
          <w:sz w:val="32"/>
          <w:szCs w:val="32"/>
          <w:highlight w:val="none"/>
        </w:rPr>
      </w:pPr>
    </w:p>
    <w:p w14:paraId="743E707D">
      <w:pPr>
        <w:spacing w:line="360" w:lineRule="auto"/>
        <w:ind w:right="420"/>
        <w:contextualSpacing/>
        <w:jc w:val="left"/>
        <w:rPr>
          <w:rFonts w:ascii="宋体" w:hAnsi="宋体"/>
          <w:b/>
          <w:bCs/>
          <w:color w:val="auto"/>
          <w:sz w:val="32"/>
          <w:szCs w:val="32"/>
          <w:highlight w:val="none"/>
        </w:rPr>
      </w:pPr>
    </w:p>
    <w:p w14:paraId="4142B45F">
      <w:pPr>
        <w:spacing w:line="360" w:lineRule="auto"/>
        <w:ind w:right="420"/>
        <w:contextualSpacing/>
        <w:jc w:val="left"/>
        <w:rPr>
          <w:rFonts w:ascii="宋体" w:hAnsi="宋体"/>
          <w:b/>
          <w:bCs/>
          <w:color w:val="auto"/>
          <w:sz w:val="32"/>
          <w:szCs w:val="32"/>
          <w:highlight w:val="none"/>
        </w:rPr>
      </w:pPr>
    </w:p>
    <w:p w14:paraId="7A28F59A">
      <w:pPr>
        <w:spacing w:line="360" w:lineRule="auto"/>
        <w:ind w:right="420"/>
        <w:contextualSpacing/>
        <w:jc w:val="left"/>
        <w:rPr>
          <w:rFonts w:ascii="宋体" w:hAnsi="宋体"/>
          <w:b/>
          <w:bCs/>
          <w:color w:val="auto"/>
          <w:sz w:val="32"/>
          <w:szCs w:val="32"/>
          <w:highlight w:val="none"/>
        </w:rPr>
      </w:pPr>
    </w:p>
    <w:p w14:paraId="53A3DB83">
      <w:pPr>
        <w:spacing w:line="360" w:lineRule="auto"/>
        <w:ind w:right="420"/>
        <w:contextualSpacing/>
        <w:jc w:val="left"/>
        <w:rPr>
          <w:rFonts w:ascii="宋体" w:hAnsi="宋体"/>
          <w:b/>
          <w:bCs/>
          <w:color w:val="auto"/>
          <w:sz w:val="32"/>
          <w:szCs w:val="32"/>
          <w:highlight w:val="none"/>
        </w:rPr>
      </w:pPr>
    </w:p>
    <w:p w14:paraId="3D59DEB7">
      <w:pPr>
        <w:pStyle w:val="7"/>
        <w:shd w:val="clear" w:color="auto" w:fill="FFFFFF"/>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3F15A8EE">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571AC6E3">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0AB72610">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53D4987D">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color w:val="auto"/>
          <w:kern w:val="0"/>
          <w:sz w:val="24"/>
          <w:highlight w:val="none"/>
        </w:rPr>
        <w:t>在中国境内完成。</w:t>
      </w:r>
    </w:p>
    <w:p w14:paraId="68DF911F">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522A2771">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45622468">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32E700F2">
      <w:pPr>
        <w:widowControl/>
        <w:shd w:val="clear" w:color="auto" w:fill="FFFFFF"/>
        <w:spacing w:before="30" w:after="3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483BCA11">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日期：　     年　  月　  日         </w:t>
      </w:r>
    </w:p>
    <w:p w14:paraId="7F8283A9">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__________________</w:t>
      </w:r>
    </w:p>
    <w:p w14:paraId="5772A27A">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7EE942CF">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22376B30">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50FDF36C">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3CE30380">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627DCE2F">
      <w:pPr>
        <w:spacing w:line="360" w:lineRule="auto"/>
        <w:ind w:right="420"/>
        <w:contextualSpacing/>
        <w:jc w:val="left"/>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6D388BE9">
      <w:pPr>
        <w:spacing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462BA40A">
      <w:pPr>
        <w:spacing w:after="50"/>
        <w:rPr>
          <w:rFonts w:ascii="宋体" w:hAnsi="宋体"/>
          <w:bCs/>
          <w:color w:val="auto"/>
          <w:sz w:val="32"/>
          <w:szCs w:val="20"/>
          <w:highlight w:val="none"/>
        </w:rPr>
      </w:pPr>
      <w:r>
        <w:rPr>
          <w:rFonts w:hint="eastAsia" w:ascii="宋体" w:hAnsi="宋体"/>
          <w:color w:val="auto"/>
          <w:sz w:val="24"/>
          <w:highlight w:val="none"/>
        </w:rPr>
        <w:t xml:space="preserve">                                                    </w:t>
      </w:r>
    </w:p>
    <w:p w14:paraId="3FE22CF5">
      <w:pPr>
        <w:spacing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45D96A8A">
      <w:pPr>
        <w:spacing w:after="50"/>
        <w:rPr>
          <w:rFonts w:ascii="宋体" w:hAnsi="宋体"/>
          <w:color w:val="auto"/>
          <w:sz w:val="24"/>
          <w:szCs w:val="20"/>
          <w:highlight w:val="none"/>
        </w:rPr>
      </w:pPr>
    </w:p>
    <w:p w14:paraId="4C805770">
      <w:pPr>
        <w:spacing w:after="50"/>
        <w:rPr>
          <w:rFonts w:ascii="宋体" w:hAnsi="宋体"/>
          <w:color w:val="auto"/>
          <w:sz w:val="24"/>
          <w:szCs w:val="20"/>
          <w:highlight w:val="none"/>
        </w:rPr>
      </w:pPr>
    </w:p>
    <w:p w14:paraId="2CD09A63">
      <w:pPr>
        <w:spacing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3159BD49">
      <w:pPr>
        <w:spacing w:after="50"/>
        <w:rPr>
          <w:rFonts w:ascii="宋体" w:hAnsi="宋体"/>
          <w:bCs/>
          <w:color w:val="auto"/>
          <w:sz w:val="24"/>
          <w:szCs w:val="20"/>
          <w:highlight w:val="none"/>
        </w:rPr>
      </w:pPr>
    </w:p>
    <w:p w14:paraId="644528B8">
      <w:pPr>
        <w:spacing w:after="50"/>
        <w:rPr>
          <w:rFonts w:ascii="宋体" w:hAnsi="宋体"/>
          <w:bCs/>
          <w:color w:val="auto"/>
          <w:sz w:val="24"/>
          <w:szCs w:val="20"/>
          <w:highlight w:val="none"/>
        </w:rPr>
      </w:pPr>
    </w:p>
    <w:p w14:paraId="52C8D4BF">
      <w:pPr>
        <w:spacing w:after="50"/>
        <w:rPr>
          <w:rFonts w:ascii="宋体" w:hAnsi="宋体"/>
          <w:bCs/>
          <w:color w:val="auto"/>
          <w:sz w:val="24"/>
          <w:szCs w:val="20"/>
          <w:highlight w:val="none"/>
        </w:rPr>
      </w:pPr>
    </w:p>
    <w:p w14:paraId="74B4DAB8">
      <w:pPr>
        <w:spacing w:after="50"/>
        <w:rPr>
          <w:rFonts w:ascii="宋体" w:hAnsi="宋体"/>
          <w:bCs/>
          <w:color w:val="auto"/>
          <w:sz w:val="24"/>
          <w:szCs w:val="20"/>
          <w:highlight w:val="none"/>
        </w:rPr>
      </w:pPr>
    </w:p>
    <w:p w14:paraId="3460CC39">
      <w:pPr>
        <w:spacing w:after="50"/>
        <w:rPr>
          <w:rFonts w:ascii="宋体" w:hAnsi="宋体"/>
          <w:bCs/>
          <w:color w:val="auto"/>
          <w:sz w:val="24"/>
          <w:szCs w:val="20"/>
          <w:highlight w:val="none"/>
        </w:rPr>
      </w:pPr>
    </w:p>
    <w:p w14:paraId="4AB69C04">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172D61F">
      <w:pPr>
        <w:spacing w:after="50"/>
        <w:ind w:firstLine="720" w:firstLineChars="225"/>
        <w:rPr>
          <w:rFonts w:ascii="宋体" w:hAnsi="宋体" w:cs="仿宋_GB2312"/>
          <w:bCs/>
          <w:color w:val="auto"/>
          <w:sz w:val="32"/>
          <w:szCs w:val="32"/>
          <w:highlight w:val="none"/>
        </w:rPr>
      </w:pPr>
    </w:p>
    <w:p w14:paraId="2D78636C">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DB652A8">
      <w:pPr>
        <w:spacing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39B49B0">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17A1091">
      <w:pPr>
        <w:spacing w:after="50"/>
        <w:ind w:firstLine="720" w:firstLineChars="225"/>
        <w:rPr>
          <w:rFonts w:ascii="宋体" w:hAnsi="宋体" w:cs="仿宋_GB2312"/>
          <w:bCs/>
          <w:color w:val="auto"/>
          <w:sz w:val="32"/>
          <w:szCs w:val="32"/>
          <w:highlight w:val="none"/>
        </w:rPr>
      </w:pPr>
    </w:p>
    <w:p w14:paraId="397B7A55">
      <w:pPr>
        <w:pStyle w:val="16"/>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98319C3">
      <w:pPr>
        <w:pStyle w:val="16"/>
        <w:spacing w:before="50" w:after="50"/>
        <w:ind w:firstLine="640" w:firstLineChars="200"/>
        <w:rPr>
          <w:rFonts w:ascii="宋体" w:hAnsi="宋体" w:cs="仿宋_GB2312"/>
          <w:bCs/>
          <w:color w:val="auto"/>
          <w:sz w:val="32"/>
          <w:szCs w:val="32"/>
          <w:highlight w:val="none"/>
        </w:rPr>
      </w:pPr>
    </w:p>
    <w:p w14:paraId="2CFCA992">
      <w:pPr>
        <w:pStyle w:val="16"/>
        <w:spacing w:before="50" w:after="50"/>
        <w:ind w:firstLine="720" w:firstLineChars="225"/>
        <w:rPr>
          <w:rFonts w:ascii="宋体" w:hAnsi="宋体" w:cs="仿宋_GB2312"/>
          <w:bCs/>
          <w:color w:val="auto"/>
          <w:sz w:val="32"/>
          <w:szCs w:val="32"/>
          <w:highlight w:val="none"/>
        </w:rPr>
      </w:pPr>
    </w:p>
    <w:p w14:paraId="48379DD6">
      <w:pPr>
        <w:pStyle w:val="16"/>
        <w:spacing w:before="50" w:after="50"/>
        <w:ind w:firstLine="0"/>
        <w:rPr>
          <w:rFonts w:ascii="宋体" w:hAnsi="宋体" w:cs="仿宋_GB2312"/>
          <w:bCs/>
          <w:color w:val="auto"/>
          <w:sz w:val="32"/>
          <w:szCs w:val="32"/>
          <w:highlight w:val="none"/>
        </w:rPr>
      </w:pPr>
    </w:p>
    <w:p w14:paraId="221DBC7F">
      <w:pPr>
        <w:pStyle w:val="16"/>
        <w:spacing w:before="50" w:after="50"/>
        <w:ind w:firstLine="1280" w:firstLineChars="400"/>
        <w:rPr>
          <w:rFonts w:ascii="宋体" w:hAnsi="宋体" w:cs="仿宋_GB2312"/>
          <w:bCs/>
          <w:color w:val="auto"/>
          <w:sz w:val="32"/>
          <w:szCs w:val="32"/>
          <w:highlight w:val="none"/>
        </w:rPr>
      </w:pPr>
    </w:p>
    <w:p w14:paraId="430493ED">
      <w:pPr>
        <w:spacing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C73733C">
      <w:pPr>
        <w:spacing w:after="50" w:line="360" w:lineRule="auto"/>
        <w:ind w:right="480" w:firstLine="240" w:firstLineChars="100"/>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3FD520A8">
      <w:pPr>
        <w:spacing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A2E1C7D">
      <w:pPr>
        <w:spacing w:line="400" w:lineRule="exact"/>
        <w:rPr>
          <w:rFonts w:ascii="仿宋_GB2312" w:hAnsi="仿宋_GB2312" w:eastAsia="仿宋_GB2312" w:cs="仿宋_GB2312"/>
          <w:color w:val="auto"/>
          <w:sz w:val="32"/>
          <w:szCs w:val="32"/>
          <w:highlight w:val="none"/>
        </w:rPr>
      </w:pPr>
    </w:p>
    <w:p w14:paraId="2E736CA7">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67447078">
      <w:pPr>
        <w:spacing w:line="360" w:lineRule="auto"/>
        <w:ind w:firstLine="640" w:firstLineChars="200"/>
        <w:contextualSpacing/>
        <w:rPr>
          <w:rFonts w:ascii="仿宋_GB2312" w:hAnsi="仿宋_GB2312" w:eastAsia="仿宋_GB2312" w:cs="仿宋_GB2312"/>
          <w:color w:val="auto"/>
          <w:sz w:val="32"/>
          <w:szCs w:val="32"/>
          <w:highlight w:val="none"/>
        </w:rPr>
      </w:pPr>
    </w:p>
    <w:p w14:paraId="3E5CCF09">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6C87FA8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r>
        <w:rPr>
          <w:rFonts w:hint="eastAsia" w:ascii="宋体" w:hAnsi="宋体" w:cs="宋体"/>
          <w:color w:val="auto"/>
          <w:szCs w:val="21"/>
          <w:highlight w:val="none"/>
        </w:rPr>
        <w:t>或不同供应商报名的IP地址一致的；</w:t>
      </w:r>
      <w:r>
        <w:rPr>
          <w:rFonts w:hint="eastAsia" w:ascii="宋体" w:hAnsi="宋体" w:cs="仿宋_GB2312"/>
          <w:color w:val="auto"/>
          <w:sz w:val="24"/>
          <w:highlight w:val="none"/>
        </w:rPr>
        <w:t xml:space="preserve"> </w:t>
      </w:r>
    </w:p>
    <w:p w14:paraId="30F7236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0FCCEC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5FDF8AD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0C4FA03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7724C3B4">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355B86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5665A8D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286E16D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69FBE15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5D522C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AC6BF4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18F73B2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0D3D2AE">
      <w:pPr>
        <w:spacing w:line="360" w:lineRule="auto"/>
        <w:ind w:firstLine="480" w:firstLineChars="200"/>
        <w:contextualSpacing/>
        <w:rPr>
          <w:rFonts w:ascii="宋体" w:hAnsi="宋体" w:cs="仿宋_GB2312"/>
          <w:color w:val="auto"/>
          <w:sz w:val="24"/>
          <w:highlight w:val="none"/>
        </w:rPr>
      </w:pPr>
    </w:p>
    <w:p w14:paraId="4BF4EED5">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14290E88">
      <w:pPr>
        <w:spacing w:line="360" w:lineRule="auto"/>
        <w:contextualSpacing/>
        <w:rPr>
          <w:rFonts w:ascii="宋体" w:hAnsi="宋体" w:cs="仿宋_GB2312"/>
          <w:color w:val="auto"/>
          <w:sz w:val="24"/>
          <w:highlight w:val="none"/>
        </w:rPr>
      </w:pPr>
    </w:p>
    <w:p w14:paraId="103E3AD1">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410C74F5">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6E206CB2">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49C60B9E">
      <w:pPr>
        <w:spacing w:line="360" w:lineRule="auto"/>
        <w:ind w:left="540"/>
        <w:contextualSpacing/>
        <w:rPr>
          <w:rFonts w:ascii="仿宋_GB2312" w:hAnsi="仿宋_GB2312" w:eastAsia="仿宋_GB2312" w:cs="仿宋_GB2312"/>
          <w:color w:val="auto"/>
          <w:sz w:val="32"/>
          <w:szCs w:val="32"/>
          <w:highlight w:val="none"/>
        </w:rPr>
      </w:pPr>
    </w:p>
    <w:p w14:paraId="5C67714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6DC811C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73DC4EBF">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4E36AAAA">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1BBD08B2">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28893AE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78D1E68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3303915A">
      <w:pPr>
        <w:spacing w:line="360" w:lineRule="auto"/>
        <w:ind w:left="540"/>
        <w:contextualSpacing/>
        <w:rPr>
          <w:rFonts w:ascii="宋体" w:hAnsi="宋体" w:cs="仿宋_GB2312"/>
          <w:color w:val="auto"/>
          <w:sz w:val="24"/>
          <w:highlight w:val="none"/>
        </w:rPr>
      </w:pPr>
    </w:p>
    <w:p w14:paraId="0C45BE11">
      <w:pPr>
        <w:spacing w:line="360" w:lineRule="auto"/>
        <w:ind w:left="540"/>
        <w:contextualSpacing/>
        <w:rPr>
          <w:rFonts w:ascii="宋体" w:hAnsi="宋体" w:cs="仿宋_GB2312"/>
          <w:color w:val="auto"/>
          <w:sz w:val="24"/>
          <w:highlight w:val="none"/>
        </w:rPr>
      </w:pPr>
    </w:p>
    <w:p w14:paraId="61056942">
      <w:pPr>
        <w:spacing w:line="360" w:lineRule="auto"/>
        <w:ind w:left="540"/>
        <w:contextualSpacing/>
        <w:rPr>
          <w:rFonts w:ascii="宋体" w:hAnsi="宋体" w:cs="仿宋_GB2312"/>
          <w:color w:val="auto"/>
          <w:sz w:val="24"/>
          <w:highlight w:val="none"/>
        </w:rPr>
      </w:pPr>
    </w:p>
    <w:p w14:paraId="01C739F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0001C6C0">
      <w:pPr>
        <w:spacing w:line="360" w:lineRule="auto"/>
        <w:ind w:left="540"/>
        <w:contextualSpacing/>
        <w:rPr>
          <w:rFonts w:ascii="宋体" w:hAnsi="宋体" w:cs="仿宋_GB2312"/>
          <w:color w:val="auto"/>
          <w:sz w:val="24"/>
          <w:highlight w:val="none"/>
        </w:rPr>
      </w:pPr>
    </w:p>
    <w:p w14:paraId="3DF8DBCF">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3B570A1B">
      <w:pPr>
        <w:spacing w:line="360" w:lineRule="auto"/>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1C435267">
      <w:pPr>
        <w:spacing w:line="360" w:lineRule="auto"/>
        <w:contextualSpacing/>
        <w:jc w:val="right"/>
        <w:rPr>
          <w:rFonts w:hint="eastAsia" w:ascii="宋体" w:hAnsi="宋体" w:cs="仿宋_GB2312"/>
          <w:color w:val="auto"/>
          <w:sz w:val="24"/>
          <w:highlight w:val="none"/>
        </w:rPr>
      </w:pPr>
    </w:p>
    <w:p w14:paraId="07FF2743">
      <w:pPr>
        <w:spacing w:line="360" w:lineRule="auto"/>
        <w:contextualSpacing/>
        <w:jc w:val="left"/>
        <w:rPr>
          <w:rFonts w:hint="eastAsia" w:ascii="宋体" w:hAnsi="宋体" w:cs="仿宋_GB2312"/>
          <w:color w:val="auto"/>
          <w:sz w:val="24"/>
          <w:highlight w:val="none"/>
        </w:rPr>
      </w:pPr>
    </w:p>
    <w:p w14:paraId="12B39BEA">
      <w:pPr>
        <w:spacing w:line="360" w:lineRule="auto"/>
        <w:contextualSpacing/>
        <w:jc w:val="center"/>
        <w:rPr>
          <w:rFonts w:ascii="宋体" w:hAnsi="宋体" w:cs="仿宋_GB2312"/>
          <w:b/>
          <w:color w:val="auto"/>
          <w:sz w:val="24"/>
          <w:highlight w:val="none"/>
        </w:rPr>
      </w:pPr>
    </w:p>
    <w:p w14:paraId="1FB71F78">
      <w:pPr>
        <w:spacing w:line="360" w:lineRule="auto"/>
        <w:contextualSpacing/>
        <w:jc w:val="left"/>
        <w:rPr>
          <w:rFonts w:ascii="宋体" w:hAnsi="宋体" w:cs="仿宋_GB2312"/>
          <w:color w:val="auto"/>
          <w:sz w:val="24"/>
          <w:highlight w:val="none"/>
        </w:rPr>
      </w:pPr>
    </w:p>
    <w:p w14:paraId="5FE89192">
      <w:pPr>
        <w:spacing w:line="300" w:lineRule="auto"/>
        <w:jc w:val="left"/>
        <w:rPr>
          <w:rFonts w:ascii="宋体" w:hAnsi="宋体"/>
          <w:b/>
          <w:color w:val="auto"/>
          <w:szCs w:val="21"/>
          <w:highlight w:val="none"/>
        </w:rPr>
      </w:pPr>
    </w:p>
    <w:p w14:paraId="2FCEB645">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2745FDF6">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w:t>
      </w:r>
    </w:p>
    <w:p w14:paraId="7C58B791">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2AEF6BC0">
      <w:pPr>
        <w:spacing w:line="520" w:lineRule="exact"/>
        <w:rPr>
          <w:rFonts w:ascii="仿宋_GB2312" w:hAnsi="仿宋_GB2312" w:eastAsia="仿宋_GB2312" w:cs="仿宋_GB2312"/>
          <w:color w:val="auto"/>
          <w:sz w:val="32"/>
          <w:szCs w:val="32"/>
          <w:highlight w:val="none"/>
        </w:rPr>
      </w:pPr>
    </w:p>
    <w:p w14:paraId="66B97270">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5A67C24F">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662C1DF6">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13AE13A4">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24EA2087">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6969B502">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38A6FD76">
      <w:pPr>
        <w:spacing w:line="360" w:lineRule="auto"/>
        <w:rPr>
          <w:rFonts w:ascii="宋体" w:hAnsi="宋体" w:cs="仿宋_GB2312"/>
          <w:color w:val="auto"/>
          <w:sz w:val="24"/>
          <w:highlight w:val="none"/>
        </w:rPr>
      </w:pPr>
    </w:p>
    <w:p w14:paraId="0E5EFFD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6E9FB56E">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707EE6A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23F2D458">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44EAFA12">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646D8442">
      <w:pPr>
        <w:spacing w:line="360" w:lineRule="auto"/>
        <w:rPr>
          <w:rFonts w:ascii="宋体" w:hAnsi="宋体" w:cs="仿宋_GB2312"/>
          <w:color w:val="auto"/>
          <w:sz w:val="24"/>
          <w:highlight w:val="none"/>
        </w:rPr>
      </w:pPr>
    </w:p>
    <w:p w14:paraId="0FA0290F">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2FF9B62A">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w:t>
      </w:r>
    </w:p>
    <w:p w14:paraId="5397BFB8">
      <w:pPr>
        <w:spacing w:line="360" w:lineRule="auto"/>
        <w:ind w:firstLine="420" w:firstLineChars="200"/>
        <w:jc w:val="left"/>
        <w:rPr>
          <w:rFonts w:ascii="仿宋_GB2312" w:hAnsi="仿宋_GB2312" w:eastAsia="仿宋_GB2312" w:cs="仿宋_GB2312"/>
          <w:color w:val="auto"/>
          <w:szCs w:val="21"/>
          <w:highlight w:val="none"/>
        </w:rPr>
      </w:pPr>
    </w:p>
    <w:p w14:paraId="00CC7503">
      <w:pPr>
        <w:spacing w:line="500" w:lineRule="exact"/>
        <w:jc w:val="center"/>
        <w:rPr>
          <w:rFonts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商务要求偏离表</w:t>
      </w:r>
    </w:p>
    <w:p w14:paraId="0BF1614D">
      <w:pPr>
        <w:spacing w:line="520" w:lineRule="exact"/>
        <w:rPr>
          <w:rFonts w:ascii="仿宋_GB2312" w:hAnsi="仿宋_GB2312" w:eastAsia="仿宋_GB2312" w:cs="仿宋_GB2312"/>
          <w:color w:val="auto"/>
          <w:sz w:val="32"/>
          <w:szCs w:val="32"/>
          <w:highlight w:val="none"/>
        </w:rPr>
      </w:pPr>
    </w:p>
    <w:p w14:paraId="2B9A356F">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149C5A5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7C0BE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10" w:type="dxa"/>
            <w:tcBorders>
              <w:top w:val="single" w:color="auto" w:sz="4" w:space="0"/>
              <w:left w:val="single" w:color="auto" w:sz="4" w:space="0"/>
              <w:bottom w:val="single" w:color="auto" w:sz="4" w:space="0"/>
              <w:right w:val="single" w:color="auto" w:sz="4" w:space="0"/>
            </w:tcBorders>
            <w:noWrap/>
            <w:vAlign w:val="top"/>
          </w:tcPr>
          <w:p w14:paraId="7AF64D62">
            <w:pPr>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ign w:val="top"/>
          </w:tcPr>
          <w:p w14:paraId="40D70A52">
            <w:pPr>
              <w:jc w:val="center"/>
              <w:rPr>
                <w:rFonts w:ascii="宋体" w:hAnsi="宋体"/>
                <w:color w:val="auto"/>
                <w:sz w:val="24"/>
                <w:highlight w:val="none"/>
              </w:rPr>
            </w:pPr>
            <w:r>
              <w:rPr>
                <w:rFonts w:hint="eastAsia" w:ascii="宋体" w:hAnsi="宋体"/>
                <w:color w:val="auto"/>
                <w:sz w:val="24"/>
                <w:highlight w:val="none"/>
              </w:rPr>
              <w:t>竞争性磋商文件商务要求</w:t>
            </w:r>
          </w:p>
        </w:tc>
        <w:tc>
          <w:tcPr>
            <w:tcW w:w="1760" w:type="dxa"/>
            <w:tcBorders>
              <w:top w:val="single" w:color="auto" w:sz="4" w:space="0"/>
              <w:left w:val="single" w:color="auto" w:sz="4" w:space="0"/>
              <w:bottom w:val="single" w:color="auto" w:sz="4" w:space="0"/>
              <w:right w:val="single" w:color="auto" w:sz="4" w:space="0"/>
            </w:tcBorders>
            <w:noWrap/>
            <w:vAlign w:val="top"/>
          </w:tcPr>
          <w:p w14:paraId="66E4CCC4">
            <w:pPr>
              <w:jc w:val="center"/>
              <w:rPr>
                <w:rFonts w:ascii="宋体" w:hAnsi="宋体"/>
                <w:color w:val="auto"/>
                <w:sz w:val="24"/>
                <w:highlight w:val="none"/>
              </w:rPr>
            </w:pPr>
            <w:r>
              <w:rPr>
                <w:rFonts w:hint="eastAsia" w:ascii="宋体" w:hAnsi="宋体"/>
                <w:color w:val="auto"/>
                <w:sz w:val="24"/>
                <w:highlight w:val="none"/>
              </w:rPr>
              <w:t>供应商的承诺</w:t>
            </w:r>
          </w:p>
        </w:tc>
        <w:tc>
          <w:tcPr>
            <w:tcW w:w="2035" w:type="dxa"/>
            <w:tcBorders>
              <w:top w:val="single" w:color="auto" w:sz="4" w:space="0"/>
              <w:left w:val="single" w:color="auto" w:sz="4" w:space="0"/>
              <w:bottom w:val="single" w:color="auto" w:sz="4" w:space="0"/>
              <w:right w:val="single" w:color="auto" w:sz="4" w:space="0"/>
            </w:tcBorders>
            <w:noWrap/>
            <w:vAlign w:val="top"/>
          </w:tcPr>
          <w:p w14:paraId="2181D3F3">
            <w:pPr>
              <w:jc w:val="center"/>
              <w:rPr>
                <w:rFonts w:ascii="宋体" w:hAnsi="宋体"/>
                <w:color w:val="auto"/>
                <w:sz w:val="24"/>
                <w:highlight w:val="none"/>
              </w:rPr>
            </w:pPr>
            <w:r>
              <w:rPr>
                <w:rFonts w:hint="eastAsia" w:ascii="宋体" w:hAnsi="宋体"/>
                <w:color w:val="auto"/>
                <w:sz w:val="24"/>
                <w:highlight w:val="none"/>
              </w:rPr>
              <w:t>偏离说明</w:t>
            </w:r>
          </w:p>
        </w:tc>
      </w:tr>
      <w:tr w14:paraId="12A89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5AB2AF4C">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合同签订</w:t>
            </w:r>
          </w:p>
        </w:tc>
        <w:tc>
          <w:tcPr>
            <w:tcW w:w="3336" w:type="dxa"/>
            <w:tcBorders>
              <w:top w:val="single" w:color="auto" w:sz="4" w:space="0"/>
              <w:left w:val="single" w:color="auto" w:sz="4" w:space="0"/>
              <w:bottom w:val="single" w:color="auto" w:sz="4" w:space="0"/>
              <w:right w:val="single" w:color="auto" w:sz="4" w:space="0"/>
            </w:tcBorders>
            <w:noWrap/>
            <w:vAlign w:val="center"/>
          </w:tcPr>
          <w:p w14:paraId="68DC529A">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042602C1">
            <w:pPr>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6C31A52F">
            <w:pPr>
              <w:jc w:val="center"/>
              <w:rPr>
                <w:rFonts w:ascii="宋体" w:hAnsi="宋体"/>
                <w:color w:val="auto"/>
                <w:sz w:val="24"/>
                <w:highlight w:val="none"/>
              </w:rPr>
            </w:pPr>
          </w:p>
        </w:tc>
      </w:tr>
      <w:tr w14:paraId="225AC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1AA187E3">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磋商报价</w:t>
            </w:r>
          </w:p>
        </w:tc>
        <w:tc>
          <w:tcPr>
            <w:tcW w:w="3336" w:type="dxa"/>
            <w:tcBorders>
              <w:top w:val="single" w:color="auto" w:sz="4" w:space="0"/>
              <w:left w:val="single" w:color="auto" w:sz="4" w:space="0"/>
              <w:bottom w:val="single" w:color="auto" w:sz="4" w:space="0"/>
              <w:right w:val="single" w:color="auto" w:sz="4" w:space="0"/>
            </w:tcBorders>
            <w:noWrap/>
            <w:vAlign w:val="center"/>
          </w:tcPr>
          <w:p w14:paraId="54830C89">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1472C1C8">
            <w:pPr>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48171B51">
            <w:pPr>
              <w:ind w:left="43"/>
              <w:jc w:val="center"/>
              <w:rPr>
                <w:rFonts w:ascii="宋体" w:hAnsi="宋体"/>
                <w:color w:val="auto"/>
                <w:sz w:val="24"/>
                <w:highlight w:val="none"/>
              </w:rPr>
            </w:pPr>
          </w:p>
        </w:tc>
      </w:tr>
      <w:tr w14:paraId="5DB0C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706D4EDF">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结算及付款</w:t>
            </w:r>
          </w:p>
        </w:tc>
        <w:tc>
          <w:tcPr>
            <w:tcW w:w="3336" w:type="dxa"/>
            <w:tcBorders>
              <w:top w:val="single" w:color="auto" w:sz="4" w:space="0"/>
              <w:left w:val="single" w:color="auto" w:sz="4" w:space="0"/>
              <w:bottom w:val="single" w:color="auto" w:sz="4" w:space="0"/>
              <w:right w:val="single" w:color="auto" w:sz="4" w:space="0"/>
            </w:tcBorders>
            <w:noWrap/>
            <w:vAlign w:val="center"/>
          </w:tcPr>
          <w:p w14:paraId="7126B713">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5EF5D179">
            <w:pPr>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1ED7C90A">
            <w:pPr>
              <w:ind w:left="43"/>
              <w:jc w:val="center"/>
              <w:rPr>
                <w:rFonts w:ascii="宋体" w:hAnsi="宋体"/>
                <w:color w:val="auto"/>
                <w:sz w:val="24"/>
                <w:highlight w:val="none"/>
              </w:rPr>
            </w:pPr>
          </w:p>
        </w:tc>
      </w:tr>
      <w:tr w14:paraId="662D0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6FD972D0">
            <w:pPr>
              <w:tabs>
                <w:tab w:val="left" w:pos="180"/>
                <w:tab w:val="left" w:pos="1620"/>
              </w:tabs>
              <w:spacing w:line="440" w:lineRule="exact"/>
              <w:jc w:val="center"/>
              <w:rPr>
                <w:rFonts w:ascii="宋体" w:hAnsi="宋体" w:cs="宋体"/>
                <w:color w:val="auto"/>
                <w:szCs w:val="21"/>
                <w:highlight w:val="none"/>
              </w:rPr>
            </w:pPr>
            <w:r>
              <w:rPr>
                <w:rFonts w:hint="eastAsia" w:ascii="宋体" w:hAnsi="宋体"/>
                <w:color w:val="auto"/>
                <w:szCs w:val="21"/>
                <w:highlight w:val="none"/>
              </w:rPr>
              <w:t>赔付管理要求</w:t>
            </w:r>
          </w:p>
        </w:tc>
        <w:tc>
          <w:tcPr>
            <w:tcW w:w="3336" w:type="dxa"/>
            <w:tcBorders>
              <w:top w:val="single" w:color="auto" w:sz="4" w:space="0"/>
              <w:left w:val="single" w:color="auto" w:sz="4" w:space="0"/>
              <w:bottom w:val="single" w:color="auto" w:sz="4" w:space="0"/>
              <w:right w:val="single" w:color="auto" w:sz="4" w:space="0"/>
            </w:tcBorders>
            <w:noWrap/>
            <w:vAlign w:val="center"/>
          </w:tcPr>
          <w:p w14:paraId="3A11E4F8">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32B65473">
            <w:pPr>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1D6A5F7E">
            <w:pPr>
              <w:ind w:left="43"/>
              <w:jc w:val="center"/>
              <w:rPr>
                <w:rFonts w:ascii="宋体" w:hAnsi="宋体"/>
                <w:color w:val="auto"/>
                <w:sz w:val="24"/>
                <w:highlight w:val="none"/>
              </w:rPr>
            </w:pPr>
          </w:p>
        </w:tc>
      </w:tr>
      <w:tr w14:paraId="2DDCD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4D09F901">
            <w:pPr>
              <w:tabs>
                <w:tab w:val="left" w:pos="180"/>
                <w:tab w:val="left" w:pos="1620"/>
              </w:tabs>
              <w:spacing w:line="440" w:lineRule="exact"/>
              <w:jc w:val="center"/>
              <w:rPr>
                <w:rFonts w:hint="eastAsia" w:ascii="宋体" w:hAnsi="宋体"/>
                <w:color w:val="auto"/>
                <w:szCs w:val="21"/>
                <w:highlight w:val="none"/>
              </w:rPr>
            </w:pPr>
            <w:r>
              <w:rPr>
                <w:rFonts w:hint="eastAsia" w:ascii="宋体" w:hAnsi="宋体" w:cs="宋体"/>
                <w:color w:val="auto"/>
                <w:szCs w:val="21"/>
                <w:highlight w:val="none"/>
              </w:rPr>
              <w:t>验收标准</w:t>
            </w:r>
          </w:p>
        </w:tc>
        <w:tc>
          <w:tcPr>
            <w:tcW w:w="3336" w:type="dxa"/>
            <w:tcBorders>
              <w:top w:val="single" w:color="auto" w:sz="4" w:space="0"/>
              <w:left w:val="single" w:color="auto" w:sz="4" w:space="0"/>
              <w:bottom w:val="single" w:color="auto" w:sz="4" w:space="0"/>
              <w:right w:val="single" w:color="auto" w:sz="4" w:space="0"/>
            </w:tcBorders>
            <w:noWrap/>
            <w:vAlign w:val="center"/>
          </w:tcPr>
          <w:p w14:paraId="030A0BE1">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2BF7C885">
            <w:pPr>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12FB5CA1">
            <w:pPr>
              <w:ind w:left="43"/>
              <w:jc w:val="center"/>
              <w:rPr>
                <w:rFonts w:ascii="宋体" w:hAnsi="宋体"/>
                <w:color w:val="auto"/>
                <w:sz w:val="24"/>
                <w:highlight w:val="none"/>
              </w:rPr>
            </w:pPr>
          </w:p>
        </w:tc>
      </w:tr>
      <w:tr w14:paraId="63CE9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23D82E91">
            <w:pPr>
              <w:tabs>
                <w:tab w:val="left" w:pos="180"/>
                <w:tab w:val="left" w:pos="1620"/>
              </w:tabs>
              <w:spacing w:line="440" w:lineRule="exact"/>
              <w:jc w:val="center"/>
              <w:rPr>
                <w:rFonts w:hint="eastAsia" w:ascii="宋体" w:hAnsi="宋体"/>
                <w:color w:val="auto"/>
                <w:szCs w:val="21"/>
                <w:highlight w:val="none"/>
              </w:rPr>
            </w:pPr>
            <w:r>
              <w:rPr>
                <w:rFonts w:hint="eastAsia" w:ascii="宋体" w:hAnsi="宋体" w:cs="宋体"/>
                <w:color w:val="auto"/>
                <w:szCs w:val="21"/>
                <w:highlight w:val="none"/>
              </w:rPr>
              <w:t>保密承诺</w:t>
            </w:r>
          </w:p>
        </w:tc>
        <w:tc>
          <w:tcPr>
            <w:tcW w:w="3336" w:type="dxa"/>
            <w:tcBorders>
              <w:top w:val="single" w:color="auto" w:sz="4" w:space="0"/>
              <w:left w:val="single" w:color="auto" w:sz="4" w:space="0"/>
              <w:bottom w:val="single" w:color="auto" w:sz="4" w:space="0"/>
              <w:right w:val="single" w:color="auto" w:sz="4" w:space="0"/>
            </w:tcBorders>
            <w:noWrap/>
            <w:vAlign w:val="center"/>
          </w:tcPr>
          <w:p w14:paraId="25A36297">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1CEDBF74">
            <w:pPr>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5F6CF9A8">
            <w:pPr>
              <w:ind w:left="43"/>
              <w:jc w:val="center"/>
              <w:rPr>
                <w:rFonts w:ascii="宋体" w:hAnsi="宋体"/>
                <w:color w:val="auto"/>
                <w:sz w:val="24"/>
                <w:highlight w:val="none"/>
              </w:rPr>
            </w:pPr>
          </w:p>
        </w:tc>
      </w:tr>
      <w:tr w14:paraId="53381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10" w:type="dxa"/>
            <w:tcBorders>
              <w:top w:val="single" w:color="auto" w:sz="4" w:space="0"/>
              <w:left w:val="single" w:color="auto" w:sz="4" w:space="0"/>
              <w:bottom w:val="single" w:color="auto" w:sz="4" w:space="0"/>
              <w:right w:val="single" w:color="auto" w:sz="4" w:space="0"/>
            </w:tcBorders>
            <w:noWrap/>
            <w:vAlign w:val="top"/>
          </w:tcPr>
          <w:p w14:paraId="545CCFCE">
            <w:pPr>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ign w:val="top"/>
          </w:tcPr>
          <w:p w14:paraId="56F972D5">
            <w:pPr>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75FCAD50">
            <w:pPr>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3FE18C84">
            <w:pPr>
              <w:jc w:val="center"/>
              <w:rPr>
                <w:rFonts w:ascii="宋体" w:hAnsi="宋体"/>
                <w:color w:val="auto"/>
                <w:sz w:val="24"/>
                <w:highlight w:val="none"/>
              </w:rPr>
            </w:pPr>
          </w:p>
        </w:tc>
      </w:tr>
    </w:tbl>
    <w:p w14:paraId="01ADE113">
      <w:pPr>
        <w:spacing w:line="360" w:lineRule="auto"/>
        <w:contextualSpacing/>
        <w:rPr>
          <w:rFonts w:ascii="宋体" w:hAnsi="宋体" w:cs="仿宋_GB2312"/>
          <w:color w:val="auto"/>
          <w:sz w:val="24"/>
          <w:highlight w:val="none"/>
        </w:rPr>
      </w:pPr>
    </w:p>
    <w:p w14:paraId="460BA3C8">
      <w:pPr>
        <w:pStyle w:val="31"/>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2491E3A9">
      <w:pPr>
        <w:pStyle w:val="31"/>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采购需求”中的商务要求逐条作出明确响应，并作出偏离说明。</w:t>
      </w:r>
    </w:p>
    <w:p w14:paraId="3D0C2EBF">
      <w:pPr>
        <w:pStyle w:val="31"/>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5ACD744F">
      <w:pPr>
        <w:spacing w:line="360" w:lineRule="auto"/>
        <w:ind w:right="-817" w:rightChars="-389"/>
        <w:contextualSpacing/>
        <w:rPr>
          <w:rFonts w:ascii="宋体" w:hAnsi="宋体" w:cs="仿宋_GB2312"/>
          <w:color w:val="auto"/>
          <w:sz w:val="24"/>
          <w:highlight w:val="none"/>
        </w:rPr>
      </w:pPr>
    </w:p>
    <w:p w14:paraId="3EC938BE">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2FEA7635">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D30D72C">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4A249866">
      <w:pPr>
        <w:spacing w:after="50"/>
        <w:ind w:left="142"/>
        <w:jc w:val="left"/>
        <w:rPr>
          <w:rFonts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4AB62298">
      <w:pPr>
        <w:spacing w:after="50"/>
        <w:ind w:left="142"/>
        <w:jc w:val="left"/>
        <w:rPr>
          <w:rFonts w:ascii="宋体" w:hAnsi="宋体"/>
          <w:b/>
          <w:color w:val="auto"/>
          <w:sz w:val="24"/>
          <w:highlight w:val="none"/>
        </w:rPr>
      </w:pPr>
    </w:p>
    <w:p w14:paraId="734CC9E6">
      <w:pPr>
        <w:spacing w:line="360" w:lineRule="auto"/>
        <w:ind w:left="142"/>
        <w:contextualSpacing/>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6EDDB2FA">
      <w:pPr>
        <w:pStyle w:val="34"/>
        <w:spacing w:line="360" w:lineRule="auto"/>
        <w:contextualSpacing/>
        <w:rPr>
          <w:color w:val="auto"/>
          <w:sz w:val="24"/>
          <w:szCs w:val="24"/>
          <w:highlight w:val="none"/>
        </w:rPr>
      </w:pPr>
      <w:r>
        <w:rPr>
          <w:rFonts w:hint="eastAsia"/>
          <w:color w:val="auto"/>
          <w:sz w:val="24"/>
          <w:szCs w:val="24"/>
          <w:highlight w:val="none"/>
        </w:rPr>
        <w:t>所竞分标：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10C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12D5CB80">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tcBorders>
              <w:top w:val="single" w:color="auto" w:sz="4" w:space="0"/>
              <w:left w:val="single" w:color="auto" w:sz="4" w:space="0"/>
              <w:bottom w:val="single" w:color="auto" w:sz="4" w:space="0"/>
              <w:right w:val="single" w:color="auto" w:sz="4" w:space="0"/>
            </w:tcBorders>
            <w:noWrap/>
            <w:vAlign w:val="center"/>
          </w:tcPr>
          <w:p w14:paraId="561ADCE5">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tcBorders>
              <w:top w:val="single" w:color="auto" w:sz="4" w:space="0"/>
              <w:left w:val="single" w:color="auto" w:sz="4" w:space="0"/>
              <w:bottom w:val="single" w:color="auto" w:sz="4" w:space="0"/>
              <w:right w:val="single" w:color="auto" w:sz="4" w:space="0"/>
            </w:tcBorders>
            <w:noWrap/>
            <w:vAlign w:val="center"/>
          </w:tcPr>
          <w:p w14:paraId="4A8652E6">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noWrap/>
            <w:vAlign w:val="center"/>
          </w:tcPr>
          <w:p w14:paraId="7CB0D6F8">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tcBorders>
              <w:top w:val="single" w:color="auto" w:sz="4" w:space="0"/>
              <w:left w:val="single" w:color="auto" w:sz="4" w:space="0"/>
              <w:bottom w:val="single" w:color="auto" w:sz="4" w:space="0"/>
              <w:right w:val="single" w:color="auto" w:sz="4" w:space="0"/>
            </w:tcBorders>
            <w:noWrap/>
            <w:vAlign w:val="center"/>
          </w:tcPr>
          <w:p w14:paraId="656B9F83">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043B1968">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tcBorders>
              <w:top w:val="single" w:color="auto" w:sz="4" w:space="0"/>
              <w:left w:val="single" w:color="auto" w:sz="4" w:space="0"/>
              <w:bottom w:val="single" w:color="auto" w:sz="4" w:space="0"/>
              <w:right w:val="single" w:color="auto" w:sz="4" w:space="0"/>
            </w:tcBorders>
            <w:noWrap/>
            <w:vAlign w:val="center"/>
          </w:tcPr>
          <w:p w14:paraId="52488C54">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32D0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4DA5347B">
            <w:pPr>
              <w:spacing w:line="360" w:lineRule="auto"/>
              <w:contextualSpacing/>
              <w:jc w:val="center"/>
              <w:rPr>
                <w:rFonts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B22621E">
            <w:pPr>
              <w:spacing w:line="360" w:lineRule="auto"/>
              <w:contextualSpacing/>
              <w:jc w:val="center"/>
              <w:rPr>
                <w:rFonts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3970F516">
            <w:pPr>
              <w:spacing w:line="360" w:lineRule="auto"/>
              <w:contextualSpacing/>
              <w:jc w:val="center"/>
              <w:rPr>
                <w:rFonts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ign w:val="center"/>
          </w:tcPr>
          <w:p w14:paraId="5FF45F61">
            <w:pPr>
              <w:spacing w:line="360" w:lineRule="auto"/>
              <w:contextualSpacing/>
              <w:jc w:val="center"/>
              <w:rPr>
                <w:rFonts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ign w:val="center"/>
          </w:tcPr>
          <w:p w14:paraId="6FE13A81">
            <w:pPr>
              <w:spacing w:line="360" w:lineRule="auto"/>
              <w:contextualSpacing/>
              <w:jc w:val="center"/>
              <w:rPr>
                <w:rFonts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ign w:val="center"/>
          </w:tcPr>
          <w:p w14:paraId="114D10E2">
            <w:pPr>
              <w:spacing w:line="360" w:lineRule="auto"/>
              <w:contextualSpacing/>
              <w:jc w:val="center"/>
              <w:rPr>
                <w:rFonts w:ascii="宋体" w:hAnsi="宋体"/>
                <w:color w:val="auto"/>
                <w:sz w:val="24"/>
                <w:szCs w:val="20"/>
                <w:highlight w:val="none"/>
              </w:rPr>
            </w:pPr>
          </w:p>
        </w:tc>
      </w:tr>
      <w:tr w14:paraId="46AB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7E66338D">
            <w:pPr>
              <w:spacing w:line="360" w:lineRule="auto"/>
              <w:contextualSpacing/>
              <w:jc w:val="center"/>
              <w:rPr>
                <w:rFonts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C6EF9C0">
            <w:pPr>
              <w:spacing w:line="360" w:lineRule="auto"/>
              <w:contextualSpacing/>
              <w:jc w:val="center"/>
              <w:rPr>
                <w:rFonts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4A239CAF">
            <w:pPr>
              <w:spacing w:line="360" w:lineRule="auto"/>
              <w:contextualSpacing/>
              <w:jc w:val="center"/>
              <w:rPr>
                <w:rFonts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ign w:val="center"/>
          </w:tcPr>
          <w:p w14:paraId="489C6F8F">
            <w:pPr>
              <w:spacing w:line="360" w:lineRule="auto"/>
              <w:contextualSpacing/>
              <w:jc w:val="center"/>
              <w:rPr>
                <w:rFonts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ign w:val="center"/>
          </w:tcPr>
          <w:p w14:paraId="03423088">
            <w:pPr>
              <w:spacing w:line="360" w:lineRule="auto"/>
              <w:contextualSpacing/>
              <w:jc w:val="center"/>
              <w:rPr>
                <w:rFonts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ign w:val="center"/>
          </w:tcPr>
          <w:p w14:paraId="0531C16D">
            <w:pPr>
              <w:spacing w:line="360" w:lineRule="auto"/>
              <w:contextualSpacing/>
              <w:jc w:val="center"/>
              <w:rPr>
                <w:rFonts w:ascii="宋体" w:hAnsi="宋体"/>
                <w:color w:val="auto"/>
                <w:sz w:val="24"/>
                <w:szCs w:val="20"/>
                <w:highlight w:val="none"/>
              </w:rPr>
            </w:pPr>
          </w:p>
        </w:tc>
      </w:tr>
      <w:tr w14:paraId="2001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4FDAE5AE">
            <w:pPr>
              <w:spacing w:line="360" w:lineRule="auto"/>
              <w:contextualSpacing/>
              <w:jc w:val="center"/>
              <w:rPr>
                <w:rFonts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011C20F">
            <w:pPr>
              <w:spacing w:line="360" w:lineRule="auto"/>
              <w:contextualSpacing/>
              <w:jc w:val="center"/>
              <w:rPr>
                <w:rFonts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53AC8077">
            <w:pPr>
              <w:spacing w:line="360" w:lineRule="auto"/>
              <w:contextualSpacing/>
              <w:jc w:val="center"/>
              <w:rPr>
                <w:rFonts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ign w:val="center"/>
          </w:tcPr>
          <w:p w14:paraId="0A2BA6BA">
            <w:pPr>
              <w:spacing w:line="360" w:lineRule="auto"/>
              <w:contextualSpacing/>
              <w:jc w:val="center"/>
              <w:rPr>
                <w:rFonts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ign w:val="center"/>
          </w:tcPr>
          <w:p w14:paraId="6DCD4A8E">
            <w:pPr>
              <w:spacing w:line="360" w:lineRule="auto"/>
              <w:contextualSpacing/>
              <w:jc w:val="center"/>
              <w:rPr>
                <w:rFonts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ign w:val="center"/>
          </w:tcPr>
          <w:p w14:paraId="6F974671">
            <w:pPr>
              <w:spacing w:line="360" w:lineRule="auto"/>
              <w:contextualSpacing/>
              <w:jc w:val="center"/>
              <w:rPr>
                <w:rFonts w:ascii="宋体" w:hAnsi="宋体"/>
                <w:color w:val="auto"/>
                <w:sz w:val="24"/>
                <w:szCs w:val="20"/>
                <w:highlight w:val="none"/>
              </w:rPr>
            </w:pPr>
          </w:p>
        </w:tc>
      </w:tr>
    </w:tbl>
    <w:p w14:paraId="54D16907">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4EAFD5AF">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5E1ADB9B">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14:paraId="012C1D6B">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签字或电子签名：</w:t>
      </w:r>
      <w:r>
        <w:rPr>
          <w:rFonts w:hint="eastAsia" w:ascii="宋体" w:hAnsi="宋体"/>
          <w:color w:val="auto"/>
          <w:spacing w:val="20"/>
          <w:sz w:val="24"/>
          <w:highlight w:val="none"/>
          <w:u w:val="single"/>
        </w:rPr>
        <w:t xml:space="preserve">        </w:t>
      </w:r>
    </w:p>
    <w:p w14:paraId="51E0D935">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6BDDE2D8">
      <w:pPr>
        <w:spacing w:before="50"/>
        <w:jc w:val="left"/>
        <w:rPr>
          <w:rFonts w:ascii="宋体" w:hAnsi="宋体"/>
          <w:color w:val="auto"/>
          <w:sz w:val="24"/>
          <w:szCs w:val="20"/>
          <w:highlight w:val="none"/>
        </w:rPr>
      </w:pPr>
    </w:p>
    <w:p w14:paraId="4C984AE0">
      <w:pPr>
        <w:spacing w:before="50" w:after="50" w:line="360" w:lineRule="auto"/>
        <w:ind w:right="-817" w:rightChars="-389" w:firstLine="5461" w:firstLineChars="1700"/>
        <w:rPr>
          <w:rFonts w:ascii="仿宋_GB2312" w:hAnsi="仿宋_GB2312" w:eastAsia="仿宋_GB2312" w:cs="仿宋_GB2312"/>
          <w:b/>
          <w:color w:val="auto"/>
          <w:sz w:val="32"/>
          <w:szCs w:val="32"/>
          <w:highlight w:val="none"/>
        </w:rPr>
      </w:pPr>
    </w:p>
    <w:p w14:paraId="4C6BB857">
      <w:pPr>
        <w:spacing w:after="50"/>
        <w:jc w:val="left"/>
        <w:rPr>
          <w:rFonts w:ascii="宋体" w:hAnsi="宋体"/>
          <w:b/>
          <w:bCs/>
          <w:color w:val="auto"/>
          <w:sz w:val="24"/>
          <w:highlight w:val="none"/>
        </w:rPr>
      </w:pPr>
      <w:r>
        <w:rPr>
          <w:rFonts w:ascii="宋体" w:hAnsi="宋体"/>
          <w:b/>
          <w:bCs/>
          <w:color w:val="auto"/>
          <w:sz w:val="24"/>
          <w:highlight w:val="none"/>
        </w:rPr>
        <w:br w:type="page"/>
      </w:r>
      <w:r>
        <w:rPr>
          <w:rFonts w:hint="eastAsia" w:ascii="方正小标宋简体" w:hAnsi="方正小标宋简体" w:eastAsia="方正小标宋简体" w:cs="方正小标宋简体"/>
          <w:bCs/>
          <w:color w:val="auto"/>
          <w:szCs w:val="21"/>
          <w:highlight w:val="none"/>
        </w:rPr>
        <w:t>代理服务费承诺书（如本项目为采购人支付代理服务费的，无需提供）</w:t>
      </w:r>
    </w:p>
    <w:p w14:paraId="1AE832D0">
      <w:pPr>
        <w:spacing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2D7237FF">
      <w:pPr>
        <w:spacing w:after="50"/>
        <w:jc w:val="center"/>
        <w:rPr>
          <w:rFonts w:ascii="宋体" w:hAnsi="宋体"/>
          <w:b/>
          <w:color w:val="auto"/>
          <w:sz w:val="24"/>
          <w:highlight w:val="none"/>
        </w:rPr>
      </w:pPr>
    </w:p>
    <w:p w14:paraId="01788D3F">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291C613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07C7AE30">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14:paraId="34B3EDB1">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496D350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74CC064A">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75263D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808AE9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第二种方式：开具增值税发票，开票信息如下：</w:t>
      </w:r>
    </w:p>
    <w:p w14:paraId="0BCF349A">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D9EDDDC">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C964501">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（3）在</w:t>
      </w:r>
      <w:r>
        <w:rPr>
          <w:rFonts w:hint="eastAsia" w:ascii="宋体" w:hAnsi="宋体"/>
          <w:color w:val="auto"/>
          <w:sz w:val="24"/>
          <w:highlight w:val="none"/>
          <w:lang w:eastAsia="zh-CN"/>
        </w:rPr>
        <w:t>税务局</w:t>
      </w:r>
      <w:r>
        <w:rPr>
          <w:rFonts w:hint="eastAsia" w:ascii="宋体" w:hAnsi="宋体"/>
          <w:color w:val="auto"/>
          <w:sz w:val="24"/>
          <w:highlight w:val="none"/>
        </w:rPr>
        <w:t>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40B819C">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（4）在</w:t>
      </w:r>
      <w:r>
        <w:rPr>
          <w:rFonts w:hint="eastAsia" w:ascii="宋体" w:hAnsi="宋体"/>
          <w:color w:val="auto"/>
          <w:sz w:val="24"/>
          <w:highlight w:val="none"/>
          <w:lang w:eastAsia="zh-CN"/>
        </w:rPr>
        <w:t>税务局</w:t>
      </w:r>
      <w:r>
        <w:rPr>
          <w:rFonts w:hint="eastAsia" w:ascii="宋体" w:hAnsi="宋体"/>
          <w:color w:val="auto"/>
          <w:sz w:val="24"/>
          <w:highlight w:val="none"/>
        </w:rPr>
        <w:t>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334A2F8">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BD05C5E">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36F2F92">
      <w:pPr>
        <w:spacing w:line="440" w:lineRule="exact"/>
        <w:rPr>
          <w:rFonts w:ascii="宋体" w:hAnsi="宋体"/>
          <w:color w:val="auto"/>
          <w:sz w:val="24"/>
          <w:highlight w:val="none"/>
        </w:rPr>
      </w:pPr>
    </w:p>
    <w:p w14:paraId="1CD6ED01">
      <w:pPr>
        <w:spacing w:line="440" w:lineRule="exact"/>
        <w:rPr>
          <w:rFonts w:ascii="宋体" w:hAnsi="宋体"/>
          <w:color w:val="auto"/>
          <w:sz w:val="24"/>
          <w:highlight w:val="none"/>
        </w:rPr>
      </w:pPr>
    </w:p>
    <w:p w14:paraId="63615EAE">
      <w:pPr>
        <w:spacing w:line="440" w:lineRule="exact"/>
        <w:rPr>
          <w:rFonts w:ascii="宋体" w:hAnsi="宋体"/>
          <w:color w:val="auto"/>
          <w:sz w:val="24"/>
          <w:highlight w:val="none"/>
        </w:rPr>
      </w:pPr>
    </w:p>
    <w:p w14:paraId="7F6175CC">
      <w:pPr>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3D971273">
      <w:pPr>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6E1F5344">
      <w:pPr>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5A77C192">
      <w:pPr>
        <w:widowControl/>
        <w:spacing w:line="360" w:lineRule="auto"/>
        <w:jc w:val="left"/>
        <w:rPr>
          <w:rFonts w:ascii="宋体" w:hAnsi="宋体"/>
          <w:color w:val="auto"/>
          <w:szCs w:val="21"/>
          <w:highlight w:val="none"/>
        </w:rPr>
        <w:sectPr>
          <w:footerReference r:id="rId10" w:type="first"/>
          <w:footerReference r:id="rId9" w:type="default"/>
          <w:pgSz w:w="11906" w:h="16838"/>
          <w:pgMar w:top="1440" w:right="1289" w:bottom="1440" w:left="1797" w:header="851" w:footer="992" w:gutter="0"/>
          <w:cols w:space="720" w:num="1"/>
        </w:sectPr>
      </w:pPr>
    </w:p>
    <w:p w14:paraId="6C71BBFC">
      <w:pPr>
        <w:spacing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8"/>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2"/>
        <w:gridCol w:w="1833"/>
        <w:gridCol w:w="2180"/>
        <w:gridCol w:w="1933"/>
      </w:tblGrid>
      <w:tr w14:paraId="4495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14:paraId="1D97ECDA">
            <w:pPr>
              <w:pStyle w:val="3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tcBorders>
              <w:top w:val="single" w:color="auto" w:sz="4" w:space="0"/>
              <w:left w:val="single" w:color="auto" w:sz="4" w:space="0"/>
              <w:bottom w:val="single" w:color="auto" w:sz="4" w:space="0"/>
              <w:right w:val="single" w:color="auto" w:sz="4" w:space="0"/>
            </w:tcBorders>
            <w:noWrap/>
            <w:vAlign w:val="center"/>
          </w:tcPr>
          <w:p w14:paraId="3FAF0EEA">
            <w:pPr>
              <w:pStyle w:val="3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tcBorders>
              <w:top w:val="single" w:color="auto" w:sz="4" w:space="0"/>
              <w:left w:val="single" w:color="auto" w:sz="4" w:space="0"/>
              <w:bottom w:val="single" w:color="auto" w:sz="4" w:space="0"/>
              <w:right w:val="single" w:color="auto" w:sz="4" w:space="0"/>
            </w:tcBorders>
            <w:noWrap/>
            <w:vAlign w:val="center"/>
          </w:tcPr>
          <w:p w14:paraId="7B816674">
            <w:pPr>
              <w:pStyle w:val="3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tcBorders>
              <w:top w:val="single" w:color="auto" w:sz="4" w:space="0"/>
              <w:left w:val="single" w:color="auto" w:sz="4" w:space="0"/>
              <w:bottom w:val="single" w:color="auto" w:sz="4" w:space="0"/>
              <w:right w:val="single" w:color="auto" w:sz="4" w:space="0"/>
            </w:tcBorders>
            <w:noWrap/>
            <w:vAlign w:val="center"/>
          </w:tcPr>
          <w:p w14:paraId="37905782">
            <w:pPr>
              <w:pStyle w:val="3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竞标响应</w:t>
            </w:r>
          </w:p>
        </w:tc>
        <w:tc>
          <w:tcPr>
            <w:tcW w:w="1934" w:type="dxa"/>
            <w:tcBorders>
              <w:top w:val="single" w:color="auto" w:sz="4" w:space="0"/>
              <w:left w:val="single" w:color="auto" w:sz="4" w:space="0"/>
              <w:bottom w:val="single" w:color="auto" w:sz="4" w:space="0"/>
              <w:right w:val="single" w:color="auto" w:sz="4" w:space="0"/>
            </w:tcBorders>
            <w:noWrap/>
            <w:vAlign w:val="center"/>
          </w:tcPr>
          <w:p w14:paraId="4FB15553">
            <w:pPr>
              <w:pStyle w:val="3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0FE2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1DDD8309">
            <w:pPr>
              <w:pStyle w:val="34"/>
              <w:spacing w:line="600" w:lineRule="exact"/>
              <w:jc w:val="center"/>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center"/>
          </w:tcPr>
          <w:p w14:paraId="02E640D0">
            <w:pPr>
              <w:pStyle w:val="34"/>
              <w:spacing w:line="600" w:lineRule="exact"/>
              <w:jc w:val="center"/>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center"/>
          </w:tcPr>
          <w:p w14:paraId="766AFBAB">
            <w:pPr>
              <w:pStyle w:val="34"/>
              <w:spacing w:line="600" w:lineRule="exact"/>
              <w:jc w:val="center"/>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center"/>
          </w:tcPr>
          <w:p w14:paraId="5EC5745E">
            <w:pPr>
              <w:pStyle w:val="34"/>
              <w:spacing w:line="600" w:lineRule="exact"/>
              <w:jc w:val="center"/>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center"/>
          </w:tcPr>
          <w:p w14:paraId="607CA36B">
            <w:pPr>
              <w:pStyle w:val="34"/>
              <w:spacing w:line="600" w:lineRule="exact"/>
              <w:jc w:val="center"/>
              <w:rPr>
                <w:rFonts w:hAnsi="宋体" w:cs="Courier New"/>
                <w:color w:val="auto"/>
                <w:kern w:val="2"/>
                <w:sz w:val="24"/>
                <w:szCs w:val="24"/>
                <w:highlight w:val="none"/>
              </w:rPr>
            </w:pPr>
          </w:p>
        </w:tc>
      </w:tr>
      <w:tr w14:paraId="6595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27590E33">
            <w:pPr>
              <w:pStyle w:val="34"/>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2B4D0B82">
            <w:pPr>
              <w:pStyle w:val="34"/>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5330D10F">
            <w:pPr>
              <w:pStyle w:val="34"/>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6579BAAD">
            <w:pPr>
              <w:pStyle w:val="34"/>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1E475129">
            <w:pPr>
              <w:pStyle w:val="34"/>
              <w:spacing w:line="600" w:lineRule="exact"/>
              <w:rPr>
                <w:rFonts w:hAnsi="宋体" w:cs="Courier New"/>
                <w:color w:val="auto"/>
                <w:kern w:val="2"/>
                <w:sz w:val="24"/>
                <w:szCs w:val="24"/>
                <w:highlight w:val="none"/>
              </w:rPr>
            </w:pPr>
          </w:p>
        </w:tc>
      </w:tr>
      <w:tr w14:paraId="5581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29D845B4">
            <w:pPr>
              <w:pStyle w:val="34"/>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6EF9A1E4">
            <w:pPr>
              <w:pStyle w:val="34"/>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5C5C963C">
            <w:pPr>
              <w:pStyle w:val="34"/>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67DC50C7">
            <w:pPr>
              <w:pStyle w:val="34"/>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546C5F14">
            <w:pPr>
              <w:pStyle w:val="34"/>
              <w:spacing w:line="600" w:lineRule="exact"/>
              <w:rPr>
                <w:rFonts w:hAnsi="宋体" w:cs="Courier New"/>
                <w:color w:val="auto"/>
                <w:kern w:val="2"/>
                <w:sz w:val="24"/>
                <w:szCs w:val="24"/>
                <w:highlight w:val="none"/>
              </w:rPr>
            </w:pPr>
          </w:p>
        </w:tc>
      </w:tr>
      <w:tr w14:paraId="7F4B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0A6F62FB">
            <w:pPr>
              <w:pStyle w:val="34"/>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59293E16">
            <w:pPr>
              <w:pStyle w:val="34"/>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4E4EFC31">
            <w:pPr>
              <w:pStyle w:val="34"/>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07B68322">
            <w:pPr>
              <w:pStyle w:val="34"/>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308565D0">
            <w:pPr>
              <w:pStyle w:val="34"/>
              <w:spacing w:line="600" w:lineRule="exact"/>
              <w:rPr>
                <w:rFonts w:hAnsi="宋体" w:cs="Courier New"/>
                <w:color w:val="auto"/>
                <w:kern w:val="2"/>
                <w:sz w:val="24"/>
                <w:szCs w:val="24"/>
                <w:highlight w:val="none"/>
              </w:rPr>
            </w:pPr>
          </w:p>
        </w:tc>
      </w:tr>
      <w:tr w14:paraId="312E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23231D3A">
            <w:pPr>
              <w:pStyle w:val="34"/>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29FAD42B">
            <w:pPr>
              <w:pStyle w:val="34"/>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26DB3C00">
            <w:pPr>
              <w:pStyle w:val="34"/>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6B4C5659">
            <w:pPr>
              <w:pStyle w:val="34"/>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7EC407E8">
            <w:pPr>
              <w:pStyle w:val="34"/>
              <w:spacing w:line="600" w:lineRule="exact"/>
              <w:rPr>
                <w:rFonts w:hAnsi="宋体" w:cs="Courier New"/>
                <w:color w:val="auto"/>
                <w:kern w:val="2"/>
                <w:sz w:val="24"/>
                <w:szCs w:val="24"/>
                <w:highlight w:val="none"/>
              </w:rPr>
            </w:pPr>
          </w:p>
        </w:tc>
      </w:tr>
      <w:tr w14:paraId="4EBF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637F4271">
            <w:pPr>
              <w:pStyle w:val="34"/>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7F4847EB">
            <w:pPr>
              <w:pStyle w:val="34"/>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2B480732">
            <w:pPr>
              <w:pStyle w:val="34"/>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6117D2D6">
            <w:pPr>
              <w:pStyle w:val="34"/>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08D08625">
            <w:pPr>
              <w:pStyle w:val="34"/>
              <w:spacing w:line="600" w:lineRule="exact"/>
              <w:rPr>
                <w:rFonts w:hAnsi="宋体" w:cs="Courier New"/>
                <w:color w:val="auto"/>
                <w:kern w:val="2"/>
                <w:sz w:val="24"/>
                <w:szCs w:val="24"/>
                <w:highlight w:val="none"/>
              </w:rPr>
            </w:pPr>
          </w:p>
        </w:tc>
      </w:tr>
      <w:tr w14:paraId="4D83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00C29F4D">
            <w:pPr>
              <w:pStyle w:val="34"/>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3ACC07DD">
            <w:pPr>
              <w:pStyle w:val="34"/>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6DCFD11C">
            <w:pPr>
              <w:pStyle w:val="34"/>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5784586F">
            <w:pPr>
              <w:pStyle w:val="34"/>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071CBDC0">
            <w:pPr>
              <w:pStyle w:val="34"/>
              <w:spacing w:line="600" w:lineRule="exact"/>
              <w:rPr>
                <w:rFonts w:hAnsi="宋体" w:cs="Courier New"/>
                <w:color w:val="auto"/>
                <w:kern w:val="2"/>
                <w:sz w:val="24"/>
                <w:szCs w:val="24"/>
                <w:highlight w:val="none"/>
              </w:rPr>
            </w:pPr>
          </w:p>
        </w:tc>
      </w:tr>
    </w:tbl>
    <w:p w14:paraId="03B37EDE">
      <w:pPr>
        <w:pStyle w:val="27"/>
        <w:spacing w:line="360" w:lineRule="auto"/>
        <w:rPr>
          <w:rFonts w:ascii="宋体" w:hAnsi="宋体"/>
          <w:b/>
          <w:color w:val="auto"/>
          <w:kern w:val="0"/>
          <w:sz w:val="24"/>
          <w:szCs w:val="24"/>
          <w:highlight w:val="none"/>
        </w:rPr>
      </w:pPr>
      <w:r>
        <w:rPr>
          <w:rFonts w:hint="eastAsia" w:ascii="宋体" w:hAnsi="宋体"/>
          <w:color w:val="auto"/>
          <w:highlight w:val="none"/>
        </w:rPr>
        <w:t>注：</w:t>
      </w:r>
    </w:p>
    <w:p w14:paraId="005F5658">
      <w:pPr>
        <w:pStyle w:val="31"/>
        <w:spacing w:line="360" w:lineRule="auto"/>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说明：应对照磋商文件“第二章 采购需求”中的技术要求逐条作明确的竞标响应，并作出偏离说明。</w:t>
      </w:r>
    </w:p>
    <w:p w14:paraId="67875A85">
      <w:pPr>
        <w:pStyle w:val="27"/>
        <w:spacing w:line="360" w:lineRule="auto"/>
        <w:rPr>
          <w:rFonts w:ascii="宋体" w:hAnsi="宋体"/>
          <w:color w:val="auto"/>
          <w:sz w:val="24"/>
          <w:szCs w:val="24"/>
          <w:highlight w:val="none"/>
        </w:rPr>
      </w:pPr>
      <w:r>
        <w:rPr>
          <w:rFonts w:hint="eastAsia" w:ascii="宋体" w:hAnsi="宋体"/>
          <w:b/>
          <w:bCs/>
          <w:color w:val="auto"/>
          <w:sz w:val="24"/>
          <w:szCs w:val="24"/>
          <w:highlight w:val="none"/>
        </w:rPr>
        <w:t>2.供应商应根据自身的承诺，对照竞争性磋商文件要求，在“偏离说明”中注明“</w:t>
      </w:r>
      <w:r>
        <w:rPr>
          <w:rFonts w:hint="eastAsia" w:ascii="宋体" w:hAnsi="宋体"/>
          <w:color w:val="auto"/>
          <w:sz w:val="24"/>
          <w:szCs w:val="24"/>
          <w:highlight w:val="none"/>
        </w:rPr>
        <w:t>正偏离</w:t>
      </w:r>
      <w:r>
        <w:rPr>
          <w:rFonts w:hint="eastAsia" w:ascii="宋体" w:hAnsi="宋体"/>
          <w:b/>
          <w:bCs/>
          <w:color w:val="auto"/>
          <w:sz w:val="24"/>
          <w:szCs w:val="24"/>
          <w:highlight w:val="none"/>
        </w:rPr>
        <w:t>”、“</w:t>
      </w:r>
      <w:r>
        <w:rPr>
          <w:rFonts w:hint="eastAsia" w:ascii="宋体" w:hAnsi="宋体"/>
          <w:color w:val="auto"/>
          <w:sz w:val="24"/>
          <w:szCs w:val="24"/>
          <w:highlight w:val="none"/>
        </w:rPr>
        <w:t>负偏离</w:t>
      </w:r>
      <w:r>
        <w:rPr>
          <w:rFonts w:hint="eastAsia" w:ascii="宋体" w:hAnsi="宋体"/>
          <w:b/>
          <w:bCs/>
          <w:color w:val="auto"/>
          <w:sz w:val="24"/>
          <w:szCs w:val="24"/>
          <w:highlight w:val="none"/>
        </w:rPr>
        <w:t>”或者“</w:t>
      </w:r>
      <w:r>
        <w:rPr>
          <w:rFonts w:hint="eastAsia" w:ascii="宋体" w:hAnsi="宋体"/>
          <w:color w:val="auto"/>
          <w:sz w:val="24"/>
          <w:szCs w:val="24"/>
          <w:highlight w:val="none"/>
        </w:rPr>
        <w:t>无偏离</w:t>
      </w:r>
      <w:r>
        <w:rPr>
          <w:rFonts w:hint="eastAsia" w:ascii="宋体" w:hAnsi="宋体"/>
          <w:b/>
          <w:bCs/>
          <w:color w:val="auto"/>
          <w:sz w:val="24"/>
          <w:szCs w:val="24"/>
          <w:highlight w:val="none"/>
        </w:rPr>
        <w:t>”。既不属于“</w:t>
      </w:r>
      <w:r>
        <w:rPr>
          <w:rFonts w:hint="eastAsia" w:ascii="宋体" w:hAnsi="宋体"/>
          <w:color w:val="auto"/>
          <w:sz w:val="24"/>
          <w:szCs w:val="24"/>
          <w:highlight w:val="none"/>
        </w:rPr>
        <w:t>正偏离</w:t>
      </w:r>
      <w:r>
        <w:rPr>
          <w:rFonts w:hint="eastAsia" w:ascii="宋体" w:hAnsi="宋体"/>
          <w:b/>
          <w:bCs/>
          <w:color w:val="auto"/>
          <w:sz w:val="24"/>
          <w:szCs w:val="24"/>
          <w:highlight w:val="none"/>
        </w:rPr>
        <w:t>”也不属于“</w:t>
      </w:r>
      <w:r>
        <w:rPr>
          <w:rFonts w:hint="eastAsia" w:ascii="宋体" w:hAnsi="宋体"/>
          <w:color w:val="auto"/>
          <w:sz w:val="24"/>
          <w:szCs w:val="24"/>
          <w:highlight w:val="none"/>
        </w:rPr>
        <w:t>负偏离</w:t>
      </w:r>
      <w:r>
        <w:rPr>
          <w:rFonts w:hint="eastAsia" w:ascii="宋体" w:hAnsi="宋体"/>
          <w:b/>
          <w:bCs/>
          <w:color w:val="auto"/>
          <w:sz w:val="24"/>
          <w:szCs w:val="24"/>
          <w:highlight w:val="none"/>
        </w:rPr>
        <w:t>”即为“</w:t>
      </w:r>
      <w:r>
        <w:rPr>
          <w:rFonts w:hint="eastAsia" w:ascii="宋体" w:hAnsi="宋体"/>
          <w:color w:val="auto"/>
          <w:sz w:val="24"/>
          <w:szCs w:val="24"/>
          <w:highlight w:val="none"/>
        </w:rPr>
        <w:t>无偏离</w:t>
      </w:r>
      <w:r>
        <w:rPr>
          <w:rFonts w:hint="eastAsia" w:ascii="宋体" w:hAnsi="宋体"/>
          <w:b/>
          <w:bCs/>
          <w:color w:val="auto"/>
          <w:sz w:val="24"/>
          <w:szCs w:val="24"/>
          <w:highlight w:val="none"/>
        </w:rPr>
        <w:t>”。</w:t>
      </w:r>
    </w:p>
    <w:p w14:paraId="51938B91">
      <w:pPr>
        <w:pStyle w:val="27"/>
        <w:spacing w:line="360" w:lineRule="auto"/>
        <w:rPr>
          <w:rFonts w:ascii="宋体" w:hAnsi="宋体"/>
          <w:color w:val="auto"/>
          <w:spacing w:val="20"/>
          <w:highlight w:val="none"/>
        </w:rPr>
      </w:pPr>
    </w:p>
    <w:p w14:paraId="2DDCC3FB">
      <w:pPr>
        <w:spacing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3B538D6">
      <w:pPr>
        <w:spacing w:line="360" w:lineRule="auto"/>
        <w:rPr>
          <w:rFonts w:ascii="宋体" w:hAnsi="宋体"/>
          <w:color w:val="auto"/>
          <w:spacing w:val="20"/>
          <w:sz w:val="24"/>
          <w:highlight w:val="none"/>
        </w:rPr>
      </w:pPr>
      <w:r>
        <w:rPr>
          <w:rFonts w:hint="eastAsia" w:ascii="宋体" w:hAnsi="宋体"/>
          <w:color w:val="auto"/>
          <w:spacing w:val="20"/>
          <w:sz w:val="24"/>
          <w:highlight w:val="none"/>
          <w:lang w:eastAsia="zh-CN"/>
        </w:rPr>
        <w:t>供应商</w:t>
      </w:r>
      <w:r>
        <w:rPr>
          <w:rFonts w:hint="eastAsia" w:ascii="宋体" w:hAnsi="宋体"/>
          <w:color w:val="auto"/>
          <w:spacing w:val="20"/>
          <w:sz w:val="24"/>
          <w:highlight w:val="none"/>
        </w:rPr>
        <w:t>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20A8BAC4">
      <w:pPr>
        <w:spacing w:line="360" w:lineRule="auto"/>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54D08A6D">
      <w:pPr>
        <w:spacing w:line="300" w:lineRule="auto"/>
        <w:rPr>
          <w:rFonts w:ascii="宋体" w:hAnsi="宋体"/>
          <w:b/>
          <w:bCs/>
          <w:color w:val="auto"/>
          <w:sz w:val="24"/>
          <w:highlight w:val="none"/>
        </w:rPr>
      </w:pPr>
    </w:p>
    <w:p w14:paraId="6D732105">
      <w:pPr>
        <w:pStyle w:val="16"/>
        <w:rPr>
          <w:color w:val="auto"/>
          <w:highlight w:val="none"/>
        </w:rPr>
      </w:pPr>
    </w:p>
    <w:p w14:paraId="2AD51B65">
      <w:pPr>
        <w:pStyle w:val="16"/>
        <w:rPr>
          <w:color w:val="auto"/>
          <w:highlight w:val="none"/>
        </w:rPr>
      </w:pPr>
    </w:p>
    <w:p w14:paraId="14E83142">
      <w:pPr>
        <w:pStyle w:val="16"/>
        <w:rPr>
          <w:color w:val="auto"/>
          <w:highlight w:val="none"/>
        </w:rPr>
      </w:pPr>
    </w:p>
    <w:p w14:paraId="7EDADCE8">
      <w:pPr>
        <w:pStyle w:val="16"/>
        <w:rPr>
          <w:color w:val="auto"/>
          <w:highlight w:val="none"/>
        </w:rPr>
      </w:pPr>
    </w:p>
    <w:p w14:paraId="28BB6161">
      <w:pPr>
        <w:pStyle w:val="16"/>
        <w:rPr>
          <w:color w:val="auto"/>
          <w:highlight w:val="none"/>
        </w:rPr>
      </w:pPr>
    </w:p>
    <w:p w14:paraId="47968113">
      <w:pPr>
        <w:pStyle w:val="16"/>
        <w:rPr>
          <w:color w:val="auto"/>
          <w:highlight w:val="none"/>
        </w:rPr>
      </w:pPr>
    </w:p>
    <w:p w14:paraId="724752F8">
      <w:pPr>
        <w:pStyle w:val="16"/>
        <w:rPr>
          <w:color w:val="auto"/>
          <w:highlight w:val="none"/>
        </w:rPr>
      </w:pPr>
    </w:p>
    <w:p w14:paraId="16C6D667">
      <w:pPr>
        <w:pStyle w:val="16"/>
        <w:rPr>
          <w:color w:val="auto"/>
          <w:highlight w:val="none"/>
        </w:rPr>
      </w:pPr>
    </w:p>
    <w:p w14:paraId="2F3199CE">
      <w:pPr>
        <w:pStyle w:val="16"/>
        <w:rPr>
          <w:color w:val="auto"/>
          <w:highlight w:val="none"/>
        </w:rPr>
      </w:pPr>
    </w:p>
    <w:p w14:paraId="6238DE8C">
      <w:pPr>
        <w:pStyle w:val="16"/>
        <w:rPr>
          <w:color w:val="auto"/>
          <w:highlight w:val="none"/>
        </w:rPr>
      </w:pPr>
    </w:p>
    <w:p w14:paraId="613F8B8C">
      <w:pPr>
        <w:spacing w:line="300" w:lineRule="auto"/>
        <w:rPr>
          <w:rFonts w:ascii="宋体" w:hAnsi="宋体"/>
          <w:color w:val="auto"/>
          <w:szCs w:val="21"/>
          <w:highlight w:val="none"/>
        </w:rPr>
      </w:pPr>
      <w:r>
        <w:rPr>
          <w:rFonts w:hint="eastAsia" w:ascii="宋体" w:hAnsi="宋体"/>
          <w:b/>
          <w:bCs/>
          <w:color w:val="auto"/>
          <w:sz w:val="24"/>
          <w:highlight w:val="none"/>
        </w:rPr>
        <w:t>其他文书、文件格式</w:t>
      </w:r>
    </w:p>
    <w:p w14:paraId="75BF6C96">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56F62D7B">
      <w:pPr>
        <w:pStyle w:val="34"/>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6CB0FD94">
      <w:pPr>
        <w:pStyle w:val="34"/>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96084AA">
      <w:pPr>
        <w:pStyle w:val="34"/>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F359816">
      <w:pPr>
        <w:pStyle w:val="34"/>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30AE47C">
      <w:pPr>
        <w:pStyle w:val="34"/>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6370A5EF">
      <w:pPr>
        <w:pStyle w:val="34"/>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67A3E5F">
      <w:pPr>
        <w:pStyle w:val="34"/>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512C961">
      <w:pPr>
        <w:pStyle w:val="34"/>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5F632491">
      <w:pPr>
        <w:pStyle w:val="34"/>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F47D6C5">
      <w:pPr>
        <w:pStyle w:val="34"/>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5EA5BFC">
      <w:pPr>
        <w:pStyle w:val="3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BDC0BA7">
      <w:pPr>
        <w:pStyle w:val="3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068C18AD">
      <w:pPr>
        <w:pStyle w:val="34"/>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18D7EC98">
      <w:pPr>
        <w:pStyle w:val="34"/>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65F38123">
      <w:pPr>
        <w:pStyle w:val="34"/>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038AF315">
      <w:pPr>
        <w:pStyle w:val="34"/>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419C18E4">
      <w:pPr>
        <w:pStyle w:val="3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EA576DA">
      <w:pPr>
        <w:pStyle w:val="3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E88C642">
      <w:pPr>
        <w:pStyle w:val="3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30F2E6DB">
      <w:pPr>
        <w:pStyle w:val="3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4C451650">
      <w:pPr>
        <w:pStyle w:val="34"/>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5E4B65D7">
      <w:pPr>
        <w:pStyle w:val="3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0E737322">
      <w:pPr>
        <w:pStyle w:val="3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0201E96">
      <w:pPr>
        <w:pStyle w:val="34"/>
        <w:spacing w:line="360" w:lineRule="auto"/>
        <w:ind w:left="25" w:leftChars="12" w:firstLine="352" w:firstLineChars="147"/>
        <w:contextualSpacing/>
        <w:rPr>
          <w:rFonts w:hAnsi="宋体"/>
          <w:color w:val="auto"/>
          <w:sz w:val="24"/>
          <w:szCs w:val="24"/>
          <w:highlight w:val="none"/>
        </w:rPr>
      </w:pPr>
    </w:p>
    <w:p w14:paraId="0CBB76B8">
      <w:pPr>
        <w:pStyle w:val="3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584E0E97">
      <w:pPr>
        <w:pStyle w:val="34"/>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20D68944">
      <w:pPr>
        <w:pStyle w:val="34"/>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5CE3675D">
      <w:pPr>
        <w:pStyle w:val="34"/>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3F5DD2E7">
      <w:pPr>
        <w:pStyle w:val="34"/>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145DFB">
      <w:pPr>
        <w:pStyle w:val="34"/>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8AFA9E1">
      <w:pPr>
        <w:pStyle w:val="34"/>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3297CB77">
      <w:pPr>
        <w:pStyle w:val="34"/>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FFC9DA2">
      <w:pPr>
        <w:pStyle w:val="34"/>
        <w:rPr>
          <w:b/>
          <w:color w:val="auto"/>
          <w:sz w:val="24"/>
          <w:szCs w:val="24"/>
          <w:highlight w:val="none"/>
        </w:rPr>
      </w:pPr>
    </w:p>
    <w:p w14:paraId="3986DBB9">
      <w:pPr>
        <w:rPr>
          <w:color w:val="auto"/>
          <w:sz w:val="32"/>
          <w:szCs w:val="40"/>
          <w:highlight w:val="none"/>
        </w:rPr>
      </w:pPr>
    </w:p>
    <w:p w14:paraId="217D2407">
      <w:pPr>
        <w:rPr>
          <w:color w:val="auto"/>
          <w:sz w:val="32"/>
          <w:szCs w:val="40"/>
          <w:highlight w:val="none"/>
        </w:rPr>
      </w:pPr>
    </w:p>
    <w:p w14:paraId="2F3CB71C">
      <w:pPr>
        <w:rPr>
          <w:color w:val="auto"/>
          <w:sz w:val="32"/>
          <w:szCs w:val="40"/>
          <w:highlight w:val="none"/>
        </w:rPr>
      </w:pPr>
    </w:p>
    <w:p w14:paraId="232BBC99">
      <w:pPr>
        <w:rPr>
          <w:color w:val="auto"/>
          <w:sz w:val="32"/>
          <w:szCs w:val="40"/>
          <w:highlight w:val="none"/>
        </w:rPr>
      </w:pPr>
    </w:p>
    <w:p w14:paraId="342D43CD">
      <w:pPr>
        <w:rPr>
          <w:color w:val="auto"/>
          <w:sz w:val="32"/>
          <w:szCs w:val="40"/>
          <w:highlight w:val="none"/>
        </w:rPr>
      </w:pPr>
    </w:p>
    <w:p w14:paraId="460E0FF4">
      <w:pPr>
        <w:rPr>
          <w:color w:val="auto"/>
          <w:sz w:val="32"/>
          <w:szCs w:val="40"/>
          <w:highlight w:val="none"/>
        </w:rPr>
      </w:pPr>
    </w:p>
    <w:p w14:paraId="7BC52A4A">
      <w:pPr>
        <w:rPr>
          <w:color w:val="auto"/>
          <w:sz w:val="32"/>
          <w:szCs w:val="40"/>
          <w:highlight w:val="none"/>
        </w:rPr>
      </w:pPr>
    </w:p>
    <w:p w14:paraId="598E22E5">
      <w:pPr>
        <w:rPr>
          <w:color w:val="auto"/>
          <w:sz w:val="32"/>
          <w:szCs w:val="40"/>
          <w:highlight w:val="none"/>
        </w:rPr>
      </w:pPr>
    </w:p>
    <w:p w14:paraId="5732311C">
      <w:pPr>
        <w:rPr>
          <w:color w:val="auto"/>
          <w:sz w:val="32"/>
          <w:szCs w:val="40"/>
          <w:highlight w:val="none"/>
        </w:rPr>
      </w:pPr>
    </w:p>
    <w:p w14:paraId="40570F81">
      <w:pPr>
        <w:pStyle w:val="16"/>
        <w:rPr>
          <w:color w:val="auto"/>
          <w:highlight w:val="none"/>
        </w:rPr>
      </w:pPr>
    </w:p>
    <w:p w14:paraId="26B7B149">
      <w:pPr>
        <w:pStyle w:val="16"/>
        <w:rPr>
          <w:color w:val="auto"/>
          <w:highlight w:val="none"/>
        </w:rPr>
      </w:pPr>
    </w:p>
    <w:p w14:paraId="3F95A4B7">
      <w:pPr>
        <w:rPr>
          <w:color w:val="auto"/>
          <w:sz w:val="32"/>
          <w:szCs w:val="40"/>
          <w:highlight w:val="none"/>
        </w:rPr>
      </w:pPr>
    </w:p>
    <w:p w14:paraId="42A3CD8E">
      <w:pPr>
        <w:rPr>
          <w:color w:val="auto"/>
          <w:sz w:val="32"/>
          <w:szCs w:val="40"/>
          <w:highlight w:val="none"/>
        </w:rPr>
      </w:pPr>
    </w:p>
    <w:p w14:paraId="6D3F59CC">
      <w:pPr>
        <w:rPr>
          <w:color w:val="auto"/>
          <w:sz w:val="32"/>
          <w:szCs w:val="40"/>
          <w:highlight w:val="none"/>
        </w:rPr>
      </w:pPr>
    </w:p>
    <w:p w14:paraId="5243BD3E">
      <w:pPr>
        <w:rPr>
          <w:color w:val="auto"/>
          <w:sz w:val="32"/>
          <w:szCs w:val="40"/>
          <w:highlight w:val="none"/>
        </w:rPr>
      </w:pPr>
    </w:p>
    <w:p w14:paraId="79EEEC0E">
      <w:pPr>
        <w:rPr>
          <w:color w:val="auto"/>
          <w:sz w:val="32"/>
          <w:szCs w:val="40"/>
          <w:highlight w:val="none"/>
        </w:rPr>
      </w:pPr>
    </w:p>
    <w:p w14:paraId="5539A2BA">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72FF7633">
      <w:pPr>
        <w:pStyle w:val="34"/>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6ADB18C9">
      <w:pPr>
        <w:pStyle w:val="34"/>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08D965F">
      <w:pPr>
        <w:pStyle w:val="34"/>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2F682A2">
      <w:pPr>
        <w:pStyle w:val="34"/>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1683A68F">
      <w:pPr>
        <w:pStyle w:val="34"/>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40049FE">
      <w:pPr>
        <w:pStyle w:val="34"/>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907D735">
      <w:pPr>
        <w:pStyle w:val="34"/>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6732870">
      <w:pPr>
        <w:pStyle w:val="34"/>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650C56F">
      <w:pPr>
        <w:pStyle w:val="34"/>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65EBACBD">
      <w:pPr>
        <w:pStyle w:val="34"/>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03467A48">
      <w:pPr>
        <w:pStyle w:val="34"/>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31FE4E0">
      <w:pPr>
        <w:pStyle w:val="34"/>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9177936">
      <w:pPr>
        <w:pStyle w:val="34"/>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204AC7D9">
      <w:pPr>
        <w:pStyle w:val="34"/>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0FF38F15">
      <w:pPr>
        <w:pStyle w:val="34"/>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3F59B3FF">
      <w:pPr>
        <w:pStyle w:val="34"/>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ECB8770">
      <w:pPr>
        <w:pStyle w:val="34"/>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2E8515B">
      <w:pPr>
        <w:pStyle w:val="34"/>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10CFBB6D">
      <w:pPr>
        <w:pStyle w:val="34"/>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D01E31E">
      <w:pPr>
        <w:pStyle w:val="34"/>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8891D8F">
      <w:pPr>
        <w:pStyle w:val="34"/>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AF78859">
      <w:pPr>
        <w:pStyle w:val="34"/>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16307BBC">
      <w:pPr>
        <w:pStyle w:val="34"/>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106D644">
      <w:pPr>
        <w:pStyle w:val="34"/>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4FC27D9">
      <w:pPr>
        <w:pStyle w:val="34"/>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213484A5">
      <w:pPr>
        <w:pStyle w:val="34"/>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00D821FA">
      <w:pPr>
        <w:pStyle w:val="34"/>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8BC455C">
      <w:pPr>
        <w:pStyle w:val="34"/>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0340A33">
      <w:pPr>
        <w:pStyle w:val="34"/>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38CD21BA">
      <w:pPr>
        <w:pStyle w:val="34"/>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79A497B8">
      <w:pPr>
        <w:pStyle w:val="34"/>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739E7E5E">
      <w:pPr>
        <w:pStyle w:val="34"/>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025A2EE">
      <w:pPr>
        <w:pStyle w:val="34"/>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694F47A8">
      <w:pPr>
        <w:pStyle w:val="34"/>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A519C32">
      <w:pPr>
        <w:pStyle w:val="34"/>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A629250">
      <w:pPr>
        <w:pStyle w:val="34"/>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11539F5F">
      <w:pPr>
        <w:pStyle w:val="34"/>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7494BA43">
      <w:pPr>
        <w:pStyle w:val="34"/>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08CFE243">
      <w:pPr>
        <w:pStyle w:val="3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CF2FEF7">
      <w:pPr>
        <w:pStyle w:val="34"/>
        <w:spacing w:line="360" w:lineRule="auto"/>
        <w:ind w:left="25" w:leftChars="12" w:firstLine="352" w:firstLineChars="147"/>
        <w:rPr>
          <w:rFonts w:hAnsi="宋体"/>
          <w:color w:val="auto"/>
          <w:sz w:val="24"/>
          <w:szCs w:val="24"/>
          <w:highlight w:val="none"/>
        </w:rPr>
      </w:pPr>
    </w:p>
    <w:p w14:paraId="52FB250A">
      <w:pPr>
        <w:pStyle w:val="3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505A941F">
      <w:pPr>
        <w:pStyle w:val="34"/>
        <w:spacing w:line="360" w:lineRule="auto"/>
        <w:ind w:left="25" w:leftChars="12" w:firstLine="352" w:firstLineChars="147"/>
        <w:rPr>
          <w:rFonts w:hAnsi="宋体"/>
          <w:color w:val="auto"/>
          <w:sz w:val="24"/>
          <w:szCs w:val="24"/>
          <w:highlight w:val="none"/>
        </w:rPr>
      </w:pPr>
    </w:p>
    <w:p w14:paraId="1952E560">
      <w:pPr>
        <w:pStyle w:val="3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1D0DA7C8">
      <w:pPr>
        <w:pStyle w:val="34"/>
        <w:spacing w:line="360" w:lineRule="auto"/>
        <w:rPr>
          <w:rFonts w:hAnsi="宋体"/>
          <w:b/>
          <w:color w:val="auto"/>
          <w:sz w:val="24"/>
          <w:szCs w:val="24"/>
          <w:highlight w:val="none"/>
        </w:rPr>
      </w:pPr>
      <w:r>
        <w:rPr>
          <w:rFonts w:hint="eastAsia" w:hAnsi="宋体"/>
          <w:b/>
          <w:color w:val="auto"/>
          <w:sz w:val="24"/>
          <w:szCs w:val="24"/>
          <w:highlight w:val="none"/>
        </w:rPr>
        <w:t>说明：</w:t>
      </w:r>
    </w:p>
    <w:p w14:paraId="12569138">
      <w:pPr>
        <w:pStyle w:val="34"/>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770BD470">
      <w:pPr>
        <w:pStyle w:val="3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D5AFC85">
      <w:pPr>
        <w:pStyle w:val="3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8573F94">
      <w:pPr>
        <w:pStyle w:val="3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D603FC2">
      <w:pPr>
        <w:pStyle w:val="3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0ACAC395">
      <w:pPr>
        <w:pStyle w:val="34"/>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04265B82">
      <w:pPr>
        <w:pStyle w:val="12"/>
        <w:jc w:val="center"/>
        <w:rPr>
          <w:color w:val="auto"/>
          <w:highlight w:val="none"/>
        </w:rPr>
      </w:pPr>
      <w:r>
        <w:rPr>
          <w:rFonts w:hint="eastAsia"/>
          <w:color w:val="auto"/>
          <w:highlight w:val="none"/>
        </w:rPr>
        <w:t>第六章 合同文本</w:t>
      </w:r>
    </w:p>
    <w:p w14:paraId="15ABC473">
      <w:pPr>
        <w:spacing w:line="360" w:lineRule="auto"/>
        <w:ind w:right="480" w:firstLine="5250" w:firstLineChars="2500"/>
        <w:rPr>
          <w:rFonts w:ascii="宋体" w:hAnsi="宋体"/>
          <w:bCs/>
          <w:color w:val="auto"/>
          <w:szCs w:val="21"/>
          <w:highlight w:val="none"/>
          <w:u w:val="single"/>
        </w:rPr>
      </w:pPr>
      <w:r>
        <w:rPr>
          <w:rFonts w:hint="eastAsia" w:ascii="宋体" w:hAnsi="宋体"/>
          <w:bCs/>
          <w:color w:val="auto"/>
          <w:szCs w:val="21"/>
          <w:highlight w:val="none"/>
        </w:rPr>
        <w:t>合同编号：</w:t>
      </w:r>
    </w:p>
    <w:p w14:paraId="3570F362">
      <w:pPr>
        <w:spacing w:line="360" w:lineRule="auto"/>
        <w:rPr>
          <w:rFonts w:ascii="宋体" w:hAnsi="宋体"/>
          <w:color w:val="auto"/>
          <w:szCs w:val="21"/>
          <w:highlight w:val="none"/>
        </w:rPr>
      </w:pPr>
    </w:p>
    <w:p w14:paraId="303F4B52">
      <w:pPr>
        <w:spacing w:line="360" w:lineRule="auto"/>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048D0722">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CF39A14">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6037140C">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23152C8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7397B8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磋商文件规定条款和乙方响应文件及其承诺，甲乙双方签订本合同。</w:t>
      </w:r>
    </w:p>
    <w:p w14:paraId="55E16C9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51DFC0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1、项目一览表</w:t>
      </w:r>
    </w:p>
    <w:tbl>
      <w:tblPr>
        <w:tblStyle w:val="8"/>
        <w:tblW w:w="936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2040"/>
        <w:gridCol w:w="1667"/>
      </w:tblGrid>
      <w:tr w14:paraId="4C0E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5C4923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1955745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3635A13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3FD3D7C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2040" w:type="dxa"/>
            <w:tcBorders>
              <w:top w:val="single" w:color="auto" w:sz="4" w:space="0"/>
              <w:left w:val="single" w:color="auto" w:sz="4" w:space="0"/>
              <w:bottom w:val="single" w:color="auto" w:sz="4" w:space="0"/>
              <w:right w:val="single" w:color="auto" w:sz="4" w:space="0"/>
            </w:tcBorders>
            <w:vAlign w:val="center"/>
          </w:tcPr>
          <w:p w14:paraId="5AC005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14:paraId="32C265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667" w:type="dxa"/>
            <w:tcBorders>
              <w:top w:val="single" w:color="auto" w:sz="4" w:space="0"/>
              <w:left w:val="single" w:color="auto" w:sz="4" w:space="0"/>
              <w:bottom w:val="single" w:color="auto" w:sz="4" w:space="0"/>
              <w:right w:val="single" w:color="auto" w:sz="4" w:space="0"/>
            </w:tcBorders>
            <w:vAlign w:val="center"/>
          </w:tcPr>
          <w:p w14:paraId="1A6B544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总 </w:t>
            </w:r>
            <w:r>
              <w:rPr>
                <w:rFonts w:ascii="宋体" w:hAnsi="宋体" w:cs="宋体"/>
                <w:color w:val="auto"/>
                <w:szCs w:val="21"/>
                <w:highlight w:val="none"/>
              </w:rPr>
              <w:t xml:space="preserve"> </w:t>
            </w:r>
            <w:r>
              <w:rPr>
                <w:rFonts w:hint="eastAsia" w:ascii="宋体" w:hAnsi="宋体" w:cs="宋体"/>
                <w:color w:val="auto"/>
                <w:szCs w:val="21"/>
                <w:highlight w:val="none"/>
              </w:rPr>
              <w:t>价</w:t>
            </w:r>
          </w:p>
          <w:p w14:paraId="63AE066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14:paraId="0BBE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324510DE">
            <w:pPr>
              <w:spacing w:line="360" w:lineRule="auto"/>
              <w:jc w:val="center"/>
              <w:rPr>
                <w:rFonts w:hint="eastAsia"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770029EC">
            <w:pPr>
              <w:spacing w:line="360" w:lineRule="auto"/>
              <w:jc w:val="center"/>
              <w:rPr>
                <w:rFonts w:hint="eastAsia"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21F94B02">
            <w:pPr>
              <w:spacing w:line="360" w:lineRule="auto"/>
              <w:jc w:val="center"/>
              <w:rPr>
                <w:rFonts w:hint="eastAsia"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6C062509">
            <w:pPr>
              <w:spacing w:line="360" w:lineRule="auto"/>
              <w:jc w:val="center"/>
              <w:rPr>
                <w:rFonts w:hint="eastAsia" w:ascii="宋体" w:hAnsi="宋体" w:cs="宋体"/>
                <w:color w:val="auto"/>
                <w:szCs w:val="21"/>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14:paraId="3B1884F1">
            <w:pPr>
              <w:spacing w:line="360" w:lineRule="auto"/>
              <w:jc w:val="center"/>
              <w:rPr>
                <w:rFonts w:hint="eastAsia" w:ascii="宋体" w:hAnsi="宋体" w:cs="宋体"/>
                <w:color w:val="auto"/>
                <w:szCs w:val="21"/>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14:paraId="10F70D1C">
            <w:pPr>
              <w:spacing w:line="360" w:lineRule="auto"/>
              <w:jc w:val="center"/>
              <w:rPr>
                <w:rFonts w:hint="eastAsia" w:ascii="宋体" w:hAnsi="宋体" w:cs="宋体"/>
                <w:color w:val="auto"/>
                <w:szCs w:val="21"/>
                <w:highlight w:val="none"/>
              </w:rPr>
            </w:pPr>
          </w:p>
        </w:tc>
      </w:tr>
      <w:tr w14:paraId="3361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6"/>
            <w:tcBorders>
              <w:top w:val="single" w:color="auto" w:sz="4" w:space="0"/>
              <w:left w:val="single" w:color="auto" w:sz="4" w:space="0"/>
              <w:bottom w:val="single" w:color="auto" w:sz="4" w:space="0"/>
              <w:right w:val="single" w:color="auto" w:sz="4" w:space="0"/>
            </w:tcBorders>
            <w:vAlign w:val="center"/>
          </w:tcPr>
          <w:p w14:paraId="36E9DC2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详见报价表</w:t>
            </w:r>
          </w:p>
        </w:tc>
      </w:tr>
      <w:tr w14:paraId="7957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6"/>
            <w:tcBorders>
              <w:top w:val="single" w:color="auto" w:sz="4" w:space="0"/>
              <w:left w:val="single" w:color="auto" w:sz="4" w:space="0"/>
              <w:bottom w:val="single" w:color="auto" w:sz="4" w:space="0"/>
              <w:right w:val="single" w:color="auto" w:sz="4" w:space="0"/>
            </w:tcBorders>
            <w:vAlign w:val="center"/>
          </w:tcPr>
          <w:p w14:paraId="270075A1">
            <w:pPr>
              <w:spacing w:line="360" w:lineRule="auto"/>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27F996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bCs/>
          <w:color w:val="auto"/>
          <w:szCs w:val="21"/>
          <w:highlight w:val="none"/>
        </w:rPr>
        <w:t>合同合计金额包括保险费用、利润、税费等相关文件规定及合同包含的所有风险、责任等各项应有费用。在合同实施时，甲方将不予支付乙方没有列入的项目费用，并认为此项目的费用已包括在总报价中。</w:t>
      </w:r>
    </w:p>
    <w:p w14:paraId="0FBC628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6D316A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69AC7F2D">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4C038D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1、乙方应保证所提供服务在使用时不会侵犯任何第三方的权利。</w:t>
      </w:r>
    </w:p>
    <w:p w14:paraId="62DFF0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或者资料提供给与履行本合同无关的任何其他人。即使向履行本合同有关的人员提供，也应注意保密并限于履行合同的必需范围。乙方的保密义务持续有效，不因为本合同履行终止、解除或者无效而解除。</w:t>
      </w:r>
    </w:p>
    <w:p w14:paraId="5AF252F6">
      <w:pPr>
        <w:tabs>
          <w:tab w:val="left" w:pos="420"/>
        </w:tabs>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第四条　</w:t>
      </w:r>
      <w:r>
        <w:rPr>
          <w:rFonts w:hint="eastAsia" w:ascii="宋体" w:hAnsi="宋体" w:cs="宋体"/>
          <w:b/>
          <w:bCs/>
          <w:color w:val="auto"/>
          <w:szCs w:val="21"/>
          <w:highlight w:val="none"/>
          <w:lang w:eastAsia="zh-CN"/>
        </w:rPr>
        <w:t>保险</w:t>
      </w:r>
      <w:r>
        <w:rPr>
          <w:rFonts w:hint="eastAsia" w:ascii="宋体" w:hAnsi="宋体" w:cs="宋体"/>
          <w:b/>
          <w:bCs/>
          <w:color w:val="auto"/>
          <w:szCs w:val="21"/>
          <w:highlight w:val="none"/>
        </w:rPr>
        <w:t>人和被保险人</w:t>
      </w:r>
    </w:p>
    <w:p w14:paraId="2A5DBE0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w:t>
      </w:r>
      <w:r>
        <w:rPr>
          <w:rFonts w:hint="eastAsia" w:ascii="宋体" w:hAnsi="宋体" w:cs="宋体"/>
          <w:b/>
          <w:bCs/>
          <w:color w:val="auto"/>
          <w:szCs w:val="21"/>
          <w:highlight w:val="none"/>
          <w:lang w:eastAsia="zh-CN"/>
        </w:rPr>
        <w:t>保险</w:t>
      </w:r>
      <w:r>
        <w:rPr>
          <w:rFonts w:hint="eastAsia" w:ascii="宋体" w:hAnsi="宋体" w:cs="宋体"/>
          <w:b/>
          <w:bCs/>
          <w:color w:val="auto"/>
          <w:szCs w:val="21"/>
          <w:highlight w:val="none"/>
        </w:rPr>
        <w:t>人</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乙方</w:t>
      </w:r>
    </w:p>
    <w:p w14:paraId="0B9E17C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2.被保险人：</w:t>
      </w:r>
    </w:p>
    <w:p w14:paraId="397EF12A">
      <w:pPr>
        <w:pStyle w:val="16"/>
        <w:rPr>
          <w:color w:val="auto"/>
          <w:highlight w:val="none"/>
        </w:rPr>
      </w:pPr>
      <w:r>
        <w:rPr>
          <w:rFonts w:hint="eastAsia"/>
          <w:color w:val="auto"/>
          <w:highlight w:val="none"/>
        </w:rPr>
        <w:t>（1）防城港市</w:t>
      </w:r>
      <w:r>
        <w:rPr>
          <w:color w:val="auto"/>
          <w:highlight w:val="none"/>
        </w:rPr>
        <w:t>全市公安机关在职在编公安民警、干部、事业编制工作人员</w:t>
      </w:r>
      <w:r>
        <w:rPr>
          <w:rFonts w:hint="eastAsia"/>
          <w:color w:val="auto"/>
          <w:highlight w:val="none"/>
        </w:rPr>
        <w:t>；</w:t>
      </w:r>
    </w:p>
    <w:p w14:paraId="7D5AFC93">
      <w:pPr>
        <w:pStyle w:val="16"/>
        <w:rPr>
          <w:b/>
          <w:color w:val="auto"/>
          <w:highlight w:val="none"/>
        </w:rPr>
      </w:pPr>
      <w:r>
        <w:rPr>
          <w:color w:val="auto"/>
          <w:highlight w:val="none"/>
        </w:rPr>
        <w:t>（</w:t>
      </w:r>
      <w:r>
        <w:rPr>
          <w:rFonts w:hint="eastAsia"/>
          <w:color w:val="auto"/>
          <w:highlight w:val="none"/>
        </w:rPr>
        <w:t>2</w:t>
      </w:r>
      <w:r>
        <w:rPr>
          <w:color w:val="auto"/>
          <w:highlight w:val="none"/>
        </w:rPr>
        <w:t>）公安民警、干部、事业编制工作人员的直系亲属</w:t>
      </w:r>
      <w:r>
        <w:rPr>
          <w:rFonts w:hint="eastAsia"/>
          <w:color w:val="auto"/>
          <w:highlight w:val="none"/>
        </w:rPr>
        <w:t>。</w:t>
      </w:r>
      <w:r>
        <w:rPr>
          <w:rFonts w:hint="eastAsia"/>
          <w:b/>
          <w:color w:val="auto"/>
          <w:highlight w:val="none"/>
        </w:rPr>
        <w:t>（注：</w:t>
      </w:r>
      <w:r>
        <w:rPr>
          <w:rFonts w:hint="eastAsia"/>
          <w:b/>
          <w:bCs/>
          <w:color w:val="auto"/>
          <w:highlight w:val="none"/>
        </w:rPr>
        <w:t>仅作为保险对象（一）的附赠条款，不单独产生保费</w:t>
      </w:r>
      <w:r>
        <w:rPr>
          <w:rFonts w:hint="eastAsia"/>
          <w:b/>
          <w:color w:val="auto"/>
          <w:highlight w:val="none"/>
        </w:rPr>
        <w:t>）</w:t>
      </w:r>
    </w:p>
    <w:p w14:paraId="763A224A">
      <w:pPr>
        <w:pStyle w:val="16"/>
        <w:rPr>
          <w:color w:val="auto"/>
          <w:highlight w:val="none"/>
        </w:rPr>
      </w:pPr>
      <w:r>
        <w:rPr>
          <w:color w:val="auto"/>
          <w:highlight w:val="none"/>
        </w:rPr>
        <w:t>（</w:t>
      </w:r>
      <w:r>
        <w:rPr>
          <w:rFonts w:hint="eastAsia"/>
          <w:color w:val="auto"/>
          <w:highlight w:val="none"/>
        </w:rPr>
        <w:t>3</w:t>
      </w:r>
      <w:r>
        <w:rPr>
          <w:color w:val="auto"/>
          <w:highlight w:val="none"/>
        </w:rPr>
        <w:t>）辅警人员。</w:t>
      </w:r>
    </w:p>
    <w:p w14:paraId="1B3C9002">
      <w:pPr>
        <w:pStyle w:val="16"/>
        <w:spacing w:line="360" w:lineRule="auto"/>
        <w:rPr>
          <w:rFonts w:hint="eastAsia" w:ascii="宋体" w:hAnsi="宋体"/>
          <w:color w:val="auto"/>
          <w:szCs w:val="21"/>
          <w:highlight w:val="none"/>
          <w:lang w:eastAsia="zh-CN"/>
        </w:rPr>
      </w:pPr>
      <w:r>
        <w:rPr>
          <w:rFonts w:hint="eastAsia" w:ascii="宋体" w:hAnsi="宋体" w:cs="宋体"/>
          <w:b/>
          <w:color w:val="auto"/>
          <w:szCs w:val="21"/>
          <w:highlight w:val="none"/>
        </w:rPr>
        <w:t xml:space="preserve">第五条  </w:t>
      </w:r>
      <w:r>
        <w:rPr>
          <w:rFonts w:hint="eastAsia"/>
          <w:b/>
          <w:color w:val="auto"/>
          <w:highlight w:val="none"/>
        </w:rPr>
        <w:t>承保时间：</w:t>
      </w:r>
      <w:r>
        <w:rPr>
          <w:rFonts w:hint="eastAsia" w:ascii="宋体" w:hAnsi="宋体" w:cs="宋体"/>
          <w:bCs/>
          <w:color w:val="auto"/>
          <w:szCs w:val="21"/>
          <w:highlight w:val="none"/>
        </w:rPr>
        <w:t>1年，自202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  月   日</w:t>
      </w:r>
      <w:r>
        <w:rPr>
          <w:rFonts w:hint="eastAsia" w:ascii="宋体" w:hAnsi="宋体"/>
          <w:color w:val="auto"/>
          <w:szCs w:val="21"/>
          <w:highlight w:val="none"/>
        </w:rPr>
        <w:t>保单生效时起至保单</w:t>
      </w:r>
      <w:r>
        <w:rPr>
          <w:rFonts w:hint="eastAsia" w:ascii="宋体" w:hAnsi="宋体"/>
          <w:color w:val="auto"/>
          <w:szCs w:val="21"/>
          <w:highlight w:val="none"/>
          <w:lang w:val="en-US" w:eastAsia="zh-CN"/>
        </w:rPr>
        <w:t>失</w:t>
      </w:r>
      <w:r>
        <w:rPr>
          <w:rFonts w:hint="eastAsia" w:ascii="宋体" w:hAnsi="宋体"/>
          <w:color w:val="auto"/>
          <w:szCs w:val="21"/>
          <w:highlight w:val="none"/>
        </w:rPr>
        <w:t>效时止</w:t>
      </w:r>
      <w:r>
        <w:rPr>
          <w:rFonts w:hint="eastAsia" w:ascii="宋体" w:hAnsi="宋体"/>
          <w:color w:val="auto"/>
          <w:szCs w:val="21"/>
          <w:highlight w:val="none"/>
          <w:lang w:eastAsia="zh-CN"/>
        </w:rPr>
        <w:t>，</w:t>
      </w:r>
      <w:r>
        <w:rPr>
          <w:rFonts w:hint="eastAsia" w:ascii="宋体" w:hAnsi="宋体"/>
          <w:color w:val="auto"/>
          <w:szCs w:val="21"/>
          <w:highlight w:val="none"/>
        </w:rPr>
        <w:t>保险责任开始时间为保单生效之时开始计算</w:t>
      </w:r>
      <w:r>
        <w:rPr>
          <w:rFonts w:hint="eastAsia" w:ascii="宋体" w:hAnsi="宋体"/>
          <w:color w:val="auto"/>
          <w:szCs w:val="21"/>
          <w:highlight w:val="none"/>
          <w:lang w:eastAsia="zh-CN"/>
        </w:rPr>
        <w:t>。</w:t>
      </w:r>
    </w:p>
    <w:p w14:paraId="227929C3">
      <w:pPr>
        <w:spacing w:line="360" w:lineRule="auto"/>
        <w:ind w:firstLine="420" w:firstLineChars="200"/>
        <w:rPr>
          <w:rFonts w:hint="eastAsia" w:ascii="宋体" w:hAnsi="宋体" w:cs="宋体"/>
          <w:bCs/>
          <w:color w:val="auto"/>
          <w:szCs w:val="21"/>
          <w:highlight w:val="none"/>
        </w:rPr>
      </w:pPr>
    </w:p>
    <w:p w14:paraId="7E71644C">
      <w:pPr>
        <w:pStyle w:val="16"/>
        <w:rPr>
          <w:rFonts w:hint="eastAsia"/>
          <w:color w:val="auto"/>
          <w:highlight w:val="none"/>
        </w:rPr>
      </w:pPr>
      <w:r>
        <w:rPr>
          <w:rFonts w:hint="eastAsia"/>
          <w:b/>
          <w:color w:val="auto"/>
          <w:highlight w:val="none"/>
        </w:rPr>
        <w:t>第六条</w:t>
      </w:r>
      <w:r>
        <w:rPr>
          <w:rFonts w:hint="eastAsia"/>
          <w:color w:val="auto"/>
          <w:highlight w:val="none"/>
        </w:rPr>
        <w:t xml:space="preserve">  </w:t>
      </w:r>
      <w:r>
        <w:rPr>
          <w:rFonts w:hint="eastAsia"/>
          <w:b/>
          <w:color w:val="auto"/>
          <w:highlight w:val="none"/>
        </w:rPr>
        <w:t>保险项目及保险金额</w:t>
      </w:r>
    </w:p>
    <w:p w14:paraId="5E70394B">
      <w:pPr>
        <w:spacing w:line="360" w:lineRule="auto"/>
        <w:ind w:firstLine="422" w:firstLineChars="200"/>
        <w:rPr>
          <w:rFonts w:hint="eastAsia"/>
          <w:b/>
          <w:color w:val="auto"/>
          <w:highlight w:val="none"/>
        </w:rPr>
      </w:pPr>
      <w:r>
        <w:rPr>
          <w:rFonts w:hint="eastAsia"/>
          <w:b/>
          <w:color w:val="auto"/>
          <w:highlight w:val="none"/>
        </w:rPr>
        <w:t>（一）</w:t>
      </w:r>
      <w:r>
        <w:rPr>
          <w:b/>
          <w:color w:val="auto"/>
          <w:highlight w:val="none"/>
        </w:rPr>
        <w:t>公安民警、干部、事业编制工作人员、辅警</w:t>
      </w:r>
    </w:p>
    <w:tbl>
      <w:tblPr>
        <w:tblStyle w:val="8"/>
        <w:tblW w:w="7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3"/>
        <w:gridCol w:w="1276"/>
        <w:gridCol w:w="2552"/>
      </w:tblGrid>
      <w:tr w14:paraId="13E1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63" w:type="dxa"/>
            <w:tcBorders>
              <w:top w:val="single" w:color="auto" w:sz="4" w:space="0"/>
              <w:left w:val="single" w:color="auto" w:sz="4" w:space="0"/>
              <w:bottom w:val="single" w:color="auto" w:sz="4" w:space="0"/>
              <w:right w:val="single" w:color="auto" w:sz="4" w:space="0"/>
            </w:tcBorders>
            <w:shd w:val="clear" w:color="auto" w:fill="99CCFF"/>
            <w:vAlign w:val="center"/>
          </w:tcPr>
          <w:p w14:paraId="3980A98E">
            <w:pPr>
              <w:spacing w:line="380" w:lineRule="exact"/>
              <w:jc w:val="center"/>
              <w:rPr>
                <w:color w:val="auto"/>
                <w:szCs w:val="21"/>
                <w:highlight w:val="none"/>
              </w:rPr>
            </w:pPr>
            <w:r>
              <w:rPr>
                <w:color w:val="auto"/>
                <w:szCs w:val="21"/>
                <w:highlight w:val="none"/>
              </w:rPr>
              <w:t>保障项目</w:t>
            </w:r>
          </w:p>
        </w:tc>
        <w:tc>
          <w:tcPr>
            <w:tcW w:w="1276" w:type="dxa"/>
            <w:tcBorders>
              <w:top w:val="single" w:color="auto" w:sz="4" w:space="0"/>
              <w:left w:val="single" w:color="auto" w:sz="4" w:space="0"/>
              <w:bottom w:val="single" w:color="auto" w:sz="4" w:space="0"/>
              <w:right w:val="single" w:color="auto" w:sz="4" w:space="0"/>
            </w:tcBorders>
            <w:shd w:val="clear" w:color="auto" w:fill="99CCFF"/>
            <w:vAlign w:val="center"/>
          </w:tcPr>
          <w:p w14:paraId="3DB59857">
            <w:pPr>
              <w:spacing w:line="380" w:lineRule="exact"/>
              <w:jc w:val="center"/>
              <w:rPr>
                <w:color w:val="auto"/>
                <w:szCs w:val="21"/>
                <w:highlight w:val="none"/>
              </w:rPr>
            </w:pPr>
            <w:r>
              <w:rPr>
                <w:color w:val="auto"/>
                <w:szCs w:val="21"/>
                <w:highlight w:val="none"/>
              </w:rPr>
              <w:t>保险金额</w:t>
            </w:r>
          </w:p>
        </w:tc>
        <w:tc>
          <w:tcPr>
            <w:tcW w:w="2552" w:type="dxa"/>
            <w:tcBorders>
              <w:top w:val="single" w:color="auto" w:sz="4" w:space="0"/>
              <w:left w:val="single" w:color="auto" w:sz="4" w:space="0"/>
              <w:bottom w:val="single" w:color="auto" w:sz="4" w:space="0"/>
              <w:right w:val="single" w:color="auto" w:sz="4" w:space="0"/>
            </w:tcBorders>
            <w:shd w:val="clear" w:color="auto" w:fill="99CCFF"/>
            <w:vAlign w:val="center"/>
          </w:tcPr>
          <w:p w14:paraId="733B4E29">
            <w:pPr>
              <w:spacing w:line="380" w:lineRule="exact"/>
              <w:jc w:val="center"/>
              <w:rPr>
                <w:color w:val="auto"/>
                <w:szCs w:val="21"/>
                <w:highlight w:val="none"/>
              </w:rPr>
            </w:pPr>
            <w:r>
              <w:rPr>
                <w:color w:val="auto"/>
                <w:szCs w:val="21"/>
                <w:highlight w:val="none"/>
              </w:rPr>
              <w:t>保障方式</w:t>
            </w:r>
          </w:p>
        </w:tc>
      </w:tr>
      <w:tr w14:paraId="4F71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63" w:type="dxa"/>
            <w:tcBorders>
              <w:top w:val="single" w:color="auto" w:sz="4" w:space="0"/>
              <w:left w:val="single" w:color="auto" w:sz="4" w:space="0"/>
              <w:bottom w:val="single" w:color="auto" w:sz="4" w:space="0"/>
              <w:right w:val="single" w:color="auto" w:sz="4" w:space="0"/>
            </w:tcBorders>
            <w:vAlign w:val="center"/>
          </w:tcPr>
          <w:p w14:paraId="6588DAAB">
            <w:pPr>
              <w:spacing w:line="380" w:lineRule="exact"/>
              <w:ind w:firstLine="210" w:firstLineChars="100"/>
              <w:jc w:val="center"/>
              <w:rPr>
                <w:color w:val="auto"/>
                <w:szCs w:val="21"/>
                <w:highlight w:val="none"/>
              </w:rPr>
            </w:pPr>
            <w:r>
              <w:rPr>
                <w:color w:val="auto"/>
                <w:highlight w:val="none"/>
              </w:rPr>
              <w:t>烈士、因公牺牲、因工死亡保险金</w:t>
            </w:r>
          </w:p>
        </w:tc>
        <w:tc>
          <w:tcPr>
            <w:tcW w:w="1276" w:type="dxa"/>
            <w:tcBorders>
              <w:top w:val="single" w:color="auto" w:sz="4" w:space="0"/>
              <w:left w:val="single" w:color="auto" w:sz="4" w:space="0"/>
              <w:bottom w:val="single" w:color="auto" w:sz="4" w:space="0"/>
              <w:right w:val="single" w:color="auto" w:sz="4" w:space="0"/>
            </w:tcBorders>
            <w:vAlign w:val="center"/>
          </w:tcPr>
          <w:p w14:paraId="697FBD05">
            <w:pPr>
              <w:spacing w:line="380" w:lineRule="exact"/>
              <w:ind w:firstLine="211" w:firstLineChars="100"/>
              <w:jc w:val="center"/>
              <w:rPr>
                <w:b/>
                <w:color w:val="auto"/>
                <w:szCs w:val="21"/>
                <w:highlight w:val="none"/>
              </w:rPr>
            </w:pPr>
            <w:r>
              <w:rPr>
                <w:b/>
                <w:color w:val="auto"/>
                <w:szCs w:val="21"/>
                <w:highlight w:val="none"/>
              </w:rPr>
              <w:t>20万元</w:t>
            </w:r>
          </w:p>
        </w:tc>
        <w:tc>
          <w:tcPr>
            <w:tcW w:w="2552" w:type="dxa"/>
            <w:tcBorders>
              <w:top w:val="single" w:color="auto" w:sz="4" w:space="0"/>
              <w:left w:val="single" w:color="auto" w:sz="4" w:space="0"/>
              <w:bottom w:val="single" w:color="auto" w:sz="4" w:space="0"/>
              <w:right w:val="single" w:color="auto" w:sz="4" w:space="0"/>
            </w:tcBorders>
            <w:vAlign w:val="center"/>
          </w:tcPr>
          <w:p w14:paraId="478E8EB7">
            <w:pPr>
              <w:spacing w:line="380" w:lineRule="exact"/>
              <w:jc w:val="center"/>
              <w:rPr>
                <w:color w:val="auto"/>
                <w:szCs w:val="21"/>
                <w:highlight w:val="none"/>
              </w:rPr>
            </w:pPr>
            <w:r>
              <w:rPr>
                <w:color w:val="auto"/>
                <w:szCs w:val="21"/>
                <w:highlight w:val="none"/>
              </w:rPr>
              <w:t>全额给付</w:t>
            </w:r>
          </w:p>
        </w:tc>
      </w:tr>
      <w:tr w14:paraId="2FE3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63" w:type="dxa"/>
            <w:tcBorders>
              <w:top w:val="single" w:color="auto" w:sz="4" w:space="0"/>
              <w:left w:val="single" w:color="auto" w:sz="4" w:space="0"/>
              <w:bottom w:val="single" w:color="auto" w:sz="4" w:space="0"/>
              <w:right w:val="single" w:color="auto" w:sz="4" w:space="0"/>
            </w:tcBorders>
            <w:vAlign w:val="center"/>
          </w:tcPr>
          <w:p w14:paraId="4FD45A14">
            <w:pPr>
              <w:spacing w:line="380" w:lineRule="exact"/>
              <w:ind w:firstLine="210" w:firstLineChars="100"/>
              <w:jc w:val="center"/>
              <w:rPr>
                <w:color w:val="auto"/>
                <w:szCs w:val="21"/>
                <w:highlight w:val="none"/>
              </w:rPr>
            </w:pPr>
            <w:r>
              <w:rPr>
                <w:color w:val="auto"/>
                <w:szCs w:val="21"/>
                <w:highlight w:val="none"/>
              </w:rPr>
              <w:t>意外或疾病身故保险金</w:t>
            </w:r>
          </w:p>
        </w:tc>
        <w:tc>
          <w:tcPr>
            <w:tcW w:w="1276" w:type="dxa"/>
            <w:tcBorders>
              <w:top w:val="single" w:color="auto" w:sz="4" w:space="0"/>
              <w:left w:val="single" w:color="auto" w:sz="4" w:space="0"/>
              <w:bottom w:val="single" w:color="auto" w:sz="4" w:space="0"/>
              <w:right w:val="single" w:color="auto" w:sz="4" w:space="0"/>
            </w:tcBorders>
            <w:vAlign w:val="center"/>
          </w:tcPr>
          <w:p w14:paraId="019A86C9">
            <w:pPr>
              <w:spacing w:line="380" w:lineRule="exact"/>
              <w:ind w:firstLine="211" w:firstLineChars="100"/>
              <w:jc w:val="center"/>
              <w:rPr>
                <w:b/>
                <w:color w:val="auto"/>
                <w:szCs w:val="21"/>
                <w:highlight w:val="none"/>
              </w:rPr>
            </w:pPr>
            <w:r>
              <w:rPr>
                <w:b/>
                <w:color w:val="auto"/>
                <w:szCs w:val="21"/>
                <w:highlight w:val="none"/>
              </w:rPr>
              <w:t>10万元</w:t>
            </w:r>
          </w:p>
        </w:tc>
        <w:tc>
          <w:tcPr>
            <w:tcW w:w="2552" w:type="dxa"/>
            <w:tcBorders>
              <w:top w:val="single" w:color="auto" w:sz="4" w:space="0"/>
              <w:left w:val="single" w:color="auto" w:sz="4" w:space="0"/>
              <w:bottom w:val="single" w:color="auto" w:sz="4" w:space="0"/>
              <w:right w:val="single" w:color="auto" w:sz="4" w:space="0"/>
            </w:tcBorders>
            <w:vAlign w:val="center"/>
          </w:tcPr>
          <w:p w14:paraId="529CC12D">
            <w:pPr>
              <w:spacing w:line="380" w:lineRule="exact"/>
              <w:jc w:val="center"/>
              <w:rPr>
                <w:color w:val="auto"/>
                <w:szCs w:val="21"/>
                <w:highlight w:val="none"/>
              </w:rPr>
            </w:pPr>
            <w:r>
              <w:rPr>
                <w:color w:val="auto"/>
                <w:szCs w:val="21"/>
                <w:highlight w:val="none"/>
              </w:rPr>
              <w:t>全额给付</w:t>
            </w:r>
          </w:p>
        </w:tc>
      </w:tr>
      <w:tr w14:paraId="2F3E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63" w:type="dxa"/>
            <w:tcBorders>
              <w:top w:val="single" w:color="auto" w:sz="4" w:space="0"/>
              <w:left w:val="single" w:color="auto" w:sz="4" w:space="0"/>
              <w:bottom w:val="single" w:color="auto" w:sz="4" w:space="0"/>
              <w:right w:val="single" w:color="auto" w:sz="4" w:space="0"/>
            </w:tcBorders>
            <w:vAlign w:val="center"/>
          </w:tcPr>
          <w:p w14:paraId="6C1F82CF">
            <w:pPr>
              <w:spacing w:line="380" w:lineRule="exact"/>
              <w:ind w:firstLine="315" w:firstLineChars="150"/>
              <w:jc w:val="center"/>
              <w:rPr>
                <w:color w:val="auto"/>
                <w:szCs w:val="21"/>
                <w:highlight w:val="none"/>
              </w:rPr>
            </w:pPr>
            <w:r>
              <w:rPr>
                <w:color w:val="auto"/>
                <w:szCs w:val="21"/>
                <w:highlight w:val="none"/>
              </w:rPr>
              <w:t>意外伤害残疾保险金</w:t>
            </w:r>
          </w:p>
        </w:tc>
        <w:tc>
          <w:tcPr>
            <w:tcW w:w="1276" w:type="dxa"/>
            <w:tcBorders>
              <w:top w:val="single" w:color="auto" w:sz="4" w:space="0"/>
              <w:left w:val="single" w:color="auto" w:sz="4" w:space="0"/>
              <w:bottom w:val="single" w:color="auto" w:sz="4" w:space="0"/>
              <w:right w:val="single" w:color="auto" w:sz="4" w:space="0"/>
            </w:tcBorders>
            <w:vAlign w:val="center"/>
          </w:tcPr>
          <w:p w14:paraId="2B8E550B">
            <w:pPr>
              <w:spacing w:line="380" w:lineRule="exact"/>
              <w:ind w:firstLine="211" w:firstLineChars="100"/>
              <w:jc w:val="center"/>
              <w:rPr>
                <w:b/>
                <w:color w:val="auto"/>
                <w:szCs w:val="21"/>
                <w:highlight w:val="none"/>
              </w:rPr>
            </w:pPr>
            <w:r>
              <w:rPr>
                <w:b/>
                <w:color w:val="auto"/>
                <w:szCs w:val="21"/>
                <w:highlight w:val="none"/>
              </w:rPr>
              <w:t>10万元</w:t>
            </w:r>
          </w:p>
        </w:tc>
        <w:tc>
          <w:tcPr>
            <w:tcW w:w="2552" w:type="dxa"/>
            <w:tcBorders>
              <w:top w:val="single" w:color="auto" w:sz="4" w:space="0"/>
              <w:left w:val="single" w:color="auto" w:sz="4" w:space="0"/>
              <w:bottom w:val="single" w:color="auto" w:sz="4" w:space="0"/>
              <w:right w:val="single" w:color="auto" w:sz="4" w:space="0"/>
            </w:tcBorders>
            <w:vAlign w:val="center"/>
          </w:tcPr>
          <w:p w14:paraId="4DB65C4E">
            <w:pPr>
              <w:spacing w:line="380" w:lineRule="exact"/>
              <w:jc w:val="center"/>
              <w:rPr>
                <w:color w:val="auto"/>
                <w:szCs w:val="21"/>
                <w:highlight w:val="none"/>
              </w:rPr>
            </w:pPr>
            <w:r>
              <w:rPr>
                <w:color w:val="auto"/>
                <w:szCs w:val="21"/>
                <w:highlight w:val="none"/>
              </w:rPr>
              <w:t>按照残疾等级比例给付</w:t>
            </w:r>
          </w:p>
        </w:tc>
      </w:tr>
      <w:tr w14:paraId="7189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63" w:type="dxa"/>
            <w:tcBorders>
              <w:top w:val="single" w:color="auto" w:sz="4" w:space="0"/>
              <w:left w:val="single" w:color="auto" w:sz="4" w:space="0"/>
              <w:bottom w:val="single" w:color="auto" w:sz="4" w:space="0"/>
              <w:right w:val="single" w:color="auto" w:sz="4" w:space="0"/>
            </w:tcBorders>
            <w:vAlign w:val="center"/>
          </w:tcPr>
          <w:p w14:paraId="556A1FD6">
            <w:pPr>
              <w:spacing w:line="380" w:lineRule="exact"/>
              <w:ind w:firstLine="315" w:firstLineChars="150"/>
              <w:jc w:val="center"/>
              <w:rPr>
                <w:color w:val="auto"/>
                <w:szCs w:val="21"/>
                <w:highlight w:val="none"/>
              </w:rPr>
            </w:pPr>
            <w:r>
              <w:rPr>
                <w:color w:val="auto"/>
                <w:szCs w:val="21"/>
                <w:highlight w:val="none"/>
              </w:rPr>
              <w:t>重大疾病保险金</w:t>
            </w:r>
          </w:p>
        </w:tc>
        <w:tc>
          <w:tcPr>
            <w:tcW w:w="1276" w:type="dxa"/>
            <w:tcBorders>
              <w:top w:val="single" w:color="auto" w:sz="4" w:space="0"/>
              <w:left w:val="single" w:color="auto" w:sz="4" w:space="0"/>
              <w:bottom w:val="single" w:color="auto" w:sz="4" w:space="0"/>
              <w:right w:val="single" w:color="auto" w:sz="4" w:space="0"/>
            </w:tcBorders>
            <w:vAlign w:val="center"/>
          </w:tcPr>
          <w:p w14:paraId="19BC0060">
            <w:pPr>
              <w:spacing w:line="380" w:lineRule="exact"/>
              <w:ind w:firstLine="211" w:firstLineChars="100"/>
              <w:jc w:val="center"/>
              <w:rPr>
                <w:b/>
                <w:color w:val="auto"/>
                <w:szCs w:val="21"/>
                <w:highlight w:val="none"/>
              </w:rPr>
            </w:pPr>
            <w:r>
              <w:rPr>
                <w:b/>
                <w:color w:val="auto"/>
                <w:szCs w:val="21"/>
                <w:highlight w:val="none"/>
              </w:rPr>
              <w:t>10万元</w:t>
            </w:r>
          </w:p>
        </w:tc>
        <w:tc>
          <w:tcPr>
            <w:tcW w:w="2552" w:type="dxa"/>
            <w:tcBorders>
              <w:top w:val="single" w:color="auto" w:sz="4" w:space="0"/>
              <w:left w:val="single" w:color="auto" w:sz="4" w:space="0"/>
              <w:bottom w:val="single" w:color="auto" w:sz="4" w:space="0"/>
              <w:right w:val="single" w:color="auto" w:sz="4" w:space="0"/>
            </w:tcBorders>
            <w:vAlign w:val="center"/>
          </w:tcPr>
          <w:p w14:paraId="0082C7FA">
            <w:pPr>
              <w:spacing w:line="380" w:lineRule="exact"/>
              <w:jc w:val="center"/>
              <w:rPr>
                <w:color w:val="auto"/>
                <w:szCs w:val="21"/>
                <w:highlight w:val="none"/>
              </w:rPr>
            </w:pPr>
            <w:r>
              <w:rPr>
                <w:color w:val="auto"/>
                <w:szCs w:val="21"/>
                <w:highlight w:val="none"/>
              </w:rPr>
              <w:t>承保3</w:t>
            </w:r>
            <w:r>
              <w:rPr>
                <w:rFonts w:hint="eastAsia"/>
                <w:color w:val="auto"/>
                <w:szCs w:val="21"/>
                <w:highlight w:val="none"/>
              </w:rPr>
              <w:t>5</w:t>
            </w:r>
            <w:r>
              <w:rPr>
                <w:color w:val="auto"/>
                <w:szCs w:val="21"/>
                <w:highlight w:val="none"/>
              </w:rPr>
              <w:t>种重大疾病</w:t>
            </w:r>
          </w:p>
        </w:tc>
      </w:tr>
      <w:tr w14:paraId="26CF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63" w:type="dxa"/>
            <w:tcBorders>
              <w:top w:val="single" w:color="auto" w:sz="4" w:space="0"/>
              <w:left w:val="single" w:color="auto" w:sz="4" w:space="0"/>
              <w:bottom w:val="single" w:color="auto" w:sz="4" w:space="0"/>
              <w:right w:val="single" w:color="auto" w:sz="4" w:space="0"/>
            </w:tcBorders>
            <w:vAlign w:val="center"/>
          </w:tcPr>
          <w:p w14:paraId="6464B009">
            <w:pPr>
              <w:spacing w:line="380" w:lineRule="exact"/>
              <w:jc w:val="center"/>
              <w:rPr>
                <w:color w:val="auto"/>
                <w:szCs w:val="21"/>
                <w:highlight w:val="none"/>
              </w:rPr>
            </w:pPr>
            <w:r>
              <w:rPr>
                <w:color w:val="auto"/>
                <w:szCs w:val="21"/>
                <w:highlight w:val="none"/>
              </w:rPr>
              <w:t>意外或疾病住院津贴</w:t>
            </w:r>
          </w:p>
        </w:tc>
        <w:tc>
          <w:tcPr>
            <w:tcW w:w="1276" w:type="dxa"/>
            <w:tcBorders>
              <w:top w:val="single" w:color="auto" w:sz="4" w:space="0"/>
              <w:left w:val="single" w:color="auto" w:sz="4" w:space="0"/>
              <w:bottom w:val="single" w:color="auto" w:sz="4" w:space="0"/>
              <w:right w:val="single" w:color="auto" w:sz="4" w:space="0"/>
            </w:tcBorders>
            <w:vAlign w:val="center"/>
          </w:tcPr>
          <w:p w14:paraId="53E12201">
            <w:pPr>
              <w:spacing w:line="380" w:lineRule="exact"/>
              <w:ind w:firstLine="211" w:firstLineChars="100"/>
              <w:jc w:val="center"/>
              <w:rPr>
                <w:b/>
                <w:color w:val="auto"/>
                <w:szCs w:val="21"/>
                <w:highlight w:val="none"/>
              </w:rPr>
            </w:pPr>
            <w:r>
              <w:rPr>
                <w:b/>
                <w:color w:val="auto"/>
                <w:szCs w:val="21"/>
                <w:highlight w:val="none"/>
              </w:rPr>
              <w:t>100元/天</w:t>
            </w:r>
          </w:p>
        </w:tc>
        <w:tc>
          <w:tcPr>
            <w:tcW w:w="2552" w:type="dxa"/>
            <w:tcBorders>
              <w:top w:val="single" w:color="auto" w:sz="4" w:space="0"/>
              <w:left w:val="single" w:color="auto" w:sz="4" w:space="0"/>
              <w:bottom w:val="single" w:color="auto" w:sz="4" w:space="0"/>
              <w:right w:val="single" w:color="auto" w:sz="4" w:space="0"/>
            </w:tcBorders>
            <w:vAlign w:val="center"/>
          </w:tcPr>
          <w:p w14:paraId="5CC95E72">
            <w:pPr>
              <w:spacing w:line="380" w:lineRule="exact"/>
              <w:jc w:val="center"/>
              <w:rPr>
                <w:color w:val="auto"/>
                <w:szCs w:val="21"/>
                <w:highlight w:val="none"/>
              </w:rPr>
            </w:pPr>
            <w:r>
              <w:rPr>
                <w:color w:val="auto"/>
                <w:szCs w:val="21"/>
                <w:highlight w:val="none"/>
              </w:rPr>
              <w:t>每次最高90天，累计180天。</w:t>
            </w:r>
          </w:p>
        </w:tc>
      </w:tr>
      <w:tr w14:paraId="0853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63" w:type="dxa"/>
            <w:tcBorders>
              <w:top w:val="single" w:color="auto" w:sz="4" w:space="0"/>
              <w:left w:val="single" w:color="auto" w:sz="4" w:space="0"/>
              <w:bottom w:val="single" w:color="auto" w:sz="4" w:space="0"/>
              <w:right w:val="single" w:color="auto" w:sz="4" w:space="0"/>
            </w:tcBorders>
            <w:vAlign w:val="center"/>
          </w:tcPr>
          <w:p w14:paraId="748486A5">
            <w:pPr>
              <w:spacing w:line="380" w:lineRule="exact"/>
              <w:jc w:val="center"/>
              <w:rPr>
                <w:color w:val="auto"/>
                <w:szCs w:val="21"/>
                <w:highlight w:val="none"/>
              </w:rPr>
            </w:pPr>
            <w:r>
              <w:rPr>
                <w:color w:val="auto"/>
                <w:szCs w:val="21"/>
                <w:highlight w:val="none"/>
              </w:rPr>
              <w:t>住院医疗费用补偿保险金</w:t>
            </w:r>
          </w:p>
        </w:tc>
        <w:tc>
          <w:tcPr>
            <w:tcW w:w="1276" w:type="dxa"/>
            <w:tcBorders>
              <w:top w:val="single" w:color="auto" w:sz="4" w:space="0"/>
              <w:left w:val="single" w:color="auto" w:sz="4" w:space="0"/>
              <w:bottom w:val="single" w:color="auto" w:sz="4" w:space="0"/>
              <w:right w:val="single" w:color="auto" w:sz="4" w:space="0"/>
            </w:tcBorders>
            <w:vAlign w:val="center"/>
          </w:tcPr>
          <w:p w14:paraId="5EA2EC90">
            <w:pPr>
              <w:spacing w:line="380" w:lineRule="exact"/>
              <w:ind w:firstLine="211" w:firstLineChars="100"/>
              <w:jc w:val="center"/>
              <w:rPr>
                <w:b/>
                <w:color w:val="auto"/>
                <w:szCs w:val="21"/>
                <w:highlight w:val="none"/>
              </w:rPr>
            </w:pPr>
            <w:r>
              <w:rPr>
                <w:b/>
                <w:color w:val="auto"/>
                <w:szCs w:val="21"/>
                <w:highlight w:val="none"/>
              </w:rPr>
              <w:t>3万元</w:t>
            </w:r>
          </w:p>
        </w:tc>
        <w:tc>
          <w:tcPr>
            <w:tcW w:w="2552" w:type="dxa"/>
            <w:tcBorders>
              <w:top w:val="single" w:color="auto" w:sz="4" w:space="0"/>
              <w:left w:val="single" w:color="auto" w:sz="4" w:space="0"/>
              <w:bottom w:val="single" w:color="auto" w:sz="4" w:space="0"/>
              <w:right w:val="single" w:color="auto" w:sz="4" w:space="0"/>
            </w:tcBorders>
            <w:vAlign w:val="center"/>
          </w:tcPr>
          <w:p w14:paraId="2AE9A9D0">
            <w:pPr>
              <w:spacing w:line="380" w:lineRule="exact"/>
              <w:jc w:val="center"/>
              <w:rPr>
                <w:color w:val="auto"/>
                <w:szCs w:val="21"/>
                <w:highlight w:val="none"/>
              </w:rPr>
            </w:pPr>
            <w:r>
              <w:rPr>
                <w:color w:val="auto"/>
                <w:szCs w:val="21"/>
                <w:highlight w:val="none"/>
              </w:rPr>
              <w:t>意外或疾病住院费用补偿</w:t>
            </w:r>
          </w:p>
        </w:tc>
      </w:tr>
    </w:tbl>
    <w:p w14:paraId="0D94192A">
      <w:pPr>
        <w:spacing w:line="360" w:lineRule="auto"/>
        <w:ind w:firstLine="422" w:firstLineChars="200"/>
        <w:rPr>
          <w:rFonts w:hint="eastAsia"/>
          <w:b/>
          <w:color w:val="auto"/>
          <w:highlight w:val="none"/>
        </w:rPr>
      </w:pPr>
      <w:r>
        <w:rPr>
          <w:rFonts w:hint="eastAsia"/>
          <w:b/>
          <w:color w:val="auto"/>
          <w:highlight w:val="none"/>
        </w:rPr>
        <w:t>（二）</w:t>
      </w:r>
      <w:r>
        <w:rPr>
          <w:b/>
          <w:color w:val="auto"/>
          <w:highlight w:val="none"/>
        </w:rPr>
        <w:t>公安民警、干部、事业编制工作人员直系亲属</w:t>
      </w:r>
    </w:p>
    <w:tbl>
      <w:tblPr>
        <w:tblStyle w:val="8"/>
        <w:tblW w:w="7333" w:type="dxa"/>
        <w:jc w:val="center"/>
        <w:tblLayout w:type="fixed"/>
        <w:tblCellMar>
          <w:top w:w="0" w:type="dxa"/>
          <w:left w:w="108" w:type="dxa"/>
          <w:bottom w:w="0" w:type="dxa"/>
          <w:right w:w="108" w:type="dxa"/>
        </w:tblCellMar>
      </w:tblPr>
      <w:tblGrid>
        <w:gridCol w:w="3506"/>
        <w:gridCol w:w="1275"/>
        <w:gridCol w:w="2552"/>
      </w:tblGrid>
      <w:tr w14:paraId="325039CE">
        <w:tblPrEx>
          <w:tblCellMar>
            <w:top w:w="0" w:type="dxa"/>
            <w:left w:w="108" w:type="dxa"/>
            <w:bottom w:w="0" w:type="dxa"/>
            <w:right w:w="108" w:type="dxa"/>
          </w:tblCellMar>
        </w:tblPrEx>
        <w:trPr>
          <w:trHeight w:val="624" w:hRule="atLeast"/>
          <w:jc w:val="center"/>
        </w:trPr>
        <w:tc>
          <w:tcPr>
            <w:tcW w:w="3506" w:type="dxa"/>
            <w:tcBorders>
              <w:top w:val="single" w:color="auto" w:sz="8" w:space="0"/>
              <w:left w:val="single" w:color="auto" w:sz="8" w:space="0"/>
              <w:bottom w:val="single" w:color="auto" w:sz="8" w:space="0"/>
              <w:right w:val="single" w:color="auto" w:sz="8" w:space="0"/>
            </w:tcBorders>
            <w:shd w:val="clear" w:color="000000" w:fill="99CCFF"/>
            <w:vAlign w:val="center"/>
          </w:tcPr>
          <w:p w14:paraId="09DEFB10">
            <w:pPr>
              <w:widowControl/>
              <w:spacing w:line="380" w:lineRule="exact"/>
              <w:jc w:val="center"/>
              <w:rPr>
                <w:color w:val="auto"/>
                <w:kern w:val="0"/>
                <w:szCs w:val="21"/>
                <w:highlight w:val="none"/>
              </w:rPr>
            </w:pPr>
            <w:r>
              <w:rPr>
                <w:color w:val="auto"/>
                <w:kern w:val="0"/>
                <w:szCs w:val="21"/>
                <w:highlight w:val="none"/>
              </w:rPr>
              <w:t>保障项目</w:t>
            </w:r>
          </w:p>
        </w:tc>
        <w:tc>
          <w:tcPr>
            <w:tcW w:w="1275" w:type="dxa"/>
            <w:tcBorders>
              <w:top w:val="single" w:color="auto" w:sz="8" w:space="0"/>
              <w:left w:val="nil"/>
              <w:bottom w:val="single" w:color="auto" w:sz="8" w:space="0"/>
              <w:right w:val="single" w:color="auto" w:sz="8" w:space="0"/>
            </w:tcBorders>
            <w:shd w:val="clear" w:color="000000" w:fill="99CCFF"/>
            <w:vAlign w:val="center"/>
          </w:tcPr>
          <w:p w14:paraId="33AC6590">
            <w:pPr>
              <w:widowControl/>
              <w:spacing w:line="380" w:lineRule="exact"/>
              <w:jc w:val="center"/>
              <w:rPr>
                <w:color w:val="auto"/>
                <w:kern w:val="0"/>
                <w:szCs w:val="21"/>
                <w:highlight w:val="none"/>
              </w:rPr>
            </w:pPr>
            <w:r>
              <w:rPr>
                <w:color w:val="auto"/>
                <w:kern w:val="0"/>
                <w:szCs w:val="21"/>
                <w:highlight w:val="none"/>
              </w:rPr>
              <w:t>保险金额</w:t>
            </w:r>
          </w:p>
        </w:tc>
        <w:tc>
          <w:tcPr>
            <w:tcW w:w="2552" w:type="dxa"/>
            <w:tcBorders>
              <w:top w:val="single" w:color="auto" w:sz="8" w:space="0"/>
              <w:left w:val="nil"/>
              <w:bottom w:val="single" w:color="auto" w:sz="8" w:space="0"/>
              <w:right w:val="single" w:color="auto" w:sz="8" w:space="0"/>
            </w:tcBorders>
            <w:shd w:val="clear" w:color="000000" w:fill="99CCFF"/>
            <w:vAlign w:val="center"/>
          </w:tcPr>
          <w:p w14:paraId="524C67CF">
            <w:pPr>
              <w:widowControl/>
              <w:spacing w:line="380" w:lineRule="exact"/>
              <w:jc w:val="center"/>
              <w:rPr>
                <w:color w:val="auto"/>
                <w:kern w:val="0"/>
                <w:szCs w:val="21"/>
                <w:highlight w:val="none"/>
              </w:rPr>
            </w:pPr>
            <w:r>
              <w:rPr>
                <w:color w:val="auto"/>
                <w:kern w:val="0"/>
                <w:szCs w:val="21"/>
                <w:highlight w:val="none"/>
              </w:rPr>
              <w:t>保障方式</w:t>
            </w:r>
          </w:p>
        </w:tc>
      </w:tr>
      <w:tr w14:paraId="57762629">
        <w:tblPrEx>
          <w:tblCellMar>
            <w:top w:w="0" w:type="dxa"/>
            <w:left w:w="108" w:type="dxa"/>
            <w:bottom w:w="0" w:type="dxa"/>
            <w:right w:w="108" w:type="dxa"/>
          </w:tblCellMar>
        </w:tblPrEx>
        <w:trPr>
          <w:trHeight w:val="624" w:hRule="atLeast"/>
          <w:jc w:val="center"/>
        </w:trPr>
        <w:tc>
          <w:tcPr>
            <w:tcW w:w="3506" w:type="dxa"/>
            <w:tcBorders>
              <w:top w:val="nil"/>
              <w:left w:val="single" w:color="auto" w:sz="8" w:space="0"/>
              <w:bottom w:val="single" w:color="auto" w:sz="8" w:space="0"/>
              <w:right w:val="single" w:color="auto" w:sz="8" w:space="0"/>
            </w:tcBorders>
            <w:vAlign w:val="center"/>
          </w:tcPr>
          <w:p w14:paraId="23F23DAB">
            <w:pPr>
              <w:widowControl/>
              <w:spacing w:line="380" w:lineRule="exact"/>
              <w:rPr>
                <w:color w:val="auto"/>
                <w:kern w:val="0"/>
                <w:szCs w:val="21"/>
                <w:highlight w:val="none"/>
              </w:rPr>
            </w:pPr>
            <w:r>
              <w:rPr>
                <w:color w:val="auto"/>
                <w:kern w:val="0"/>
                <w:szCs w:val="21"/>
                <w:highlight w:val="none"/>
              </w:rPr>
              <w:t>普通意外身故或意外残疾保险金</w:t>
            </w:r>
          </w:p>
        </w:tc>
        <w:tc>
          <w:tcPr>
            <w:tcW w:w="1275" w:type="dxa"/>
            <w:tcBorders>
              <w:top w:val="nil"/>
              <w:left w:val="nil"/>
              <w:bottom w:val="single" w:color="auto" w:sz="8" w:space="0"/>
              <w:right w:val="single" w:color="auto" w:sz="8" w:space="0"/>
            </w:tcBorders>
            <w:vAlign w:val="center"/>
          </w:tcPr>
          <w:p w14:paraId="1B932A6A">
            <w:pPr>
              <w:widowControl/>
              <w:spacing w:line="380" w:lineRule="exact"/>
              <w:jc w:val="center"/>
              <w:rPr>
                <w:b/>
                <w:bCs/>
                <w:color w:val="auto"/>
                <w:spacing w:val="-20"/>
                <w:kern w:val="0"/>
                <w:szCs w:val="21"/>
                <w:highlight w:val="none"/>
              </w:rPr>
            </w:pPr>
            <w:r>
              <w:rPr>
                <w:b/>
                <w:bCs/>
                <w:color w:val="auto"/>
                <w:spacing w:val="-20"/>
                <w:kern w:val="0"/>
                <w:szCs w:val="21"/>
                <w:highlight w:val="none"/>
              </w:rPr>
              <w:t>10万元</w:t>
            </w:r>
          </w:p>
        </w:tc>
        <w:tc>
          <w:tcPr>
            <w:tcW w:w="2552" w:type="dxa"/>
            <w:tcBorders>
              <w:top w:val="nil"/>
              <w:left w:val="nil"/>
              <w:bottom w:val="single" w:color="auto" w:sz="8" w:space="0"/>
              <w:right w:val="single" w:color="auto" w:sz="8" w:space="0"/>
            </w:tcBorders>
            <w:vAlign w:val="center"/>
          </w:tcPr>
          <w:p w14:paraId="07BEC9F0">
            <w:pPr>
              <w:widowControl/>
              <w:spacing w:line="380" w:lineRule="exact"/>
              <w:jc w:val="center"/>
              <w:rPr>
                <w:color w:val="auto"/>
                <w:kern w:val="0"/>
                <w:szCs w:val="21"/>
                <w:highlight w:val="none"/>
              </w:rPr>
            </w:pPr>
            <w:r>
              <w:rPr>
                <w:color w:val="auto"/>
                <w:kern w:val="0"/>
                <w:szCs w:val="21"/>
                <w:highlight w:val="none"/>
              </w:rPr>
              <w:t>全额或按残疾比例给付</w:t>
            </w:r>
          </w:p>
        </w:tc>
      </w:tr>
      <w:tr w14:paraId="487F0353">
        <w:tblPrEx>
          <w:tblCellMar>
            <w:top w:w="0" w:type="dxa"/>
            <w:left w:w="108" w:type="dxa"/>
            <w:bottom w:w="0" w:type="dxa"/>
            <w:right w:w="108" w:type="dxa"/>
          </w:tblCellMar>
        </w:tblPrEx>
        <w:trPr>
          <w:trHeight w:val="624" w:hRule="atLeast"/>
          <w:jc w:val="center"/>
        </w:trPr>
        <w:tc>
          <w:tcPr>
            <w:tcW w:w="3506" w:type="dxa"/>
            <w:tcBorders>
              <w:top w:val="nil"/>
              <w:left w:val="single" w:color="auto" w:sz="8" w:space="0"/>
              <w:bottom w:val="single" w:color="auto" w:sz="8" w:space="0"/>
              <w:right w:val="single" w:color="auto" w:sz="8" w:space="0"/>
            </w:tcBorders>
            <w:vAlign w:val="center"/>
          </w:tcPr>
          <w:p w14:paraId="30D74352">
            <w:pPr>
              <w:widowControl/>
              <w:spacing w:line="380" w:lineRule="exact"/>
              <w:rPr>
                <w:color w:val="auto"/>
                <w:kern w:val="0"/>
                <w:szCs w:val="21"/>
                <w:highlight w:val="none"/>
              </w:rPr>
            </w:pPr>
            <w:r>
              <w:rPr>
                <w:color w:val="auto"/>
                <w:kern w:val="0"/>
                <w:szCs w:val="21"/>
                <w:highlight w:val="none"/>
              </w:rPr>
              <w:t>因犯罪分子报复导致的身故或残疾</w:t>
            </w:r>
          </w:p>
        </w:tc>
        <w:tc>
          <w:tcPr>
            <w:tcW w:w="1275" w:type="dxa"/>
            <w:tcBorders>
              <w:top w:val="nil"/>
              <w:left w:val="nil"/>
              <w:bottom w:val="single" w:color="auto" w:sz="8" w:space="0"/>
              <w:right w:val="single" w:color="auto" w:sz="8" w:space="0"/>
            </w:tcBorders>
            <w:vAlign w:val="center"/>
          </w:tcPr>
          <w:p w14:paraId="0EA3BE78">
            <w:pPr>
              <w:widowControl/>
              <w:spacing w:line="380" w:lineRule="exact"/>
              <w:jc w:val="center"/>
              <w:rPr>
                <w:b/>
                <w:bCs/>
                <w:color w:val="auto"/>
                <w:spacing w:val="-20"/>
                <w:kern w:val="0"/>
                <w:szCs w:val="21"/>
                <w:highlight w:val="none"/>
              </w:rPr>
            </w:pPr>
            <w:r>
              <w:rPr>
                <w:b/>
                <w:bCs/>
                <w:color w:val="auto"/>
                <w:spacing w:val="-20"/>
                <w:kern w:val="0"/>
                <w:szCs w:val="21"/>
                <w:highlight w:val="none"/>
              </w:rPr>
              <w:t>20万元</w:t>
            </w:r>
          </w:p>
        </w:tc>
        <w:tc>
          <w:tcPr>
            <w:tcW w:w="2552" w:type="dxa"/>
            <w:tcBorders>
              <w:top w:val="nil"/>
              <w:left w:val="nil"/>
              <w:bottom w:val="single" w:color="auto" w:sz="8" w:space="0"/>
              <w:right w:val="single" w:color="auto" w:sz="8" w:space="0"/>
            </w:tcBorders>
            <w:vAlign w:val="center"/>
          </w:tcPr>
          <w:p w14:paraId="0A69ED3A">
            <w:pPr>
              <w:widowControl/>
              <w:spacing w:line="380" w:lineRule="exact"/>
              <w:jc w:val="center"/>
              <w:rPr>
                <w:color w:val="auto"/>
                <w:kern w:val="0"/>
                <w:szCs w:val="21"/>
                <w:highlight w:val="none"/>
              </w:rPr>
            </w:pPr>
            <w:r>
              <w:rPr>
                <w:color w:val="auto"/>
                <w:kern w:val="0"/>
                <w:szCs w:val="21"/>
                <w:highlight w:val="none"/>
              </w:rPr>
              <w:t>全额或按残疾比例给付</w:t>
            </w:r>
          </w:p>
        </w:tc>
      </w:tr>
      <w:tr w14:paraId="4F840697">
        <w:tblPrEx>
          <w:tblCellMar>
            <w:top w:w="0" w:type="dxa"/>
            <w:left w:w="108" w:type="dxa"/>
            <w:bottom w:w="0" w:type="dxa"/>
            <w:right w:w="108" w:type="dxa"/>
          </w:tblCellMar>
        </w:tblPrEx>
        <w:trPr>
          <w:trHeight w:val="624" w:hRule="atLeast"/>
          <w:jc w:val="center"/>
        </w:trPr>
        <w:tc>
          <w:tcPr>
            <w:tcW w:w="3506" w:type="dxa"/>
            <w:tcBorders>
              <w:top w:val="nil"/>
              <w:left w:val="single" w:color="auto" w:sz="8" w:space="0"/>
              <w:bottom w:val="single" w:color="auto" w:sz="8" w:space="0"/>
              <w:right w:val="single" w:color="auto" w:sz="8" w:space="0"/>
            </w:tcBorders>
            <w:vAlign w:val="center"/>
          </w:tcPr>
          <w:p w14:paraId="60809B3E">
            <w:pPr>
              <w:widowControl/>
              <w:spacing w:line="380" w:lineRule="exact"/>
              <w:rPr>
                <w:color w:val="auto"/>
                <w:spacing w:val="-6"/>
                <w:kern w:val="0"/>
                <w:szCs w:val="21"/>
                <w:highlight w:val="none"/>
              </w:rPr>
            </w:pPr>
            <w:r>
              <w:rPr>
                <w:color w:val="auto"/>
                <w:spacing w:val="-6"/>
                <w:kern w:val="0"/>
                <w:szCs w:val="21"/>
                <w:highlight w:val="none"/>
              </w:rPr>
              <w:t>因犯罪分子报复导致的受伤产生的医疗费</w:t>
            </w:r>
          </w:p>
        </w:tc>
        <w:tc>
          <w:tcPr>
            <w:tcW w:w="1275" w:type="dxa"/>
            <w:tcBorders>
              <w:top w:val="nil"/>
              <w:left w:val="nil"/>
              <w:bottom w:val="single" w:color="auto" w:sz="8" w:space="0"/>
              <w:right w:val="single" w:color="auto" w:sz="8" w:space="0"/>
            </w:tcBorders>
            <w:vAlign w:val="center"/>
          </w:tcPr>
          <w:p w14:paraId="4DA92939">
            <w:pPr>
              <w:widowControl/>
              <w:spacing w:line="340" w:lineRule="exact"/>
              <w:jc w:val="center"/>
              <w:rPr>
                <w:b/>
                <w:bCs/>
                <w:color w:val="auto"/>
                <w:spacing w:val="-20"/>
                <w:kern w:val="0"/>
                <w:szCs w:val="21"/>
                <w:highlight w:val="none"/>
              </w:rPr>
            </w:pPr>
            <w:r>
              <w:rPr>
                <w:b/>
                <w:bCs/>
                <w:color w:val="auto"/>
                <w:spacing w:val="-20"/>
                <w:kern w:val="0"/>
                <w:szCs w:val="21"/>
                <w:highlight w:val="none"/>
              </w:rPr>
              <w:t>10万元</w:t>
            </w:r>
          </w:p>
        </w:tc>
        <w:tc>
          <w:tcPr>
            <w:tcW w:w="2552" w:type="dxa"/>
            <w:tcBorders>
              <w:top w:val="nil"/>
              <w:left w:val="nil"/>
              <w:bottom w:val="single" w:color="auto" w:sz="8" w:space="0"/>
              <w:right w:val="single" w:color="auto" w:sz="8" w:space="0"/>
            </w:tcBorders>
            <w:vAlign w:val="center"/>
          </w:tcPr>
          <w:p w14:paraId="3405F184">
            <w:pPr>
              <w:widowControl/>
              <w:spacing w:line="380" w:lineRule="exact"/>
              <w:jc w:val="center"/>
              <w:rPr>
                <w:color w:val="auto"/>
                <w:spacing w:val="-6"/>
                <w:kern w:val="0"/>
                <w:szCs w:val="21"/>
                <w:highlight w:val="none"/>
              </w:rPr>
            </w:pPr>
            <w:r>
              <w:rPr>
                <w:color w:val="auto"/>
                <w:spacing w:val="-6"/>
                <w:kern w:val="0"/>
                <w:szCs w:val="21"/>
                <w:highlight w:val="none"/>
              </w:rPr>
              <w:t>按实际产生的合理医疗费用全额给付</w:t>
            </w:r>
          </w:p>
        </w:tc>
      </w:tr>
      <w:tr w14:paraId="21326D05">
        <w:tblPrEx>
          <w:tblCellMar>
            <w:top w:w="0" w:type="dxa"/>
            <w:left w:w="108" w:type="dxa"/>
            <w:bottom w:w="0" w:type="dxa"/>
            <w:right w:w="108" w:type="dxa"/>
          </w:tblCellMar>
        </w:tblPrEx>
        <w:trPr>
          <w:trHeight w:val="624" w:hRule="atLeast"/>
          <w:jc w:val="center"/>
        </w:trPr>
        <w:tc>
          <w:tcPr>
            <w:tcW w:w="3506" w:type="dxa"/>
            <w:tcBorders>
              <w:top w:val="nil"/>
              <w:left w:val="single" w:color="auto" w:sz="8" w:space="0"/>
              <w:bottom w:val="single" w:color="auto" w:sz="8" w:space="0"/>
              <w:right w:val="single" w:color="auto" w:sz="8" w:space="0"/>
            </w:tcBorders>
            <w:vAlign w:val="center"/>
          </w:tcPr>
          <w:p w14:paraId="46222DFF">
            <w:pPr>
              <w:widowControl/>
              <w:spacing w:line="380" w:lineRule="exact"/>
              <w:rPr>
                <w:color w:val="auto"/>
                <w:kern w:val="0"/>
                <w:szCs w:val="21"/>
                <w:highlight w:val="none"/>
              </w:rPr>
            </w:pPr>
            <w:r>
              <w:rPr>
                <w:color w:val="auto"/>
                <w:kern w:val="0"/>
                <w:szCs w:val="21"/>
                <w:highlight w:val="none"/>
              </w:rPr>
              <w:t>乘坐飞机意外保险金</w:t>
            </w:r>
          </w:p>
        </w:tc>
        <w:tc>
          <w:tcPr>
            <w:tcW w:w="1275" w:type="dxa"/>
            <w:tcBorders>
              <w:top w:val="nil"/>
              <w:left w:val="nil"/>
              <w:bottom w:val="single" w:color="auto" w:sz="8" w:space="0"/>
              <w:right w:val="single" w:color="auto" w:sz="8" w:space="0"/>
            </w:tcBorders>
            <w:vAlign w:val="center"/>
          </w:tcPr>
          <w:p w14:paraId="16E13965">
            <w:pPr>
              <w:widowControl/>
              <w:spacing w:line="380" w:lineRule="exact"/>
              <w:jc w:val="center"/>
              <w:rPr>
                <w:b/>
                <w:bCs/>
                <w:color w:val="auto"/>
                <w:kern w:val="0"/>
                <w:szCs w:val="21"/>
                <w:highlight w:val="none"/>
              </w:rPr>
            </w:pPr>
            <w:r>
              <w:rPr>
                <w:b/>
                <w:bCs/>
                <w:color w:val="auto"/>
                <w:kern w:val="0"/>
                <w:szCs w:val="21"/>
                <w:highlight w:val="none"/>
              </w:rPr>
              <w:t>10万元</w:t>
            </w:r>
          </w:p>
        </w:tc>
        <w:tc>
          <w:tcPr>
            <w:tcW w:w="2552" w:type="dxa"/>
            <w:tcBorders>
              <w:top w:val="nil"/>
              <w:left w:val="nil"/>
              <w:bottom w:val="single" w:color="auto" w:sz="8" w:space="0"/>
              <w:right w:val="single" w:color="auto" w:sz="8" w:space="0"/>
            </w:tcBorders>
            <w:vAlign w:val="center"/>
          </w:tcPr>
          <w:p w14:paraId="72396FBB">
            <w:pPr>
              <w:widowControl/>
              <w:spacing w:line="380" w:lineRule="exact"/>
              <w:jc w:val="center"/>
              <w:rPr>
                <w:color w:val="auto"/>
                <w:kern w:val="0"/>
                <w:szCs w:val="21"/>
                <w:highlight w:val="none"/>
              </w:rPr>
            </w:pPr>
            <w:r>
              <w:rPr>
                <w:color w:val="auto"/>
                <w:kern w:val="0"/>
                <w:szCs w:val="21"/>
                <w:highlight w:val="none"/>
              </w:rPr>
              <w:t>全额或按残疾比例给付</w:t>
            </w:r>
          </w:p>
        </w:tc>
      </w:tr>
      <w:tr w14:paraId="275F1019">
        <w:tblPrEx>
          <w:tblCellMar>
            <w:top w:w="0" w:type="dxa"/>
            <w:left w:w="108" w:type="dxa"/>
            <w:bottom w:w="0" w:type="dxa"/>
            <w:right w:w="108" w:type="dxa"/>
          </w:tblCellMar>
        </w:tblPrEx>
        <w:trPr>
          <w:trHeight w:val="624" w:hRule="atLeast"/>
          <w:jc w:val="center"/>
        </w:trPr>
        <w:tc>
          <w:tcPr>
            <w:tcW w:w="3506" w:type="dxa"/>
            <w:tcBorders>
              <w:top w:val="nil"/>
              <w:left w:val="single" w:color="auto" w:sz="8" w:space="0"/>
              <w:bottom w:val="single" w:color="auto" w:sz="8" w:space="0"/>
              <w:right w:val="single" w:color="auto" w:sz="8" w:space="0"/>
            </w:tcBorders>
            <w:vAlign w:val="center"/>
          </w:tcPr>
          <w:p w14:paraId="20D49C74">
            <w:pPr>
              <w:widowControl/>
              <w:spacing w:line="380" w:lineRule="exact"/>
              <w:rPr>
                <w:color w:val="auto"/>
                <w:kern w:val="0"/>
                <w:szCs w:val="21"/>
                <w:highlight w:val="none"/>
              </w:rPr>
            </w:pPr>
            <w:r>
              <w:rPr>
                <w:color w:val="auto"/>
                <w:kern w:val="0"/>
                <w:szCs w:val="21"/>
                <w:highlight w:val="none"/>
              </w:rPr>
              <w:t>乘坐水上交通工具意外保险金</w:t>
            </w:r>
          </w:p>
        </w:tc>
        <w:tc>
          <w:tcPr>
            <w:tcW w:w="1275" w:type="dxa"/>
            <w:tcBorders>
              <w:top w:val="nil"/>
              <w:left w:val="nil"/>
              <w:bottom w:val="single" w:color="auto" w:sz="8" w:space="0"/>
              <w:right w:val="single" w:color="auto" w:sz="8" w:space="0"/>
            </w:tcBorders>
            <w:vAlign w:val="center"/>
          </w:tcPr>
          <w:p w14:paraId="21F73A4E">
            <w:pPr>
              <w:widowControl/>
              <w:spacing w:line="380" w:lineRule="exact"/>
              <w:jc w:val="center"/>
              <w:rPr>
                <w:b/>
                <w:bCs/>
                <w:color w:val="auto"/>
                <w:kern w:val="0"/>
                <w:szCs w:val="21"/>
                <w:highlight w:val="none"/>
              </w:rPr>
            </w:pPr>
            <w:r>
              <w:rPr>
                <w:b/>
                <w:bCs/>
                <w:color w:val="auto"/>
                <w:kern w:val="0"/>
                <w:szCs w:val="21"/>
                <w:highlight w:val="none"/>
              </w:rPr>
              <w:t>10万元</w:t>
            </w:r>
          </w:p>
        </w:tc>
        <w:tc>
          <w:tcPr>
            <w:tcW w:w="2552" w:type="dxa"/>
            <w:tcBorders>
              <w:top w:val="nil"/>
              <w:left w:val="nil"/>
              <w:bottom w:val="single" w:color="auto" w:sz="8" w:space="0"/>
              <w:right w:val="single" w:color="auto" w:sz="8" w:space="0"/>
            </w:tcBorders>
            <w:vAlign w:val="center"/>
          </w:tcPr>
          <w:p w14:paraId="70033812">
            <w:pPr>
              <w:widowControl/>
              <w:spacing w:line="380" w:lineRule="exact"/>
              <w:jc w:val="center"/>
              <w:rPr>
                <w:color w:val="auto"/>
                <w:kern w:val="0"/>
                <w:szCs w:val="21"/>
                <w:highlight w:val="none"/>
              </w:rPr>
            </w:pPr>
            <w:r>
              <w:rPr>
                <w:color w:val="auto"/>
                <w:kern w:val="0"/>
                <w:szCs w:val="21"/>
                <w:highlight w:val="none"/>
              </w:rPr>
              <w:t>全额或按残疾比例给付</w:t>
            </w:r>
          </w:p>
        </w:tc>
      </w:tr>
      <w:tr w14:paraId="63166361">
        <w:tblPrEx>
          <w:tblCellMar>
            <w:top w:w="0" w:type="dxa"/>
            <w:left w:w="108" w:type="dxa"/>
            <w:bottom w:w="0" w:type="dxa"/>
            <w:right w:w="108" w:type="dxa"/>
          </w:tblCellMar>
        </w:tblPrEx>
        <w:trPr>
          <w:trHeight w:val="624" w:hRule="atLeast"/>
          <w:jc w:val="center"/>
        </w:trPr>
        <w:tc>
          <w:tcPr>
            <w:tcW w:w="3506" w:type="dxa"/>
            <w:tcBorders>
              <w:top w:val="nil"/>
              <w:left w:val="single" w:color="auto" w:sz="8" w:space="0"/>
              <w:bottom w:val="single" w:color="auto" w:sz="8" w:space="0"/>
              <w:right w:val="single" w:color="auto" w:sz="8" w:space="0"/>
            </w:tcBorders>
            <w:vAlign w:val="center"/>
          </w:tcPr>
          <w:p w14:paraId="5C379267">
            <w:pPr>
              <w:widowControl/>
              <w:spacing w:line="380" w:lineRule="exact"/>
              <w:rPr>
                <w:color w:val="auto"/>
                <w:kern w:val="0"/>
                <w:szCs w:val="21"/>
                <w:highlight w:val="none"/>
              </w:rPr>
            </w:pPr>
            <w:r>
              <w:rPr>
                <w:color w:val="auto"/>
                <w:kern w:val="0"/>
                <w:szCs w:val="21"/>
                <w:highlight w:val="none"/>
              </w:rPr>
              <w:t>乘坐轨道交通工具意外保险金</w:t>
            </w:r>
          </w:p>
        </w:tc>
        <w:tc>
          <w:tcPr>
            <w:tcW w:w="1275" w:type="dxa"/>
            <w:tcBorders>
              <w:top w:val="nil"/>
              <w:left w:val="nil"/>
              <w:bottom w:val="single" w:color="auto" w:sz="8" w:space="0"/>
              <w:right w:val="single" w:color="auto" w:sz="8" w:space="0"/>
            </w:tcBorders>
            <w:vAlign w:val="center"/>
          </w:tcPr>
          <w:p w14:paraId="48E3E7EF">
            <w:pPr>
              <w:widowControl/>
              <w:spacing w:line="380" w:lineRule="exact"/>
              <w:jc w:val="center"/>
              <w:rPr>
                <w:b/>
                <w:bCs/>
                <w:color w:val="auto"/>
                <w:kern w:val="0"/>
                <w:szCs w:val="21"/>
                <w:highlight w:val="none"/>
              </w:rPr>
            </w:pPr>
            <w:r>
              <w:rPr>
                <w:b/>
                <w:bCs/>
                <w:color w:val="auto"/>
                <w:kern w:val="0"/>
                <w:szCs w:val="21"/>
                <w:highlight w:val="none"/>
              </w:rPr>
              <w:t>10万元</w:t>
            </w:r>
          </w:p>
        </w:tc>
        <w:tc>
          <w:tcPr>
            <w:tcW w:w="2552" w:type="dxa"/>
            <w:tcBorders>
              <w:top w:val="nil"/>
              <w:left w:val="nil"/>
              <w:bottom w:val="single" w:color="auto" w:sz="8" w:space="0"/>
              <w:right w:val="single" w:color="auto" w:sz="8" w:space="0"/>
            </w:tcBorders>
            <w:vAlign w:val="center"/>
          </w:tcPr>
          <w:p w14:paraId="63DC6AB3">
            <w:pPr>
              <w:widowControl/>
              <w:spacing w:line="380" w:lineRule="exact"/>
              <w:jc w:val="center"/>
              <w:rPr>
                <w:color w:val="auto"/>
                <w:kern w:val="0"/>
                <w:szCs w:val="21"/>
                <w:highlight w:val="none"/>
              </w:rPr>
            </w:pPr>
            <w:r>
              <w:rPr>
                <w:color w:val="auto"/>
                <w:kern w:val="0"/>
                <w:szCs w:val="21"/>
                <w:highlight w:val="none"/>
              </w:rPr>
              <w:t>全额或按残疾比例给付</w:t>
            </w:r>
          </w:p>
        </w:tc>
      </w:tr>
      <w:tr w14:paraId="5806D4F4">
        <w:tblPrEx>
          <w:tblCellMar>
            <w:top w:w="0" w:type="dxa"/>
            <w:left w:w="108" w:type="dxa"/>
            <w:bottom w:w="0" w:type="dxa"/>
            <w:right w:w="108" w:type="dxa"/>
          </w:tblCellMar>
        </w:tblPrEx>
        <w:trPr>
          <w:trHeight w:val="624" w:hRule="atLeast"/>
          <w:jc w:val="center"/>
        </w:trPr>
        <w:tc>
          <w:tcPr>
            <w:tcW w:w="3506" w:type="dxa"/>
            <w:tcBorders>
              <w:top w:val="nil"/>
              <w:left w:val="single" w:color="auto" w:sz="8" w:space="0"/>
              <w:bottom w:val="single" w:color="auto" w:sz="4" w:space="0"/>
              <w:right w:val="single" w:color="auto" w:sz="8" w:space="0"/>
            </w:tcBorders>
            <w:vAlign w:val="center"/>
          </w:tcPr>
          <w:p w14:paraId="02A8B251">
            <w:pPr>
              <w:widowControl/>
              <w:spacing w:line="380" w:lineRule="exact"/>
              <w:rPr>
                <w:color w:val="auto"/>
                <w:kern w:val="0"/>
                <w:szCs w:val="21"/>
                <w:highlight w:val="none"/>
              </w:rPr>
            </w:pPr>
            <w:r>
              <w:rPr>
                <w:color w:val="auto"/>
                <w:kern w:val="0"/>
                <w:szCs w:val="21"/>
                <w:highlight w:val="none"/>
              </w:rPr>
              <w:t>搭乘机动车意外保险金</w:t>
            </w:r>
          </w:p>
        </w:tc>
        <w:tc>
          <w:tcPr>
            <w:tcW w:w="1275" w:type="dxa"/>
            <w:tcBorders>
              <w:top w:val="nil"/>
              <w:left w:val="nil"/>
              <w:bottom w:val="single" w:color="auto" w:sz="4" w:space="0"/>
              <w:right w:val="single" w:color="auto" w:sz="8" w:space="0"/>
            </w:tcBorders>
            <w:vAlign w:val="center"/>
          </w:tcPr>
          <w:p w14:paraId="701B1B6A">
            <w:pPr>
              <w:widowControl/>
              <w:spacing w:line="380" w:lineRule="exact"/>
              <w:jc w:val="center"/>
              <w:rPr>
                <w:b/>
                <w:bCs/>
                <w:color w:val="auto"/>
                <w:kern w:val="0"/>
                <w:szCs w:val="21"/>
                <w:highlight w:val="none"/>
              </w:rPr>
            </w:pPr>
            <w:r>
              <w:rPr>
                <w:b/>
                <w:bCs/>
                <w:color w:val="auto"/>
                <w:kern w:val="0"/>
                <w:szCs w:val="21"/>
                <w:highlight w:val="none"/>
              </w:rPr>
              <w:t>10万元</w:t>
            </w:r>
          </w:p>
        </w:tc>
        <w:tc>
          <w:tcPr>
            <w:tcW w:w="2552" w:type="dxa"/>
            <w:tcBorders>
              <w:top w:val="nil"/>
              <w:left w:val="nil"/>
              <w:bottom w:val="single" w:color="auto" w:sz="4" w:space="0"/>
              <w:right w:val="single" w:color="auto" w:sz="8" w:space="0"/>
            </w:tcBorders>
            <w:vAlign w:val="center"/>
          </w:tcPr>
          <w:p w14:paraId="5138C0AF">
            <w:pPr>
              <w:widowControl/>
              <w:spacing w:line="380" w:lineRule="exact"/>
              <w:jc w:val="center"/>
              <w:rPr>
                <w:color w:val="auto"/>
                <w:kern w:val="0"/>
                <w:szCs w:val="21"/>
                <w:highlight w:val="none"/>
              </w:rPr>
            </w:pPr>
            <w:r>
              <w:rPr>
                <w:color w:val="auto"/>
                <w:kern w:val="0"/>
                <w:szCs w:val="21"/>
                <w:highlight w:val="none"/>
              </w:rPr>
              <w:t>全额或按残疾比例给付</w:t>
            </w:r>
          </w:p>
        </w:tc>
      </w:tr>
    </w:tbl>
    <w:p w14:paraId="7A56EDA5">
      <w:pPr>
        <w:spacing w:line="360" w:lineRule="auto"/>
        <w:ind w:firstLine="422" w:firstLineChars="200"/>
        <w:rPr>
          <w:rFonts w:hint="eastAsia"/>
          <w:b/>
          <w:color w:val="auto"/>
          <w:highlight w:val="none"/>
        </w:rPr>
      </w:pPr>
      <w:r>
        <w:rPr>
          <w:b/>
          <w:color w:val="auto"/>
          <w:highlight w:val="none"/>
        </w:rPr>
        <w:t>注：公安民警家属是指民警的父母、配偶和子女。</w:t>
      </w:r>
      <w:r>
        <w:rPr>
          <w:rFonts w:hint="eastAsia"/>
          <w:b/>
          <w:color w:val="auto"/>
          <w:highlight w:val="none"/>
        </w:rPr>
        <w:t>包括年龄在10周岁至65周岁人员和超龄人员 (出生满60天以上至9周岁，65周岁以上)。</w:t>
      </w:r>
    </w:p>
    <w:p w14:paraId="03422004">
      <w:pP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第七条　</w:t>
      </w:r>
      <w:r>
        <w:rPr>
          <w:rFonts w:hint="eastAsia"/>
          <w:b/>
          <w:color w:val="auto"/>
          <w:highlight w:val="none"/>
        </w:rPr>
        <w:t>保险责任及特别约定</w:t>
      </w:r>
    </w:p>
    <w:p w14:paraId="0E2E6638">
      <w:pPr>
        <w:spacing w:line="360" w:lineRule="auto"/>
        <w:ind w:firstLine="422" w:firstLineChars="200"/>
        <w:rPr>
          <w:rFonts w:hint="eastAsia"/>
          <w:b/>
          <w:color w:val="auto"/>
          <w:highlight w:val="none"/>
        </w:rPr>
      </w:pPr>
      <w:r>
        <w:rPr>
          <w:rFonts w:hint="eastAsia"/>
          <w:b/>
          <w:color w:val="auto"/>
          <w:highlight w:val="none"/>
        </w:rPr>
        <w:t>（一）</w:t>
      </w:r>
      <w:r>
        <w:rPr>
          <w:b/>
          <w:color w:val="auto"/>
          <w:highlight w:val="none"/>
        </w:rPr>
        <w:t>全市公安机关在职在编公安民警、干部、事业编制工作人员及辅警保险责任。</w:t>
      </w:r>
    </w:p>
    <w:p w14:paraId="07A0D7F5">
      <w:pPr>
        <w:spacing w:line="360" w:lineRule="auto"/>
        <w:ind w:firstLine="422" w:firstLineChars="200"/>
        <w:rPr>
          <w:b/>
          <w:bCs/>
          <w:color w:val="auto"/>
          <w:highlight w:val="none"/>
        </w:rPr>
      </w:pPr>
      <w:r>
        <w:rPr>
          <w:b/>
          <w:bCs/>
          <w:color w:val="auto"/>
          <w:highlight w:val="none"/>
        </w:rPr>
        <w:t>1.烈士、因公牺牲、因工死亡保险金</w:t>
      </w:r>
    </w:p>
    <w:p w14:paraId="1C0F03B3">
      <w:pPr>
        <w:spacing w:line="360" w:lineRule="auto"/>
        <w:ind w:firstLine="420" w:firstLineChars="200"/>
        <w:rPr>
          <w:color w:val="auto"/>
          <w:highlight w:val="none"/>
        </w:rPr>
      </w:pPr>
      <w:r>
        <w:rPr>
          <w:color w:val="auto"/>
          <w:highlight w:val="none"/>
        </w:rPr>
        <w:t>被保险人被退役军人事务部门认定为烈士或因公牺牲的；被保险人被工伤保险主</w:t>
      </w:r>
      <w:r>
        <w:rPr>
          <w:rFonts w:hint="eastAsia"/>
          <w:color w:val="auto"/>
          <w:highlight w:val="none"/>
        </w:rPr>
        <w:t>管</w:t>
      </w:r>
      <w:r>
        <w:rPr>
          <w:color w:val="auto"/>
          <w:highlight w:val="none"/>
        </w:rPr>
        <w:t>部门认定为因工死亡的。</w:t>
      </w:r>
      <w:r>
        <w:rPr>
          <w:rFonts w:hint="eastAsia"/>
          <w:color w:val="auto"/>
          <w:highlight w:val="none"/>
        </w:rPr>
        <w:t>乙方</w:t>
      </w:r>
      <w:r>
        <w:rPr>
          <w:color w:val="auto"/>
          <w:highlight w:val="none"/>
        </w:rPr>
        <w:t>按其意外伤害保险金额扣除已给付的残疾保险金后给付</w:t>
      </w:r>
      <w:r>
        <w:rPr>
          <w:rFonts w:hint="eastAsia"/>
          <w:color w:val="auto"/>
          <w:highlight w:val="none"/>
        </w:rPr>
        <w:t>“烈士、因公牺牲、因工死亡保险金”</w:t>
      </w:r>
      <w:r>
        <w:rPr>
          <w:color w:val="auto"/>
          <w:highlight w:val="none"/>
        </w:rPr>
        <w:t>，对该被保险人的保险责任终止。每一被保险人的烈士、因公牺牲、因工死亡保险金的给付金额以其烈士、因公牺牲</w:t>
      </w:r>
      <w:r>
        <w:rPr>
          <w:rFonts w:hint="eastAsia"/>
          <w:color w:val="auto"/>
          <w:highlight w:val="none"/>
        </w:rPr>
        <w:t>、因工死亡</w:t>
      </w:r>
      <w:r>
        <w:rPr>
          <w:color w:val="auto"/>
          <w:highlight w:val="none"/>
        </w:rPr>
        <w:t>保险金额为限。</w:t>
      </w:r>
    </w:p>
    <w:p w14:paraId="76B94468">
      <w:pPr>
        <w:spacing w:line="360" w:lineRule="auto"/>
        <w:ind w:firstLine="422" w:firstLineChars="200"/>
        <w:rPr>
          <w:b/>
          <w:bCs/>
          <w:color w:val="auto"/>
          <w:highlight w:val="none"/>
        </w:rPr>
      </w:pPr>
      <w:r>
        <w:rPr>
          <w:b/>
          <w:bCs/>
          <w:color w:val="auto"/>
          <w:highlight w:val="none"/>
        </w:rPr>
        <w:t>2.意外伤害身故保险金</w:t>
      </w:r>
    </w:p>
    <w:p w14:paraId="35A5E9AC">
      <w:pPr>
        <w:spacing w:line="360" w:lineRule="auto"/>
        <w:ind w:firstLine="420" w:firstLineChars="200"/>
        <w:rPr>
          <w:color w:val="auto"/>
          <w:highlight w:val="none"/>
        </w:rPr>
      </w:pPr>
      <w:r>
        <w:rPr>
          <w:color w:val="auto"/>
          <w:highlight w:val="none"/>
        </w:rPr>
        <w:t>被保险人遭受意外伤害，并自事故发生之日起一百八十日内因该事故身故，</w:t>
      </w:r>
      <w:r>
        <w:rPr>
          <w:rFonts w:hint="eastAsia"/>
          <w:color w:val="auto"/>
          <w:highlight w:val="none"/>
        </w:rPr>
        <w:t>乙方</w:t>
      </w:r>
      <w:r>
        <w:rPr>
          <w:color w:val="auto"/>
          <w:highlight w:val="none"/>
        </w:rPr>
        <w:t>按其意外伤害保险金额扣除已给付的残疾保险金后给付</w:t>
      </w:r>
      <w:r>
        <w:rPr>
          <w:rFonts w:hint="eastAsia"/>
          <w:color w:val="auto"/>
          <w:highlight w:val="none"/>
        </w:rPr>
        <w:t>“</w:t>
      </w:r>
      <w:r>
        <w:rPr>
          <w:color w:val="auto"/>
          <w:highlight w:val="none"/>
        </w:rPr>
        <w:t>意外伤害身故保险金</w:t>
      </w:r>
      <w:r>
        <w:rPr>
          <w:rFonts w:hint="eastAsia"/>
          <w:color w:val="auto"/>
          <w:highlight w:val="none"/>
        </w:rPr>
        <w:t>”</w:t>
      </w:r>
      <w:r>
        <w:rPr>
          <w:color w:val="auto"/>
          <w:highlight w:val="none"/>
        </w:rPr>
        <w:t>，对该被保险人的保险责任终止。每一被保险人的意外伤害身故保险金的给付金额以其意外伤害身故保险金额为限。</w:t>
      </w:r>
    </w:p>
    <w:p w14:paraId="4BD77A21">
      <w:pPr>
        <w:spacing w:line="360" w:lineRule="auto"/>
        <w:ind w:firstLine="422" w:firstLineChars="200"/>
        <w:rPr>
          <w:b/>
          <w:bCs/>
          <w:color w:val="auto"/>
          <w:highlight w:val="none"/>
        </w:rPr>
      </w:pPr>
      <w:r>
        <w:rPr>
          <w:b/>
          <w:bCs/>
          <w:color w:val="auto"/>
          <w:highlight w:val="none"/>
        </w:rPr>
        <w:t>3.意外伤害残疾保险金</w:t>
      </w:r>
    </w:p>
    <w:p w14:paraId="657715C9">
      <w:pPr>
        <w:spacing w:line="360" w:lineRule="auto"/>
        <w:ind w:firstLine="420" w:firstLineChars="200"/>
        <w:rPr>
          <w:color w:val="auto"/>
          <w:highlight w:val="none"/>
        </w:rPr>
      </w:pPr>
      <w:r>
        <w:rPr>
          <w:color w:val="auto"/>
          <w:highlight w:val="none"/>
        </w:rPr>
        <w:t>被保险人遭受意外伤害事故，并自事故发生之日起一百八十日内因该事故造成保险合同所</w:t>
      </w:r>
      <w:r>
        <w:rPr>
          <w:rFonts w:hint="eastAsia"/>
          <w:color w:val="auto"/>
          <w:highlight w:val="none"/>
          <w:lang w:eastAsia="zh-CN"/>
        </w:rPr>
        <w:t>附</w:t>
      </w:r>
      <w:r>
        <w:rPr>
          <w:rFonts w:hint="eastAsia"/>
          <w:color w:val="auto"/>
          <w:highlight w:val="none"/>
        </w:rPr>
        <w:t>“</w:t>
      </w:r>
      <w:r>
        <w:rPr>
          <w:color w:val="auto"/>
          <w:highlight w:val="none"/>
        </w:rPr>
        <w:t>残疾程度与给付比例表</w:t>
      </w:r>
      <w:r>
        <w:rPr>
          <w:rFonts w:hint="eastAsia"/>
          <w:color w:val="auto"/>
          <w:highlight w:val="none"/>
        </w:rPr>
        <w:t>”</w:t>
      </w:r>
      <w:r>
        <w:rPr>
          <w:color w:val="auto"/>
          <w:highlight w:val="none"/>
        </w:rPr>
        <w:t>所列残疾程度之一者，</w:t>
      </w:r>
      <w:r>
        <w:rPr>
          <w:rFonts w:hint="eastAsia"/>
          <w:color w:val="auto"/>
          <w:highlight w:val="none"/>
        </w:rPr>
        <w:t>乙方</w:t>
      </w:r>
      <w:r>
        <w:rPr>
          <w:color w:val="auto"/>
          <w:highlight w:val="none"/>
        </w:rPr>
        <w:t>按</w:t>
      </w:r>
      <w:r>
        <w:rPr>
          <w:rFonts w:hint="eastAsia"/>
          <w:color w:val="auto"/>
          <w:highlight w:val="none"/>
        </w:rPr>
        <w:t>该表</w:t>
      </w:r>
      <w:r>
        <w:rPr>
          <w:color w:val="auto"/>
          <w:highlight w:val="none"/>
        </w:rPr>
        <w:t>所列比例乘以其意外伤害保险金额给付</w:t>
      </w:r>
      <w:r>
        <w:rPr>
          <w:rFonts w:hint="eastAsia"/>
          <w:color w:val="auto"/>
          <w:highlight w:val="none"/>
        </w:rPr>
        <w:t>“</w:t>
      </w:r>
      <w:r>
        <w:rPr>
          <w:color w:val="auto"/>
          <w:highlight w:val="none"/>
        </w:rPr>
        <w:t>意外伤害残疾保险金</w:t>
      </w:r>
      <w:r>
        <w:rPr>
          <w:rFonts w:hint="eastAsia"/>
          <w:color w:val="auto"/>
          <w:highlight w:val="none"/>
        </w:rPr>
        <w:t>”</w:t>
      </w:r>
      <w:r>
        <w:rPr>
          <w:color w:val="auto"/>
          <w:highlight w:val="none"/>
        </w:rPr>
        <w:t>。如治疗仍未结束的，按第一百八十天的身体情况进行残疾鉴定，并据此给付意外伤害残疾保险金。每一被保险人的意外伤害残疾保险金的累计给付金额以其意外伤害残疾保险金额为限。</w:t>
      </w:r>
    </w:p>
    <w:p w14:paraId="61D64BB6">
      <w:pPr>
        <w:spacing w:line="360" w:lineRule="auto"/>
        <w:ind w:firstLine="422" w:firstLineChars="200"/>
        <w:rPr>
          <w:b/>
          <w:bCs/>
          <w:color w:val="auto"/>
          <w:highlight w:val="none"/>
        </w:rPr>
      </w:pPr>
      <w:r>
        <w:rPr>
          <w:b/>
          <w:bCs/>
          <w:color w:val="auto"/>
          <w:highlight w:val="none"/>
        </w:rPr>
        <w:t>4.疾病身故保障金</w:t>
      </w:r>
    </w:p>
    <w:p w14:paraId="0DE1C951">
      <w:pPr>
        <w:spacing w:line="360" w:lineRule="auto"/>
        <w:ind w:firstLine="420" w:firstLineChars="200"/>
        <w:rPr>
          <w:color w:val="auto"/>
          <w:highlight w:val="none"/>
        </w:rPr>
      </w:pPr>
      <w:r>
        <w:rPr>
          <w:color w:val="auto"/>
          <w:highlight w:val="none"/>
        </w:rPr>
        <w:t>被保险人</w:t>
      </w:r>
      <w:r>
        <w:rPr>
          <w:rFonts w:hint="eastAsia"/>
          <w:color w:val="auto"/>
          <w:highlight w:val="none"/>
        </w:rPr>
        <w:t>因</w:t>
      </w:r>
      <w:r>
        <w:rPr>
          <w:color w:val="auto"/>
          <w:highlight w:val="none"/>
        </w:rPr>
        <w:t>突发性疾病身故或其它疾病身故，</w:t>
      </w:r>
      <w:r>
        <w:rPr>
          <w:rFonts w:hint="eastAsia"/>
          <w:color w:val="auto"/>
          <w:highlight w:val="none"/>
        </w:rPr>
        <w:t>乙方</w:t>
      </w:r>
      <w:r>
        <w:rPr>
          <w:color w:val="auto"/>
          <w:highlight w:val="none"/>
        </w:rPr>
        <w:t>按合同约定赔付保险金，对该被保险人的保险责任终止。</w:t>
      </w:r>
    </w:p>
    <w:p w14:paraId="4EBDB502">
      <w:pPr>
        <w:spacing w:line="360" w:lineRule="auto"/>
        <w:ind w:firstLine="422" w:firstLineChars="200"/>
        <w:rPr>
          <w:b/>
          <w:bCs/>
          <w:color w:val="auto"/>
          <w:highlight w:val="none"/>
        </w:rPr>
      </w:pPr>
      <w:r>
        <w:rPr>
          <w:b/>
          <w:bCs/>
          <w:color w:val="auto"/>
          <w:highlight w:val="none"/>
        </w:rPr>
        <w:t>5.既往疾病身故保障金</w:t>
      </w:r>
    </w:p>
    <w:p w14:paraId="0D5B6C55">
      <w:pPr>
        <w:spacing w:line="360" w:lineRule="auto"/>
        <w:ind w:firstLine="420" w:firstLineChars="200"/>
        <w:rPr>
          <w:rFonts w:hint="eastAsia"/>
          <w:b w:val="0"/>
          <w:bCs w:val="0"/>
          <w:color w:val="auto"/>
          <w:highlight w:val="none"/>
        </w:rPr>
      </w:pPr>
      <w:r>
        <w:rPr>
          <w:b w:val="0"/>
          <w:bCs w:val="0"/>
          <w:color w:val="auto"/>
          <w:highlight w:val="none"/>
        </w:rPr>
        <w:t>被保险人自保险期间开始之日起经过保险合同约定的等待期后（续保不受此限制），因既往病症及其并发症（不含遗传性疾病，先天性畸形、变形或染色体异常）引起的身故</w:t>
      </w:r>
      <w:r>
        <w:rPr>
          <w:rFonts w:hint="eastAsia"/>
          <w:b w:val="0"/>
          <w:bCs w:val="0"/>
          <w:color w:val="auto"/>
          <w:highlight w:val="none"/>
        </w:rPr>
        <w:t>，乙方</w:t>
      </w:r>
      <w:r>
        <w:rPr>
          <w:b w:val="0"/>
          <w:bCs w:val="0"/>
          <w:color w:val="auto"/>
          <w:highlight w:val="none"/>
        </w:rPr>
        <w:t>按合同中疾病身故保障金约定赔付保险金，对该被保险人的保险责任终止。</w:t>
      </w:r>
      <w:r>
        <w:rPr>
          <w:rFonts w:hint="eastAsia"/>
          <w:b w:val="0"/>
          <w:bCs w:val="0"/>
          <w:color w:val="auto"/>
          <w:highlight w:val="none"/>
        </w:rPr>
        <w:t>同时也扩展疾病住院津贴、住院医疗费用既往病责任。</w:t>
      </w:r>
    </w:p>
    <w:p w14:paraId="064B3A2A">
      <w:pPr>
        <w:spacing w:line="360" w:lineRule="auto"/>
        <w:ind w:firstLine="422" w:firstLineChars="200"/>
        <w:rPr>
          <w:b/>
          <w:bCs/>
          <w:color w:val="auto"/>
          <w:highlight w:val="none"/>
        </w:rPr>
      </w:pPr>
      <w:r>
        <w:rPr>
          <w:b/>
          <w:bCs/>
          <w:color w:val="auto"/>
          <w:highlight w:val="none"/>
        </w:rPr>
        <w:t>6.重大疾病保险金</w:t>
      </w:r>
    </w:p>
    <w:p w14:paraId="2EB9E0C8">
      <w:pPr>
        <w:spacing w:line="360" w:lineRule="auto"/>
        <w:ind w:firstLine="420" w:firstLineChars="200"/>
        <w:rPr>
          <w:color w:val="auto"/>
          <w:highlight w:val="none"/>
        </w:rPr>
      </w:pPr>
      <w:r>
        <w:rPr>
          <w:color w:val="auto"/>
          <w:highlight w:val="none"/>
        </w:rPr>
        <w:t>首次投保重大疾病等待期为90天（续保不受此限制）。在保险期间内，被保险人首次确诊为</w:t>
      </w:r>
      <w:r>
        <w:rPr>
          <w:rFonts w:hint="eastAsia"/>
          <w:color w:val="auto"/>
          <w:highlight w:val="none"/>
        </w:rPr>
        <w:t>35</w:t>
      </w:r>
      <w:r>
        <w:rPr>
          <w:color w:val="auto"/>
          <w:highlight w:val="none"/>
        </w:rPr>
        <w:t>种重大疾病的一种或多种，</w:t>
      </w:r>
      <w:r>
        <w:rPr>
          <w:rFonts w:hint="eastAsia"/>
          <w:color w:val="auto"/>
          <w:highlight w:val="none"/>
        </w:rPr>
        <w:t>乙方</w:t>
      </w:r>
      <w:r>
        <w:rPr>
          <w:color w:val="auto"/>
          <w:highlight w:val="none"/>
        </w:rPr>
        <w:t>一次性给付被保险人重大疾病保险金10万元。重大疾病病种名称采用中国保险行业协会</w:t>
      </w:r>
      <w:r>
        <w:rPr>
          <w:rFonts w:hint="eastAsia"/>
          <w:color w:val="auto"/>
          <w:highlight w:val="none"/>
        </w:rPr>
        <w:t>制定的《重大疾病保险的疾病定义使用范围》列明的</w:t>
      </w:r>
      <w:r>
        <w:rPr>
          <w:color w:val="auto"/>
          <w:highlight w:val="none"/>
        </w:rPr>
        <w:t>恶性肿瘤--重度、较重急性心肌梗死、严重脑中风后遗症、重大器官移植术或造血干细胞移植术、冠状动脉搭桥术(或称冠状动脉旁路移植术)、严重慢性肾衰竭、多个肢体缺失、急性重症肝炎或亚急性重症肝炎、严重非恶性颅内肿瘤、严重慢性肝衰竭、严重脑炎后遗症或严重脑膜炎后遗症、深度昏迷、双耳失聪、双目失明、瘫痪、心脏瓣膜手术、严重阿尔茨海默病、严重脑损伤、严重原发性帕金森病、严重</w:t>
      </w:r>
      <w:r>
        <w:rPr>
          <w:rFonts w:hint="eastAsia" w:ascii="宋体" w:hAnsi="宋体" w:cs="宋体"/>
          <w:color w:val="auto"/>
          <w:highlight w:val="none"/>
        </w:rPr>
        <w:t>Ⅲ</w:t>
      </w:r>
      <w:r>
        <w:rPr>
          <w:color w:val="auto"/>
          <w:highlight w:val="none"/>
        </w:rPr>
        <w:t>度烧伤、严重特发性肺动脉高压、严重运动神经元病、语言能力丧失、重型再生障碍性贫血、主动脉手术、严重慢性呼吸衰竭、严重克罗恩病、严重溃疡性结</w:t>
      </w:r>
      <w:r>
        <w:rPr>
          <w:rFonts w:hint="eastAsia"/>
          <w:color w:val="auto"/>
          <w:highlight w:val="none"/>
        </w:rPr>
        <w:t>肠</w:t>
      </w:r>
      <w:r>
        <w:rPr>
          <w:color w:val="auto"/>
          <w:highlight w:val="none"/>
        </w:rPr>
        <w:t>炎</w:t>
      </w:r>
      <w:r>
        <w:rPr>
          <w:rFonts w:hint="eastAsia"/>
          <w:color w:val="auto"/>
          <w:highlight w:val="none"/>
          <w:lang w:eastAsia="zh-CN"/>
        </w:rPr>
        <w:t>等</w:t>
      </w:r>
      <w:r>
        <w:rPr>
          <w:rFonts w:hint="eastAsia"/>
          <w:color w:val="auto"/>
          <w:highlight w:val="none"/>
        </w:rPr>
        <w:t>28种疾病外还包含颅脑手术或破裂脑动脉瘤夹闭手术、严重多发性硬化、系统性红斑狼疮—Ш型或以上狼疮性肾炎、重症肌无力、因职业关系导致的艾滋病毒（HIV）感染、严重肾上腺脑白质营养不良、严重强直性脊柱炎7种重大疾病</w:t>
      </w:r>
      <w:r>
        <w:rPr>
          <w:color w:val="auto"/>
          <w:highlight w:val="none"/>
        </w:rPr>
        <w:t>，</w:t>
      </w:r>
      <w:r>
        <w:rPr>
          <w:rFonts w:hint="eastAsia"/>
          <w:color w:val="auto"/>
          <w:highlight w:val="none"/>
        </w:rPr>
        <w:t>共35种重大疾病。</w:t>
      </w:r>
    </w:p>
    <w:p w14:paraId="416B1094">
      <w:pPr>
        <w:spacing w:line="360" w:lineRule="auto"/>
        <w:ind w:firstLine="422" w:firstLineChars="200"/>
        <w:rPr>
          <w:b/>
          <w:bCs/>
          <w:color w:val="auto"/>
          <w:highlight w:val="none"/>
        </w:rPr>
      </w:pPr>
      <w:r>
        <w:rPr>
          <w:b/>
          <w:bCs/>
          <w:color w:val="auto"/>
          <w:highlight w:val="none"/>
        </w:rPr>
        <w:t>7.意外或疾病住院日额补贴</w:t>
      </w:r>
    </w:p>
    <w:p w14:paraId="27B3B159">
      <w:pPr>
        <w:spacing w:line="360" w:lineRule="auto"/>
        <w:ind w:firstLine="420" w:firstLineChars="200"/>
        <w:rPr>
          <w:color w:val="auto"/>
          <w:highlight w:val="none"/>
        </w:rPr>
      </w:pPr>
      <w:r>
        <w:rPr>
          <w:color w:val="auto"/>
          <w:highlight w:val="none"/>
        </w:rPr>
        <w:t>被保险人因意外或疾病住院，</w:t>
      </w:r>
      <w:r>
        <w:rPr>
          <w:rFonts w:hint="eastAsia"/>
          <w:color w:val="auto"/>
          <w:highlight w:val="none"/>
        </w:rPr>
        <w:t>乙方</w:t>
      </w:r>
      <w:r>
        <w:rPr>
          <w:color w:val="auto"/>
          <w:highlight w:val="none"/>
        </w:rPr>
        <w:t>按照约定的住院日额补贴100元/天的标准乘以实际住院日数，给予意外或疾病住院日额补助，每次补助天数不高于90天，累计最高给付限额180天。</w:t>
      </w:r>
    </w:p>
    <w:p w14:paraId="061D34F5">
      <w:pPr>
        <w:spacing w:line="360" w:lineRule="auto"/>
        <w:ind w:firstLine="422" w:firstLineChars="200"/>
        <w:rPr>
          <w:b/>
          <w:bCs/>
          <w:color w:val="auto"/>
          <w:highlight w:val="none"/>
        </w:rPr>
      </w:pPr>
      <w:r>
        <w:rPr>
          <w:b/>
          <w:bCs/>
          <w:color w:val="auto"/>
          <w:highlight w:val="none"/>
        </w:rPr>
        <w:t>8.意外或疾病住院费用补偿医疗保险金</w:t>
      </w:r>
    </w:p>
    <w:p w14:paraId="78E11055">
      <w:pPr>
        <w:spacing w:line="360" w:lineRule="auto"/>
        <w:ind w:firstLine="420" w:firstLineChars="200"/>
        <w:rPr>
          <w:rFonts w:hint="eastAsia" w:ascii="宋体" w:hAnsi="宋体" w:cs="宋体"/>
          <w:b w:val="0"/>
          <w:bCs/>
          <w:color w:val="auto"/>
          <w:highlight w:val="none"/>
        </w:rPr>
      </w:pPr>
      <w:r>
        <w:rPr>
          <w:rFonts w:hint="eastAsia" w:ascii="宋体" w:hAnsi="宋体" w:cs="宋体"/>
          <w:b w:val="0"/>
          <w:bCs/>
          <w:color w:val="auto"/>
          <w:highlight w:val="none"/>
        </w:rPr>
        <w:t>首次投保疾病等待期为30天（续保不受此限制），被保险人因意外或疾病需要治疗且在二级（含）以上公立医院住院治疗（可加上需有治疗住院治疗二级私人医院），乙方按照被保险人实际支出的合理医疗费进行补偿，免赔额0元，给付比例为100%。每人住院费用补偿最高给付限额为3万元。</w:t>
      </w:r>
    </w:p>
    <w:p w14:paraId="3DCA2EFE">
      <w:pPr>
        <w:spacing w:line="360" w:lineRule="auto"/>
        <w:ind w:firstLine="422" w:firstLineChars="200"/>
        <w:rPr>
          <w:b/>
          <w:bCs/>
          <w:color w:val="auto"/>
          <w:highlight w:val="none"/>
        </w:rPr>
      </w:pPr>
      <w:r>
        <w:rPr>
          <w:rFonts w:hint="eastAsia" w:ascii="宋体" w:hAnsi="宋体" w:cs="宋体"/>
          <w:b/>
          <w:color w:val="auto"/>
          <w:highlight w:val="none"/>
        </w:rPr>
        <w:t>(二)</w:t>
      </w:r>
      <w:r>
        <w:rPr>
          <w:b/>
          <w:color w:val="auto"/>
          <w:highlight w:val="none"/>
        </w:rPr>
        <w:t>承保对象2：公安民警、干部、事业编制工作人员直系亲属</w:t>
      </w:r>
    </w:p>
    <w:p w14:paraId="3BF3B3EF">
      <w:pPr>
        <w:spacing w:line="360" w:lineRule="auto"/>
        <w:ind w:firstLine="422" w:firstLineChars="200"/>
        <w:rPr>
          <w:b/>
          <w:color w:val="auto"/>
          <w:highlight w:val="none"/>
        </w:rPr>
      </w:pPr>
      <w:r>
        <w:rPr>
          <w:b/>
          <w:color w:val="auto"/>
          <w:highlight w:val="none"/>
        </w:rPr>
        <w:t>1.意外伤害保险金</w:t>
      </w:r>
    </w:p>
    <w:p w14:paraId="516FA884">
      <w:pPr>
        <w:spacing w:line="360" w:lineRule="auto"/>
        <w:ind w:firstLine="420" w:firstLineChars="200"/>
        <w:rPr>
          <w:color w:val="auto"/>
          <w:highlight w:val="none"/>
        </w:rPr>
      </w:pPr>
      <w:r>
        <w:rPr>
          <w:color w:val="auto"/>
          <w:highlight w:val="none"/>
        </w:rPr>
        <w:t>被保险人遭受意外伤害，并自事故发生之日起一百八十日内因该事故身故，</w:t>
      </w:r>
      <w:r>
        <w:rPr>
          <w:rFonts w:hint="eastAsia"/>
          <w:color w:val="auto"/>
          <w:highlight w:val="none"/>
        </w:rPr>
        <w:t>乙方</w:t>
      </w:r>
      <w:r>
        <w:rPr>
          <w:color w:val="auto"/>
          <w:highlight w:val="none"/>
        </w:rPr>
        <w:t>按其意外伤害保险金额扣除已给付的残疾保险金后给付</w:t>
      </w:r>
      <w:r>
        <w:rPr>
          <w:rFonts w:hint="eastAsia"/>
          <w:color w:val="auto"/>
          <w:highlight w:val="none"/>
        </w:rPr>
        <w:t>“</w:t>
      </w:r>
      <w:r>
        <w:rPr>
          <w:color w:val="auto"/>
          <w:highlight w:val="none"/>
        </w:rPr>
        <w:t>意外伤害身故保险金</w:t>
      </w:r>
      <w:r>
        <w:rPr>
          <w:rFonts w:hint="eastAsia"/>
          <w:color w:val="auto"/>
          <w:highlight w:val="none"/>
        </w:rPr>
        <w:t>”</w:t>
      </w:r>
      <w:r>
        <w:rPr>
          <w:color w:val="auto"/>
          <w:highlight w:val="none"/>
        </w:rPr>
        <w:t>，对该被保险人的保险责任终止。每一被保险人的意外伤害身故保险金的给付金额以其意外伤害身故保险金额为限。</w:t>
      </w:r>
    </w:p>
    <w:p w14:paraId="57F282C1">
      <w:pPr>
        <w:spacing w:line="360" w:lineRule="auto"/>
        <w:ind w:firstLine="420" w:firstLineChars="200"/>
        <w:rPr>
          <w:color w:val="auto"/>
          <w:highlight w:val="none"/>
        </w:rPr>
      </w:pPr>
      <w:r>
        <w:rPr>
          <w:color w:val="auto"/>
          <w:highlight w:val="none"/>
        </w:rPr>
        <w:t>普通意外身故的保险金额为10万元，因犯罪分子报复导致的身故保险金为20万元。</w:t>
      </w:r>
    </w:p>
    <w:p w14:paraId="138079B0">
      <w:pPr>
        <w:spacing w:line="360" w:lineRule="auto"/>
        <w:ind w:firstLine="422" w:firstLineChars="200"/>
        <w:rPr>
          <w:b/>
          <w:color w:val="auto"/>
          <w:highlight w:val="none"/>
        </w:rPr>
      </w:pPr>
      <w:r>
        <w:rPr>
          <w:b/>
          <w:color w:val="auto"/>
          <w:highlight w:val="none"/>
        </w:rPr>
        <w:t>2.伤残保险金</w:t>
      </w:r>
    </w:p>
    <w:p w14:paraId="7189976E">
      <w:pPr>
        <w:spacing w:line="360" w:lineRule="auto"/>
        <w:ind w:firstLine="420" w:firstLineChars="200"/>
        <w:rPr>
          <w:color w:val="auto"/>
          <w:highlight w:val="none"/>
        </w:rPr>
      </w:pPr>
      <w:r>
        <w:rPr>
          <w:color w:val="auto"/>
          <w:highlight w:val="none"/>
        </w:rPr>
        <w:t>被保险人遭受意外伤害事故，并自事故发生之日起一百八十日内因该事故造成保险合同所</w:t>
      </w:r>
      <w:r>
        <w:rPr>
          <w:rFonts w:hint="eastAsia"/>
          <w:color w:val="auto"/>
          <w:highlight w:val="none"/>
          <w:lang w:eastAsia="zh-CN"/>
        </w:rPr>
        <w:t>附</w:t>
      </w:r>
      <w:r>
        <w:rPr>
          <w:rFonts w:hint="eastAsia"/>
          <w:color w:val="auto"/>
          <w:highlight w:val="none"/>
        </w:rPr>
        <w:t>“</w:t>
      </w:r>
      <w:r>
        <w:rPr>
          <w:color w:val="auto"/>
          <w:highlight w:val="none"/>
        </w:rPr>
        <w:t>残疾程度与给付比例表</w:t>
      </w:r>
      <w:r>
        <w:rPr>
          <w:rFonts w:hint="eastAsia"/>
          <w:color w:val="auto"/>
          <w:highlight w:val="none"/>
        </w:rPr>
        <w:t>”</w:t>
      </w:r>
      <w:r>
        <w:rPr>
          <w:color w:val="auto"/>
          <w:highlight w:val="none"/>
        </w:rPr>
        <w:t>所列残疾程度之一者，</w:t>
      </w:r>
      <w:r>
        <w:rPr>
          <w:rFonts w:hint="eastAsia"/>
          <w:color w:val="auto"/>
          <w:highlight w:val="none"/>
        </w:rPr>
        <w:t>乙方</w:t>
      </w:r>
      <w:r>
        <w:rPr>
          <w:color w:val="auto"/>
          <w:highlight w:val="none"/>
        </w:rPr>
        <w:t>按该表所列比例乘以其意外伤害保险金额给付</w:t>
      </w:r>
      <w:r>
        <w:rPr>
          <w:rFonts w:hint="eastAsia"/>
          <w:color w:val="auto"/>
          <w:highlight w:val="none"/>
        </w:rPr>
        <w:t>“</w:t>
      </w:r>
      <w:r>
        <w:rPr>
          <w:color w:val="auto"/>
          <w:highlight w:val="none"/>
        </w:rPr>
        <w:t>意外伤害残疾保险金</w:t>
      </w:r>
      <w:r>
        <w:rPr>
          <w:rFonts w:hint="eastAsia"/>
          <w:color w:val="auto"/>
          <w:highlight w:val="none"/>
        </w:rPr>
        <w:t>”</w:t>
      </w:r>
      <w:r>
        <w:rPr>
          <w:color w:val="auto"/>
          <w:highlight w:val="none"/>
        </w:rPr>
        <w:t>。如治疗仍未结束的，按第一百八十天的身体情况进行残疾鉴定，并据此给付意外伤害残疾保险金。每一被保险人的意外伤害残疾保险金的累计给付金额以其意外伤害残疾保险金额为限。</w:t>
      </w:r>
    </w:p>
    <w:p w14:paraId="0F0ABFDD">
      <w:pPr>
        <w:spacing w:line="360" w:lineRule="auto"/>
        <w:ind w:firstLine="420" w:firstLineChars="200"/>
        <w:rPr>
          <w:color w:val="auto"/>
          <w:highlight w:val="none"/>
        </w:rPr>
      </w:pPr>
      <w:r>
        <w:rPr>
          <w:color w:val="auto"/>
          <w:highlight w:val="none"/>
        </w:rPr>
        <w:t>普通意外导致的残疾的最高保险金额为10万元，因犯罪分子报复导致的残疾保险金最高为20万元。</w:t>
      </w:r>
    </w:p>
    <w:p w14:paraId="6A105038">
      <w:pPr>
        <w:spacing w:line="360" w:lineRule="auto"/>
        <w:ind w:firstLine="422" w:firstLineChars="200"/>
        <w:rPr>
          <w:b/>
          <w:color w:val="auto"/>
          <w:highlight w:val="none"/>
        </w:rPr>
      </w:pPr>
      <w:r>
        <w:rPr>
          <w:b/>
          <w:color w:val="auto"/>
          <w:highlight w:val="none"/>
        </w:rPr>
        <w:t>3.医疗费保障金</w:t>
      </w:r>
    </w:p>
    <w:p w14:paraId="5437D338">
      <w:pPr>
        <w:spacing w:line="360" w:lineRule="auto"/>
        <w:ind w:firstLine="420" w:firstLineChars="200"/>
        <w:rPr>
          <w:color w:val="auto"/>
          <w:highlight w:val="none"/>
        </w:rPr>
      </w:pPr>
      <w:r>
        <w:rPr>
          <w:color w:val="auto"/>
          <w:highlight w:val="none"/>
        </w:rPr>
        <w:t>被保险人因犯罪分子报复导致的受伤产生的医疗费要治疗且在二级（含）以上公立医院住院治疗；</w:t>
      </w:r>
      <w:r>
        <w:rPr>
          <w:rFonts w:hint="eastAsia"/>
          <w:color w:val="auto"/>
          <w:highlight w:val="none"/>
        </w:rPr>
        <w:t>乙方</w:t>
      </w:r>
      <w:r>
        <w:rPr>
          <w:color w:val="auto"/>
          <w:highlight w:val="none"/>
        </w:rPr>
        <w:t>按照被保险人实际支出的合理医疗费进行全额补偿，每人医疗费用补偿最高给付限额为10万元。</w:t>
      </w:r>
    </w:p>
    <w:p w14:paraId="46CF3726">
      <w:pPr>
        <w:spacing w:line="360" w:lineRule="auto"/>
        <w:ind w:firstLine="422" w:firstLineChars="200"/>
        <w:rPr>
          <w:rFonts w:hint="eastAsia"/>
          <w:b/>
          <w:color w:val="auto"/>
          <w:highlight w:val="none"/>
        </w:rPr>
      </w:pPr>
      <w:r>
        <w:rPr>
          <w:rFonts w:hint="eastAsia" w:ascii="宋体" w:hAnsi="宋体" w:cs="宋体"/>
          <w:b/>
          <w:color w:val="auto"/>
          <w:szCs w:val="21"/>
          <w:highlight w:val="none"/>
        </w:rPr>
        <w:t xml:space="preserve">第八条 </w:t>
      </w:r>
      <w:r>
        <w:rPr>
          <w:rFonts w:hint="eastAsia"/>
          <w:b/>
          <w:color w:val="auto"/>
          <w:highlight w:val="none"/>
        </w:rPr>
        <w:t>追溯期特别约定：</w:t>
      </w:r>
    </w:p>
    <w:p w14:paraId="4298D685">
      <w:pPr>
        <w:spacing w:line="360" w:lineRule="auto"/>
        <w:ind w:firstLine="420" w:firstLineChars="200"/>
        <w:rPr>
          <w:rFonts w:hint="eastAsia"/>
          <w:color w:val="auto"/>
          <w:highlight w:val="none"/>
        </w:rPr>
      </w:pPr>
      <w:r>
        <w:rPr>
          <w:rFonts w:hint="eastAsia"/>
          <w:color w:val="auto"/>
          <w:highlight w:val="none"/>
        </w:rPr>
        <w:t>本项目的保险合同效力追溯期为2年，即被保险人在承保时间内发生的保险事故，在合同期满2年内可向乙方申请理赔，乙方要给予赔偿。</w:t>
      </w:r>
    </w:p>
    <w:p w14:paraId="5B19D0C9">
      <w:pP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第九条　赔付管理要求</w:t>
      </w:r>
    </w:p>
    <w:p w14:paraId="430DB6D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发生理赔时，被保险人通过乙方服务电话报案，乙方收到索赔材料齐全后，赔款金额在</w:t>
      </w:r>
      <w:r>
        <w:rPr>
          <w:rFonts w:ascii="宋体" w:hAnsi="宋体" w:cs="宋体"/>
          <w:color w:val="auto"/>
          <w:szCs w:val="21"/>
          <w:highlight w:val="none"/>
        </w:rPr>
        <w:t>5</w:t>
      </w:r>
      <w:r>
        <w:rPr>
          <w:rFonts w:hint="eastAsia" w:ascii="宋体" w:hAnsi="宋体" w:cs="宋体"/>
          <w:color w:val="auto"/>
          <w:szCs w:val="21"/>
          <w:highlight w:val="none"/>
        </w:rPr>
        <w:t>万元以下的（不含），在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个工作日内赔付完；赔款金额在</w:t>
      </w:r>
      <w:r>
        <w:rPr>
          <w:rFonts w:ascii="宋体" w:hAnsi="宋体" w:cs="宋体"/>
          <w:color w:val="auto"/>
          <w:szCs w:val="21"/>
          <w:highlight w:val="none"/>
        </w:rPr>
        <w:t>5</w:t>
      </w:r>
      <w:r>
        <w:rPr>
          <w:rFonts w:hint="eastAsia" w:ascii="宋体" w:hAnsi="宋体" w:cs="宋体"/>
          <w:color w:val="auto"/>
          <w:szCs w:val="21"/>
          <w:highlight w:val="none"/>
        </w:rPr>
        <w:t>万元以上的（含），在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个工作日内赔付完；如情形复杂无法确定是否属于保险责任的，应当在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个工作日内作出核定告知甲方及被保险人或者受益人。</w:t>
      </w:r>
    </w:p>
    <w:p w14:paraId="268699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2.对理赔案件，乙方要开通快捷方便的绿色通道，做到意外伤害赔付“立等可取”、意外死亡赔付快速兑现、特殊情况上门赔付等。对于在理赔过程中出现的问题，乙方要在</w:t>
      </w:r>
      <w:r>
        <w:rPr>
          <w:rFonts w:hint="eastAsia" w:ascii="宋体" w:hAnsi="宋体" w:cs="宋体"/>
          <w:color w:val="auto"/>
          <w:szCs w:val="21"/>
          <w:highlight w:val="none"/>
          <w:lang w:val="en-US" w:eastAsia="zh-CN"/>
        </w:rPr>
        <w:t>3个工作日内</w:t>
      </w:r>
      <w:r>
        <w:rPr>
          <w:rFonts w:hint="eastAsia" w:ascii="宋体" w:hAnsi="宋体" w:cs="宋体"/>
          <w:color w:val="auto"/>
          <w:szCs w:val="21"/>
          <w:highlight w:val="none"/>
        </w:rPr>
        <w:t>内报甲方，双方进行有效沟通并对问题进行有效解决，全力做好理赔的管控工作。</w:t>
      </w:r>
    </w:p>
    <w:p w14:paraId="5DE6C2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3.处理问题响应时间:接到被保险人报案通知后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小时内到达现场进行处理，到达现场后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小时内解决问题。</w:t>
      </w:r>
    </w:p>
    <w:p w14:paraId="69ED1DBD">
      <w:pP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第十条　付款方式</w:t>
      </w:r>
    </w:p>
    <w:p w14:paraId="5411C540">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甲乙双方同意本合同金额的支付按以下第</w:t>
      </w:r>
      <w:r>
        <w:rPr>
          <w:rFonts w:hint="eastAsia" w:ascii="宋体" w:hAnsi="宋体"/>
          <w:color w:val="auto"/>
          <w:szCs w:val="21"/>
          <w:highlight w:val="none"/>
          <w:u w:val="single"/>
        </w:rPr>
        <w:t xml:space="preserve">    </w:t>
      </w:r>
      <w:r>
        <w:rPr>
          <w:rFonts w:hint="eastAsia" w:ascii="宋体" w:hAnsi="宋体"/>
          <w:color w:val="auto"/>
          <w:szCs w:val="21"/>
          <w:highlight w:val="none"/>
        </w:rPr>
        <w:t>项约定执行：</w:t>
      </w:r>
    </w:p>
    <w:p w14:paraId="03316E64">
      <w:pPr>
        <w:pStyle w:val="75"/>
        <w:numPr>
          <w:ilvl w:val="0"/>
          <w:numId w:val="3"/>
        </w:numPr>
        <w:spacing w:line="360" w:lineRule="auto"/>
        <w:ind w:firstLineChars="0"/>
        <w:rPr>
          <w:rFonts w:hint="eastAsia" w:ascii="宋体" w:hAnsi="宋体"/>
          <w:color w:val="auto"/>
          <w:szCs w:val="21"/>
          <w:highlight w:val="none"/>
        </w:rPr>
      </w:pPr>
      <w:r>
        <w:rPr>
          <w:rFonts w:hint="eastAsia" w:ascii="宋体" w:hAnsi="宋体"/>
          <w:color w:val="auto"/>
          <w:szCs w:val="21"/>
          <w:highlight w:val="none"/>
        </w:rPr>
        <w:t>一次性支付</w:t>
      </w:r>
    </w:p>
    <w:p w14:paraId="32528A9B">
      <w:pPr>
        <w:spacing w:line="360" w:lineRule="auto"/>
        <w:ind w:firstLine="420" w:firstLineChars="200"/>
        <w:rPr>
          <w:rFonts w:ascii="宋体" w:hAnsi="宋体"/>
          <w:color w:val="auto"/>
          <w:szCs w:val="21"/>
          <w:highlight w:val="none"/>
        </w:rPr>
      </w:pPr>
      <w:r>
        <w:rPr>
          <w:rFonts w:ascii="宋体" w:hAnsi="宋体"/>
          <w:color w:val="auto"/>
          <w:szCs w:val="21"/>
          <w:highlight w:val="none"/>
        </w:rPr>
        <w:t>合同签订后</w:t>
      </w:r>
      <w:r>
        <w:rPr>
          <w:rFonts w:hint="eastAsia" w:ascii="宋体" w:hAnsi="宋体"/>
          <w:color w:val="auto"/>
          <w:szCs w:val="21"/>
          <w:highlight w:val="none"/>
        </w:rPr>
        <w:t>，</w:t>
      </w:r>
      <w:r>
        <w:rPr>
          <w:rFonts w:ascii="宋体" w:hAnsi="宋体"/>
          <w:color w:val="auto"/>
          <w:szCs w:val="21"/>
          <w:highlight w:val="none"/>
        </w:rPr>
        <w:t>在财政资金下达甲方账户后且具备支付条件之日10个工作日内一次性支付</w:t>
      </w:r>
      <w:r>
        <w:rPr>
          <w:rFonts w:hint="eastAsia" w:ascii="宋体" w:hAnsi="宋体"/>
          <w:color w:val="auto"/>
          <w:szCs w:val="21"/>
          <w:highlight w:val="none"/>
        </w:rPr>
        <w:t>保费</w:t>
      </w:r>
      <w:r>
        <w:rPr>
          <w:rFonts w:ascii="宋体" w:hAnsi="宋体"/>
          <w:color w:val="auto"/>
          <w:szCs w:val="21"/>
          <w:highlight w:val="none"/>
        </w:rPr>
        <w:t>。</w:t>
      </w:r>
    </w:p>
    <w:p w14:paraId="1E507DE5">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2、分期支付</w:t>
      </w:r>
    </w:p>
    <w:p w14:paraId="16CA455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第十一条  履约保证金</w:t>
      </w:r>
    </w:p>
    <w:p w14:paraId="7C240699">
      <w:pPr>
        <w:spacing w:line="360" w:lineRule="auto"/>
        <w:ind w:firstLine="420" w:firstLineChars="200"/>
        <w:rPr>
          <w:rFonts w:hint="eastAsia" w:ascii="宋体" w:hAnsi="宋体" w:cs="Courier New"/>
          <w:bCs/>
          <w:color w:val="auto"/>
          <w:kern w:val="0"/>
          <w:szCs w:val="21"/>
          <w:highlight w:val="none"/>
        </w:rPr>
      </w:pPr>
      <w:r>
        <w:rPr>
          <w:rFonts w:hint="eastAsia" w:ascii="宋体" w:hAnsi="宋体" w:cs="Courier New"/>
          <w:bCs/>
          <w:color w:val="auto"/>
          <w:kern w:val="0"/>
          <w:szCs w:val="21"/>
          <w:highlight w:val="none"/>
        </w:rPr>
        <w:t>履约保证金金额：按成交金额的</w:t>
      </w:r>
      <w:r>
        <w:rPr>
          <w:rFonts w:hint="eastAsia" w:ascii="宋体" w:hAnsi="宋体" w:cs="Courier New"/>
          <w:bCs/>
          <w:color w:val="auto"/>
          <w:kern w:val="0"/>
          <w:szCs w:val="21"/>
          <w:highlight w:val="none"/>
          <w:lang w:val="en-US" w:eastAsia="zh-CN"/>
        </w:rPr>
        <w:t>2</w:t>
      </w:r>
      <w:r>
        <w:rPr>
          <w:rFonts w:hint="eastAsia" w:ascii="宋体" w:hAnsi="宋体" w:cs="Courier New"/>
          <w:bCs/>
          <w:color w:val="auto"/>
          <w:kern w:val="0"/>
          <w:szCs w:val="21"/>
          <w:highlight w:val="none"/>
        </w:rPr>
        <w:t>%收取。</w:t>
      </w:r>
    </w:p>
    <w:p w14:paraId="19BDB7E3">
      <w:pPr>
        <w:spacing w:line="360" w:lineRule="auto"/>
        <w:ind w:firstLine="420" w:firstLineChars="200"/>
        <w:rPr>
          <w:rFonts w:hint="eastAsia" w:ascii="宋体" w:hAnsi="宋体" w:cs="Courier New"/>
          <w:bCs/>
          <w:color w:val="auto"/>
          <w:kern w:val="0"/>
          <w:szCs w:val="21"/>
          <w:highlight w:val="none"/>
        </w:rPr>
      </w:pPr>
      <w:r>
        <w:rPr>
          <w:rFonts w:hint="eastAsia" w:ascii="宋体" w:hAnsi="宋体" w:cs="Courier New"/>
          <w:bCs/>
          <w:color w:val="auto"/>
          <w:kern w:val="0"/>
          <w:szCs w:val="21"/>
          <w:highlight w:val="none"/>
        </w:rPr>
        <w:t>履约保证金递交方式：银行转账、支票、汇票、本票或者银行、保险机构出具的保函等非现金方式。</w:t>
      </w:r>
    </w:p>
    <w:p w14:paraId="4076EE30">
      <w:pPr>
        <w:spacing w:line="360" w:lineRule="auto"/>
        <w:ind w:firstLine="420" w:firstLineChars="200"/>
        <w:rPr>
          <w:rFonts w:hint="eastAsia" w:ascii="宋体" w:hAnsi="宋体" w:cs="Courier New"/>
          <w:bCs/>
          <w:color w:val="auto"/>
          <w:kern w:val="0"/>
          <w:szCs w:val="21"/>
          <w:highlight w:val="none"/>
        </w:rPr>
      </w:pPr>
      <w:r>
        <w:rPr>
          <w:rFonts w:hint="eastAsia" w:ascii="宋体" w:hAnsi="宋体" w:cs="Courier New"/>
          <w:bCs/>
          <w:color w:val="auto"/>
          <w:kern w:val="0"/>
          <w:szCs w:val="21"/>
          <w:highlight w:val="none"/>
        </w:rPr>
        <w:t>履约保证金退付方式、时间及条件：履约完毕（保单失效后），由乙方向履约保证金收取单位提供《广西壮族自治区政府采购项目合同验收书》及《政府采购项目履约保证金退付意见书》，保证金收取单位在收到合格材料后5个工作日内办理退还手续（不计利息）。</w:t>
      </w:r>
    </w:p>
    <w:p w14:paraId="70F38EC2">
      <w:pPr>
        <w:spacing w:line="360" w:lineRule="auto"/>
        <w:ind w:firstLine="420" w:firstLineChars="200"/>
        <w:rPr>
          <w:rFonts w:hint="eastAsia" w:ascii="宋体" w:hAnsi="宋体" w:cs="Courier New"/>
          <w:bCs/>
          <w:color w:val="auto"/>
          <w:kern w:val="0"/>
          <w:szCs w:val="21"/>
          <w:highlight w:val="none"/>
          <w:u w:val="single"/>
        </w:rPr>
      </w:pPr>
      <w:r>
        <w:rPr>
          <w:rFonts w:hint="eastAsia" w:ascii="宋体" w:hAnsi="宋体" w:cs="Courier New"/>
          <w:bCs/>
          <w:color w:val="auto"/>
          <w:kern w:val="0"/>
          <w:szCs w:val="21"/>
          <w:highlight w:val="none"/>
        </w:rPr>
        <w:t>履约保证金提交时间：自成交通知书发出之日起</w:t>
      </w:r>
      <w:r>
        <w:rPr>
          <w:rFonts w:ascii="宋体" w:hAnsi="宋体" w:cs="Courier New"/>
          <w:bCs/>
          <w:color w:val="auto"/>
          <w:kern w:val="0"/>
          <w:szCs w:val="21"/>
          <w:highlight w:val="none"/>
          <w:u w:val="single"/>
        </w:rPr>
        <w:t>7</w:t>
      </w:r>
      <w:r>
        <w:rPr>
          <w:rFonts w:hint="eastAsia" w:ascii="宋体" w:hAnsi="宋体" w:cs="Courier New"/>
          <w:bCs/>
          <w:color w:val="auto"/>
          <w:kern w:val="0"/>
          <w:szCs w:val="21"/>
          <w:highlight w:val="none"/>
        </w:rPr>
        <w:t>日内。</w:t>
      </w:r>
    </w:p>
    <w:p w14:paraId="649B59D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税费</w:t>
      </w:r>
    </w:p>
    <w:p w14:paraId="41E944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627C8F3E">
      <w:pPr>
        <w:tabs>
          <w:tab w:val="left" w:pos="420"/>
        </w:tabs>
        <w:spacing w:line="360" w:lineRule="auto"/>
        <w:ind w:firstLine="413" w:firstLineChars="196"/>
        <w:rPr>
          <w:rFonts w:ascii="宋体" w:hAnsi="宋体" w:cs="宋体"/>
          <w:b/>
          <w:bCs/>
          <w:color w:val="auto"/>
          <w:szCs w:val="21"/>
          <w:highlight w:val="none"/>
        </w:rPr>
      </w:pPr>
      <w:r>
        <w:rPr>
          <w:rFonts w:hint="eastAsia" w:ascii="宋体" w:hAnsi="宋体" w:cs="宋体"/>
          <w:b/>
          <w:color w:val="auto"/>
          <w:szCs w:val="21"/>
          <w:highlight w:val="none"/>
        </w:rPr>
        <w:t>第十三条　</w:t>
      </w:r>
      <w:r>
        <w:rPr>
          <w:rFonts w:hint="eastAsia" w:ascii="宋体" w:hAnsi="宋体" w:cs="宋体"/>
          <w:b/>
          <w:bCs/>
          <w:color w:val="auto"/>
          <w:szCs w:val="21"/>
          <w:highlight w:val="none"/>
        </w:rPr>
        <w:t>违约责任与赔偿损失</w:t>
      </w:r>
    </w:p>
    <w:p w14:paraId="6FC2037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1.乙方提供的服务不符合采购文件、响应文件或本合同规定的，甲方有权要求其整改，甲方有权要求乙方按逾期提供服务承担违约责任，并向乙方收取本合同总价5%的违约金。</w:t>
      </w:r>
    </w:p>
    <w:p w14:paraId="0902C50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2.乙方未能按本合同规定的期限提供服务的，从逾期之日起甲方有权向乙方每日按本合同总价0</w:t>
      </w:r>
      <w:r>
        <w:rPr>
          <w:rFonts w:ascii="宋体" w:hAnsi="宋体" w:cs="宋体"/>
          <w:bCs/>
          <w:color w:val="auto"/>
          <w:szCs w:val="21"/>
          <w:highlight w:val="none"/>
        </w:rPr>
        <w:t>.</w:t>
      </w:r>
      <w:r>
        <w:rPr>
          <w:rFonts w:hint="eastAsia" w:ascii="宋体" w:hAnsi="宋体" w:cs="宋体"/>
          <w:bCs/>
          <w:color w:val="auto"/>
          <w:szCs w:val="21"/>
          <w:highlight w:val="none"/>
        </w:rPr>
        <w:t>3‰的数额收取违约金；逾期15天以上（含15天）的，甲方有权</w:t>
      </w:r>
      <w:r>
        <w:rPr>
          <w:rFonts w:hint="eastAsia"/>
          <w:color w:val="auto"/>
          <w:highlight w:val="none"/>
          <w:lang w:eastAsia="zh-CN"/>
        </w:rPr>
        <w:t>依法</w:t>
      </w:r>
      <w:r>
        <w:rPr>
          <w:rFonts w:hint="eastAsia" w:ascii="宋体" w:hAnsi="宋体" w:cs="宋体"/>
          <w:bCs/>
          <w:color w:val="auto"/>
          <w:szCs w:val="21"/>
          <w:highlight w:val="none"/>
        </w:rPr>
        <w:t>终止合同，要求乙方退回已支付的费用，要求乙方支付违约金，并且给甲方造成的经济损失由乙方承担赔偿责任。</w:t>
      </w:r>
    </w:p>
    <w:p w14:paraId="3D3BE6D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3.甲方无正当理由</w:t>
      </w:r>
      <w:r>
        <w:rPr>
          <w:rFonts w:hint="eastAsia" w:ascii="宋体" w:hAnsi="宋体" w:cs="宋体"/>
          <w:bCs/>
          <w:color w:val="auto"/>
          <w:szCs w:val="21"/>
          <w:highlight w:val="none"/>
          <w:lang w:eastAsia="zh-CN"/>
        </w:rPr>
        <w:t>拒绝</w:t>
      </w:r>
      <w:r>
        <w:rPr>
          <w:rFonts w:hint="eastAsia" w:ascii="宋体" w:hAnsi="宋体" w:cs="宋体"/>
          <w:bCs/>
          <w:color w:val="auto"/>
          <w:szCs w:val="21"/>
          <w:highlight w:val="none"/>
        </w:rPr>
        <w:t>接受服务，到期拒付服务款项的，甲方向乙方偿付本合同总价5%的违约金。甲方逾期付款，则每日按本合同总价的0</w:t>
      </w:r>
      <w:r>
        <w:rPr>
          <w:rFonts w:ascii="宋体" w:hAnsi="宋体" w:cs="宋体"/>
          <w:bCs/>
          <w:color w:val="auto"/>
          <w:szCs w:val="21"/>
          <w:highlight w:val="none"/>
        </w:rPr>
        <w:t>.</w:t>
      </w:r>
      <w:r>
        <w:rPr>
          <w:rFonts w:hint="eastAsia" w:ascii="宋体" w:hAnsi="宋体" w:cs="宋体"/>
          <w:bCs/>
          <w:color w:val="auto"/>
          <w:szCs w:val="21"/>
          <w:highlight w:val="none"/>
        </w:rPr>
        <w:t>3‰向乙方偿付违约金，总额不超过合同总金额的5</w:t>
      </w:r>
      <w:r>
        <w:rPr>
          <w:rFonts w:ascii="宋体" w:hAnsi="宋体" w:cs="宋体"/>
          <w:bCs/>
          <w:color w:val="auto"/>
          <w:szCs w:val="21"/>
          <w:highlight w:val="none"/>
        </w:rPr>
        <w:t>%</w:t>
      </w:r>
      <w:r>
        <w:rPr>
          <w:rFonts w:hint="eastAsia" w:ascii="宋体" w:hAnsi="宋体" w:cs="宋体"/>
          <w:bCs/>
          <w:color w:val="auto"/>
          <w:szCs w:val="21"/>
          <w:highlight w:val="none"/>
        </w:rPr>
        <w:t>。</w:t>
      </w:r>
    </w:p>
    <w:p w14:paraId="0D65235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4.本合同所称损失是指一方因此而遭受的全部经济损失（包括但不限于直接损失、间接损失及实现债权的费用，如诉讼费、律师费、差旅费、调查费、财产保全责任险保险费等）。</w:t>
      </w:r>
    </w:p>
    <w:p w14:paraId="62A736A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5.甲方有权从乙方的履约保证金中扣除乙方的违约金、赔偿金，不足另补。</w:t>
      </w:r>
    </w:p>
    <w:p w14:paraId="0BC400F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6.其它违约责任按《中华人民共和国民法典》处理。</w:t>
      </w:r>
    </w:p>
    <w:p w14:paraId="58360BE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不可抗力事件处理</w:t>
      </w:r>
    </w:p>
    <w:p w14:paraId="4E9EB6A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D9BD9E5">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合同争议解决</w:t>
      </w:r>
    </w:p>
    <w:p w14:paraId="526F1B6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合同执行过程中发生的任何争议，如双方不能通过友好协商解决，甲、乙双方一致同意向甲方所在地人民法院提起诉讼。</w:t>
      </w:r>
    </w:p>
    <w:p w14:paraId="177BEA3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第十六条  合同生效及其它</w:t>
      </w:r>
    </w:p>
    <w:p w14:paraId="576F9A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1、合同经双方法定代表人或者授权代表签字并加盖单位公章后生效（委托代理人签字的需后附授权委托书，格式自拟）。</w:t>
      </w:r>
    </w:p>
    <w:p w14:paraId="72574A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2、合同执行中涉及采购资金和采购内容修改或者补充的，须经财政部门审批，并签书面补充协议报财政部门备案，方可作为主合同不可分割的一部分。</w:t>
      </w:r>
    </w:p>
    <w:p w14:paraId="72BFB9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4B81832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第十七条　合同的变更、终止与转让</w:t>
      </w:r>
    </w:p>
    <w:p w14:paraId="208039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1BC2DA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2B0D9F0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第十八条　签订本合同依据</w:t>
      </w:r>
    </w:p>
    <w:p w14:paraId="565311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成交通知书</w:t>
      </w:r>
      <w:r>
        <w:rPr>
          <w:rFonts w:hint="eastAsia" w:ascii="宋体" w:hAnsi="宋体" w:cs="宋体"/>
          <w:color w:val="auto"/>
          <w:szCs w:val="21"/>
          <w:highlight w:val="none"/>
        </w:rPr>
        <w:t>；</w:t>
      </w:r>
    </w:p>
    <w:p w14:paraId="3DC3DB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2、竞标报价表；</w:t>
      </w:r>
    </w:p>
    <w:p w14:paraId="5CDDAF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3、商务要求偏离表和技术要求偏离表；</w:t>
      </w:r>
    </w:p>
    <w:p w14:paraId="5F9A843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、服务方案；</w:t>
      </w:r>
    </w:p>
    <w:p w14:paraId="172482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5、响应文件中的其他相关文件。</w:t>
      </w:r>
    </w:p>
    <w:p w14:paraId="100CCCC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76CB00EA">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第十九条　</w:t>
      </w:r>
      <w:r>
        <w:rPr>
          <w:rFonts w:hint="eastAsia" w:ascii="宋体" w:hAnsi="宋体" w:cs="宋体"/>
          <w:color w:val="auto"/>
          <w:szCs w:val="21"/>
          <w:highlight w:val="none"/>
        </w:rPr>
        <w:t>本合同一式四份，具有同等法律效力，财政部门（政府采购监管部门）、采购代理机构各一份，甲乙双方各一份（可根据需要另增加）。</w:t>
      </w:r>
    </w:p>
    <w:p w14:paraId="3100DF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本合同甲乙双方签字盖章后生效，自签订之日起七个工作日内，甲方应当将合同副本报同级财政部门备案。</w:t>
      </w:r>
    </w:p>
    <w:p w14:paraId="5A862A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8"/>
        <w:tblpPr w:leftFromText="180" w:rightFromText="180" w:vertAnchor="text" w:horzAnchor="margin" w:tblpY="2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4F00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5A56421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14:paraId="687FC2D0">
            <w:pPr>
              <w:spacing w:line="360" w:lineRule="auto"/>
              <w:rPr>
                <w:rFonts w:hint="eastAsia" w:ascii="宋体" w:hAnsi="宋体" w:cs="宋体"/>
                <w:color w:val="auto"/>
                <w:szCs w:val="21"/>
                <w:highlight w:val="none"/>
              </w:rPr>
            </w:pPr>
          </w:p>
          <w:p w14:paraId="2CDF6554">
            <w:pPr>
              <w:spacing w:line="360" w:lineRule="auto"/>
              <w:rPr>
                <w:rFonts w:hint="eastAsia" w:ascii="宋体" w:hAnsi="宋体" w:cs="宋体"/>
                <w:color w:val="auto"/>
                <w:szCs w:val="21"/>
                <w:highlight w:val="none"/>
              </w:rPr>
            </w:pPr>
          </w:p>
          <w:p w14:paraId="36426A6D">
            <w:pPr>
              <w:spacing w:line="360" w:lineRule="auto"/>
              <w:ind w:firstLine="945" w:firstLineChars="450"/>
              <w:jc w:val="right"/>
              <w:rPr>
                <w:rFonts w:hint="eastAsia" w:ascii="宋体" w:hAnsi="宋体" w:cs="宋体"/>
                <w:color w:val="auto"/>
                <w:szCs w:val="21"/>
                <w:highlight w:val="none"/>
              </w:rPr>
            </w:pPr>
          </w:p>
          <w:p w14:paraId="17FAFCAA">
            <w:pPr>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4154D08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0BD168CA">
            <w:pPr>
              <w:spacing w:line="360" w:lineRule="auto"/>
              <w:rPr>
                <w:rFonts w:hint="eastAsia" w:ascii="宋体" w:hAnsi="宋体" w:cs="宋体"/>
                <w:color w:val="auto"/>
                <w:szCs w:val="21"/>
                <w:highlight w:val="none"/>
              </w:rPr>
            </w:pPr>
          </w:p>
          <w:p w14:paraId="65EA5F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87D72B4">
            <w:pPr>
              <w:spacing w:line="360" w:lineRule="auto"/>
              <w:jc w:val="right"/>
              <w:rPr>
                <w:rFonts w:hint="eastAsia" w:ascii="宋体" w:hAnsi="宋体" w:cs="宋体"/>
                <w:color w:val="auto"/>
                <w:szCs w:val="21"/>
                <w:highlight w:val="none"/>
              </w:rPr>
            </w:pPr>
          </w:p>
          <w:p w14:paraId="3A2BD8F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1835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EB732B2">
            <w:pPr>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vAlign w:val="center"/>
          </w:tcPr>
          <w:p w14:paraId="1732834F">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2B03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6892F32">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13D7540A">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217E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9473DBB">
            <w:pPr>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7CAEBD71">
            <w:pPr>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7229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D63FD63">
            <w:pPr>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291B6973">
            <w:pPr>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235C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ABB25B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0220D9A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6627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BD50274">
            <w:pPr>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386CEE0A">
            <w:pPr>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5AD2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B4E1570">
            <w:pPr>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7980B3A9">
            <w:pPr>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26FCBE4F">
      <w:pPr>
        <w:spacing w:line="340" w:lineRule="exact"/>
        <w:jc w:val="center"/>
        <w:rPr>
          <w:rFonts w:ascii="宋体" w:hAnsi="宋体"/>
          <w:b/>
          <w:color w:val="auto"/>
          <w:sz w:val="28"/>
          <w:szCs w:val="28"/>
          <w:highlight w:val="none"/>
        </w:rPr>
      </w:pPr>
      <w:r>
        <w:rPr>
          <w:rFonts w:ascii="宋体" w:hAnsi="宋体"/>
          <w:b/>
          <w:color w:val="auto"/>
          <w:sz w:val="28"/>
          <w:szCs w:val="28"/>
          <w:highlight w:val="none"/>
        </w:rPr>
        <w:br w:type="page"/>
      </w:r>
    </w:p>
    <w:p w14:paraId="262BA4E2">
      <w:pPr>
        <w:spacing w:line="340" w:lineRule="exact"/>
        <w:rPr>
          <w:rFonts w:ascii="宋体" w:hAnsi="宋体"/>
          <w:b/>
          <w:color w:val="auto"/>
          <w:sz w:val="28"/>
          <w:szCs w:val="28"/>
          <w:highlight w:val="none"/>
        </w:rPr>
      </w:pPr>
    </w:p>
    <w:p w14:paraId="2AD6E6E0">
      <w:pPr>
        <w:spacing w:line="340" w:lineRule="exact"/>
        <w:jc w:val="center"/>
        <w:rPr>
          <w:rFonts w:ascii="宋体" w:hAnsi="宋体"/>
          <w:b/>
          <w:color w:val="auto"/>
          <w:sz w:val="28"/>
          <w:szCs w:val="28"/>
          <w:highlight w:val="none"/>
        </w:rPr>
      </w:pPr>
      <w:r>
        <w:rPr>
          <w:rFonts w:hint="eastAsia" w:ascii="宋体" w:hAnsi="宋体"/>
          <w:b/>
          <w:color w:val="auto"/>
          <w:sz w:val="32"/>
          <w:szCs w:val="32"/>
          <w:highlight w:val="none"/>
        </w:rPr>
        <w:t>合 同 附 件</w:t>
      </w:r>
    </w:p>
    <w:tbl>
      <w:tblPr>
        <w:tblStyle w:val="8"/>
        <w:tblW w:w="0" w:type="auto"/>
        <w:jc w:val="center"/>
        <w:tblLayout w:type="fixed"/>
        <w:tblCellMar>
          <w:top w:w="0" w:type="dxa"/>
          <w:left w:w="108" w:type="dxa"/>
          <w:bottom w:w="0" w:type="dxa"/>
          <w:right w:w="108" w:type="dxa"/>
        </w:tblCellMar>
      </w:tblPr>
      <w:tblGrid>
        <w:gridCol w:w="4263"/>
        <w:gridCol w:w="4259"/>
      </w:tblGrid>
      <w:tr w14:paraId="3A1F682A">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bottom w:val="nil"/>
              <w:right w:val="single" w:color="auto" w:sz="4" w:space="0"/>
            </w:tcBorders>
            <w:vAlign w:val="top"/>
          </w:tcPr>
          <w:p w14:paraId="0272B342">
            <w:pPr>
              <w:spacing w:line="340" w:lineRule="exact"/>
              <w:rPr>
                <w:rFonts w:ascii="宋体" w:hAnsi="宋体"/>
                <w:b/>
                <w:color w:val="auto"/>
                <w:szCs w:val="21"/>
                <w:highlight w:val="none"/>
              </w:rPr>
            </w:pPr>
            <w:r>
              <w:rPr>
                <w:rFonts w:hint="eastAsia" w:ascii="宋体" w:hAnsi="宋体"/>
                <w:b/>
                <w:color w:val="auto"/>
                <w:szCs w:val="21"/>
                <w:highlight w:val="none"/>
              </w:rPr>
              <w:t>1. 供应商承诺具体事项：</w:t>
            </w:r>
          </w:p>
        </w:tc>
      </w:tr>
      <w:tr w14:paraId="085C4EE9">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bottom w:val="nil"/>
              <w:right w:val="single" w:color="auto" w:sz="4" w:space="0"/>
            </w:tcBorders>
            <w:vAlign w:val="top"/>
          </w:tcPr>
          <w:p w14:paraId="1F2F6283">
            <w:pPr>
              <w:spacing w:line="340" w:lineRule="exact"/>
              <w:rPr>
                <w:rFonts w:ascii="宋体" w:hAnsi="宋体"/>
                <w:b/>
                <w:color w:val="auto"/>
                <w:szCs w:val="21"/>
                <w:highlight w:val="none"/>
              </w:rPr>
            </w:pPr>
            <w:r>
              <w:rPr>
                <w:rFonts w:hint="eastAsia" w:ascii="宋体" w:hAnsi="宋体"/>
                <w:b/>
                <w:color w:val="auto"/>
                <w:szCs w:val="21"/>
                <w:highlight w:val="none"/>
              </w:rPr>
              <w:t>2.服务具体事项：</w:t>
            </w:r>
          </w:p>
        </w:tc>
      </w:tr>
      <w:tr w14:paraId="00898A0D">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bottom w:val="nil"/>
              <w:right w:val="single" w:color="auto" w:sz="4" w:space="0"/>
            </w:tcBorders>
            <w:vAlign w:val="top"/>
          </w:tcPr>
          <w:p w14:paraId="1CD1F81F">
            <w:pPr>
              <w:spacing w:line="340" w:lineRule="exact"/>
              <w:rPr>
                <w:rFonts w:ascii="宋体" w:hAnsi="宋体"/>
                <w:b/>
                <w:color w:val="auto"/>
                <w:szCs w:val="21"/>
                <w:highlight w:val="none"/>
              </w:rPr>
            </w:pPr>
            <w:r>
              <w:rPr>
                <w:rFonts w:hint="eastAsia" w:ascii="宋体" w:hAnsi="宋体"/>
                <w:b/>
                <w:color w:val="auto"/>
                <w:szCs w:val="21"/>
                <w:highlight w:val="none"/>
              </w:rPr>
              <w:t>3. 服务期责任：</w:t>
            </w:r>
          </w:p>
        </w:tc>
      </w:tr>
      <w:tr w14:paraId="1D966A7E">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bottom w:val="nil"/>
              <w:right w:val="single" w:color="auto" w:sz="4" w:space="0"/>
            </w:tcBorders>
            <w:vAlign w:val="top"/>
          </w:tcPr>
          <w:p w14:paraId="6D4F02A1">
            <w:pPr>
              <w:spacing w:line="340" w:lineRule="exact"/>
              <w:rPr>
                <w:rFonts w:ascii="宋体" w:hAnsi="宋体"/>
                <w:b/>
                <w:color w:val="auto"/>
                <w:szCs w:val="21"/>
                <w:highlight w:val="none"/>
              </w:rPr>
            </w:pPr>
            <w:r>
              <w:rPr>
                <w:rFonts w:hint="eastAsia" w:ascii="宋体" w:hAnsi="宋体"/>
                <w:b/>
                <w:color w:val="auto"/>
                <w:szCs w:val="21"/>
                <w:highlight w:val="none"/>
              </w:rPr>
              <w:t>4. 其他具体事项：</w:t>
            </w:r>
          </w:p>
        </w:tc>
      </w:tr>
      <w:tr w14:paraId="5EB0C342">
        <w:tblPrEx>
          <w:tblCellMar>
            <w:top w:w="0" w:type="dxa"/>
            <w:left w:w="108" w:type="dxa"/>
            <w:bottom w:w="0" w:type="dxa"/>
            <w:right w:w="108" w:type="dxa"/>
          </w:tblCellMar>
        </w:tblPrEx>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vAlign w:val="center"/>
          </w:tcPr>
          <w:p w14:paraId="38209622">
            <w:pPr>
              <w:spacing w:line="340" w:lineRule="exact"/>
              <w:rPr>
                <w:rFonts w:ascii="宋体" w:hAnsi="宋体"/>
                <w:b/>
                <w:color w:val="auto"/>
                <w:szCs w:val="21"/>
                <w:highlight w:val="none"/>
              </w:rPr>
            </w:pPr>
            <w:r>
              <w:rPr>
                <w:rFonts w:hint="eastAsia" w:ascii="宋体" w:hAnsi="宋体"/>
                <w:b/>
                <w:color w:val="auto"/>
                <w:szCs w:val="21"/>
                <w:highlight w:val="none"/>
              </w:rPr>
              <w:t>甲方（章）</w:t>
            </w:r>
          </w:p>
          <w:p w14:paraId="606CE337">
            <w:pPr>
              <w:spacing w:line="340" w:lineRule="exact"/>
              <w:ind w:firstLine="422" w:firstLineChars="200"/>
              <w:rPr>
                <w:rFonts w:ascii="宋体" w:hAnsi="宋体"/>
                <w:b/>
                <w:color w:val="auto"/>
                <w:szCs w:val="21"/>
                <w:highlight w:val="none"/>
              </w:rPr>
            </w:pPr>
          </w:p>
          <w:p w14:paraId="34645CE4">
            <w:pPr>
              <w:spacing w:line="340" w:lineRule="exact"/>
              <w:rPr>
                <w:rFonts w:ascii="宋体" w:hAnsi="宋体"/>
                <w:b/>
                <w:color w:val="auto"/>
                <w:szCs w:val="21"/>
                <w:highlight w:val="none"/>
              </w:rPr>
            </w:pPr>
          </w:p>
          <w:p w14:paraId="2A86568C">
            <w:pPr>
              <w:spacing w:line="34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                      年   月   日 </w:t>
            </w:r>
          </w:p>
        </w:tc>
        <w:tc>
          <w:tcPr>
            <w:tcW w:w="4259" w:type="dxa"/>
            <w:tcBorders>
              <w:top w:val="single" w:color="auto" w:sz="4" w:space="0"/>
              <w:left w:val="single" w:color="auto" w:sz="4" w:space="0"/>
              <w:bottom w:val="single" w:color="auto" w:sz="4" w:space="0"/>
              <w:right w:val="single" w:color="auto" w:sz="4" w:space="0"/>
            </w:tcBorders>
            <w:vAlign w:val="center"/>
          </w:tcPr>
          <w:p w14:paraId="683AA6EA">
            <w:pPr>
              <w:spacing w:line="340" w:lineRule="exact"/>
              <w:rPr>
                <w:rFonts w:ascii="宋体" w:hAnsi="宋体"/>
                <w:b/>
                <w:color w:val="auto"/>
                <w:szCs w:val="21"/>
                <w:highlight w:val="none"/>
              </w:rPr>
            </w:pPr>
            <w:r>
              <w:rPr>
                <w:rFonts w:hint="eastAsia" w:ascii="宋体" w:hAnsi="宋体"/>
                <w:b/>
                <w:color w:val="auto"/>
                <w:szCs w:val="21"/>
                <w:highlight w:val="none"/>
              </w:rPr>
              <w:t>乙方（章）</w:t>
            </w:r>
          </w:p>
          <w:p w14:paraId="2685A843">
            <w:pPr>
              <w:spacing w:line="340" w:lineRule="exact"/>
              <w:ind w:firstLine="422" w:firstLineChars="200"/>
              <w:rPr>
                <w:rFonts w:ascii="宋体" w:hAnsi="宋体"/>
                <w:b/>
                <w:color w:val="auto"/>
                <w:szCs w:val="21"/>
                <w:highlight w:val="none"/>
              </w:rPr>
            </w:pPr>
          </w:p>
          <w:p w14:paraId="190CF4CF">
            <w:pPr>
              <w:spacing w:line="340" w:lineRule="exact"/>
              <w:rPr>
                <w:rFonts w:ascii="宋体" w:hAnsi="宋体"/>
                <w:b/>
                <w:color w:val="auto"/>
                <w:szCs w:val="21"/>
                <w:highlight w:val="none"/>
              </w:rPr>
            </w:pPr>
          </w:p>
          <w:p w14:paraId="30DF7B12">
            <w:pPr>
              <w:spacing w:line="34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                      年   月   日</w:t>
            </w:r>
          </w:p>
        </w:tc>
      </w:tr>
    </w:tbl>
    <w:p w14:paraId="787622AA">
      <w:pPr>
        <w:spacing w:line="340" w:lineRule="exact"/>
        <w:jc w:val="left"/>
        <w:rPr>
          <w:rFonts w:ascii="宋体" w:hAnsi="宋体"/>
          <w:color w:val="auto"/>
          <w:szCs w:val="21"/>
          <w:highlight w:val="none"/>
        </w:rPr>
      </w:pPr>
      <w:r>
        <w:rPr>
          <w:rFonts w:hint="eastAsia" w:ascii="宋体" w:hAnsi="宋体"/>
          <w:color w:val="auto"/>
          <w:szCs w:val="21"/>
          <w:highlight w:val="none"/>
        </w:rPr>
        <w:t xml:space="preserve"> 注：服务事项填不下时可另加附页</w:t>
      </w:r>
    </w:p>
    <w:p w14:paraId="1B225ABD">
      <w:pPr>
        <w:spacing w:line="520" w:lineRule="exact"/>
        <w:rPr>
          <w:rFonts w:ascii="宋体" w:hAnsi="宋体" w:cs="宋体"/>
          <w:color w:val="auto"/>
          <w:sz w:val="6"/>
          <w:szCs w:val="6"/>
          <w:highlight w:val="none"/>
        </w:rPr>
      </w:pPr>
    </w:p>
    <w:p w14:paraId="43AB8BDA">
      <w:pPr>
        <w:spacing w:line="520" w:lineRule="exact"/>
        <w:rPr>
          <w:rFonts w:ascii="宋体" w:hAnsi="宋体" w:cs="宋体"/>
          <w:color w:val="auto"/>
          <w:sz w:val="6"/>
          <w:szCs w:val="6"/>
          <w:highlight w:val="none"/>
        </w:rPr>
      </w:pPr>
    </w:p>
    <w:sectPr>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BE7E">
    <w:pPr>
      <w:pStyle w:val="39"/>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805DE6">
                          <w:pPr>
                            <w:pStyle w:val="3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tJWMsBAACc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bSVjLAQAAnAMAAA4AAAAAAAAAAQAgAAAAHgEAAGRycy9lMm9E&#10;b2MueG1sUEsFBgAAAAAGAAYAWQEAAFsFAAAAAA==&#10;">
              <v:fill on="f" focussize="0,0"/>
              <v:stroke on="f"/>
              <v:imagedata o:title=""/>
              <o:lock v:ext="edit" aspectratio="f"/>
              <v:textbox inset="0mm,0mm,0mm,0mm" style="mso-fit-shape-to-text:t;">
                <w:txbxContent>
                  <w:p w14:paraId="64805DE6">
                    <w:pPr>
                      <w:pStyle w:val="39"/>
                    </w:pPr>
                    <w:r>
                      <w:fldChar w:fldCharType="begin"/>
                    </w:r>
                    <w:r>
                      <w:instrText xml:space="preserve"> PAGE  \* MERGEFORMAT </w:instrText>
                    </w:r>
                    <w:r>
                      <w:fldChar w:fldCharType="separate"/>
                    </w:r>
                    <w:r>
                      <w:t>1</w:t>
                    </w:r>
                    <w:r>
                      <w:fldChar w:fldCharType="end"/>
                    </w:r>
                  </w:p>
                </w:txbxContent>
              </v:textbox>
            </v:shape>
          </w:pict>
        </mc:Fallback>
      </mc:AlternateContent>
    </w:r>
  </w:p>
  <w:p w14:paraId="049C36E9">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8E6ED">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ADB9B">
    <w:pPr>
      <w:pStyle w:val="39"/>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665BD9"/>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58665BD9"/>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E1EAC">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31CC0">
                          <w:pPr>
                            <w:pStyle w:val="39"/>
                            <w:jc w:val="center"/>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ZWcsBAACc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7Is&#10;VmV2qAtQYeNjwNbUf/B97p7ygMksvFfR5jdKIlhHf08Xf2WfiMgflauyLLAksDYfEIc9fR4ipI/S&#10;W5KDmka8wMFXfryHNLbOLXma83faGMzzyrh/EoiZMyxzHznmKPW7fiK+880J9XR49zV1uOqUmE8O&#10;rc1rMgdxDnZzcAhR71ukthx4Qbg9JCQxcMsTRthpMF7aoG5asLwVz89D19N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k62VnLAQAAnAMAAA4AAAAAAAAAAQAgAAAAHgEAAGRycy9lMm9E&#10;b2MueG1sUEsFBgAAAAAGAAYAWQEAAFsFAAAAAA==&#10;">
              <v:fill on="f" focussize="0,0"/>
              <v:stroke on="f"/>
              <v:imagedata o:title=""/>
              <o:lock v:ext="edit" aspectratio="f"/>
              <v:textbox inset="0mm,0mm,0mm,0mm" style="mso-fit-shape-to-text:t;">
                <w:txbxContent>
                  <w:p w14:paraId="64531CC0">
                    <w:pPr>
                      <w:pStyle w:val="39"/>
                      <w:jc w:val="center"/>
                    </w:pPr>
                    <w:r>
                      <w:fldChar w:fldCharType="begin"/>
                    </w:r>
                    <w:r>
                      <w:instrText xml:space="preserve"> PAGE  \* MERGEFORMAT </w:instrText>
                    </w:r>
                    <w:r>
                      <w:fldChar w:fldCharType="separate"/>
                    </w:r>
                    <w:r>
                      <w:t>61</w:t>
                    </w:r>
                    <w:r>
                      <w:fldChar w:fldCharType="end"/>
                    </w:r>
                  </w:p>
                </w:txbxContent>
              </v:textbox>
            </v:shape>
          </w:pict>
        </mc:Fallback>
      </mc:AlternateContent>
    </w:r>
  </w:p>
  <w:p w14:paraId="6D24CC7C">
    <w:pPr>
      <w:pStyle w:val="3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9BB7">
    <w:pPr>
      <w:pStyle w:val="3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DDE4AF">
                          <w:pPr>
                            <w:pStyle w:val="39"/>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qiBtMsBAACc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KogbTLAQAAnAMAAA4AAAAAAAAAAQAgAAAAHgEAAGRycy9lMm9E&#10;b2MueG1sUEsFBgAAAAAGAAYAWQEAAFsFAAAAAA==&#10;">
              <v:fill on="f" focussize="0,0"/>
              <v:stroke on="f"/>
              <v:imagedata o:title=""/>
              <o:lock v:ext="edit" aspectratio="f"/>
              <v:textbox inset="0mm,0mm,0mm,0mm" style="mso-fit-shape-to-text:t;">
                <w:txbxContent>
                  <w:p w14:paraId="30DDE4AF">
                    <w:pPr>
                      <w:pStyle w:val="3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6B59">
    <w:pPr>
      <w:pStyle w:val="4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96ED">
    <w:pPr>
      <w:pStyle w:val="4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7A2F1">
    <w:pPr>
      <w:pStyle w:val="4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53795"/>
    <w:multiLevelType w:val="singleLevel"/>
    <w:tmpl w:val="A8653795"/>
    <w:lvl w:ilvl="0" w:tentative="0">
      <w:start w:val="1"/>
      <w:numFmt w:val="decimal"/>
      <w:lvlText w:val="%1."/>
      <w:lvlJc w:val="left"/>
      <w:pPr>
        <w:tabs>
          <w:tab w:val="left" w:pos="312"/>
        </w:tabs>
      </w:pPr>
    </w:lvl>
  </w:abstractNum>
  <w:abstractNum w:abstractNumId="1">
    <w:nsid w:val="00000002"/>
    <w:multiLevelType w:val="multilevel"/>
    <w:tmpl w:val="0000000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C0E5065"/>
    <w:multiLevelType w:val="singleLevel"/>
    <w:tmpl w:val="2C0E5065"/>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13879"/>
    <w:rsid w:val="016A73A1"/>
    <w:rsid w:val="03435094"/>
    <w:rsid w:val="035B4320"/>
    <w:rsid w:val="062E4791"/>
    <w:rsid w:val="072232F3"/>
    <w:rsid w:val="08E64D02"/>
    <w:rsid w:val="08F35AB6"/>
    <w:rsid w:val="15285CDE"/>
    <w:rsid w:val="172A4DE7"/>
    <w:rsid w:val="19433307"/>
    <w:rsid w:val="1A670100"/>
    <w:rsid w:val="20695B39"/>
    <w:rsid w:val="20893BAC"/>
    <w:rsid w:val="22EF46E3"/>
    <w:rsid w:val="277F6EBD"/>
    <w:rsid w:val="289C089D"/>
    <w:rsid w:val="2DEC2D98"/>
    <w:rsid w:val="32D50491"/>
    <w:rsid w:val="355A1355"/>
    <w:rsid w:val="36510EE4"/>
    <w:rsid w:val="38BE57BC"/>
    <w:rsid w:val="38DD47B4"/>
    <w:rsid w:val="39BF47C3"/>
    <w:rsid w:val="39C01A60"/>
    <w:rsid w:val="3F9E5AC2"/>
    <w:rsid w:val="4ACF03B2"/>
    <w:rsid w:val="4C145881"/>
    <w:rsid w:val="51215D58"/>
    <w:rsid w:val="52A44C7E"/>
    <w:rsid w:val="52CF4C21"/>
    <w:rsid w:val="55913049"/>
    <w:rsid w:val="561B6D33"/>
    <w:rsid w:val="572A6F2E"/>
    <w:rsid w:val="5AA001B3"/>
    <w:rsid w:val="5D2B3A78"/>
    <w:rsid w:val="5DB133F7"/>
    <w:rsid w:val="5F0E5843"/>
    <w:rsid w:val="61DF0827"/>
    <w:rsid w:val="632046AC"/>
    <w:rsid w:val="6B430FCA"/>
    <w:rsid w:val="6E386F5E"/>
    <w:rsid w:val="70D64FF9"/>
    <w:rsid w:val="75BB4D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8"/>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3">
    <w:name w:val="annotation text"/>
    <w:basedOn w:val="1"/>
    <w:qFormat/>
    <w:uiPriority w:val="0"/>
    <w:pPr>
      <w:jc w:val="left"/>
    </w:pPr>
  </w:style>
  <w:style w:type="paragraph" w:styleId="4">
    <w:name w:val="Body Text"/>
    <w:basedOn w:val="1"/>
    <w:unhideWhenUsed/>
    <w:qFormat/>
    <w:uiPriority w:val="0"/>
    <w:pPr>
      <w:spacing w:after="120"/>
    </w:pPr>
  </w:style>
  <w:style w:type="paragraph" w:styleId="5">
    <w:name w:val="Block Text"/>
    <w:basedOn w:val="1"/>
    <w:qFormat/>
    <w:uiPriority w:val="99"/>
    <w:pPr>
      <w:adjustRightInd w:val="0"/>
      <w:ind w:left="420" w:right="33"/>
      <w:jc w:val="left"/>
      <w:textAlignment w:val="baseline"/>
    </w:pPr>
    <w:rPr>
      <w:kern w:val="0"/>
      <w:szCs w:val="20"/>
    </w:rPr>
  </w:style>
  <w:style w:type="paragraph" w:styleId="6">
    <w:name w:val="Plain Text"/>
    <w:basedOn w:val="1"/>
    <w:qFormat/>
    <w:uiPriority w:val="0"/>
    <w:rPr>
      <w:rFonts w:ascii="宋体" w:hAnsi="Courier New"/>
      <w:kern w:val="0"/>
      <w:sz w:val="20"/>
      <w:szCs w:val="21"/>
    </w:rPr>
  </w:style>
  <w:style w:type="paragraph" w:styleId="7">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character" w:styleId="10">
    <w:name w:val="Hyperlink"/>
    <w:basedOn w:val="9"/>
    <w:qFormat/>
    <w:uiPriority w:val="0"/>
    <w:rPr>
      <w:color w:val="0000FF"/>
      <w:u w:val="single"/>
    </w:rPr>
  </w:style>
  <w:style w:type="paragraph" w:customStyle="1" w:styleId="11">
    <w:name w:val="UserStyle_0"/>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12">
    <w:name w:val="标题 11"/>
    <w:basedOn w:val="1"/>
    <w:next w:val="1"/>
    <w:link w:val="20"/>
    <w:qFormat/>
    <w:uiPriority w:val="0"/>
    <w:pPr>
      <w:keepNext/>
      <w:keepLines/>
      <w:spacing w:before="340" w:after="330" w:line="578" w:lineRule="auto"/>
      <w:outlineLvl w:val="0"/>
    </w:pPr>
    <w:rPr>
      <w:b/>
      <w:bCs/>
      <w:kern w:val="44"/>
      <w:sz w:val="44"/>
      <w:szCs w:val="44"/>
    </w:rPr>
  </w:style>
  <w:style w:type="paragraph" w:customStyle="1" w:styleId="13">
    <w:name w:val="标题 21"/>
    <w:basedOn w:val="1"/>
    <w:next w:val="1"/>
    <w:link w:val="21"/>
    <w:qFormat/>
    <w:uiPriority w:val="0"/>
    <w:pPr>
      <w:keepNext/>
      <w:keepLines/>
      <w:spacing w:before="260" w:after="260" w:line="416" w:lineRule="auto"/>
      <w:outlineLvl w:val="1"/>
    </w:pPr>
    <w:rPr>
      <w:rFonts w:ascii="Cambria" w:hAnsi="Cambria"/>
      <w:b/>
      <w:bCs/>
      <w:sz w:val="32"/>
      <w:szCs w:val="32"/>
    </w:rPr>
  </w:style>
  <w:style w:type="paragraph" w:customStyle="1" w:styleId="14">
    <w:name w:val="标题 41"/>
    <w:basedOn w:val="1"/>
    <w:next w:val="1"/>
    <w:qFormat/>
    <w:uiPriority w:val="9"/>
    <w:pPr>
      <w:keepNext/>
      <w:keepLines/>
      <w:spacing w:line="360" w:lineRule="auto"/>
      <w:outlineLvl w:val="3"/>
    </w:pPr>
    <w:rPr>
      <w:rFonts w:ascii="Arial" w:hAnsi="Arial"/>
      <w:b/>
      <w:bCs/>
      <w:szCs w:val="28"/>
    </w:rPr>
  </w:style>
  <w:style w:type="paragraph" w:customStyle="1" w:styleId="15">
    <w:name w:val="标题 51"/>
    <w:basedOn w:val="1"/>
    <w:next w:val="16"/>
    <w:link w:val="22"/>
    <w:qFormat/>
    <w:uiPriority w:val="0"/>
    <w:pPr>
      <w:keepNext/>
      <w:keepLines/>
      <w:spacing w:before="280" w:after="290" w:line="376" w:lineRule="auto"/>
      <w:outlineLvl w:val="4"/>
    </w:pPr>
    <w:rPr>
      <w:b/>
      <w:bCs/>
      <w:sz w:val="28"/>
      <w:szCs w:val="28"/>
    </w:rPr>
  </w:style>
  <w:style w:type="paragraph" w:customStyle="1" w:styleId="16">
    <w:name w:val="正文缩进1"/>
    <w:basedOn w:val="1"/>
    <w:qFormat/>
    <w:uiPriority w:val="0"/>
    <w:pPr>
      <w:ind w:firstLine="420"/>
    </w:pPr>
    <w:rPr>
      <w:szCs w:val="20"/>
    </w:rPr>
  </w:style>
  <w:style w:type="paragraph" w:customStyle="1" w:styleId="17">
    <w:name w:val="标题 81"/>
    <w:basedOn w:val="1"/>
    <w:next w:val="1"/>
    <w:link w:val="23"/>
    <w:qFormat/>
    <w:uiPriority w:val="0"/>
    <w:pPr>
      <w:keepNext/>
      <w:keepLines/>
      <w:spacing w:before="240" w:after="64" w:line="320" w:lineRule="auto"/>
      <w:outlineLvl w:val="7"/>
    </w:pPr>
    <w:rPr>
      <w:rFonts w:ascii="等线 Light" w:hAnsi="等线 Light" w:eastAsia="等线 Light"/>
      <w:sz w:val="24"/>
    </w:rPr>
  </w:style>
  <w:style w:type="character" w:customStyle="1" w:styleId="18">
    <w:name w:val="默认段落字体1"/>
    <w:link w:val="1"/>
    <w:unhideWhenUsed/>
    <w:qFormat/>
    <w:uiPriority w:val="1"/>
  </w:style>
  <w:style w:type="table" w:customStyle="1" w:styleId="19">
    <w:name w:val="普通表格1"/>
    <w:unhideWhenUsed/>
    <w:qFormat/>
    <w:uiPriority w:val="99"/>
    <w:tblPr>
      <w:tblCellMar>
        <w:top w:w="0" w:type="dxa"/>
        <w:left w:w="108" w:type="dxa"/>
        <w:bottom w:w="0" w:type="dxa"/>
        <w:right w:w="108" w:type="dxa"/>
      </w:tblCellMar>
    </w:tblPr>
  </w:style>
  <w:style w:type="character" w:customStyle="1" w:styleId="20">
    <w:name w:val="标题 1 Char"/>
    <w:link w:val="12"/>
    <w:qFormat/>
    <w:uiPriority w:val="0"/>
    <w:rPr>
      <w:rFonts w:ascii="Times New Roman" w:hAnsi="Times New Roman" w:eastAsia="宋体" w:cs="Times New Roman"/>
      <w:b/>
      <w:bCs/>
      <w:kern w:val="44"/>
      <w:sz w:val="44"/>
      <w:szCs w:val="44"/>
    </w:rPr>
  </w:style>
  <w:style w:type="character" w:customStyle="1" w:styleId="21">
    <w:name w:val="标题 2 Char1"/>
    <w:link w:val="13"/>
    <w:qFormat/>
    <w:uiPriority w:val="0"/>
    <w:rPr>
      <w:rFonts w:ascii="Cambria" w:hAnsi="Cambria" w:eastAsia="宋体" w:cs="Times New Roman"/>
      <w:b/>
      <w:bCs/>
      <w:kern w:val="2"/>
      <w:sz w:val="32"/>
      <w:szCs w:val="32"/>
    </w:rPr>
  </w:style>
  <w:style w:type="character" w:customStyle="1" w:styleId="22">
    <w:name w:val="标题 5 Char"/>
    <w:link w:val="15"/>
    <w:qFormat/>
    <w:uiPriority w:val="0"/>
    <w:rPr>
      <w:rFonts w:ascii="Times New Roman" w:hAnsi="Times New Roman" w:eastAsia="宋体" w:cs="Times New Roman"/>
      <w:b/>
      <w:bCs/>
      <w:kern w:val="2"/>
      <w:sz w:val="28"/>
      <w:szCs w:val="28"/>
    </w:rPr>
  </w:style>
  <w:style w:type="character" w:customStyle="1" w:styleId="23">
    <w:name w:val="标题 8 Char1"/>
    <w:link w:val="17"/>
    <w:qFormat/>
    <w:uiPriority w:val="0"/>
    <w:rPr>
      <w:rFonts w:ascii="等线 Light" w:hAnsi="等线 Light" w:eastAsia="等线 Light" w:cs="Times New Roman"/>
      <w:kern w:val="2"/>
      <w:sz w:val="24"/>
      <w:szCs w:val="24"/>
    </w:rPr>
  </w:style>
  <w:style w:type="paragraph" w:customStyle="1" w:styleId="24">
    <w:name w:val="列表编号1"/>
    <w:basedOn w:val="1"/>
    <w:qFormat/>
    <w:uiPriority w:val="0"/>
    <w:pPr>
      <w:widowControl/>
      <w:tabs>
        <w:tab w:val="left" w:pos="454"/>
        <w:tab w:val="left" w:pos="720"/>
        <w:tab w:val="left" w:pos="840"/>
      </w:tabs>
      <w:ind w:left="454" w:hanging="284"/>
      <w:jc w:val="left"/>
    </w:pPr>
    <w:rPr>
      <w:kern w:val="0"/>
      <w:sz w:val="24"/>
      <w:szCs w:val="20"/>
    </w:rPr>
  </w:style>
  <w:style w:type="paragraph" w:customStyle="1" w:styleId="25">
    <w:name w:val="批注文字1"/>
    <w:basedOn w:val="1"/>
    <w:link w:val="26"/>
    <w:qFormat/>
    <w:uiPriority w:val="0"/>
    <w:pPr>
      <w:jc w:val="left"/>
    </w:pPr>
  </w:style>
  <w:style w:type="character" w:customStyle="1" w:styleId="26">
    <w:name w:val="批注文字 Char1"/>
    <w:link w:val="25"/>
    <w:qFormat/>
    <w:uiPriority w:val="0"/>
    <w:rPr>
      <w:rFonts w:ascii="Times New Roman" w:hAnsi="Times New Roman" w:eastAsia="宋体" w:cs="Times New Roman"/>
      <w:kern w:val="2"/>
      <w:sz w:val="21"/>
      <w:szCs w:val="24"/>
    </w:rPr>
  </w:style>
  <w:style w:type="paragraph" w:customStyle="1" w:styleId="27">
    <w:name w:val="正文文本 31"/>
    <w:basedOn w:val="1"/>
    <w:link w:val="28"/>
    <w:qFormat/>
    <w:uiPriority w:val="0"/>
    <w:pPr>
      <w:spacing w:after="120"/>
    </w:pPr>
    <w:rPr>
      <w:sz w:val="16"/>
      <w:szCs w:val="16"/>
    </w:rPr>
  </w:style>
  <w:style w:type="character" w:customStyle="1" w:styleId="28">
    <w:name w:val="正文文本 3 Char"/>
    <w:link w:val="27"/>
    <w:qFormat/>
    <w:uiPriority w:val="0"/>
    <w:rPr>
      <w:rFonts w:ascii="Times New Roman" w:hAnsi="Times New Roman" w:eastAsia="宋体" w:cs="Times New Roman"/>
      <w:kern w:val="2"/>
      <w:sz w:val="16"/>
      <w:szCs w:val="16"/>
    </w:rPr>
  </w:style>
  <w:style w:type="paragraph" w:customStyle="1" w:styleId="29">
    <w:name w:val="正文文本1"/>
    <w:basedOn w:val="1"/>
    <w:link w:val="30"/>
    <w:qFormat/>
    <w:uiPriority w:val="0"/>
    <w:pPr>
      <w:spacing w:after="120"/>
    </w:pPr>
  </w:style>
  <w:style w:type="character" w:customStyle="1" w:styleId="30">
    <w:name w:val="正文文本 Char1"/>
    <w:link w:val="29"/>
    <w:qFormat/>
    <w:uiPriority w:val="0"/>
    <w:rPr>
      <w:rFonts w:ascii="Times New Roman" w:hAnsi="Times New Roman" w:eastAsia="宋体" w:cs="Times New Roman"/>
      <w:kern w:val="2"/>
      <w:sz w:val="21"/>
      <w:szCs w:val="24"/>
    </w:rPr>
  </w:style>
  <w:style w:type="paragraph" w:customStyle="1" w:styleId="31">
    <w:name w:val="正文文本缩进1"/>
    <w:basedOn w:val="1"/>
    <w:link w:val="32"/>
    <w:qFormat/>
    <w:uiPriority w:val="0"/>
    <w:pPr>
      <w:ind w:firstLine="830" w:firstLineChars="352"/>
    </w:pPr>
    <w:rPr>
      <w:rFonts w:ascii="仿宋_GB2312" w:eastAsia="仿宋_GB2312"/>
      <w:kern w:val="0"/>
      <w:sz w:val="32"/>
      <w:szCs w:val="20"/>
    </w:rPr>
  </w:style>
  <w:style w:type="character" w:customStyle="1" w:styleId="32">
    <w:name w:val="正文文本缩进 Char"/>
    <w:link w:val="31"/>
    <w:qFormat/>
    <w:uiPriority w:val="0"/>
    <w:rPr>
      <w:rFonts w:ascii="仿宋_GB2312" w:hAnsi="Times New Roman" w:eastAsia="仿宋_GB2312" w:cs="Times New Roman"/>
      <w:sz w:val="32"/>
      <w:szCs w:val="20"/>
    </w:rPr>
  </w:style>
  <w:style w:type="paragraph" w:customStyle="1" w:styleId="33">
    <w:name w:val="列表 21"/>
    <w:basedOn w:val="1"/>
    <w:qFormat/>
    <w:uiPriority w:val="0"/>
    <w:pPr>
      <w:ind w:left="100" w:leftChars="200" w:hanging="200" w:hangingChars="200"/>
      <w:contextualSpacing/>
    </w:pPr>
  </w:style>
  <w:style w:type="paragraph" w:customStyle="1" w:styleId="34">
    <w:name w:val="纯文本1"/>
    <w:basedOn w:val="1"/>
    <w:link w:val="35"/>
    <w:qFormat/>
    <w:uiPriority w:val="0"/>
    <w:rPr>
      <w:rFonts w:ascii="宋体" w:hAnsi="Courier New"/>
      <w:kern w:val="0"/>
      <w:sz w:val="20"/>
      <w:szCs w:val="21"/>
    </w:rPr>
  </w:style>
  <w:style w:type="character" w:customStyle="1" w:styleId="35">
    <w:name w:val="纯文本 Char1"/>
    <w:link w:val="34"/>
    <w:qFormat/>
    <w:uiPriority w:val="0"/>
    <w:rPr>
      <w:rFonts w:ascii="宋体" w:hAnsi="Courier New" w:eastAsia="宋体" w:cs="Courier New"/>
      <w:szCs w:val="21"/>
    </w:rPr>
  </w:style>
  <w:style w:type="paragraph" w:customStyle="1" w:styleId="36">
    <w:name w:val="日期1"/>
    <w:basedOn w:val="1"/>
    <w:next w:val="1"/>
    <w:link w:val="37"/>
    <w:qFormat/>
    <w:uiPriority w:val="0"/>
    <w:pPr>
      <w:ind w:left="100" w:leftChars="2500"/>
    </w:pPr>
  </w:style>
  <w:style w:type="character" w:customStyle="1" w:styleId="37">
    <w:name w:val="日期 Char"/>
    <w:link w:val="36"/>
    <w:qFormat/>
    <w:uiPriority w:val="0"/>
    <w:rPr>
      <w:rFonts w:ascii="Times New Roman" w:hAnsi="Times New Roman" w:eastAsia="宋体" w:cs="Times New Roman"/>
      <w:kern w:val="2"/>
      <w:sz w:val="21"/>
      <w:szCs w:val="24"/>
    </w:rPr>
  </w:style>
  <w:style w:type="paragraph" w:customStyle="1" w:styleId="38">
    <w:name w:val="批注框文本1"/>
    <w:basedOn w:val="1"/>
    <w:qFormat/>
    <w:uiPriority w:val="0"/>
    <w:rPr>
      <w:sz w:val="18"/>
      <w:szCs w:val="18"/>
    </w:rPr>
  </w:style>
  <w:style w:type="paragraph" w:customStyle="1" w:styleId="39">
    <w:name w:val="页脚1"/>
    <w:basedOn w:val="1"/>
    <w:link w:val="40"/>
    <w:qFormat/>
    <w:uiPriority w:val="0"/>
    <w:pPr>
      <w:tabs>
        <w:tab w:val="center" w:pos="4153"/>
        <w:tab w:val="right" w:pos="8306"/>
      </w:tabs>
      <w:jc w:val="left"/>
    </w:pPr>
    <w:rPr>
      <w:kern w:val="0"/>
      <w:sz w:val="18"/>
      <w:szCs w:val="18"/>
    </w:rPr>
  </w:style>
  <w:style w:type="character" w:customStyle="1" w:styleId="40">
    <w:name w:val="页脚 Char"/>
    <w:link w:val="39"/>
    <w:qFormat/>
    <w:uiPriority w:val="0"/>
    <w:rPr>
      <w:rFonts w:ascii="Times New Roman" w:hAnsi="Times New Roman" w:eastAsia="宋体" w:cs="Times New Roman"/>
      <w:sz w:val="18"/>
      <w:szCs w:val="18"/>
    </w:rPr>
  </w:style>
  <w:style w:type="paragraph" w:customStyle="1" w:styleId="41">
    <w:name w:val="页眉1"/>
    <w:basedOn w:val="1"/>
    <w:link w:val="42"/>
    <w:qFormat/>
    <w:uiPriority w:val="0"/>
    <w:pPr>
      <w:pBdr>
        <w:bottom w:val="single" w:color="auto" w:sz="6" w:space="1"/>
      </w:pBdr>
      <w:tabs>
        <w:tab w:val="center" w:pos="4153"/>
        <w:tab w:val="right" w:pos="8306"/>
      </w:tabs>
      <w:jc w:val="center"/>
    </w:pPr>
    <w:rPr>
      <w:kern w:val="0"/>
      <w:sz w:val="18"/>
      <w:szCs w:val="18"/>
    </w:rPr>
  </w:style>
  <w:style w:type="character" w:customStyle="1" w:styleId="42">
    <w:name w:val="页眉 Char"/>
    <w:link w:val="41"/>
    <w:qFormat/>
    <w:uiPriority w:val="0"/>
    <w:rPr>
      <w:rFonts w:ascii="Times New Roman" w:hAnsi="Times New Roman" w:eastAsia="宋体" w:cs="Times New Roman"/>
      <w:sz w:val="18"/>
      <w:szCs w:val="18"/>
    </w:rPr>
  </w:style>
  <w:style w:type="paragraph" w:customStyle="1" w:styleId="43">
    <w:name w:val="目录 11"/>
    <w:basedOn w:val="1"/>
    <w:next w:val="1"/>
    <w:qFormat/>
    <w:uiPriority w:val="0"/>
  </w:style>
  <w:style w:type="paragraph" w:customStyle="1" w:styleId="44">
    <w:name w:val="目录 21"/>
    <w:basedOn w:val="1"/>
    <w:next w:val="1"/>
    <w:qFormat/>
    <w:uiPriority w:val="0"/>
    <w:pPr>
      <w:tabs>
        <w:tab w:val="right" w:leader="dot" w:pos="8296"/>
      </w:tabs>
      <w:ind w:left="420" w:leftChars="200"/>
    </w:pPr>
  </w:style>
  <w:style w:type="paragraph" w:customStyle="1" w:styleId="45">
    <w:name w:val="HTML 预设格式1"/>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46">
    <w:name w:val="普通(网站)1"/>
    <w:basedOn w:val="1"/>
    <w:qFormat/>
    <w:uiPriority w:val="0"/>
    <w:rPr>
      <w:rFonts w:ascii="Calibri" w:hAnsi="Calibri"/>
      <w:kern w:val="0"/>
      <w:sz w:val="24"/>
    </w:rPr>
  </w:style>
  <w:style w:type="paragraph" w:customStyle="1" w:styleId="47">
    <w:name w:val="标题1"/>
    <w:basedOn w:val="1"/>
    <w:next w:val="1"/>
    <w:qFormat/>
    <w:uiPriority w:val="0"/>
    <w:pPr>
      <w:suppressAutoHyphens/>
      <w:spacing w:before="240" w:after="60"/>
      <w:jc w:val="center"/>
      <w:outlineLvl w:val="0"/>
    </w:pPr>
    <w:rPr>
      <w:rFonts w:ascii="Arial" w:hAnsi="Arial" w:cs="宋体"/>
      <w:b/>
      <w:sz w:val="32"/>
    </w:rPr>
  </w:style>
  <w:style w:type="paragraph" w:customStyle="1" w:styleId="48">
    <w:name w:val="批注主题1"/>
    <w:basedOn w:val="25"/>
    <w:next w:val="25"/>
    <w:link w:val="49"/>
    <w:qFormat/>
    <w:uiPriority w:val="0"/>
    <w:rPr>
      <w:b/>
      <w:bCs/>
    </w:rPr>
  </w:style>
  <w:style w:type="character" w:customStyle="1" w:styleId="49">
    <w:name w:val="批注主题 Char"/>
    <w:link w:val="48"/>
    <w:qFormat/>
    <w:uiPriority w:val="0"/>
    <w:rPr>
      <w:rFonts w:ascii="Times New Roman" w:hAnsi="Times New Roman" w:eastAsia="宋体" w:cs="Times New Roman"/>
      <w:b/>
      <w:bCs/>
      <w:kern w:val="2"/>
      <w:sz w:val="21"/>
      <w:szCs w:val="24"/>
    </w:rPr>
  </w:style>
  <w:style w:type="table" w:customStyle="1" w:styleId="50">
    <w:name w:val="网格型1"/>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1">
    <w:name w:val="要点1"/>
    <w:basedOn w:val="18"/>
    <w:link w:val="1"/>
    <w:qFormat/>
    <w:uiPriority w:val="0"/>
    <w:rPr>
      <w:b/>
    </w:rPr>
  </w:style>
  <w:style w:type="character" w:customStyle="1" w:styleId="52">
    <w:name w:val="尾注引用1"/>
    <w:link w:val="1"/>
    <w:qFormat/>
    <w:uiPriority w:val="0"/>
    <w:rPr>
      <w:rFonts w:ascii="Times New Roman" w:hAnsi="Times New Roman" w:eastAsia="宋体" w:cs="Times New Roman"/>
      <w:vertAlign w:val="superscript"/>
    </w:rPr>
  </w:style>
  <w:style w:type="character" w:customStyle="1" w:styleId="53">
    <w:name w:val="超链接1"/>
    <w:link w:val="1"/>
    <w:qFormat/>
    <w:uiPriority w:val="0"/>
    <w:rPr>
      <w:rFonts w:ascii="Times New Roman" w:hAnsi="Times New Roman" w:eastAsia="宋体" w:cs="Times New Roman"/>
      <w:color w:val="0000FF"/>
      <w:u w:val="single"/>
    </w:rPr>
  </w:style>
  <w:style w:type="character" w:customStyle="1" w:styleId="54">
    <w:name w:val="批注引用1"/>
    <w:link w:val="1"/>
    <w:qFormat/>
    <w:uiPriority w:val="0"/>
    <w:rPr>
      <w:rFonts w:ascii="Times New Roman" w:hAnsi="Times New Roman" w:eastAsia="宋体" w:cs="Times New Roman"/>
      <w:sz w:val="21"/>
      <w:szCs w:val="21"/>
    </w:rPr>
  </w:style>
  <w:style w:type="character" w:customStyle="1" w:styleId="55">
    <w:name w:val="HTML 样本1"/>
    <w:basedOn w:val="18"/>
    <w:link w:val="1"/>
    <w:unhideWhenUsed/>
    <w:qFormat/>
    <w:uiPriority w:val="99"/>
    <w:rPr>
      <w:rFonts w:ascii="Courier New" w:hAnsi="Courier New"/>
    </w:rPr>
  </w:style>
  <w:style w:type="character" w:customStyle="1" w:styleId="56">
    <w:name w:val="NormalCharacter1"/>
    <w:link w:val="1"/>
    <w:qFormat/>
    <w:uiPriority w:val="0"/>
    <w:rPr>
      <w:rFonts w:ascii="Times New Roman" w:hAnsi="Times New Roman" w:eastAsia="宋体" w:cs="Times New Roman"/>
    </w:rPr>
  </w:style>
  <w:style w:type="character" w:customStyle="1" w:styleId="57">
    <w:name w:val="正文2 Char Char"/>
    <w:link w:val="58"/>
    <w:qFormat/>
    <w:uiPriority w:val="0"/>
    <w:rPr>
      <w:rFonts w:ascii="Times New Roman" w:hAnsi="Times New Roman" w:eastAsia="宋体" w:cs="Times New Roman"/>
      <w:kern w:val="2"/>
      <w:sz w:val="24"/>
    </w:rPr>
  </w:style>
  <w:style w:type="paragraph" w:customStyle="1" w:styleId="58">
    <w:name w:val="正文2"/>
    <w:basedOn w:val="1"/>
    <w:link w:val="57"/>
    <w:qFormat/>
    <w:uiPriority w:val="0"/>
    <w:pPr>
      <w:spacing w:before="156" w:line="360" w:lineRule="auto"/>
      <w:ind w:firstLine="510" w:firstLineChars="200"/>
    </w:pPr>
    <w:rPr>
      <w:sz w:val="24"/>
      <w:szCs w:val="20"/>
    </w:rPr>
  </w:style>
  <w:style w:type="character" w:customStyle="1" w:styleId="59">
    <w:name w:val="标题 1 字符1"/>
    <w:link w:val="1"/>
    <w:qFormat/>
    <w:uiPriority w:val="0"/>
    <w:rPr>
      <w:rFonts w:ascii="Times New Roman" w:hAnsi="Times New Roman" w:eastAsia="宋体" w:cs="Times New Roman"/>
      <w:b/>
      <w:bCs/>
      <w:kern w:val="44"/>
      <w:sz w:val="44"/>
      <w:szCs w:val="44"/>
    </w:rPr>
  </w:style>
  <w:style w:type="character" w:customStyle="1" w:styleId="60">
    <w:name w:val="textcontents"/>
    <w:link w:val="1"/>
    <w:qFormat/>
    <w:uiPriority w:val="0"/>
    <w:rPr>
      <w:rFonts w:ascii="Times New Roman" w:hAnsi="Times New Roman" w:eastAsia="宋体" w:cs="Times New Roman"/>
    </w:rPr>
  </w:style>
  <w:style w:type="character" w:customStyle="1" w:styleId="61">
    <w:name w:val="批注文字 Char"/>
    <w:link w:val="1"/>
    <w:qFormat/>
    <w:uiPriority w:val="0"/>
    <w:rPr>
      <w:rFonts w:ascii="Times New Roman" w:hAnsi="Times New Roman" w:eastAsia="宋体" w:cs="Times New Roman"/>
      <w:kern w:val="2"/>
      <w:sz w:val="21"/>
      <w:szCs w:val="24"/>
    </w:rPr>
  </w:style>
  <w:style w:type="character" w:customStyle="1" w:styleId="62">
    <w:name w:val="纯文本 字符"/>
    <w:link w:val="1"/>
    <w:qFormat/>
    <w:uiPriority w:val="0"/>
    <w:rPr>
      <w:rFonts w:ascii="宋体" w:hAnsi="Courier New" w:eastAsia="宋体" w:cs="Courier New"/>
      <w:szCs w:val="21"/>
    </w:rPr>
  </w:style>
  <w:style w:type="character" w:customStyle="1" w:styleId="63">
    <w:name w:val="纯文本 Char"/>
    <w:link w:val="1"/>
    <w:qFormat/>
    <w:uiPriority w:val="0"/>
    <w:rPr>
      <w:rFonts w:ascii="宋体" w:hAnsi="Courier New" w:eastAsia="宋体" w:cs="Courier New"/>
      <w:szCs w:val="21"/>
    </w:rPr>
  </w:style>
  <w:style w:type="character" w:customStyle="1" w:styleId="64">
    <w:name w:val="纯文本 字符2"/>
    <w:link w:val="1"/>
    <w:qFormat/>
    <w:uiPriority w:val="0"/>
    <w:rPr>
      <w:rFonts w:ascii="宋体" w:hAnsi="Courier New" w:eastAsia="宋体" w:cs="Courier New"/>
      <w:szCs w:val="21"/>
    </w:rPr>
  </w:style>
  <w:style w:type="character" w:customStyle="1" w:styleId="65">
    <w:name w:val="批注文字 字符1"/>
    <w:link w:val="1"/>
    <w:qFormat/>
    <w:uiPriority w:val="0"/>
    <w:rPr>
      <w:rFonts w:ascii="Times New Roman" w:hAnsi="Times New Roman" w:eastAsia="宋体" w:cs="Times New Roman"/>
      <w:kern w:val="2"/>
      <w:sz w:val="21"/>
      <w:szCs w:val="24"/>
    </w:rPr>
  </w:style>
  <w:style w:type="character" w:customStyle="1" w:styleId="66">
    <w:name w:val="正文文本 (26) + 间距 0 pt"/>
    <w:link w:val="1"/>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7">
    <w:name w:val="纯文本 字符1"/>
    <w:link w:val="1"/>
    <w:qFormat/>
    <w:uiPriority w:val="0"/>
    <w:rPr>
      <w:rFonts w:ascii="宋体" w:hAnsi="Courier New" w:eastAsia="宋体" w:cs="Times New Roman"/>
    </w:rPr>
  </w:style>
  <w:style w:type="character" w:customStyle="1" w:styleId="68">
    <w:name w:val="正文文本 Char"/>
    <w:link w:val="1"/>
    <w:qFormat/>
    <w:uiPriority w:val="0"/>
    <w:rPr>
      <w:rFonts w:ascii="Times New Roman" w:hAnsi="Times New Roman" w:eastAsia="宋体" w:cs="Times New Roman"/>
      <w:kern w:val="2"/>
      <w:sz w:val="21"/>
      <w:szCs w:val="24"/>
    </w:rPr>
  </w:style>
  <w:style w:type="character" w:customStyle="1" w:styleId="69">
    <w:name w:val="批注文字 字符"/>
    <w:link w:val="1"/>
    <w:qFormat/>
    <w:uiPriority w:val="0"/>
    <w:rPr>
      <w:rFonts w:ascii="Times New Roman" w:hAnsi="Times New Roman" w:eastAsia="宋体" w:cs="Times New Roman"/>
      <w:kern w:val="2"/>
      <w:sz w:val="21"/>
      <w:szCs w:val="24"/>
    </w:rPr>
  </w:style>
  <w:style w:type="character" w:customStyle="1" w:styleId="70">
    <w:name w:val="标题 2 Char"/>
    <w:link w:val="1"/>
    <w:qFormat/>
    <w:uiPriority w:val="0"/>
    <w:rPr>
      <w:rFonts w:ascii="Cambria" w:hAnsi="Cambria" w:eastAsia="宋体" w:cs="Times New Roman"/>
      <w:b/>
      <w:bCs/>
      <w:kern w:val="2"/>
      <w:sz w:val="32"/>
      <w:szCs w:val="32"/>
    </w:rPr>
  </w:style>
  <w:style w:type="character" w:customStyle="1" w:styleId="71">
    <w:name w:val="标题 8 Char"/>
    <w:link w:val="1"/>
    <w:qFormat/>
    <w:uiPriority w:val="0"/>
    <w:rPr>
      <w:rFonts w:ascii="Arial" w:hAnsi="Arial" w:eastAsia="黑体" w:cs="Times New Roman"/>
      <w:kern w:val="2"/>
      <w:sz w:val="24"/>
      <w:szCs w:val="24"/>
    </w:rPr>
  </w:style>
  <w:style w:type="character" w:customStyle="1" w:styleId="72">
    <w:name w:val="apple-style-span"/>
    <w:link w:val="1"/>
    <w:qFormat/>
    <w:uiPriority w:val="0"/>
    <w:rPr>
      <w:rFonts w:ascii="Times New Roman" w:hAnsi="Times New Roman" w:eastAsia="宋体" w:cs="Times New Roman"/>
    </w:rPr>
  </w:style>
  <w:style w:type="paragraph" w:customStyle="1" w:styleId="73">
    <w:name w:val="默认段落字体 Para Char Char Char Char Char Char Char Char Char1 Char Char Char Char"/>
    <w:basedOn w:val="1"/>
    <w:qFormat/>
    <w:uiPriority w:val="0"/>
    <w:rPr>
      <w:rFonts w:ascii="Tahoma" w:hAnsi="Tahoma"/>
      <w:sz w:val="24"/>
      <w:szCs w:val="20"/>
    </w:rPr>
  </w:style>
  <w:style w:type="paragraph" w:customStyle="1" w:styleId="74">
    <w:name w:val="表内文字"/>
    <w:basedOn w:val="1"/>
    <w:qFormat/>
    <w:uiPriority w:val="0"/>
    <w:pPr>
      <w:spacing w:before="50" w:after="50"/>
      <w:jc w:val="center"/>
    </w:pPr>
    <w:rPr>
      <w:rFonts w:ascii="仿宋_GB2312" w:hAnsi="宋体" w:eastAsia="仿宋_GB2312"/>
      <w:b/>
      <w:color w:val="000000"/>
      <w:sz w:val="32"/>
      <w:szCs w:val="32"/>
    </w:rPr>
  </w:style>
  <w:style w:type="paragraph" w:styleId="75">
    <w:name w:val="List Paragraph"/>
    <w:basedOn w:val="1"/>
    <w:qFormat/>
    <w:uiPriority w:val="0"/>
    <w:pPr>
      <w:ind w:firstLine="420" w:firstLineChars="200"/>
    </w:pPr>
  </w:style>
  <w:style w:type="paragraph" w:customStyle="1" w:styleId="76">
    <w:name w:val="Table Paragraph"/>
    <w:basedOn w:val="1"/>
    <w:qFormat/>
    <w:uiPriority w:val="0"/>
    <w:pPr>
      <w:jc w:val="left"/>
    </w:pPr>
    <w:rPr>
      <w:rFonts w:ascii="Calibri" w:hAnsi="Calibri"/>
      <w:kern w:val="0"/>
      <w:sz w:val="22"/>
      <w:szCs w:val="22"/>
      <w:lang w:eastAsia="en-US"/>
    </w:rPr>
  </w:style>
  <w:style w:type="character" w:customStyle="1" w:styleId="77">
    <w:name w:val="正文文本 字符"/>
    <w:link w:val="1"/>
    <w:qFormat/>
    <w:uiPriority w:val="0"/>
    <w:rPr>
      <w:rFonts w:ascii="Times New Roman" w:hAnsi="Times New Roman" w:eastAsia="宋体" w:cs="Times New Roman"/>
      <w:kern w:val="2"/>
      <w:sz w:val="21"/>
      <w:szCs w:val="24"/>
    </w:rPr>
  </w:style>
  <w:style w:type="character" w:customStyle="1" w:styleId="78">
    <w:name w:val="批注文字 Char2"/>
    <w:link w:val="1"/>
    <w:qFormat/>
    <w:uiPriority w:val="0"/>
    <w:rPr>
      <w:rFonts w:ascii="Times New Roman" w:hAnsi="Times New Roman" w:eastAsia="宋体" w:cs="Times New Roman"/>
      <w:kern w:val="2"/>
      <w:sz w:val="21"/>
      <w:szCs w:val="24"/>
    </w:rPr>
  </w:style>
  <w:style w:type="table" w:customStyle="1" w:styleId="79">
    <w:name w:val="网格型2"/>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0">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https://www.gov.cn/zhengce/content/202509/W020250930645245947614.png" TargetMode="Externa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f56c3af8-3bf2-4b94-b334-9ad4067f4ea9</errorID>
      <errorWord>/）</errorWord>
      <group>L1_Punc</group>
      <groupName>标点问题</groupName>
      <ability>L2_Punc</ability>
      <abilityName>标点符号检查</abilityName>
      <candidateList>
        <item>）</item>
      </candidateList>
      <explain/>
      <paraID> 6A40F37</paraID>
      <start>86</start>
      <end>88</end>
      <status>unmodified</status>
      <modifiedWord/>
      <trackRevisions>false</trackRevisions>
    </reviewItem>
    <reviewItem>
      <errorID>aeba2e1f-d415-4737-98b0-542bf948b2fb</errorID>
      <errorWord>同</errorWord>
      <group>L1_Word</group>
      <groupName>字词问题</groupName>
      <ability>L2_Typo</ability>
      <abilityName>字词错误</abilityName>
      <candidateList>
        <item>同一</item>
      </candidateList>
      <explain/>
      <paraID> E60E41E</paraID>
      <start>139</start>
      <end>140</end>
      <status>unmodified</status>
      <modifiedWord/>
      <trackRevisions>false</trackRevisions>
    </reviewItem>
    <reviewItem>
      <errorID>ef1f0fe3-eb3b-4f50-b25b-8e397c0157e7</errorID>
      <errorWord>/）</errorWord>
      <group>L1_Punc</group>
      <groupName>标点问题</groupName>
      <ability>L2_Punc</ability>
      <abilityName>标点符号检查</abilityName>
      <candidateList>
        <item>）</item>
      </candidateList>
      <explain/>
      <paraID>2152D093</paraID>
      <start>45</start>
      <end>47</end>
      <status>unmodified</status>
      <modifiedWord/>
      <trackRevisions>false</trackRevisions>
    </reviewItem>
    <reviewItem>
      <errorID>d8aeddeb-a851-45b0-a871-49184075bdd5</errorID>
      <errorWord>/）</errorWord>
      <group>L1_Punc</group>
      <groupName>标点问题</groupName>
      <ability>L2_Punc</ability>
      <abilityName>标点符号检查</abilityName>
      <candidateList>
        <item>）</item>
      </candidateList>
      <explain/>
      <paraID>4887FCFB</paraID>
      <start>68</start>
      <end>70</end>
      <status>unmodified</status>
      <modifiedWord/>
      <trackRevisions>false</trackRevisions>
    </reviewItem>
    <reviewItem>
      <errorID>39a20e7a-e68f-4a3b-898f-3f27dd291ecb</errorID>
      <errorWord>-</errorWord>
      <group>L1_Format</group>
      <groupName>格式问题</groupName>
      <ability>L2_HalfPunc</ability>
      <abilityName>全半角检查</abilityName>
      <candidateList>
        <item>－</item>
      </candidateList>
      <explain>文本全半角错误。</explain>
      <paraID>4887FCFB</paraID>
      <start>70</start>
      <end>71</end>
      <status>unmodified</status>
      <modifiedWord/>
      <trackRevisions>false</trackRevisions>
    </reviewItem>
    <reviewItem>
      <errorID>786b7ccf-6d4e-4719-8d84-1892cfbd6030</errorID>
      <errorWord>/）</errorWord>
      <group>L1_Punc</group>
      <groupName>标点问题</groupName>
      <ability>L2_Punc</ability>
      <abilityName>标点符号检查</abilityName>
      <candidateList>
        <item>）</item>
      </candidateList>
      <explain/>
      <paraID> 8906518</paraID>
      <start>45</start>
      <end>47</end>
      <status>unmodified</status>
      <modifiedWord/>
      <trackRevisions>false</trackRevisions>
    </reviewItem>
    <reviewItem>
      <errorID>ca06ccfe-b9f5-4fa8-84d2-3eb3fd5ca3f0</errorID>
      <errorWord>/）</errorWord>
      <group>L1_Punc</group>
      <groupName>标点问题</groupName>
      <ability>L2_Punc</ability>
      <abilityName>标点符号检查</abilityName>
      <candidateList>
        <item>）</item>
      </candidateList>
      <explain/>
      <paraID> ACC8560</paraID>
      <start>40</start>
      <end>42</end>
      <status>unmodified</status>
      <modifiedWord/>
      <trackRevisions>false</trackRevisions>
    </reviewItem>
    <reviewItem>
      <errorID>037f5d0a-badf-4f39-9645-c88a192c1284</errorID>
      <errorWord>/）</errorWord>
      <group>L1_Punc</group>
      <groupName>标点问题</groupName>
      <ability>L2_Punc</ability>
      <abilityName>标点符号检查</abilityName>
      <candidateList>
        <item>）</item>
      </candidateList>
      <explain/>
      <paraID> ACC8560</paraID>
      <start>86</start>
      <end>88</end>
      <status>unmodified</status>
      <modifiedWord/>
      <trackRevisions>false</trackRevisions>
    </reviewItem>
    <reviewItem>
      <errorID>f37a79c0-46e8-4e84-b1e8-53b2df5df615</errorID>
      <errorWord>/）</errorWord>
      <group>L1_Punc</group>
      <groupName>标点问题</groupName>
      <ability>L2_Punc</ability>
      <abilityName>标点符号检查</abilityName>
      <candidateList>
        <item>）</item>
      </candidateList>
      <explain/>
      <paraID>62B17CFE</paraID>
      <start>62</start>
      <end>64</end>
      <status>unmodified</status>
      <modifiedWord/>
      <trackRevisions>false</trackRevisions>
    </reviewItem>
    <reviewItem>
      <errorID>c3fbb2f3-31e8-42cf-9753-01fd794868aa</errorID>
      <errorWord>-</errorWord>
      <group>L1_Format</group>
      <groupName>格式问题</groupName>
      <ability>L2_HalfPunc</ability>
      <abilityName>全半角检查</abilityName>
      <candidateList>
        <item>－</item>
      </candidateList>
      <explain>文本全半角错误。</explain>
      <paraID>62B17CFE</paraID>
      <start>229</start>
      <end>230</end>
      <status>unmodified</status>
      <modifiedWord/>
      <trackRevisions>false</trackRevisions>
    </reviewItem>
    <reviewItem>
      <errorID>0e05bf67-c90e-4f52-b78c-eb68fe2f3918</errorID>
      <errorWord>-</errorWord>
      <group>L1_Format</group>
      <groupName>格式问题</groupName>
      <ability>L2_HalfPunc</ability>
      <abilityName>全半角检查</abilityName>
      <candidateList>
        <item>－</item>
      </candidateList>
      <explain>文本全半角错误。</explain>
      <paraID>62B17CFE</paraID>
      <start>234</start>
      <end>235</end>
      <status>unmodified</status>
      <modifiedWord/>
      <trackRevisions>false</trackRevisions>
    </reviewItem>
    <reviewItem>
      <errorID>9e0c7928-968b-42e9-9ed1-d5802a94e08d</errorID>
      <errorWord>-</errorWord>
      <group>L1_Format</group>
      <groupName>格式问题</groupName>
      <ability>L2_HalfPunc</ability>
      <abilityName>全半角检查</abilityName>
      <candidateList>
        <item>－</item>
      </candidateList>
      <explain>文本全半角错误。</explain>
      <paraID>62B17CFE</paraID>
      <start>239</start>
      <end>240</end>
      <status>unmodified</status>
      <modifiedWord/>
      <trackRevisions>false</trackRevisions>
    </reviewItem>
    <reviewItem>
      <errorID>86f61ce3-dc1d-42db-bcda-1ce206ff827c</errorID>
      <errorWord>-</errorWord>
      <group>L1_Format</group>
      <groupName>格式问题</groupName>
      <ability>L2_HalfPunc</ability>
      <abilityName>全半角检查</abilityName>
      <candidateList>
        <item>－</item>
      </candidateList>
      <explain>文本全半角错误。</explain>
      <paraID>62B17CFE</paraID>
      <start>245</start>
      <end>246</end>
      <status>unmodified</status>
      <modifiedWord/>
      <trackRevisions>false</trackRevisions>
    </reviewItem>
    <reviewItem>
      <errorID>ab75ef41-c08b-487f-a9e0-da5fd9abc656</errorID>
      <errorWord>-</errorWord>
      <group>L1_Format</group>
      <groupName>格式问题</groupName>
      <ability>L2_HalfPunc</ability>
      <abilityName>全半角检查</abilityName>
      <candidateList>
        <item>－</item>
      </candidateList>
      <explain>文本全半角错误。</explain>
      <paraID>62B17CFE</paraID>
      <start>262</start>
      <end>263</end>
      <status>unmodified</status>
      <modifiedWord/>
      <trackRevisions>false</trackRevisions>
    </reviewItem>
    <reviewItem>
      <errorID>a4701e04-2aaa-436d-ae17-758f42b1ed11</errorID>
      <errorWord>-</errorWord>
      <group>L1_Format</group>
      <groupName>格式问题</groupName>
      <ability>L2_HalfPunc</ability>
      <abilityName>全半角检查</abilityName>
      <candidateList>
        <item>－</item>
      </candidateList>
      <explain>文本全半角错误。</explain>
      <paraID> 1C4EA51</paraID>
      <start>114</start>
      <end>115</end>
      <status>unmodified</status>
      <modifiedWord/>
      <trackRevisions>false</trackRevisions>
    </reviewItem>
    <reviewItem>
      <errorID>cb99e6e0-5ef2-4c65-a820-3ae9b00d19dc</errorID>
      <errorWord>-</errorWord>
      <group>L1_Format</group>
      <groupName>格式问题</groupName>
      <ability>L2_HalfPunc</ability>
      <abilityName>全半角检查</abilityName>
      <candidateList>
        <item>－</item>
      </candidateList>
      <explain>文本全半角错误。</explain>
      <paraID> 1C4EA51</paraID>
      <start>143</start>
      <end>144</end>
      <status>unmodified</status>
      <modifiedWord/>
      <trackRevisions>false</trackRevisions>
    </reviewItem>
    <reviewItem>
      <errorID>9ccd3c5b-7e06-41ae-bb49-ab7e21e96faa</errorID>
      <errorWord>操作合</errorWord>
      <group>L1_Word</group>
      <groupName>字词问题</groupName>
      <ability>L2_Typo</ability>
      <abilityName>字词错误</abilityName>
      <candidateList>
        <item>操作台</item>
      </candidateList>
      <explain/>
      <paraID>4C6EDF2B</paraID>
      <start>9</start>
      <end>12</end>
      <status>unmodified</status>
      <modifiedWord/>
      <trackRevisions>false</trackRevisions>
    </reviewItem>
    <reviewItem>
      <errorID>b7835c5f-d537-404b-b7e6-ffe46b4972f5</errorID>
      <errorWord>，</errorWord>
      <group>L1_Word</group>
      <groupName>字词问题</groupName>
      <ability>L2_Typo</ability>
      <abilityName>字词错误</abilityName>
      <candidateList>
        <item>，在</item>
      </candidateList>
      <explain/>
      <paraID>4C6EDF2B</paraID>
      <start>119</start>
      <end>120</end>
      <status>unmodified</status>
      <modifiedWord/>
      <trackRevisions>false</trackRevisions>
    </reviewItem>
    <reviewItem>
      <errorID>6b64917f-ff42-4750-af99-97c95d6ff28b</errorID>
      <errorWord>。</errorWord>
      <group>L1_Punc</group>
      <groupName>标点问题</groupName>
      <ability>L2_Punc</ability>
      <abilityName>标点符号检查</abilityName>
      <candidateList>
        <item/>
      </candidateList>
      <explain>标题文本后不使用标点符号。</explain>
      <paraID>55077849</paraID>
      <start>21</start>
      <end>22</end>
      <status>unmodified</status>
      <modifiedWord/>
      <trackRevisions>false</trackRevisions>
    </reviewItem>
    <reviewItem>
      <errorID>57505171-6b84-49d4-9b2d-6e9daecacb23</errorID>
      <errorWord>[2021]1号</errorWord>
      <group>L1_Knowledge</group>
      <groupName>知识性问题</groupName>
      <ability>L2_Knowledge</ability>
      <abilityName>其他知识</abilityName>
      <candidateList>
        <item>〔2021〕1号</item>
      </candidateList>
      <explain>发文字号格式错误。</explain>
      <paraID>3A5A37AC</paraID>
      <start>64</start>
      <end>72</end>
      <status>unmodified</status>
      <modifiedWord/>
      <trackRevisions>false</trackRevisions>
    </reviewItem>
    <reviewItem>
      <errorID>803edb60-4d04-4fef-a540-7fa02297a07e</errorID>
      <errorWord>，</errorWord>
      <group>L1_Word</group>
      <groupName>字词问题</groupName>
      <ability>L2_Typo</ability>
      <abilityName>字词错误</abilityName>
      <candidateList>
        <item>，使</item>
      </candidateList>
      <explain/>
      <paraID>7734A6B4</paraID>
      <start>32</start>
      <end>33</end>
      <status>unmodified</status>
      <modifiedWord/>
      <trackRevisions>false</trackRevisions>
    </reviewItem>
    <reviewItem>
      <errorID>a49b3dbb-7da4-49af-acb6-4c438a287769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1F69AAC2</paraID>
      <start>15</start>
      <end>18</end>
      <status>unmodified</status>
      <modifiedWord/>
      <trackRevisions>false</trackRevisions>
    </reviewItem>
    <reviewItem>
      <errorID>b1109854-3b20-4646-b22b-0010b1b4711a</errorID>
      <errorWord>法律、法规</errorWord>
      <group>L1_Word</group>
      <groupName>字词问题</groupName>
      <ability>L2_Typo</ability>
      <abilityName>字词错误</abilityName>
      <candidateList>
        <item>法律法规</item>
      </candidateList>
      <explain/>
      <paraID> 8271164</paraID>
      <start>38</start>
      <end>43</end>
      <status>unmodified</status>
      <modifiedWord/>
      <trackRevisions>false</trackRevisions>
    </reviewItem>
    <reviewItem>
      <errorID>5661b32c-d3a8-43a8-a4ca-e36147193f74</errorID>
      <errorWord>）</errorWord>
      <group>L1_Word</group>
      <groupName>字词问题</groupName>
      <ability>L2_Typo</ability>
      <abilityName>字词错误</abilityName>
      <candidateList>
        <item>）在</item>
      </candidateList>
      <explain/>
      <paraID>6153B9C4</paraID>
      <start>2</start>
      <end>3</end>
      <status>unmodified</status>
      <modifiedWord/>
      <trackRevisions>false</trackRevisions>
    </reviewItem>
    <reviewItem>
      <errorID>1b29bc5b-b560-46c8-8078-5b6dc2639b87</errorID>
      <errorWord>：</errorWord>
      <group>L1_Punc</group>
      <groupName>标点问题</groupName>
      <ability>L2_Punc</ability>
      <abilityName>标点符号检查</abilityName>
      <candidateList>
        <item/>
      </candidateList>
      <explain>标题文本后不使用标点符号。</explain>
      <paraID>52605446</paraID>
      <start>33</start>
      <end>34</end>
      <status>unmodified</status>
      <modifiedWord/>
      <trackRevisions>false</trackRevisions>
    </reviewItem>
    <reviewItem>
      <errorID>3f611e00-badf-46d9-822f-9702477104cc</errorID>
      <errorWord>：</errorWord>
      <group>L1_Punc</group>
      <groupName>标点问题</groupName>
      <ability>L2_Punc</ability>
      <abilityName>标点符号检查</abilityName>
      <candidateList>
        <item/>
      </candidateList>
      <explain>标题文本后不使用标点符号。</explain>
      <paraID>1DC5B147</paraID>
      <start>34</start>
      <end>35</end>
      <status>unmodified</status>
      <modifiedWord/>
      <trackRevisions>false</trackRevisions>
    </reviewItem>
    <reviewItem>
      <errorID>c0e5d950-72f1-4b6f-9576-04b0cc7b0889</errorID>
      <errorWord>操作合</errorWord>
      <group>L1_Word</group>
      <groupName>字词问题</groupName>
      <ability>L2_Typo</ability>
      <abilityName>字词错误</abilityName>
      <candidateList>
        <item>操作台</item>
      </candidateList>
      <explain/>
      <paraID>  146024</paraID>
      <start>9</start>
      <end>12</end>
      <status>unmodified</status>
      <modifiedWord/>
      <trackRevisions>false</trackRevisions>
    </reviewItem>
    <reviewItem>
      <errorID>d6e2c361-5312-4095-a530-a994a4de144c</errorID>
      <errorWord>接受</errorWord>
      <group>L1_Word</group>
      <groupName>字词问题</groupName>
      <ability>L2_Typo</ability>
      <abilityName>字词错误</abilityName>
      <candidateList>
        <item>接收</item>
      </candidateList>
      <explain>存在发音相同字词的误用。</explain>
      <paraID>565698A9</paraID>
      <start>53</start>
      <end>55</end>
      <status>unmodified</status>
      <modifiedWord/>
      <trackRevisions>false</trackRevisions>
    </reviewItem>
    <reviewItem>
      <errorID>bd0b808d-2009-4706-b056-36a0e1ae4f1c</errorID>
      <errorWord>。</errorWord>
      <group>L1_Punc</group>
      <groupName>标点问题</groupName>
      <ability>L2_Punc</ability>
      <abilityName>标点符号检查</abilityName>
      <candidateList>
        <item/>
      </candidateList>
      <explain>标题文本后不使用标点符号。</explain>
      <paraID>29C97637</paraID>
      <start>13</start>
      <end>14</end>
      <status>unmodified</status>
      <modifiedWord/>
      <trackRevisions>false</trackRevisions>
    </reviewItem>
    <reviewItem>
      <errorID>b37df8ca-c5a7-4c2a-b456-6289bad78ad4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63D7D354</paraID>
      <start>135</start>
      <end>136</end>
      <status>unmodified</status>
      <modifiedWord/>
      <trackRevisions>false</trackRevisions>
    </reviewItem>
    <reviewItem>
      <errorID>05765bd4-7822-49bc-9ead-0072516f9e94</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484D860A</paraID>
      <start>0</start>
      <end>8</end>
      <status>unmodified</status>
      <modifiedWord/>
      <trackRevisions>false</trackRevisions>
    </reviewItem>
    <reviewItem>
      <errorID>24a3f77f-a954-4ec3-87fa-9c5d9e7c65a5</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7493B257</paraID>
      <start>0</start>
      <end>9</end>
      <status>unmodified</status>
      <modifiedWord/>
      <trackRevisions>false</trackRevisions>
    </reviewItem>
    <reviewItem>
      <errorID>2490a95a-e966-4393-a5bb-6d49b96f6d1f</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5E9FA579</paraID>
      <start>0</start>
      <end>10</end>
      <status>unmodified</status>
      <modifiedWord/>
      <trackRevisions>false</trackRevisions>
    </reviewItem>
    <reviewItem>
      <errorID>4deb2c60-7bb4-481f-9e10-483af63ab762</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93DA44E</paraID>
      <start>0</start>
      <end>4</end>
      <status>unmodified</status>
      <modifiedWord/>
      <trackRevisions>false</trackRevisions>
    </reviewItem>
    <reviewItem>
      <errorID>98add2dc-ac89-4a5e-9ca0-4251b349521d</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4803AE7C</paraID>
      <start>0</start>
      <end>5</end>
      <status>unmodified</status>
      <modifiedWord/>
      <trackRevisions>false</trackRevisions>
    </reviewItem>
    <reviewItem>
      <errorID>8acaca37-10fe-408e-82db-f5bb27c697a5</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3D91361A</paraID>
      <start>0</start>
      <end>6</end>
      <status>unmodified</status>
      <modifiedWord/>
      <trackRevisions>false</trackRevisions>
    </reviewItem>
    <reviewItem>
      <errorID>22427c61-ebc0-4ce0-a31a-4ecb3edf29ab</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17CA4B66</paraID>
      <start>0</start>
      <end>7</end>
      <status>unmodified</status>
      <modifiedWord/>
      <trackRevisions>false</trackRevisions>
    </reviewItem>
    <reviewItem>
      <errorID>edfb9e21-71cd-41eb-a04a-02eb7e2a2a8a</errorID>
      <errorWord>亿</errorWord>
      <group>L1_Word</group>
      <groupName>字词问题</groupName>
      <ability>L2_Typo</ability>
      <abilityName>字词错误</abilityName>
      <candidateList>
        <item>亿元</item>
      </candidateList>
      <explain/>
      <paraID>1D4D48B4</paraID>
      <start>3</start>
      <end>4</end>
      <status>unmodified</status>
      <modifiedWord/>
      <trackRevisions>false</trackRevisions>
    </reviewItem>
    <reviewItem>
      <errorID>6df42b59-e896-483d-a8c8-618cb651deed</errorID>
      <errorWord>可</errorWord>
      <group>L1_Word</group>
      <groupName>字词问题</groupName>
      <ability>L2_Typo</ability>
      <abilityName>字词错误</abilityName>
      <candidateList>
        <item>见</item>
      </candidateList>
      <explain/>
      <paraID>687D3552</paraID>
      <start>101</start>
      <end>102</end>
      <status>unmodified</status>
      <modifiedWord/>
      <trackRevisions>false</trackRevisions>
    </reviewItem>
    <reviewItem>
      <errorID>ac0dceb2-0139-4e78-9e6c-f665ff9c6345</errorID>
      <errorWord>)</errorWord>
      <group>L1_Format</group>
      <groupName>格式问题</groupName>
      <ability>L2_HalfPunc</ability>
      <abilityName>全半角检查</abilityName>
      <candidateList>
        <item>）</item>
      </candidateList>
      <explain>文本全半角错误。</explain>
      <paraID>687D3552</paraID>
      <start>105</start>
      <end>106</end>
      <status>unmodified</status>
      <modifiedWord/>
      <trackRevisions>false</trackRevisions>
    </reviewItem>
    <reviewItem>
      <errorID>505c153a-a594-4fa4-b1d4-4f9d09f1e3c5</errorID>
      <errorWord>标的的</errorWord>
      <group>L1_Word</group>
      <groupName>字词问题</groupName>
      <ability>L2_Typo</ability>
      <abilityName>字词错误</abilityName>
      <candidateList>
        <item>标的</item>
      </candidateList>
      <explain/>
      <paraID>3502A588</paraID>
      <start>0</start>
      <end>3</end>
      <status>unmodified</status>
      <modifiedWord/>
      <trackRevisions>false</trackRevisions>
    </reviewItem>
    <reviewItem>
      <errorID>79832e14-8a2c-4be9-be1c-91882064f068</errorID>
      <errorWord>因工</errorWord>
      <group>L1_Word</group>
      <groupName>字词问题</groupName>
      <ability>L2_Typo</ability>
      <abilityName>字词错误</abilityName>
      <candidateList>
        <item>因公</item>
      </candidateList>
      <explain/>
      <paraID>2A4B69D6</paraID>
      <start>8</start>
      <end>10</end>
      <status>unmodified</status>
      <modifiedWord/>
      <trackRevisions>false</trackRevisions>
    </reviewItem>
    <reviewItem>
      <errorID>fb05fcc4-82aa-4e8a-87d1-523286be8460</errorID>
      <errorWord>(</errorWord>
      <group>L1_Format</group>
      <groupName>格式问题</groupName>
      <ability>L2_HalfPunc</ability>
      <abilityName>全半角检查</abilityName>
      <candidateList>
        <item>（</item>
      </candidateList>
      <explain>文本全半角错误。</explain>
      <paraID>4289058A</paraID>
      <start>44</start>
      <end>45</end>
      <status>unmodified</status>
      <modifiedWord/>
      <trackRevisions>false</trackRevisions>
    </reviewItem>
    <reviewItem>
      <errorID>c9090773-cb8f-41c1-b327-31d4fbe397ec</errorID>
      <errorWord>)</errorWord>
      <group>L1_Format</group>
      <groupName>格式问题</groupName>
      <ability>L2_HalfPunc</ability>
      <abilityName>全半角检查</abilityName>
      <candidateList>
        <item>）</item>
      </candidateList>
      <explain>文本全半角错误。</explain>
      <paraID>4289058A</paraID>
      <start>64</start>
      <end>65</end>
      <status>unmodified</status>
      <modifiedWord/>
      <trackRevisions>false</trackRevisions>
    </reviewItem>
    <reviewItem>
      <errorID>93323093-7d36-46c5-87a4-dae250607377</errorID>
      <errorWord>。</errorWord>
      <group>L1_Punc</group>
      <groupName>标点问题</groupName>
      <ability>L2_Punc</ability>
      <abilityName>标点符号检查</abilityName>
      <candidateList>
        <item/>
      </candidateList>
      <explain>标题文本后不使用标点符号。</explain>
      <paraID>7A6B833B</paraID>
      <start>36</start>
      <end>37</end>
      <status>unmodified</status>
      <modifiedWord/>
      <trackRevisions>false</trackRevisions>
    </reviewItem>
    <reviewItem>
      <errorID>16d73881-e0f2-451f-be7f-a4379b06eed4</errorID>
      <errorWord>因工</errorWord>
      <group>L1_Word</group>
      <groupName>字词问题</groupName>
      <ability>L2_Typo</ability>
      <abilityName>字词错误</abilityName>
      <candidateList>
        <item>因公</item>
      </candidateList>
      <explain/>
      <paraID>26611DE4</paraID>
      <start>10</start>
      <end>12</end>
      <status>unmodified</status>
      <modifiedWord/>
      <trackRevisions>false</trackRevisions>
    </reviewItem>
    <reviewItem>
      <errorID>f2603a45-fe1a-42ab-9698-75c8068f08b7</errorID>
      <errorWord>因工</errorWord>
      <group>L1_Word</group>
      <groupName>字词问题</groupName>
      <ability>L2_Typo</ability>
      <abilityName>字词错误</abilityName>
      <candidateList>
        <item>因公</item>
      </candidateList>
      <explain/>
      <paraID>2853B38E</paraID>
      <start>41</start>
      <end>43</end>
      <status>unmodified</status>
      <modifiedWord/>
      <trackRevisions>false</trackRevisions>
    </reviewItem>
    <reviewItem>
      <errorID>d9fa2b85-3bb5-4d0a-845d-03c253e753a1</errorID>
      <errorWord>付</errorWord>
      <group>L1_Word</group>
      <groupName>字词问题</groupName>
      <ability>L2_Typo</ability>
      <abilityName>字词错误</abilityName>
      <candidateList>
        <item>附</item>
      </candidateList>
      <explain>存在发音相同字词的误用。</explain>
      <paraID> 4A36099</paraID>
      <start>39</start>
      <end>40</end>
      <status>unmodified</status>
      <modifiedWord/>
      <trackRevisions>false</trackRevisions>
    </reviewItem>
    <reviewItem>
      <errorID>f58b2041-103c-4cdf-a2cc-5808fa94427f</errorID>
      <errorWord>--</errorWord>
      <group>L1_Punc</group>
      <groupName>标点问题</groupName>
      <ability>L2_Punc</ability>
      <abilityName>标点符号检查</abilityName>
      <candidateList>
        <item>——</item>
      </candidateList>
      <explain>破折号或连接号疑似使用错误。</explain>
      <paraID>42CBE5DE</paraID>
      <start>125</start>
      <end>127</end>
      <status>unmodified</status>
      <modifiedWord/>
      <trackRevisions>false</trackRevisions>
    </reviewItem>
    <reviewItem>
      <errorID>ef1007c2-6011-48a6-9125-fd9cbccec490</errorID>
      <errorWord>脑中风</errorWord>
      <group>L1_Knowledge</group>
      <groupName>知识性问题</groupName>
      <ability>L2_Term</ability>
      <abilityName>专业术语</abilityName>
      <candidateList>
        <item>脑卒中</item>
      </candidateList>
      <explain>医学名词[脑中风]为不规范表述或旧称，其规范书面表述为[脑卒中]。</explain>
      <paraID>42CBE5DE</paraID>
      <start>141</start>
      <end>144</end>
      <status>unmodified</status>
      <modifiedWord/>
      <trackRevisions>false</trackRevisions>
    </reviewItem>
    <reviewItem>
      <errorID>b296e5db-f775-4e77-8b02-ed19f88ff677</errorID>
      <errorWord>(</errorWord>
      <group>L1_Format</group>
      <groupName>格式问题</groupName>
      <ability>L2_HalfPunc</ability>
      <abilityName>全半角检查</abilityName>
      <candidateList>
        <item>（</item>
      </candidateList>
      <explain>文本全半角错误。</explain>
      <paraID>42CBE5DE</paraID>
      <start>172</start>
      <end>173</end>
      <status>unmodified</status>
      <modifiedWord/>
      <trackRevisions>false</trackRevisions>
    </reviewItem>
    <reviewItem>
      <errorID>6fc9ab72-7ad9-4762-aacd-ac3f70f63e55</errorID>
      <errorWord>)</errorWord>
      <group>L1_Format</group>
      <groupName>格式问题</groupName>
      <ability>L2_HalfPunc</ability>
      <abilityName>全半角检查</abilityName>
      <candidateList>
        <item>）</item>
      </candidateList>
      <explain>文本全半角错误。</explain>
      <paraID>42CBE5DE</paraID>
      <start>184</start>
      <end>185</end>
      <status>unmodified</status>
      <modifiedWord/>
      <trackRevisions>false</trackRevisions>
    </reviewItem>
    <reviewItem>
      <errorID>25b63f4b-ba02-4e1e-86cf-1d92059000d2</errorID>
      <errorWord>炎</errorWord>
      <group>L1_Word</group>
      <groupName>字词问题</groupName>
      <ability>L2_Typo</ability>
      <abilityName>字词错误</abilityName>
      <candidateList>
        <item>炎等</item>
      </candidateList>
      <explain/>
      <paraID>42CBE5DE</paraID>
      <start>374</start>
      <end>375</end>
      <status>unmodified</status>
      <modifiedWord/>
      <trackRevisions>false</trackRevisions>
    </reviewItem>
    <reviewItem>
      <errorID>7041caed-cf0f-4efa-bdf1-38ab2780c8ae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37864559</paraID>
      <start>0</start>
      <end>3</end>
      <status>unmodified</status>
      <modifiedWord/>
      <trackRevisions>false</trackRevisions>
    </reviewItem>
    <reviewItem>
      <errorID>d381779c-21db-4f25-a9fa-b4b53a5d1a46</errorID>
      <errorWord>付</errorWord>
      <group>L1_Word</group>
      <groupName>字词问题</groupName>
      <ability>L2_Typo</ability>
      <abilityName>字词错误</abilityName>
      <candidateList>
        <item>附</item>
      </candidateList>
      <explain>存在发音相同字词的误用。</explain>
      <paraID>2783AA60</paraID>
      <start>39</start>
      <end>40</end>
      <status>unmodified</status>
      <modifiedWord/>
      <trackRevisions>false</trackRevisions>
    </reviewItem>
    <reviewItem>
      <errorID>ee78d3ac-574b-4544-901d-990edd3dc3c2</errorID>
      <errorWord>金</errorWord>
      <group>L1_Word</group>
      <groupName>字词问题</groupName>
      <ability>L2_Typo</ability>
      <abilityName>字词错误</abilityName>
      <candidateList>
        <item>金额</item>
      </candidateList>
      <explain/>
      <paraID>3F64722E</paraID>
      <start>36</start>
      <end>37</end>
      <status>unmodified</status>
      <modifiedWord/>
      <trackRevisions>false</trackRevisions>
    </reviewItem>
    <reviewItem>
      <errorID>1044e1ec-fcc6-4614-a923-94241883a0b9</errorID>
      <errorWord>：</errorWord>
      <group>L1_Punc</group>
      <groupName>标点问题</groupName>
      <ability>L2_Punc</ability>
      <abilityName>标点符号检查</abilityName>
      <candidateList>
        <item/>
      </candidateList>
      <explain>标题文本后不使用标点符号。</explain>
      <paraID>67D9CBF4</paraID>
      <start>9</start>
      <end>10</end>
      <status>unmodified</status>
      <modifiedWord/>
      <trackRevisions>false</trackRevisions>
    </reviewItem>
    <reviewItem>
      <errorID>634d4480-bd8e-430b-bfb0-4be0d5ebf871</errorID>
      <errorWord>后二个</errorWord>
      <group>L1_Word</group>
      <groupName>字词问题</groupName>
      <ability>L2_Alias</ability>
      <abilityName>也作/曾用词</abilityName>
      <candidateList>
        <item>后两个</item>
      </candidateList>
      <explain>词汇[后二个]为不规范表述或旧称，其规范书面表述为[后两个]。</explain>
      <paraID>1FA45A14</paraID>
      <start>9</start>
      <end>12</end>
      <status>unmodified</status>
      <modifiedWord/>
      <trackRevisions>false</trackRevisions>
    </reviewItem>
    <reviewItem>
      <errorID>fc9e5d58-55c7-4907-8ae8-497bbc780b98</errorID>
      <errorWord>关与</errorWord>
      <group>L1_Word</group>
      <groupName>字词问题</groupName>
      <ability>L2_Typo</ability>
      <abilityName>字词错误</abilityName>
      <candidateList>
        <item>关于</item>
      </candidateList>
      <explain>〈介〉❶引进某种行为的关系者，组成介词结构做状语：～扶贫工作，上级已经做了指示。❷引进某种事物的关系者，组成介词结构做定语（后面要加“的”），或在“是…的”式中做谓语：他读了几本～政治经济学的书｜今天在厂里开了一个会，是～环境保护方面的。‖注意a）表示关涉，用“关于”不用“对于”，如：～织女星，民间有个美丽的传说。</explain>
      <paraID>5AB39ADF</paraID>
      <start>31</start>
      <end>33</end>
      <status>unmodified</status>
      <modifiedWord/>
      <trackRevisions>false</trackRevisions>
    </reviewItem>
    <reviewItem>
      <errorID>b36b184f-a420-4660-a104-2e0b38ece369</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5AB39ADF</paraID>
      <start>105</start>
      <end>107</end>
      <status>unmodified</status>
      <modifiedWord/>
      <trackRevisions>false</trackRevisions>
    </reviewItem>
    <reviewItem>
      <errorID>f87d622f-d8cc-43f4-849e-670c0c0af883</errorID>
      <errorWord>因为</errorWord>
      <group>L1_Word</group>
      <groupName>字词问题</groupName>
      <ability>L2_Typo</ability>
      <abilityName>字词错误</abilityName>
      <candidateList>
        <item>因</item>
      </candidateList>
      <explain/>
      <paraID>5AB39ADF</paraID>
      <start>125</start>
      <end>127</end>
      <status>unmodified</status>
      <modifiedWord/>
      <trackRevisions>false</trackRevisions>
    </reviewItem>
    <reviewItem>
      <errorID>9863613b-0b73-4c82-a377-3254ec4907f1</errorID>
      <errorWord>(</errorWord>
      <group>L1_Format</group>
      <groupName>格式问题</groupName>
      <ability>L2_HalfPunc</ability>
      <abilityName>全半角检查</abilityName>
      <candidateList>
        <item>（</item>
      </candidateList>
      <explain>文本全半角错误。</explain>
      <paraID> 9B09535</paraID>
      <start>25</start>
      <end>26</end>
      <status>unmodified</status>
      <modifiedWord/>
      <trackRevisions>false</trackRevisions>
    </reviewItem>
    <reviewItem>
      <errorID>0b933575-f0e3-4689-a258-d6c667745302</errorID>
      <errorWord>)</errorWord>
      <group>L1_Format</group>
      <groupName>格式问题</groupName>
      <ability>L2_HalfPunc</ability>
      <abilityName>全半角检查</abilityName>
      <candidateList>
        <item>）</item>
      </candidateList>
      <explain>文本全半角错误。</explain>
      <paraID> 9B09535</paraID>
      <start>48</start>
      <end>49</end>
      <status>unmodified</status>
      <modifiedWord/>
      <trackRevisions>false</trackRevisions>
    </reviewItem>
    <reviewItem>
      <errorID>5503dd80-8718-4090-bcf5-a07d78c81a4b</errorID>
      <errorWord>(</errorWord>
      <group>L1_Format</group>
      <groupName>格式问题</groupName>
      <ability>L2_HalfPunc</ability>
      <abilityName>全半角检查</abilityName>
      <candidateList>
        <item>（</item>
      </candidateList>
      <explain>文本全半角错误。</explain>
      <paraID> 9B09535</paraID>
      <start>57</start>
      <end>58</end>
      <status>unmodified</status>
      <modifiedWord/>
      <trackRevisions>false</trackRevisions>
    </reviewItem>
    <reviewItem>
      <errorID>138e0bea-bc6c-434c-ad1c-14036513066a</errorID>
      <errorWord>)</errorWord>
      <group>L1_Format</group>
      <groupName>格式问题</groupName>
      <ability>L2_HalfPunc</ability>
      <abilityName>全半角检查</abilityName>
      <candidateList>
        <item>）</item>
      </candidateList>
      <explain>文本全半角错误。</explain>
      <paraID> 9B09535</paraID>
      <start>73</start>
      <end>74</end>
      <status>unmodified</status>
      <modifiedWord/>
      <trackRevisions>false</trackRevisions>
    </reviewItem>
    <reviewItem>
      <errorID>2ea56e52-9d73-49ab-b5b9-40619dd363e0</errorID>
      <errorWord>：对</errorWord>
      <group>L1_Word</group>
      <groupName>字词问题</groupName>
      <ability>L2_Typo</ability>
      <abilityName>字词错误</abilityName>
      <candidateList>
        <item>：</item>
      </candidateList>
      <explain/>
      <paraID>52D39A1D</paraID>
      <start>11</start>
      <end>13</end>
      <status>unmodified</status>
      <modifiedWord/>
      <trackRevisions>false</trackRevisions>
    </reviewItem>
    <reviewItem>
      <errorID>2ea9ed60-7c03-4816-bbf0-4a1fc989af18</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 B9FFCD1</paraID>
      <start>19</start>
      <end>21</end>
      <status>unmodified</status>
      <modifiedWord/>
      <trackRevisions>false</trackRevisions>
    </reviewItem>
    <reviewItem>
      <errorID>9475ba89-fab7-4769-be23-c41e0f943b20</errorID>
      <errorWord>-</errorWord>
      <group>L1_Format</group>
      <groupName>格式问题</groupName>
      <ability>L2_HalfPunc</ability>
      <abilityName>全半角检查</abilityName>
      <candidateList>
        <item>－</item>
      </candidateList>
      <explain>文本全半角错误。</explain>
      <paraID>222391F2</paraID>
      <start>20</start>
      <end>21</end>
      <status>unmodified</status>
      <modifiedWord/>
      <trackRevisions>false</trackRevisions>
    </reviewItem>
    <reviewItem>
      <errorID>981ed434-2a15-4dcf-9f50-25fa58995312</errorID>
      <errorWord>法律、法规</errorWord>
      <group>L1_Word</group>
      <groupName>字词问题</groupName>
      <ability>L2_Typo</ability>
      <abilityName>字词错误</abilityName>
      <candidateList>
        <item>法律法规</item>
      </candidateList>
      <explain/>
      <paraID>576F2AE2</paraID>
      <start>3</start>
      <end>8</end>
      <status>unmodified</status>
      <modifiedWord/>
      <trackRevisions>false</trackRevisions>
    </reviewItem>
    <reviewItem>
      <errorID>a3406fd6-7704-4276-853a-c90a9296f380</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6E0AE9CC</paraID>
      <start>35</start>
      <end>37</end>
      <status>unmodified</status>
      <modifiedWord/>
      <trackRevisions>false</trackRevisions>
    </reviewItem>
    <reviewItem>
      <errorID>a31ea14f-b92a-4cdb-85d7-21416f5847c2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6667A329</paraID>
      <start>53</start>
      <end>54</end>
      <status>unmodified</status>
      <modifiedWord/>
      <trackRevisions>false</trackRevisions>
    </reviewItem>
    <reviewItem>
      <errorID>8f55b7a6-beaa-4c65-b390-cc4b06a6eee0</errorID>
      <errorWord>，</errorWord>
      <group>L1_Word</group>
      <groupName>字词问题</groupName>
      <ability>L2_Typo</ability>
      <abilityName>字词错误</abilityName>
      <candidateList>
        <item>，具</item>
      </candidateList>
      <explain/>
      <paraID>2AD653C6</paraID>
      <start>30</start>
      <end>31</end>
      <status>unmodified</status>
      <modifiedWord/>
      <trackRevisions>false</trackRevisions>
    </reviewItem>
    <reviewItem>
      <errorID>3eff0323-70f4-47f9-a5a3-029b44e310be</errorID>
      <errorWord>况</errorWord>
      <group>L1_Word</group>
      <groupName>字词问题</groupName>
      <ability>L2_Typo</ability>
      <abilityName>字词错误</abilityName>
      <candidateList>
        <item>况等</item>
      </candidateList>
      <explain/>
      <paraID>2AD653C6</paraID>
      <start>45</start>
      <end>46</end>
      <status>unmodified</status>
      <modifiedWord/>
      <trackRevisions>false</trackRevisions>
    </reviewItem>
    <reviewItem>
      <errorID>fa72339d-b9d4-42c1-b2a4-a8b3629a1fa3</errorID>
      <errorWord>，</errorWord>
      <group>L1_Word</group>
      <groupName>字词问题</groupName>
      <ability>L2_Typo</ability>
      <abilityName>字词错误</abilityName>
      <candidateList>
        <item>，具</item>
      </candidateList>
      <explain/>
      <paraID>1C9F99BD</paraID>
      <start>32</start>
      <end>33</end>
      <status>unmodified</status>
      <modifiedWord/>
      <trackRevisions>false</trackRevisions>
    </reviewItem>
    <reviewItem>
      <errorID>c65dfc5a-eaf6-47b6-8a77-598f5268e533</errorID>
      <errorWord>详细的</errorWord>
      <group>L1_Word</group>
      <groupName>字词问题</groupName>
      <ability>L2_Typo</ability>
      <abilityName>字词错误</abilityName>
      <candidateList>
        <item>详细</item>
      </candidateList>
      <explain/>
      <paraID>7B1CEC3C</paraID>
      <start>48</start>
      <end>51</end>
      <status>unmodified</status>
      <modifiedWord/>
      <trackRevisions>false</trackRevisions>
    </reviewItem>
    <reviewItem>
      <errorID>cccba788-3030-434d-9eab-e27c2dfc392d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1D367D0D</paraID>
      <start>0</start>
      <end>2</end>
      <status>unmodified</status>
      <modifiedWord/>
      <trackRevisions>false</trackRevisions>
    </reviewItem>
    <reviewItem>
      <errorID>52be417f-164b-4919-b53e-c1cd3d1f432b</errorID>
      <errorWord>(</errorWord>
      <group>L1_Format</group>
      <groupName>格式问题</groupName>
      <ability>L2_HalfPunc</ability>
      <abilityName>全半角检查</abilityName>
      <candidateList>
        <item>（</item>
      </candidateList>
      <explain>文本全半角错误。</explain>
      <paraID>1D367D0D</paraID>
      <start>42</start>
      <end>43</end>
      <status>unmodified</status>
      <modifiedWord/>
      <trackRevisions>false</trackRevisions>
    </reviewItem>
    <reviewItem>
      <errorID>24ce0638-dea7-4070-aafe-37be8810c638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7D1B866E</paraID>
      <start>0</start>
      <end>2</end>
      <status>unmodified</status>
      <modifiedWord/>
      <trackRevisions>false</trackRevisions>
    </reviewItem>
    <reviewItem>
      <errorID>bd0f3204-e287-46ba-ba60-fda6441026c7</errorID>
      <errorWord>(</errorWord>
      <group>L1_Format</group>
      <groupName>格式问题</groupName>
      <ability>L2_HalfPunc</ability>
      <abilityName>全半角检查</abilityName>
      <candidateList>
        <item>（</item>
      </candidateList>
      <explain>文本全半角错误。</explain>
      <paraID>7D1B866E</paraID>
      <start>50</start>
      <end>51</end>
      <status>unmodified</status>
      <modifiedWord/>
      <trackRevisions>false</trackRevisions>
    </reviewItem>
    <reviewItem>
      <errorID>86129d68-6560-46aa-a1bd-a8bfb1b2f028</errorID>
      <errorWord>:</errorWord>
      <group>L1_Format</group>
      <groupName>格式问题</groupName>
      <ability>L2_HalfPunc</ability>
      <abilityName>全半角检查</abilityName>
      <candidateList>
        <item>：</item>
      </candidateList>
      <explain>文本全半角错误。</explain>
      <paraID>7D1B866E</paraID>
      <start>52</start>
      <end>53</end>
      <status>unmodified</status>
      <modifiedWord/>
      <trackRevisions>false</trackRevisions>
    </reviewItem>
    <reviewItem>
      <errorID>6c6293d4-324b-48aa-8edb-8d4c39a9957b</errorID>
      <errorWord>)</errorWord>
      <group>L1_Format</group>
      <groupName>格式问题</groupName>
      <ability>L2_HalfPunc</ability>
      <abilityName>全半角检查</abilityName>
      <candidateList>
        <item>）</item>
      </candidateList>
      <explain>文本全半角错误。</explain>
      <paraID>7D1B866E</paraID>
      <start>102</start>
      <end>103</end>
      <status>unmodified</status>
      <modifiedWord/>
      <trackRevisions>false</trackRevisions>
    </reviewItem>
    <reviewItem>
      <errorID>36ea5cef-7157-4992-bb28-0c9d4d5c4293</errorID>
      <errorWord>计分</errorWord>
      <group>L1_Word</group>
      <groupName>字词问题</groupName>
      <ability>L2_Typo</ability>
      <abilityName>字词错误</abilityName>
      <candidateList>
        <item>记分</item>
      </candidateList>
      <explain>存在发音相同字词的误用。</explain>
      <paraID>3F35B9B8</paraID>
      <start>29</start>
      <end>31</end>
      <status>unmodified</status>
      <modifiedWord/>
      <trackRevisions>false</trackRevisions>
    </reviewItem>
    <reviewItem>
      <errorID>673af46e-2820-4b6a-a26e-01f5bae70a2a</errorID>
      <errorWord>门偿</errorWord>
      <group>L1_Word</group>
      <groupName>字词问题</groupName>
      <ability>L2_Typo</ability>
      <abilityName>字词错误</abilityName>
      <candidateList>
        <item>门第</item>
      </candidateList>
      <explain/>
      <paraID>64752DAB</paraID>
      <start>43</start>
      <end>45</end>
      <status>unmodified</status>
      <modifiedWord/>
      <trackRevisions>false</trackRevisions>
    </reviewItem>
    <reviewItem>
      <errorID>857268f6-fc4e-4810-aeed-ab7b0a493723</errorID>
      <errorWord>(</errorWord>
      <group>L1_Format</group>
      <groupName>格式问题</groupName>
      <ability>L2_HalfPunc</ability>
      <abilityName>全半角检查</abilityName>
      <candidateList>
        <item>（</item>
      </candidateList>
      <explain>文本全半角错误。</explain>
      <paraID>11564209</paraID>
      <start>10</start>
      <end>11</end>
      <status>unmodified</status>
      <modifiedWord/>
      <trackRevisions>false</trackRevisions>
    </reviewItem>
    <reviewItem>
      <errorID>1673cf5c-326f-47f5-8f93-37232f05efc8</errorID>
      <errorWord>)</errorWord>
      <group>L1_Format</group>
      <groupName>格式问题</groupName>
      <ability>L2_HalfPunc</ability>
      <abilityName>全半角检查</abilityName>
      <candidateList>
        <item>）</item>
      </candidateList>
      <explain>文本全半角错误。</explain>
      <paraID>11564209</paraID>
      <start>19</start>
      <end>20</end>
      <status>unmodified</status>
      <modifiedWord/>
      <trackRevisions>false</trackRevisions>
    </reviewItem>
    <reviewItem>
      <errorID>9407b04c-a58b-45dc-869b-4fb9de490ab6</errorID>
      <errorWord>股东大会</errorWord>
      <group>L1_Word</group>
      <groupName>字词问题</groupName>
      <ability>L2_Typo</ability>
      <abilityName>字词错误</abilityName>
      <candidateList>
        <item>股东会</item>
      </candidateList>
      <explain/>
      <paraID> 8F9CF80</paraID>
      <start>113</start>
      <end>117</end>
      <status>unmodified</status>
      <modifiedWord/>
      <trackRevisions>false</trackRevisions>
    </reviewItem>
    <reviewItem>
      <errorID>a0c5e390-c75a-4ff4-9466-55385a1af4bb</errorID>
      <errorWord>同</errorWord>
      <group>L1_Word</group>
      <groupName>字词问题</groupName>
      <ability>L2_Typo</ability>
      <abilityName>字词错误</abilityName>
      <candidateList>
        <item>同一</item>
      </candidateList>
      <explain/>
      <paraID>7792BE2E</paraID>
      <start>92</start>
      <end>93</end>
      <status>unmodified</status>
      <modifiedWord/>
      <trackRevisions>false</trackRevisions>
    </reviewItem>
    <reviewItem>
      <errorID>95a4e73f-e57c-4268-ad74-a8b035862525</errorID>
      <errorWord>:</errorWord>
      <group>L1_Format</group>
      <groupName>格式问题</groupName>
      <ability>L2_HalfPunc</ability>
      <abilityName>全半角检查</abilityName>
      <candidateList>
        <item>：</item>
      </candidateList>
      <explain>文本全半角错误。</explain>
      <paraID>78E96F67</paraID>
      <start>1</start>
      <end>2</end>
      <status>unmodified</status>
      <modifiedWord/>
      <trackRevisions>false</trackRevisions>
    </reviewItem>
    <reviewItem>
      <errorID>efad3be0-161c-4f81-8523-c60cd5c51c88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3D0C2EBF</paraID>
      <start>37</start>
      <end>40</end>
      <status>unmodified</status>
      <modifiedWord/>
      <trackRevisions>false</trackRevisions>
    </reviewItem>
    <reviewItem>
      <errorID>3106a9c2-1b2b-40ed-a210-388fb83055f1</errorID>
      <errorWord>,</errorWord>
      <group>L1_Format</group>
      <groupName>格式问题</groupName>
      <ability>L2_HalfPunc</ability>
      <abilityName>全半角检查</abilityName>
      <candidateList>
        <item>，</item>
      </candidateList>
      <explain>文本全半角错误。</explain>
      <paraID> 7C7AE30</paraID>
      <start>61</start>
      <end>62</end>
      <status>unmodified</status>
      <modifiedWord/>
      <trackRevisions>false</trackRevisions>
    </reviewItem>
    <reviewItem>
      <errorID>70249b23-3c2a-4169-af2f-87fd25db4a52</errorID>
      <errorWord>税</errorWord>
      <group>L1_Word</group>
      <groupName>字词问题</groupName>
      <ability>L2_Typo</ability>
      <abilityName>字词错误</abilityName>
      <candidateList>
        <item>税务</item>
      </candidateList>
      <explain/>
      <paraID>340B819C</paraID>
      <start>4</start>
      <end>5</end>
      <status>unmodified</status>
      <modifiedWord/>
      <trackRevisions>false</trackRevisions>
    </reviewItem>
    <reviewItem>
      <errorID>2407be32-01a9-4fc1-894f-2d11d087ea0a</errorID>
      <errorWord>标的的</errorWord>
      <group>L1_Word</group>
      <groupName>字词问题</groupName>
      <ability>L2_Typo</ability>
      <abilityName>字词错误</abilityName>
      <candidateList>
        <item>标的</item>
      </candidateList>
      <explain/>
      <paraID>3FAF0EEA</paraID>
      <start>0</start>
      <end>3</end>
      <status>unmodified</status>
      <modifiedWord/>
      <trackRevisions>false</trackRevisions>
    </reviewItem>
    <reviewItem>
      <errorID>3c45d751-9fad-4dbb-94a9-01e9533b9613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67875A85</paraID>
      <start>40</start>
      <end>43</end>
      <status>unmodified</status>
      <modifiedWord/>
      <trackRevisions>false</trackRevisions>
    </reviewItem>
    <reviewItem>
      <errorID>00637b5d-3c80-4dc4-9a89-bc58c3c03c38</errorID>
      <errorWord>：</errorWord>
      <group>L1_Punc</group>
      <groupName>标点问题</groupName>
      <ability>L2_Punc</ability>
      <abilityName>标点符号检查</abilityName>
      <candidateList>
        <item/>
      </candidateList>
      <explain>标题文本后不使用标点符号。</explain>
      <paraID>5E4B65D7</paraID>
      <start>14</start>
      <end>15</end>
      <status>unmodified</status>
      <modifiedWord/>
      <trackRevisions>false</trackRevisions>
    </reviewItem>
    <reviewItem>
      <errorID>f816c9d9-3575-4070-be9d-da7331b9645e</errorID>
      <errorWord>：</errorWord>
      <group>L1_Punc</group>
      <groupName>标点问题</groupName>
      <ability>L2_Punc</ability>
      <abilityName>标点符号检查</abilityName>
      <candidateList>
        <item/>
      </candidateList>
      <explain>标题文本后不使用标点符号。</explain>
      <paraID>72FF7633</paraID>
      <start>12</start>
      <end>13</end>
      <status>unmodified</status>
      <modifiedWord/>
      <trackRevisions>false</trackRevisions>
    </reviewItem>
    <reviewItem>
      <errorID>a2d31541-5306-475e-95ec-937ea3e22038</errorID>
      <errorWord>：</errorWord>
      <group>L1_Punc</group>
      <groupName>标点问题</groupName>
      <ability>L2_Punc</ability>
      <abilityName>标点符号检查</abilityName>
      <candidateList>
        <item/>
      </candidateList>
      <explain>标题文本后不使用标点符号。</explain>
      <paraID>62E8515B</paraID>
      <start>10</start>
      <end>11</end>
      <status>unmodified</status>
      <modifiedWord/>
      <trackRevisions>false</trackRevisions>
    </reviewItem>
    <reviewItem>
      <errorID>3bbf1067-a86f-42e3-96c5-e62246ad57ce</errorID>
      <errorWord>提出质疑</errorWord>
      <group>L1_Grammar</group>
      <groupName>语法问题</groupName>
      <ability>L2_Grammar</ability>
      <abilityName>语法错误</abilityName>
      <candidateList>
        <item>质疑</item>
      </candidateList>
      <explain>〈动〉提出疑问：～问难。</explain>
      <paraID>213484A5</paraID>
      <start>53</start>
      <end>57</end>
      <status>unmodified</status>
      <modifiedWord/>
      <trackRevisions>false</trackRevisions>
    </reviewItem>
    <reviewItem>
      <errorID>4bb0f79b-e0e8-4642-be78-c9914ff7b3ec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7397B823</paraID>
      <start>15</start>
      <end>18</end>
      <status>unmodified</status>
      <modifiedWord/>
      <trackRevisions>false</trackRevisions>
    </reviewItem>
    <reviewItem>
      <errorID>b8228833-ae30-4752-9c38-e18cdf3a6a6a</errorID>
      <errorWord>法律、法规</errorWord>
      <group>L1_Word</group>
      <groupName>字词问题</groupName>
      <ability>L2_Typo</ability>
      <abilityName>字词错误</abilityName>
      <candidateList>
        <item>法律法规</item>
      </candidateList>
      <explain/>
      <paraID>7397B823</paraID>
      <start>30</start>
      <end>35</end>
      <status>unmodified</status>
      <modifiedWord/>
      <trackRevisions>false</trackRevisions>
    </reviewItem>
    <reviewItem>
      <errorID>86619921-ee58-468a-935c-050cdf67f7fd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51DFC093</paraID>
      <start>0</start>
      <end>2</end>
      <status>unmodified</status>
      <modifiedWord/>
      <trackRevisions>false</trackRevisions>
    </reviewItem>
    <reviewItem>
      <errorID>8a303928-7177-4227-afb6-29fe330d7e34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27F996C8</paraID>
      <start>0</start>
      <end>2</end>
      <status>unmodified</status>
      <modifiedWord/>
      <trackRevisions>false</trackRevisions>
    </reviewItem>
    <reviewItem>
      <errorID>f00df241-43ca-47af-9785-f5d0be734373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4C038DAF</paraID>
      <start>0</start>
      <end>2</end>
      <status>unmodified</status>
      <modifiedWord/>
      <trackRevisions>false</trackRevisions>
    </reviewItem>
    <reviewItem>
      <errorID>23aeaa56-9d93-4cfe-bb83-1e06cece54c4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62DFF0AC</paraID>
      <start>0</start>
      <end>2</end>
      <status>unmodified</status>
      <modifiedWord/>
      <trackRevisions>false</trackRevisions>
    </reviewItem>
    <reviewItem>
      <errorID>fc91d74c-624c-45cc-93e6-09c4a8302a2c</errorID>
      <errorWord>因为</errorWord>
      <group>L1_Word</group>
      <groupName>字词问题</groupName>
      <ability>L2_Typo</ability>
      <abilityName>字词错误</abilityName>
      <candidateList>
        <item>因</item>
      </candidateList>
      <explain/>
      <paraID>62DFF0AC</paraID>
      <start>106</start>
      <end>108</end>
      <status>unmodified</status>
      <modifiedWord/>
      <trackRevisions>false</trackRevisions>
    </reviewItem>
    <reviewItem>
      <errorID>c23a5277-472c-46cc-acc6-08e015b97533</errorID>
      <errorWord>（</errorWord>
      <group>L1_Punc</group>
      <groupName>标点问题</groupName>
      <ability>L2_Punc</ability>
      <abilityName>标点符号检查</abilityName>
      <candidateList/>
      <explain>同一形式括号套用。</explain>
      <paraID>7D5AFC93</paraID>
      <start>35</start>
      <end>36</end>
      <status>unmodified</status>
      <modifiedWord/>
      <trackRevisions>false</trackRevisions>
    </reviewItem>
    <reviewItem>
      <errorID>3653b0f4-7b02-4ce3-ad07-ddce5666a080</errorID>
      <errorWord>）</errorWord>
      <group>L1_Punc</group>
      <groupName>标点问题</groupName>
      <ability>L2_Punc</ability>
      <abilityName>标点符号检查</abilityName>
      <candidateList/>
      <explain>同一形式括号套用。</explain>
      <paraID>7D5AFC93</paraID>
      <start>37</start>
      <end>38</end>
      <status>unmodified</status>
      <modifiedWord/>
      <trackRevisions>false</trackRevisions>
    </reviewItem>
    <reviewItem>
      <errorID>fccf57be-f2d3-4ebb-a70f-071d86124768</errorID>
      <errorWord>因工</errorWord>
      <group>L1_Word</group>
      <groupName>字词问题</groupName>
      <ability>L2_Typo</ability>
      <abilityName>字词错误</abilityName>
      <candidateList>
        <item>因公</item>
      </candidateList>
      <explain/>
      <paraID>6588DAAB</paraID>
      <start>8</start>
      <end>10</end>
      <status>unmodified</status>
      <modifiedWord/>
      <trackRevisions>false</trackRevisions>
    </reviewItem>
    <reviewItem>
      <errorID>938f6f97-f40d-4de8-a108-9ea93c2d66e8</errorID>
      <errorWord>(</errorWord>
      <group>L1_Format</group>
      <groupName>格式问题</groupName>
      <ability>L2_HalfPunc</ability>
      <abilityName>全半角检查</abilityName>
      <candidateList>
        <item>（</item>
      </candidateList>
      <explain>文本全半角错误。</explain>
      <paraID>7A56EDA5</paraID>
      <start>44</start>
      <end>45</end>
      <status>unmodified</status>
      <modifiedWord/>
      <trackRevisions>false</trackRevisions>
    </reviewItem>
    <reviewItem>
      <errorID>378ab873-4428-4806-8244-5128b82637b5</errorID>
      <errorWord>)</errorWord>
      <group>L1_Format</group>
      <groupName>格式问题</groupName>
      <ability>L2_HalfPunc</ability>
      <abilityName>全半角检查</abilityName>
      <candidateList>
        <item>）</item>
      </candidateList>
      <explain>文本全半角错误。</explain>
      <paraID>7A56EDA5</paraID>
      <start>64</start>
      <end>65</end>
      <status>unmodified</status>
      <modifiedWord/>
      <trackRevisions>false</trackRevisions>
    </reviewItem>
    <reviewItem>
      <errorID>38d2b5b5-3c07-43cd-8140-ade3ae720ac5</errorID>
      <errorWord>。</errorWord>
      <group>L1_Punc</group>
      <groupName>标点问题</groupName>
      <ability>L2_Punc</ability>
      <abilityName>标点符号检查</abilityName>
      <candidateList>
        <item/>
      </candidateList>
      <explain>标题文本后不使用标点符号。</explain>
      <paraID> E2E6638</paraID>
      <start>36</start>
      <end>37</end>
      <status>unmodified</status>
      <modifiedWord/>
      <trackRevisions>false</trackRevisions>
    </reviewItem>
    <reviewItem>
      <errorID>b644e0a8-7dfb-41e9-91fa-caa5094a20b0</errorID>
      <errorWord>因工</errorWord>
      <group>L1_Word</group>
      <groupName>字词问题</groupName>
      <ability>L2_Typo</ability>
      <abilityName>字词错误</abilityName>
      <candidateList>
        <item>因公</item>
      </candidateList>
      <explain/>
      <paraID> 7A0D7F5</paraID>
      <start>10</start>
      <end>12</end>
      <status>unmodified</status>
      <modifiedWord/>
      <trackRevisions>false</trackRevisions>
    </reviewItem>
    <reviewItem>
      <errorID>08d4a46e-cf94-4a97-8f3b-325f3aed1b78</errorID>
      <errorWord>因工</errorWord>
      <group>L1_Word</group>
      <groupName>字词问题</groupName>
      <ability>L2_Typo</ability>
      <abilityName>字词错误</abilityName>
      <candidateList>
        <item>因公</item>
      </candidateList>
      <explain/>
      <paraID>1C0F03B3</paraID>
      <start>41</start>
      <end>43</end>
      <status>unmodified</status>
      <modifiedWord/>
      <trackRevisions>false</trackRevisions>
    </reviewItem>
    <reviewItem>
      <errorID>1a5406e2-ef97-4ae7-bb95-8bf09be61320</errorID>
      <errorWord>付</errorWord>
      <group>L1_Word</group>
      <groupName>字词问题</groupName>
      <ability>L2_Typo</ability>
      <abilityName>字词错误</abilityName>
      <candidateList>
        <item>附</item>
      </candidateList>
      <explain>存在发音相同字词的误用。</explain>
      <paraID>657715C9</paraID>
      <start>39</start>
      <end>40</end>
      <status>unmodified</status>
      <modifiedWord/>
      <trackRevisions>false</trackRevisions>
    </reviewItem>
    <reviewItem>
      <errorID>205cce0e-f5b6-4d20-a4be-39813e538b15</errorID>
      <errorWord>--</errorWord>
      <group>L1_Punc</group>
      <groupName>标点问题</groupName>
      <ability>L2_Punc</ability>
      <abilityName>标点符号检查</abilityName>
      <candidateList>
        <item>——</item>
      </candidateList>
      <explain>破折号或连接号疑似使用错误。</explain>
      <paraID>2EB9E0C8</paraID>
      <start>123</start>
      <end>125</end>
      <status>unmodified</status>
      <modifiedWord/>
      <trackRevisions>false</trackRevisions>
    </reviewItem>
    <reviewItem>
      <errorID>3f6311a9-c9cf-4bdf-b45e-f1890be536ba</errorID>
      <errorWord>脑中风</errorWord>
      <group>L1_Knowledge</group>
      <groupName>知识性问题</groupName>
      <ability>L2_Term</ability>
      <abilityName>专业术语</abilityName>
      <candidateList>
        <item>脑卒中</item>
      </candidateList>
      <explain>医学名词[脑中风]为不规范表述或旧称，其规范书面表述为[脑卒中]。</explain>
      <paraID>2EB9E0C8</paraID>
      <start>139</start>
      <end>142</end>
      <status>unmodified</status>
      <modifiedWord/>
      <trackRevisions>false</trackRevisions>
    </reviewItem>
    <reviewItem>
      <errorID>99ddf858-8dd3-448d-bcf7-c81f40673616</errorID>
      <errorWord>(</errorWord>
      <group>L1_Format</group>
      <groupName>格式问题</groupName>
      <ability>L2_HalfPunc</ability>
      <abilityName>全半角检查</abilityName>
      <candidateList>
        <item>（</item>
      </candidateList>
      <explain>文本全半角错误。</explain>
      <paraID>2EB9E0C8</paraID>
      <start>170</start>
      <end>171</end>
      <status>unmodified</status>
      <modifiedWord/>
      <trackRevisions>false</trackRevisions>
    </reviewItem>
    <reviewItem>
      <errorID>794d47f0-9745-4588-b741-1ab5c92424a0</errorID>
      <errorWord>)</errorWord>
      <group>L1_Format</group>
      <groupName>格式问题</groupName>
      <ability>L2_HalfPunc</ability>
      <abilityName>全半角检查</abilityName>
      <candidateList>
        <item>）</item>
      </candidateList>
      <explain>文本全半角错误。</explain>
      <paraID>2EB9E0C8</paraID>
      <start>182</start>
      <end>183</end>
      <status>unmodified</status>
      <modifiedWord/>
      <trackRevisions>false</trackRevisions>
    </reviewItem>
    <reviewItem>
      <errorID>16e21070-e264-414f-8a31-96ddf5966bdd</errorID>
      <errorWord>炎</errorWord>
      <group>L1_Word</group>
      <groupName>字词问题</groupName>
      <ability>L2_Typo</ability>
      <abilityName>字词错误</abilityName>
      <candidateList>
        <item>炎等</item>
      </candidateList>
      <explain/>
      <paraID>2EB9E0C8</paraID>
      <start>372</start>
      <end>373</end>
      <status>unmodified</status>
      <modifiedWord/>
      <trackRevisions>false</trackRevisions>
    </reviewItem>
    <reviewItem>
      <errorID>5bfa70cf-5aee-4bb9-ba91-daa471f0333a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3DCA2EFE</paraID>
      <start>0</start>
      <end>3</end>
      <status>unmodified</status>
      <modifiedWord/>
      <trackRevisions>false</trackRevisions>
    </reviewItem>
    <reviewItem>
      <errorID>369bc6b7-17cb-4539-b63e-c7a31c7a4cf9</errorID>
      <errorWord>付</errorWord>
      <group>L1_Word</group>
      <groupName>字词问题</groupName>
      <ability>L2_Typo</ability>
      <abilityName>字词错误</abilityName>
      <candidateList>
        <item>附</item>
      </candidateList>
      <explain>存在发音相同字词的误用。</explain>
      <paraID>7189976E</paraID>
      <start>39</start>
      <end>40</end>
      <status>unmodified</status>
      <modifiedWord/>
      <trackRevisions>false</trackRevisions>
    </reviewItem>
    <reviewItem>
      <errorID>cd56cb07-b4d8-43ff-b007-99e1ca5f06af</errorID>
      <errorWord>金</errorWord>
      <group>L1_Word</group>
      <groupName>字词问题</groupName>
      <ability>L2_Typo</ability>
      <abilityName>字词错误</abilityName>
      <candidateList>
        <item>金额</item>
      </candidateList>
      <explain/>
      <paraID> F0ABFDD</paraID>
      <start>36</start>
      <end>37</end>
      <status>unmodified</status>
      <modifiedWord/>
      <trackRevisions>false</trackRevisions>
    </reviewItem>
    <reviewItem>
      <errorID>a17173da-8e76-41b4-bcf3-87e322dc308f</errorID>
      <errorWord>:</errorWord>
      <group>L1_Format</group>
      <groupName>格式问题</groupName>
      <ability>L2_HalfPunc</ability>
      <abilityName>全半角检查</abilityName>
      <candidateList>
        <item>：</item>
      </candidateList>
      <explain>文本全半角错误。</explain>
      <paraID>5DE6C294</paraID>
      <start>10</start>
      <end>11</end>
      <status>unmodified</status>
      <modifiedWord/>
      <trackRevisions>false</trackRevisions>
    </reviewItem>
    <reviewItem>
      <errorID>43f5ae35-9d29-4c13-85f7-2bb2d8612cd9</errorID>
      <errorWord>日</errorWord>
      <group>L1_Word</group>
      <groupName>字词问题</groupName>
      <ability>L2_Typo</ability>
      <abilityName>字词错误</abilityName>
      <candidateList>
        <item>日起</item>
      </candidateList>
      <explain/>
      <paraID>32528A9B</paraID>
      <start>26</start>
      <end>27</end>
      <status>unmodified</status>
      <modifiedWord/>
      <trackRevisions>false</trackRevisions>
    </reviewItem>
    <reviewItem>
      <errorID>578b98f3-0c29-4379-84c2-0cad73fcea51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1E507DE5</paraID>
      <start>0</start>
      <end>2</end>
      <status>unmodified</status>
      <modifiedWord/>
      <trackRevisions>false</trackRevisions>
    </reviewItem>
    <reviewItem>
      <errorID>e3fda719-8e08-4ee0-bc0f-86ed46d0688a</errorID>
      <errorWord>[2021]1号</errorWord>
      <group>L1_Knowledge</group>
      <groupName>知识性问题</groupName>
      <ability>L2_Knowledge</ability>
      <abilityName>其他知识</abilityName>
      <candidateList>
        <item>〔2021〕1号</item>
      </candidateList>
      <explain>发文字号格式错误。</explain>
      <paraID>7C240699</paraID>
      <start>64</start>
      <end>72</end>
      <status>unmodified</status>
      <modifiedWord/>
      <trackRevisions>false</trackRevisions>
    </reviewItem>
    <reviewItem>
      <errorID>ab6571a6-ba8f-422a-981c-7eafefb72429</errorID>
      <errorWord>其它</errorWord>
      <group>L1_Word</group>
      <groupName>字词问题</groupName>
      <ability>L2_Alias</ability>
      <abilityName>也作/曾用词</abilityName>
      <candidateList>
        <item>其他</item>
      </candidateList>
      <explain>词汇[其它]为不规范表述或旧称，其规范书面表述为[其他]。</explain>
      <paraID> BC400FA</paraID>
      <start>2</start>
      <end>4</end>
      <status>unmodified</status>
      <modifiedWord/>
      <trackRevisions>false</trackRevisions>
    </reviewItem>
    <reviewItem>
      <errorID>7c7ce7de-b14a-43ed-8667-ea4fa5271c9f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576F9A51</paraID>
      <start>0</start>
      <end>2</end>
      <status>unmodified</status>
      <modifiedWord/>
      <trackRevisions>false</trackRevisions>
    </reviewItem>
    <reviewItem>
      <errorID>9c08b25e-03cf-484c-93f5-c02b2e6d355d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72574ACF</paraID>
      <start>0</start>
      <end>2</end>
      <status>unmodified</status>
      <modifiedWord/>
      <trackRevisions>false</trackRevisions>
    </reviewItem>
    <reviewItem>
      <errorID>94f08fd4-98b8-42a9-96ed-27fae3e5fd02</errorID>
      <errorWord>签</errorWord>
      <group>L1_Word</group>
      <groupName>字词问题</groupName>
      <ability>L2_Typo</ability>
      <abilityName>字词错误</abilityName>
      <candidateList>
        <item>签订</item>
      </candidateList>
      <explain>〈动〉订立条约或合同并签字：两国～了贸易议定书和支付协定。</explain>
      <paraID>72574ACF</paraID>
      <start>36</start>
      <end>37</end>
      <status>unmodified</status>
      <modifiedWord/>
      <trackRevisions>false</trackRevisions>
    </reviewItem>
    <reviewItem>
      <errorID>3b25c22d-973d-416a-80d3-0b2ae032e347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72BFB9B6</paraID>
      <start>0</start>
      <end>2</end>
      <status>unmodified</status>
      <modifiedWord/>
      <trackRevisions>false</trackRevisions>
    </reviewItem>
    <reviewItem>
      <errorID>4f43ecad-830a-4341-b052-ef1c3dfd1b57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20803904</paraID>
      <start>0</start>
      <end>2</end>
      <status>unmodified</status>
      <modifiedWord/>
      <trackRevisions>false</trackRevisions>
    </reviewItem>
    <reviewItem>
      <errorID>6e0ddf8b-bc04-482e-8c72-39a57f4c1813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1BC2DAF8</paraID>
      <start>0</start>
      <end>2</end>
      <status>unmodified</status>
      <modifiedWord/>
      <trackRevisions>false</trackRevisions>
    </reviewItem>
    <reviewItem>
      <errorID>6c20b3a7-5902-4fd1-a130-3a8ab279316f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565311C9</paraID>
      <start>0</start>
      <end>2</end>
      <status>unmodified</status>
      <modifiedWord/>
      <trackRevisions>false</trackRevisions>
    </reviewItem>
    <reviewItem>
      <errorID>ff7b69cc-3da2-44f0-b927-44ac42ed1679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3DC3DBE5</paraID>
      <start>0</start>
      <end>2</end>
      <status>unmodified</status>
      <modifiedWord/>
      <trackRevisions>false</trackRevisions>
    </reviewItem>
    <reviewItem>
      <errorID>56cd170e-35d6-44ae-935c-89ff3da47b29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5CDDAF16</paraID>
      <start>0</start>
      <end>2</end>
      <status>unmodified</status>
      <modifiedWord/>
      <trackRevisions>false</trackRevisions>
    </reviewItem>
    <reviewItem>
      <errorID>507f2676-c67f-4ed6-ab8c-33f86c76dcaa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5F9A8438</paraID>
      <start>0</start>
      <end>2</end>
      <status>unmodified</status>
      <modifiedWord/>
      <trackRevisions>false</trackRevisions>
    </reviewItem>
    <reviewItem>
      <errorID>aa8e2160-b3bb-4447-add8-56a285b9ea0a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1724829A</paraID>
      <start>0</start>
      <end>2</end>
      <status>unmodified</status>
      <modifiedWord/>
      <trackRevisions>false</trackRevisions>
    </reviewItem>
    <reviewItem>
      <errorID>ad0f8358-2e47-4a03-bf19-b1b199a1ecc0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100CCCCE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da5f0f-7ecb-44f4-aa05-6f28fa1fbdc1}">
  <ds:schemaRefs/>
</ds:datastoreItem>
</file>

<file path=docProps/app.xml><?xml version="1.0" encoding="utf-8"?>
<Properties xmlns="http://schemas.openxmlformats.org/officeDocument/2006/extended-properties" xmlns:vt="http://schemas.openxmlformats.org/officeDocument/2006/docPropsVTypes">
  <Template>Nor</Template>
  <Company>Sky12</Company>
  <Pages>76</Pages>
  <Words>19089</Words>
  <Characters>20093</Characters>
  <Lines>74</Lines>
  <Paragraphs>81</Paragraphs>
  <TotalTime>0</TotalTime>
  <ScaleCrop>false</ScaleCrop>
  <LinksUpToDate>false</LinksUpToDate>
  <CharactersWithSpaces>20580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2025-07-17T15:31:00Z</dcterms:created>
  <dc:creator>唐</dc:creator>
  <cp:lastModifiedBy>AUV</cp:lastModifiedBy>
  <dcterms:modified xsi:type="dcterms:W3CDTF">2026-02-03T03:27:39Z</dcterms:modified>
  <dc:title>竞争性谈判</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eyJoZGlkIjoiMzcwYmY3NzgyYjRlOGI4N2Q1OWEzYjdkMGY1MzQ5NTAiLCJ1c2VySWQiOiIzODM0MjA1OTEifQ==</vt:lpwstr>
  </property>
  <property fmtid="{D5CDD505-2E9C-101B-9397-08002B2CF9AE}" pid="3" name="KSOProductBuildVer">
    <vt:lpwstr>2052-12.1.0.24034</vt:lpwstr>
  </property>
  <property fmtid="{D5CDD505-2E9C-101B-9397-08002B2CF9AE}" pid="4" name="ICV">
    <vt:lpwstr>DDB0E62A542043D7B8E3604650B655C6_13</vt:lpwstr>
  </property>
</Properties>
</file>