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03503">
      <w:pPr>
        <w:spacing w:line="360" w:lineRule="auto"/>
        <w:jc w:val="center"/>
        <w:rPr>
          <w:rFonts w:ascii="方正小标宋简体" w:hAnsi="方正小标宋简体" w:eastAsia="方正小标宋简体" w:cs="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54260B37">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5F73ABFD">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3144AA90">
      <w:pPr>
        <w:snapToGrid w:val="0"/>
        <w:spacing w:beforeLines="50"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竞争性磋商文件</w:t>
      </w:r>
    </w:p>
    <w:p w14:paraId="3B567F97">
      <w:pPr>
        <w:snapToGrid w:val="0"/>
        <w:spacing w:beforeLines="50" w:line="360" w:lineRule="auto"/>
        <w:jc w:val="center"/>
        <w:rPr>
          <w:rFonts w:ascii="仿宋_GB2312" w:hAnsi="宋体" w:eastAsia="仿宋_GB2312"/>
          <w:bCs/>
          <w:color w:val="000000" w:themeColor="text1"/>
          <w:sz w:val="30"/>
          <w:szCs w:val="72"/>
          <w:highlight w:val="none"/>
          <w14:textFill>
            <w14:solidFill>
              <w14:schemeClr w14:val="tx1"/>
            </w14:solidFill>
          </w14:textFill>
        </w:rPr>
      </w:pPr>
      <w:r>
        <w:rPr>
          <w:rFonts w:hint="eastAsia" w:ascii="仿宋_GB2312" w:hAnsi="宋体" w:eastAsia="仿宋_GB2312"/>
          <w:bCs/>
          <w:color w:val="000000" w:themeColor="text1"/>
          <w:sz w:val="48"/>
          <w:szCs w:val="48"/>
          <w:highlight w:val="none"/>
          <w14:textFill>
            <w14:solidFill>
              <w14:schemeClr w14:val="tx1"/>
            </w14:solidFill>
          </w14:textFill>
        </w:rPr>
        <w:t>（全流程电子化采购）</w:t>
      </w:r>
    </w:p>
    <w:p w14:paraId="7760CC3C">
      <w:pPr>
        <w:snapToGrid w:val="0"/>
        <w:spacing w:line="360" w:lineRule="auto"/>
        <w:rPr>
          <w:rFonts w:ascii="仿宋_GB2312" w:hAnsi="宋体" w:eastAsia="仿宋_GB2312"/>
          <w:bCs/>
          <w:color w:val="000000" w:themeColor="text1"/>
          <w:sz w:val="30"/>
          <w:szCs w:val="72"/>
          <w:highlight w:val="none"/>
          <w14:textFill>
            <w14:solidFill>
              <w14:schemeClr w14:val="tx1"/>
            </w14:solidFill>
          </w14:textFill>
        </w:rPr>
      </w:pPr>
    </w:p>
    <w:p w14:paraId="34C6B41A">
      <w:pPr>
        <w:pStyle w:val="25"/>
        <w:snapToGrid w:val="0"/>
        <w:spacing w:line="360" w:lineRule="auto"/>
        <w:ind w:firstLine="855" w:firstLineChars="300"/>
        <w:rPr>
          <w:rFonts w:hint="eastAsia" w:ascii="仿宋_GB2312" w:hAnsi="宋体" w:eastAsia="仿宋_GB2312"/>
          <w:bCs/>
          <w:color w:val="000000" w:themeColor="text1"/>
          <w:w w:val="95"/>
          <w:sz w:val="30"/>
          <w:szCs w:val="30"/>
          <w:highlight w:val="none"/>
          <w14:textFill>
            <w14:solidFill>
              <w14:schemeClr w14:val="tx1"/>
            </w14:solidFill>
          </w14:textFill>
        </w:rPr>
      </w:pPr>
    </w:p>
    <w:p w14:paraId="432B177C">
      <w:pPr>
        <w:pStyle w:val="25"/>
        <w:snapToGrid w:val="0"/>
        <w:spacing w:line="360" w:lineRule="auto"/>
        <w:ind w:firstLine="855" w:firstLineChars="300"/>
        <w:rPr>
          <w:rFonts w:hint="eastAsia" w:ascii="仿宋_GB2312" w:hAnsi="宋体" w:eastAsia="仿宋_GB2312"/>
          <w:bCs/>
          <w:color w:val="000000" w:themeColor="text1"/>
          <w:w w:val="95"/>
          <w:sz w:val="30"/>
          <w:szCs w:val="30"/>
          <w:highlight w:val="none"/>
          <w14:textFill>
            <w14:solidFill>
              <w14:schemeClr w14:val="tx1"/>
            </w14:solidFill>
          </w14:textFill>
        </w:rPr>
      </w:pPr>
    </w:p>
    <w:p w14:paraId="675AEEAE">
      <w:pPr>
        <w:pStyle w:val="25"/>
        <w:snapToGrid w:val="0"/>
        <w:spacing w:line="360" w:lineRule="auto"/>
        <w:ind w:firstLine="855" w:firstLineChars="300"/>
        <w:rPr>
          <w:rFonts w:hint="eastAsia" w:ascii="仿宋_GB2312" w:hAnsi="宋体" w:eastAsia="仿宋_GB2312"/>
          <w:bCs/>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Cs/>
          <w:color w:val="000000" w:themeColor="text1"/>
          <w:w w:val="95"/>
          <w:sz w:val="30"/>
          <w:szCs w:val="30"/>
          <w:highlight w:val="none"/>
          <w14:textFill>
            <w14:solidFill>
              <w14:schemeClr w14:val="tx1"/>
            </w14:solidFill>
          </w14:textFill>
        </w:rPr>
        <w:t>项目名称：</w:t>
      </w:r>
      <w:r>
        <w:rPr>
          <w:rFonts w:hint="eastAsia" w:ascii="仿宋_GB2312" w:hAnsi="宋体" w:eastAsia="仿宋_GB2312"/>
          <w:bCs/>
          <w:color w:val="000000" w:themeColor="text1"/>
          <w:w w:val="95"/>
          <w:sz w:val="30"/>
          <w:szCs w:val="30"/>
          <w:highlight w:val="none"/>
          <w:lang w:eastAsia="zh-CN"/>
          <w14:textFill>
            <w14:solidFill>
              <w14:schemeClr w14:val="tx1"/>
            </w14:solidFill>
          </w14:textFill>
        </w:rPr>
        <w:t>钦州市钦北区鸿亭街道小江社区卫生服务中心业务用房、医疗污水处理建设项目一至三层消防安装及消防水池建设工程</w:t>
      </w:r>
    </w:p>
    <w:p w14:paraId="717CDAB5">
      <w:pPr>
        <w:snapToGrid w:val="0"/>
        <w:spacing w:line="360" w:lineRule="auto"/>
        <w:ind w:firstLine="855" w:firstLineChars="300"/>
        <w:rPr>
          <w:rFonts w:ascii="仿宋_GB2312" w:hAnsi="宋体" w:eastAsia="仿宋_GB2312"/>
          <w:bCs/>
          <w:color w:val="000000" w:themeColor="text1"/>
          <w:w w:val="95"/>
          <w:kern w:val="0"/>
          <w:sz w:val="30"/>
          <w:szCs w:val="30"/>
          <w:highlight w:val="none"/>
          <w14:textFill>
            <w14:solidFill>
              <w14:schemeClr w14:val="tx1"/>
            </w14:solidFill>
          </w14:textFill>
        </w:rPr>
      </w:pPr>
      <w:r>
        <w:rPr>
          <w:rFonts w:hint="eastAsia" w:ascii="仿宋_GB2312" w:hAnsi="宋体" w:eastAsia="仿宋_GB2312"/>
          <w:bCs/>
          <w:color w:val="000000" w:themeColor="text1"/>
          <w:w w:val="95"/>
          <w:kern w:val="0"/>
          <w:sz w:val="30"/>
          <w:szCs w:val="30"/>
          <w:highlight w:val="none"/>
          <w14:textFill>
            <w14:solidFill>
              <w14:schemeClr w14:val="tx1"/>
            </w14:solidFill>
          </w14:textFill>
        </w:rPr>
        <w:t>项目编号：</w:t>
      </w:r>
      <w:r>
        <w:rPr>
          <w:rFonts w:hint="eastAsia" w:ascii="仿宋_GB2312" w:hAnsi="宋体" w:eastAsia="仿宋_GB2312"/>
          <w:bCs/>
          <w:color w:val="000000" w:themeColor="text1"/>
          <w:w w:val="95"/>
          <w:kern w:val="0"/>
          <w:sz w:val="30"/>
          <w:szCs w:val="30"/>
          <w:highlight w:val="none"/>
          <w:lang w:eastAsia="zh-CN"/>
          <w14:textFill>
            <w14:solidFill>
              <w14:schemeClr w14:val="tx1"/>
            </w14:solidFill>
          </w14:textFill>
        </w:rPr>
        <w:t>QZZC2025-C2-030141-YZLZ</w:t>
      </w:r>
      <w:r>
        <w:rPr>
          <w:rFonts w:hint="eastAsia" w:ascii="仿宋_GB2312" w:hAnsi="宋体" w:eastAsia="仿宋_GB2312"/>
          <w:bCs/>
          <w:color w:val="000000" w:themeColor="text1"/>
          <w:w w:val="95"/>
          <w:kern w:val="0"/>
          <w:sz w:val="30"/>
          <w:szCs w:val="30"/>
          <w:highlight w:val="none"/>
          <w14:textFill>
            <w14:solidFill>
              <w14:schemeClr w14:val="tx1"/>
            </w14:solidFill>
          </w14:textFill>
        </w:rPr>
        <w:t xml:space="preserve"> </w:t>
      </w:r>
    </w:p>
    <w:p w14:paraId="4BAF582C">
      <w:pPr>
        <w:pStyle w:val="25"/>
        <w:snapToGrid w:val="0"/>
        <w:spacing w:line="360" w:lineRule="auto"/>
        <w:ind w:firstLine="855" w:firstLineChars="300"/>
        <w:rPr>
          <w:rFonts w:ascii="仿宋_GB2312" w:hAnsi="宋体" w:eastAsia="仿宋_GB2312"/>
          <w:bCs/>
          <w:color w:val="000000" w:themeColor="text1"/>
          <w:w w:val="95"/>
          <w:sz w:val="30"/>
          <w:szCs w:val="30"/>
          <w:highlight w:val="none"/>
          <w14:textFill>
            <w14:solidFill>
              <w14:schemeClr w14:val="tx1"/>
            </w14:solidFill>
          </w14:textFill>
        </w:rPr>
      </w:pPr>
      <w:r>
        <w:rPr>
          <w:rFonts w:hint="eastAsia" w:ascii="仿宋_GB2312" w:hAnsi="宋体" w:eastAsia="仿宋_GB2312"/>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Cs/>
          <w:color w:val="000000" w:themeColor="text1"/>
          <w:w w:val="95"/>
          <w:sz w:val="30"/>
          <w:szCs w:val="30"/>
          <w:highlight w:val="none"/>
          <w:lang w:eastAsia="zh-CN"/>
          <w14:textFill>
            <w14:solidFill>
              <w14:schemeClr w14:val="tx1"/>
            </w14:solidFill>
          </w14:textFill>
        </w:rPr>
        <w:t>钦州市钦北区鸿亭街道小江社区卫生服务中心</w:t>
      </w:r>
      <w:r>
        <w:rPr>
          <w:rFonts w:hint="eastAsia" w:ascii="仿宋_GB2312" w:hAnsi="宋体" w:eastAsia="仿宋_GB2312"/>
          <w:bCs/>
          <w:color w:val="000000" w:themeColor="text1"/>
          <w:w w:val="95"/>
          <w:sz w:val="30"/>
          <w:szCs w:val="30"/>
          <w:highlight w:val="none"/>
          <w14:textFill>
            <w14:solidFill>
              <w14:schemeClr w14:val="tx1"/>
            </w14:solidFill>
          </w14:textFill>
        </w:rPr>
        <w:t xml:space="preserve"> </w:t>
      </w:r>
    </w:p>
    <w:p w14:paraId="143E5561">
      <w:pPr>
        <w:pStyle w:val="25"/>
        <w:snapToGrid w:val="0"/>
        <w:spacing w:line="360" w:lineRule="auto"/>
        <w:ind w:firstLine="855" w:firstLineChars="300"/>
        <w:rPr>
          <w:rFonts w:ascii="仿宋_GB2312" w:hAnsi="宋体" w:eastAsia="仿宋_GB2312"/>
          <w:bCs/>
          <w:color w:val="000000" w:themeColor="text1"/>
          <w:w w:val="95"/>
          <w:sz w:val="30"/>
          <w:szCs w:val="30"/>
          <w:highlight w:val="none"/>
          <w14:textFill>
            <w14:solidFill>
              <w14:schemeClr w14:val="tx1"/>
            </w14:solidFill>
          </w14:textFill>
        </w:rPr>
      </w:pPr>
      <w:r>
        <w:rPr>
          <w:rFonts w:hint="eastAsia" w:ascii="仿宋_GB2312" w:hAnsi="宋体" w:eastAsia="仿宋_GB2312"/>
          <w:bCs/>
          <w:color w:val="000000" w:themeColor="text1"/>
          <w:w w:val="95"/>
          <w:sz w:val="30"/>
          <w:szCs w:val="30"/>
          <w:highlight w:val="none"/>
          <w14:textFill>
            <w14:solidFill>
              <w14:schemeClr w14:val="tx1"/>
            </w14:solidFill>
          </w14:textFill>
        </w:rPr>
        <w:t>采购代理机构：云之龙咨询集团有限公司</w:t>
      </w:r>
    </w:p>
    <w:p w14:paraId="4CA1D665">
      <w:pPr>
        <w:pStyle w:val="25"/>
        <w:snapToGrid w:val="0"/>
        <w:spacing w:line="360" w:lineRule="auto"/>
        <w:ind w:firstLine="1120" w:firstLineChars="393"/>
        <w:rPr>
          <w:rFonts w:ascii="仿宋_GB2312" w:hAnsi="宋体" w:eastAsia="仿宋_GB2312"/>
          <w:bCs/>
          <w:color w:val="000000" w:themeColor="text1"/>
          <w:w w:val="95"/>
          <w:sz w:val="30"/>
          <w:szCs w:val="30"/>
          <w:highlight w:val="none"/>
          <w14:textFill>
            <w14:solidFill>
              <w14:schemeClr w14:val="tx1"/>
            </w14:solidFill>
          </w14:textFill>
        </w:rPr>
      </w:pPr>
    </w:p>
    <w:p w14:paraId="35BB204D">
      <w:pPr>
        <w:pStyle w:val="25"/>
        <w:snapToGrid w:val="0"/>
        <w:spacing w:line="360" w:lineRule="auto"/>
        <w:ind w:left="420" w:firstLine="837" w:firstLineChars="294"/>
        <w:rPr>
          <w:rFonts w:ascii="仿宋_GB2312" w:eastAsia="仿宋_GB2312"/>
          <w:bCs/>
          <w:color w:val="000000" w:themeColor="text1"/>
          <w:szCs w:val="20"/>
          <w:highlight w:val="none"/>
          <w14:textFill>
            <w14:solidFill>
              <w14:schemeClr w14:val="tx1"/>
            </w14:solidFill>
          </w14:textFill>
        </w:rPr>
      </w:pPr>
      <w:r>
        <w:rPr>
          <w:rFonts w:hint="eastAsia" w:ascii="仿宋_GB2312" w:hAnsi="宋体" w:eastAsia="仿宋_GB2312"/>
          <w:bCs/>
          <w:color w:val="000000" w:themeColor="text1"/>
          <w:w w:val="95"/>
          <w:sz w:val="30"/>
          <w:szCs w:val="30"/>
          <w:highlight w:val="none"/>
          <w14:textFill>
            <w14:solidFill>
              <w14:schemeClr w14:val="tx1"/>
            </w14:solidFill>
          </w14:textFill>
        </w:rPr>
        <w:t xml:space="preserve">              2025年12月19日</w:t>
      </w:r>
    </w:p>
    <w:p w14:paraId="0A1840E6">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3BF27A4C">
      <w:pPr>
        <w:spacing w:line="360" w:lineRule="auto"/>
        <w:rPr>
          <w:rFonts w:ascii="宋体" w:hAnsi="宋体"/>
          <w:b/>
          <w:color w:val="000000" w:themeColor="text1"/>
          <w:sz w:val="44"/>
          <w:szCs w:val="44"/>
          <w:highlight w:val="none"/>
          <w14:textFill>
            <w14:solidFill>
              <w14:schemeClr w14:val="tx1"/>
            </w14:solidFill>
          </w14:textFill>
        </w:rPr>
      </w:pPr>
      <w:r>
        <w:rPr>
          <w:rFonts w:ascii="宋体" w:hAnsi="宋体"/>
          <w:b/>
          <w:color w:val="000000" w:themeColor="text1"/>
          <w:sz w:val="44"/>
          <w:szCs w:val="44"/>
          <w:highlight w:val="none"/>
          <w14:textFill>
            <w14:solidFill>
              <w14:schemeClr w14:val="tx1"/>
            </w14:solidFill>
          </w14:textFill>
        </w:rPr>
        <w:br w:type="page"/>
      </w:r>
    </w:p>
    <w:p w14:paraId="5192B6E6">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60BCC4B">
      <w:pPr>
        <w:spacing w:line="400" w:lineRule="exact"/>
        <w:jc w:val="center"/>
        <w:rPr>
          <w:rFonts w:ascii="宋体" w:hAnsi="宋体"/>
          <w:b/>
          <w:color w:val="000000" w:themeColor="text1"/>
          <w:sz w:val="44"/>
          <w:szCs w:val="44"/>
          <w:highlight w:val="none"/>
          <w14:textFill>
            <w14:solidFill>
              <w14:schemeClr w14:val="tx1"/>
            </w14:solidFill>
          </w14:textFill>
        </w:rPr>
      </w:pPr>
    </w:p>
    <w:p w14:paraId="508BF3F6">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w:instrText>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"_Toc122424244"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第一章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竞争性磋商公告</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_Toc122424244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3E7766E">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第二章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供应商须知</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_Toc122424245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19E5F464">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"_Toc122424246"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第三章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采购需求</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_Toc122424246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7908D79">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第四章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评审程序、评审方法和评审标准</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28</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5AC48CD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"_Toc122424248"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第五章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工程量清单及图纸</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_Toc122424248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38</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2EA1DEE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第六章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响应文件格式</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_Toc122424265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44</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30F10FD0">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第七章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合同文本</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81</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7A0A9A61">
      <w:pPr>
        <w:pStyle w:val="32"/>
        <w:tabs>
          <w:tab w:val="right" w:leader="dot" w:pos="8869"/>
        </w:tabs>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6FA63F75">
      <w:pPr>
        <w:spacing w:line="360" w:lineRule="auto"/>
        <w:jc w:val="left"/>
        <w:rPr>
          <w:rFonts w:ascii="宋体" w:hAnsi="宋体"/>
          <w:b/>
          <w:color w:val="000000" w:themeColor="text1"/>
          <w:sz w:val="32"/>
          <w:szCs w:val="32"/>
          <w:highlight w:val="none"/>
          <w14:textFill>
            <w14:solidFill>
              <w14:schemeClr w14:val="tx1"/>
            </w14:solidFill>
          </w14:textFill>
        </w:rPr>
      </w:pPr>
    </w:p>
    <w:p w14:paraId="115D198C">
      <w:pPr>
        <w:spacing w:line="400" w:lineRule="exact"/>
        <w:jc w:val="center"/>
        <w:rPr>
          <w:rFonts w:ascii="宋体" w:hAnsi="宋体"/>
          <w:b/>
          <w:color w:val="000000" w:themeColor="text1"/>
          <w:sz w:val="32"/>
          <w:szCs w:val="32"/>
          <w:highlight w:val="none"/>
          <w14:textFill>
            <w14:solidFill>
              <w14:schemeClr w14:val="tx1"/>
            </w14:solidFill>
          </w14:textFill>
        </w:rPr>
      </w:pPr>
    </w:p>
    <w:p w14:paraId="3C895CBC">
      <w:pPr>
        <w:spacing w:line="400" w:lineRule="exact"/>
        <w:jc w:val="center"/>
        <w:rPr>
          <w:rFonts w:ascii="宋体" w:hAnsi="宋体"/>
          <w:b/>
          <w:color w:val="000000" w:themeColor="text1"/>
          <w:sz w:val="32"/>
          <w:szCs w:val="32"/>
          <w:highlight w:val="none"/>
          <w14:textFill>
            <w14:solidFill>
              <w14:schemeClr w14:val="tx1"/>
            </w14:solidFill>
          </w14:textFill>
        </w:rPr>
      </w:pPr>
    </w:p>
    <w:p w14:paraId="160536A4">
      <w:pPr>
        <w:spacing w:line="400" w:lineRule="exact"/>
        <w:jc w:val="center"/>
        <w:rPr>
          <w:rFonts w:ascii="宋体" w:hAnsi="宋体"/>
          <w:b/>
          <w:color w:val="000000" w:themeColor="text1"/>
          <w:sz w:val="32"/>
          <w:szCs w:val="32"/>
          <w:highlight w:val="none"/>
          <w14:textFill>
            <w14:solidFill>
              <w14:schemeClr w14:val="tx1"/>
            </w14:solidFill>
          </w14:textFill>
        </w:rPr>
      </w:pPr>
    </w:p>
    <w:p w14:paraId="20ADBEE8">
      <w:pPr>
        <w:spacing w:line="400" w:lineRule="exact"/>
        <w:jc w:val="center"/>
        <w:rPr>
          <w:rFonts w:ascii="宋体" w:hAnsi="宋体"/>
          <w:b/>
          <w:color w:val="000000" w:themeColor="text1"/>
          <w:sz w:val="32"/>
          <w:szCs w:val="32"/>
          <w:highlight w:val="none"/>
          <w14:textFill>
            <w14:solidFill>
              <w14:schemeClr w14:val="tx1"/>
            </w14:solidFill>
          </w14:textFill>
        </w:rPr>
      </w:pPr>
    </w:p>
    <w:p w14:paraId="523EBA19">
      <w:pPr>
        <w:spacing w:line="400" w:lineRule="exact"/>
        <w:rPr>
          <w:rFonts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17DF852">
      <w:pPr>
        <w:pStyle w:val="2"/>
        <w:spacing w:after="340" w:line="360" w:lineRule="auto"/>
        <w:jc w:val="center"/>
        <w:rPr>
          <w:color w:val="000000" w:themeColor="text1"/>
          <w:highlight w:val="none"/>
          <w14:textFill>
            <w14:solidFill>
              <w14:schemeClr w14:val="tx1"/>
            </w14:solidFill>
          </w14:textFill>
        </w:rPr>
      </w:pPr>
      <w:bookmarkStart w:id="0" w:name="_Toc122424244"/>
      <w:r>
        <w:rPr>
          <w:rFonts w:hint="eastAsia"/>
          <w:color w:val="000000" w:themeColor="text1"/>
          <w:highlight w:val="none"/>
          <w14:textFill>
            <w14:solidFill>
              <w14:schemeClr w14:val="tx1"/>
            </w14:solidFill>
          </w14:textFill>
        </w:rPr>
        <w:t xml:space="preserve">第一章 </w:t>
      </w:r>
      <w:bookmarkEnd w:id="0"/>
      <w:r>
        <w:rPr>
          <w:rFonts w:hint="eastAsia"/>
          <w:color w:val="000000" w:themeColor="text1"/>
          <w:highlight w:val="none"/>
          <w14:textFill>
            <w14:solidFill>
              <w14:schemeClr w14:val="tx1"/>
            </w14:solidFill>
          </w14:textFill>
        </w:rPr>
        <w:t>竞争性磋商公告</w:t>
      </w:r>
    </w:p>
    <w:p w14:paraId="402D79D9">
      <w:pPr>
        <w:spacing w:line="40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31B7F411">
      <w:pPr>
        <w:spacing w:line="360" w:lineRule="auto"/>
        <w:rPr>
          <w:rFonts w:ascii="宋体" w:hAnsi="宋体"/>
          <w:color w:val="000000" w:themeColor="text1"/>
          <w:szCs w:val="21"/>
          <w:highlight w:val="none"/>
          <w14:textFill>
            <w14:solidFill>
              <w14:schemeClr w14:val="tx1"/>
            </w14:solidFill>
          </w14:textFill>
        </w:rPr>
      </w:pPr>
    </w:p>
    <w:p w14:paraId="7504CB0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 w:name="_Hlk37430271"/>
      <w:r>
        <w:rPr>
          <w:rFonts w:hint="eastAsia" w:ascii="宋体" w:hAnsi="宋体"/>
          <w:color w:val="000000" w:themeColor="text1"/>
          <w:szCs w:val="21"/>
          <w:highlight w:val="none"/>
          <w14:textFill>
            <w14:solidFill>
              <w14:schemeClr w14:val="tx1"/>
            </w14:solidFill>
          </w14:textFill>
        </w:rPr>
        <w:t>项目概况</w:t>
      </w:r>
    </w:p>
    <w:p w14:paraId="0C35E8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钦州市钦北区鸿亭街道小江社区卫生服务中心业务用房、医疗污水处理建设项目一至三层消防安装及消防水池建设工程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采购项目的潜在供应商应在广西政府采购云平台（</w:t>
      </w:r>
      <w:r>
        <w:rPr>
          <w:rFonts w:hint="eastAsia" w:ascii="宋体" w:hAnsi="宋体"/>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）获取（下载）竞争性磋商文件，并于</w:t>
      </w:r>
      <w:r>
        <w:rPr>
          <w:rFonts w:hint="eastAsia" w:ascii="宋体" w:hAnsi="宋体"/>
          <w:bCs/>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分（北京时间）前提交（上传）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76D9F46">
      <w:pPr>
        <w:spacing w:line="360" w:lineRule="auto"/>
        <w:rPr>
          <w:rFonts w:ascii="宋体" w:hAnsi="宋体"/>
          <w:color w:val="000000" w:themeColor="text1"/>
          <w:szCs w:val="21"/>
          <w:highlight w:val="none"/>
          <w14:textFill>
            <w14:solidFill>
              <w14:schemeClr w14:val="tx1"/>
            </w14:solidFill>
          </w14:textFill>
        </w:rPr>
      </w:pPr>
    </w:p>
    <w:p w14:paraId="1D4CD0EE">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2" w:name="_Toc35393629"/>
      <w:bookmarkStart w:id="3" w:name="_Toc44229878"/>
      <w:bookmarkStart w:id="4" w:name="_Toc35393798"/>
      <w:bookmarkStart w:id="5" w:name="_Toc28359089"/>
      <w:bookmarkStart w:id="6" w:name="_Toc71365905"/>
      <w:bookmarkStart w:id="7" w:name="_Toc28359012"/>
      <w:r>
        <w:rPr>
          <w:rFonts w:hint="eastAsia" w:ascii="黑体" w:hAnsi="黑体" w:eastAsia="黑体"/>
          <w:b/>
          <w:color w:val="000000" w:themeColor="text1"/>
          <w:sz w:val="24"/>
          <w:highlight w:val="none"/>
          <w14:textFill>
            <w14:solidFill>
              <w14:schemeClr w14:val="tx1"/>
            </w14:solidFill>
          </w14:textFill>
        </w:rPr>
        <w:t>一、项目基本情况</w:t>
      </w:r>
      <w:bookmarkEnd w:id="2"/>
      <w:bookmarkEnd w:id="3"/>
      <w:bookmarkEnd w:id="4"/>
      <w:bookmarkEnd w:id="5"/>
      <w:bookmarkEnd w:id="6"/>
      <w:bookmarkEnd w:id="7"/>
    </w:p>
    <w:p w14:paraId="1B3587D5">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QZZC2025-C2-030141-YZLZ</w:t>
      </w:r>
    </w:p>
    <w:p w14:paraId="24ADB033">
      <w:pPr>
        <w:spacing w:line="360" w:lineRule="auto"/>
        <w:ind w:firstLine="420" w:firstLineChars="20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钦州市钦北区鸿亭街道小江社区卫生服务中心业务用房、医疗污水处理建设项目一至三层消防安装及消防水池建设工程</w:t>
      </w:r>
    </w:p>
    <w:p w14:paraId="4C54156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采购方式：竞争性磋商</w:t>
      </w:r>
    </w:p>
    <w:p w14:paraId="6D894157">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u w:val="single"/>
          <w:lang w:eastAsia="zh-CN"/>
          <w14:textFill>
            <w14:solidFill>
              <w14:schemeClr w14:val="tx1"/>
            </w14:solidFill>
          </w14:textFill>
        </w:rPr>
        <w:t>人民币玖拾捌万捌仟叁佰陆拾叁元零肆分（</w:t>
      </w:r>
      <w:r>
        <w:rPr>
          <w:rFonts w:hint="eastAsia" w:ascii="Microsoft JhengHei" w:hAnsi="Microsoft JhengHei" w:eastAsia="Microsoft JhengHei" w:cs="仿宋"/>
          <w:color w:val="000000" w:themeColor="text1"/>
          <w:szCs w:val="21"/>
          <w:highlight w:val="none"/>
          <w:u w:val="single"/>
          <w14:textFill>
            <w14:solidFill>
              <w14:schemeClr w14:val="tx1"/>
            </w14:solidFill>
          </w14:textFill>
        </w:rPr>
        <w:t>￥988363.04</w:t>
      </w:r>
      <w:r>
        <w:rPr>
          <w:rFonts w:hint="eastAsia" w:ascii="宋体" w:hAnsi="宋体"/>
          <w:color w:val="000000" w:themeColor="text1"/>
          <w:szCs w:val="21"/>
          <w:highlight w:val="none"/>
          <w:u w:val="single"/>
          <w:lang w:eastAsia="zh-CN"/>
          <w14:textFill>
            <w14:solidFill>
              <w14:schemeClr w14:val="tx1"/>
            </w14:solidFill>
          </w14:textFill>
        </w:rPr>
        <w:t>）</w:t>
      </w:r>
    </w:p>
    <w:p w14:paraId="34E0D7AF">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u w:val="single"/>
          <w:lang w:eastAsia="zh-CN"/>
          <w14:textFill>
            <w14:solidFill>
              <w14:schemeClr w14:val="tx1"/>
            </w14:solidFill>
          </w14:textFill>
        </w:rPr>
        <w:t>人民币玖拾捌万捌仟叁佰陆拾叁元零肆分（</w:t>
      </w:r>
      <w:r>
        <w:rPr>
          <w:rFonts w:hint="eastAsia" w:ascii="Microsoft JhengHei" w:hAnsi="Microsoft JhengHei" w:eastAsia="Microsoft JhengHei" w:cs="仿宋"/>
          <w:color w:val="000000" w:themeColor="text1"/>
          <w:szCs w:val="21"/>
          <w:highlight w:val="none"/>
          <w:u w:val="single"/>
          <w14:textFill>
            <w14:solidFill>
              <w14:schemeClr w14:val="tx1"/>
            </w14:solidFill>
          </w14:textFill>
        </w:rPr>
        <w:t>￥988363.04</w:t>
      </w:r>
      <w:r>
        <w:rPr>
          <w:rFonts w:hint="eastAsia" w:ascii="宋体" w:hAnsi="宋体"/>
          <w:color w:val="000000" w:themeColor="text1"/>
          <w:szCs w:val="21"/>
          <w:highlight w:val="none"/>
          <w:u w:val="single"/>
          <w:lang w:eastAsia="zh-CN"/>
          <w14:textFill>
            <w14:solidFill>
              <w14:schemeClr w14:val="tx1"/>
            </w14:solidFill>
          </w14:textFill>
        </w:rPr>
        <w:t>）</w:t>
      </w:r>
    </w:p>
    <w:p w14:paraId="061FCF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4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691"/>
        <w:gridCol w:w="862"/>
        <w:gridCol w:w="5093"/>
      </w:tblGrid>
      <w:tr w14:paraId="4CC69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14:paraId="61A731C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691" w:type="dxa"/>
            <w:tcBorders>
              <w:top w:val="single" w:color="auto" w:sz="4" w:space="0"/>
              <w:left w:val="single" w:color="auto" w:sz="4" w:space="0"/>
              <w:bottom w:val="single" w:color="auto" w:sz="4" w:space="0"/>
              <w:right w:val="single" w:color="auto" w:sz="4" w:space="0"/>
            </w:tcBorders>
            <w:vAlign w:val="center"/>
          </w:tcPr>
          <w:p w14:paraId="70A10A9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62" w:type="dxa"/>
            <w:tcBorders>
              <w:top w:val="single" w:color="auto" w:sz="4" w:space="0"/>
              <w:left w:val="single" w:color="auto" w:sz="4" w:space="0"/>
              <w:bottom w:val="single" w:color="auto" w:sz="4" w:space="0"/>
              <w:right w:val="single" w:color="auto" w:sz="4" w:space="0"/>
            </w:tcBorders>
            <w:vAlign w:val="center"/>
          </w:tcPr>
          <w:p w14:paraId="1139C2E2">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w:t>
            </w:r>
          </w:p>
          <w:p w14:paraId="2701DAD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093" w:type="dxa"/>
            <w:tcBorders>
              <w:top w:val="single" w:color="auto" w:sz="4" w:space="0"/>
              <w:left w:val="single" w:color="auto" w:sz="4" w:space="0"/>
              <w:bottom w:val="single" w:color="auto" w:sz="4" w:space="0"/>
              <w:right w:val="single" w:color="auto" w:sz="4" w:space="0"/>
            </w:tcBorders>
            <w:vAlign w:val="center"/>
          </w:tcPr>
          <w:p w14:paraId="6D31C93A">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22DE6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14:paraId="7393707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01</w:t>
            </w:r>
          </w:p>
        </w:tc>
        <w:tc>
          <w:tcPr>
            <w:tcW w:w="2691" w:type="dxa"/>
            <w:tcBorders>
              <w:top w:val="single" w:color="auto" w:sz="4" w:space="0"/>
              <w:left w:val="single" w:color="auto" w:sz="4" w:space="0"/>
              <w:bottom w:val="single" w:color="auto" w:sz="4" w:space="0"/>
              <w:right w:val="single" w:color="auto" w:sz="4" w:space="0"/>
            </w:tcBorders>
            <w:vAlign w:val="center"/>
          </w:tcPr>
          <w:p w14:paraId="3F8F69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钦州市钦北区鸿亭街道小江社区卫生服务中心业务用房、医疗污水处理建设项目一至三层消防安装及消防水池建设工程</w:t>
            </w:r>
            <w:r>
              <w:rPr>
                <w:rFonts w:ascii="宋体" w:hAnsi="宋体"/>
                <w:color w:val="000000" w:themeColor="text1"/>
                <w:szCs w:val="21"/>
                <w:highlight w:val="none"/>
                <w14:textFill>
                  <w14:solidFill>
                    <w14:schemeClr w14:val="tx1"/>
                  </w14:solidFill>
                </w14:textFill>
              </w:rPr>
              <w:t xml:space="preserve"> </w:t>
            </w:r>
          </w:p>
        </w:tc>
        <w:tc>
          <w:tcPr>
            <w:tcW w:w="862" w:type="dxa"/>
            <w:tcBorders>
              <w:top w:val="single" w:color="auto" w:sz="4" w:space="0"/>
              <w:left w:val="single" w:color="auto" w:sz="4" w:space="0"/>
              <w:bottom w:val="single" w:color="auto" w:sz="4" w:space="0"/>
              <w:right w:val="single" w:color="auto" w:sz="4" w:space="0"/>
            </w:tcBorders>
            <w:vAlign w:val="center"/>
          </w:tcPr>
          <w:p w14:paraId="6B27A856">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5093" w:type="dxa"/>
            <w:tcBorders>
              <w:top w:val="single" w:color="auto" w:sz="4" w:space="0"/>
              <w:left w:val="single" w:color="auto" w:sz="4" w:space="0"/>
              <w:bottom w:val="single" w:color="auto" w:sz="4" w:space="0"/>
              <w:right w:val="single" w:color="auto" w:sz="4" w:space="0"/>
            </w:tcBorders>
            <w:vAlign w:val="center"/>
          </w:tcPr>
          <w:p w14:paraId="29BA4DD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1.建设地点：</w:t>
            </w:r>
            <w:r>
              <w:rPr>
                <w:rFonts w:hint="eastAsia"/>
                <w:color w:val="000000" w:themeColor="text1"/>
                <w:highlight w:val="none"/>
                <w:lang w:eastAsia="zh-CN"/>
                <w14:textFill>
                  <w14:solidFill>
                    <w14:schemeClr w14:val="tx1"/>
                  </w14:solidFill>
                </w14:textFill>
              </w:rPr>
              <w:t>钦州市钦北区鸿亭街道小江二巷</w:t>
            </w:r>
            <w:r>
              <w:rPr>
                <w:rFonts w:hint="eastAsia" w:ascii="宋体" w:hAnsi="宋体"/>
                <w:color w:val="000000" w:themeColor="text1"/>
                <w:szCs w:val="21"/>
                <w:highlight w:val="none"/>
                <w14:textFill>
                  <w14:solidFill>
                    <w14:schemeClr w14:val="tx1"/>
                  </w14:solidFill>
                </w14:textFill>
              </w:rPr>
              <w:t>。</w:t>
            </w:r>
          </w:p>
          <w:p w14:paraId="2C2E08C1">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2.工程概况：</w:t>
            </w:r>
            <w:r>
              <w:rPr>
                <w:rFonts w:hint="eastAsia" w:ascii="宋体" w:hAnsi="宋体"/>
                <w:color w:val="000000" w:themeColor="text1"/>
                <w:szCs w:val="21"/>
                <w:highlight w:val="none"/>
                <w:lang w:eastAsia="zh-CN"/>
                <w14:textFill>
                  <w14:solidFill>
                    <w14:schemeClr w14:val="tx1"/>
                  </w14:solidFill>
                </w14:textFill>
              </w:rPr>
              <w:t>新建消防水池、一至三层消防安装等施工图纸包含的工程内容。</w:t>
            </w:r>
          </w:p>
          <w:p w14:paraId="72BA687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3.工程质量要求：达到国家施工验收规范合格标准要求。</w:t>
            </w:r>
          </w:p>
        </w:tc>
      </w:tr>
    </w:tbl>
    <w:p w14:paraId="03DC5FB3">
      <w:pPr>
        <w:spacing w:line="360" w:lineRule="auto"/>
        <w:ind w:firstLine="420" w:firstLineChars="200"/>
        <w:rPr>
          <w:rFonts w:hint="eastAsia" w:ascii="宋体" w:hAnsi="宋体"/>
          <w:color w:val="000000" w:themeColor="text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highlight w:val="none"/>
          <w:lang w:val="en-US" w:eastAsia="zh-CN"/>
          <w14:textFill>
            <w14:solidFill>
              <w14:schemeClr w14:val="tx1"/>
            </w14:solidFill>
          </w14:textFill>
        </w:rPr>
        <w:t>要求工期为90日历天</w:t>
      </w:r>
      <w:r>
        <w:rPr>
          <w:rFonts w:hint="eastAsia" w:ascii="宋体" w:hAnsi="宋体"/>
          <w:color w:val="000000" w:themeColor="text1"/>
          <w:highlight w:val="none"/>
          <w:lang w:val="zh-CN"/>
          <w14:textFill>
            <w14:solidFill>
              <w14:schemeClr w14:val="tx1"/>
            </w14:solidFill>
          </w14:textFill>
        </w:rPr>
        <w:t>。</w:t>
      </w:r>
    </w:p>
    <w:p w14:paraId="5DC46E2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14:textFill>
            <w14:solidFill>
              <w14:schemeClr w14:val="tx1"/>
            </w14:solidFill>
          </w14:textFill>
        </w:rPr>
        <w:t>）接受联合体。</w:t>
      </w:r>
    </w:p>
    <w:p w14:paraId="4D5342D3">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8" w:name="_Toc28359013"/>
      <w:bookmarkStart w:id="9" w:name="_Toc44229879"/>
      <w:bookmarkStart w:id="10" w:name="_Toc71365906"/>
      <w:bookmarkStart w:id="11" w:name="_Toc28359090"/>
      <w:bookmarkStart w:id="12" w:name="_Toc35393630"/>
      <w:bookmarkStart w:id="13" w:name="_Toc35393799"/>
      <w:r>
        <w:rPr>
          <w:rFonts w:hint="eastAsia" w:ascii="黑体" w:hAnsi="黑体" w:eastAsia="黑体"/>
          <w:b/>
          <w:color w:val="000000" w:themeColor="text1"/>
          <w:sz w:val="24"/>
          <w:highlight w:val="none"/>
          <w14:textFill>
            <w14:solidFill>
              <w14:schemeClr w14:val="tx1"/>
            </w14:solidFill>
          </w14:textFill>
        </w:rPr>
        <w:t>二、申请人的资格条件：</w:t>
      </w:r>
      <w:bookmarkEnd w:id="8"/>
      <w:bookmarkEnd w:id="9"/>
      <w:bookmarkEnd w:id="10"/>
      <w:bookmarkEnd w:id="11"/>
      <w:bookmarkEnd w:id="12"/>
      <w:bookmarkEnd w:id="13"/>
    </w:p>
    <w:p w14:paraId="6196D0E6">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bookmarkStart w:id="14" w:name="_Toc44229880"/>
      <w:bookmarkStart w:id="15" w:name="_Toc35393800"/>
      <w:bookmarkStart w:id="16" w:name="_Toc28359014"/>
      <w:bookmarkStart w:id="17" w:name="_Toc28359091"/>
      <w:bookmarkStart w:id="18" w:name="_Toc35393631"/>
      <w:r>
        <w:rPr>
          <w:rFonts w:hint="eastAsia" w:ascii="宋体" w:hAnsi="宋体"/>
          <w:color w:val="000000" w:themeColor="text1"/>
          <w:szCs w:val="21"/>
          <w:highlight w:val="none"/>
          <w14:textFill>
            <w14:solidFill>
              <w14:schemeClr w14:val="tx1"/>
            </w14:solidFill>
          </w14:textFill>
        </w:rPr>
        <w:t>1.满足《中华人民共和国政府采购法》第二十二条规定</w:t>
      </w:r>
      <w:r>
        <w:rPr>
          <w:rFonts w:hint="eastAsia" w:ascii="宋体" w:hAnsi="宋体"/>
          <w:color w:val="000000" w:themeColor="text1"/>
          <w:szCs w:val="21"/>
          <w:highlight w:val="none"/>
          <w:lang w:eastAsia="zh-CN"/>
          <w14:textFill>
            <w14:solidFill>
              <w14:schemeClr w14:val="tx1"/>
            </w14:solidFill>
          </w14:textFill>
        </w:rPr>
        <w:t>；</w:t>
      </w:r>
    </w:p>
    <w:p w14:paraId="78FD4F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5923EA2A">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p>
    <w:p w14:paraId="4BEB3822">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bookmarkStart w:id="19" w:name="_Toc71365907"/>
      <w:r>
        <w:rPr>
          <w:rFonts w:hint="eastAsia" w:ascii="宋体" w:hAnsi="宋体"/>
          <w:b/>
          <w:color w:val="000000" w:themeColor="text1"/>
          <w:szCs w:val="21"/>
          <w:highlight w:val="none"/>
          <w14:textFill>
            <w14:solidFill>
              <w14:schemeClr w14:val="tx1"/>
            </w14:solidFill>
          </w14:textFill>
        </w:rPr>
        <w:t>（1）供应商具备</w:t>
      </w:r>
      <w:r>
        <w:rPr>
          <w:rFonts w:hint="eastAsia" w:ascii="宋体" w:hAnsi="宋体"/>
          <w:b/>
          <w:color w:val="000000" w:themeColor="text1"/>
          <w:szCs w:val="21"/>
          <w:highlight w:val="none"/>
          <w:lang w:eastAsia="zh-CN"/>
          <w14:textFill>
            <w14:solidFill>
              <w14:schemeClr w14:val="tx1"/>
            </w14:solidFill>
          </w14:textFill>
        </w:rPr>
        <w:t>建筑工程施工总承包</w:t>
      </w:r>
      <w:r>
        <w:rPr>
          <w:rFonts w:hint="eastAsia" w:ascii="宋体" w:hAnsi="宋体"/>
          <w:b/>
          <w:color w:val="000000" w:themeColor="text1"/>
          <w:szCs w:val="21"/>
          <w:highlight w:val="none"/>
          <w14:textFill>
            <w14:solidFill>
              <w14:schemeClr w14:val="tx1"/>
            </w14:solidFill>
          </w14:textFill>
        </w:rPr>
        <w:t>三级及以上资质及具有有效的安全生产许可证，并在人员、设备、资金等方面具有相应能力的施工企业</w:t>
      </w:r>
      <w:r>
        <w:rPr>
          <w:rFonts w:hint="eastAsia" w:ascii="宋体" w:hAnsi="宋体"/>
          <w:b/>
          <w:color w:val="000000" w:themeColor="text1"/>
          <w:szCs w:val="21"/>
          <w:highlight w:val="none"/>
          <w:lang w:eastAsia="zh-CN"/>
          <w14:textFill>
            <w14:solidFill>
              <w14:schemeClr w14:val="tx1"/>
            </w14:solidFill>
          </w14:textFill>
        </w:rPr>
        <w:t>；</w:t>
      </w:r>
    </w:p>
    <w:p w14:paraId="2A26CD01">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（2）拟投入本工程的项目经理具有建筑工程专业贰级以上（含贰级）注册建造师资格并获得有效的安全生产考核合格证（B证），且未担任其他在施建设工程项目的项目经理。 </w:t>
      </w:r>
    </w:p>
    <w:p w14:paraId="15741948">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（3）拟投入本工程的技术负责人具有</w:t>
      </w:r>
      <w:r>
        <w:rPr>
          <w:rFonts w:hint="eastAsia" w:ascii="宋体" w:hAnsi="宋体"/>
          <w:b/>
          <w:color w:val="000000" w:themeColor="text1"/>
          <w:szCs w:val="21"/>
          <w:highlight w:val="none"/>
          <w:lang w:eastAsia="zh-CN"/>
          <w14:textFill>
            <w14:solidFill>
              <w14:schemeClr w14:val="tx1"/>
            </w14:solidFill>
          </w14:textFill>
        </w:rPr>
        <w:t>建筑工程相关专业工程师及以上职称证书；</w:t>
      </w:r>
    </w:p>
    <w:p w14:paraId="3CF8885B">
      <w:pPr>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（4）拟投入本工程四大员（施工员、质量员、</w:t>
      </w:r>
      <w:r>
        <w:rPr>
          <w:rFonts w:hint="eastAsia" w:ascii="宋体" w:hAnsi="宋体"/>
          <w:b/>
          <w:color w:val="000000" w:themeColor="text1"/>
          <w:szCs w:val="21"/>
          <w:highlight w:val="none"/>
          <w:lang w:eastAsia="zh-CN"/>
          <w14:textFill>
            <w14:solidFill>
              <w14:schemeClr w14:val="tx1"/>
            </w14:solidFill>
          </w14:textFill>
        </w:rPr>
        <w:t>专职安全生产管理人员</w:t>
      </w:r>
      <w:r>
        <w:rPr>
          <w:rFonts w:hint="eastAsia" w:ascii="宋体" w:hAnsi="宋体"/>
          <w:b/>
          <w:color w:val="000000" w:themeColor="text1"/>
          <w:szCs w:val="21"/>
          <w:highlight w:val="none"/>
          <w14:textFill>
            <w14:solidFill>
              <w14:schemeClr w14:val="tx1"/>
            </w14:solidFill>
          </w14:textFill>
        </w:rPr>
        <w:t>、材料员）中，</w:t>
      </w:r>
      <w:r>
        <w:rPr>
          <w:rFonts w:hint="eastAsia" w:ascii="宋体" w:hAnsi="宋体"/>
          <w:b/>
          <w:color w:val="000000" w:themeColor="text1"/>
          <w:szCs w:val="21"/>
          <w:highlight w:val="none"/>
          <w:lang w:eastAsia="zh-CN"/>
          <w14:textFill>
            <w14:solidFill>
              <w14:schemeClr w14:val="tx1"/>
            </w14:solidFill>
          </w14:textFill>
        </w:rPr>
        <w:t>专职安全生产管理人员</w:t>
      </w:r>
      <w:r>
        <w:rPr>
          <w:rFonts w:hint="eastAsia" w:ascii="宋体" w:hAnsi="宋体"/>
          <w:b/>
          <w:color w:val="000000" w:themeColor="text1"/>
          <w:szCs w:val="21"/>
          <w:highlight w:val="none"/>
          <w14:textFill>
            <w14:solidFill>
              <w14:schemeClr w14:val="tx1"/>
            </w14:solidFill>
          </w14:textFill>
        </w:rPr>
        <w:t>具有有效的安全生产考核合格证（C类），施工员、质量员、材料员具有有效的</w:t>
      </w:r>
      <w:r>
        <w:rPr>
          <w:rFonts w:hint="eastAsia" w:ascii="宋体" w:hAnsi="宋体"/>
          <w:b/>
          <w:color w:val="000000" w:themeColor="text1"/>
          <w:szCs w:val="21"/>
          <w:highlight w:val="none"/>
          <w:lang w:eastAsia="zh-CN"/>
          <w14:textFill>
            <w14:solidFill>
              <w14:schemeClr w14:val="tx1"/>
            </w14:solidFill>
          </w14:textFill>
        </w:rPr>
        <w:t>相应的施工现场专业人员职业培训合格证书</w:t>
      </w:r>
      <w:r>
        <w:rPr>
          <w:rFonts w:hint="eastAsia" w:ascii="宋体" w:hAnsi="宋体"/>
          <w:b/>
          <w:color w:val="000000" w:themeColor="text1"/>
          <w:szCs w:val="21"/>
          <w:highlight w:val="none"/>
          <w14:textFill>
            <w14:solidFill>
              <w14:schemeClr w14:val="tx1"/>
            </w14:solidFill>
          </w14:textFill>
        </w:rPr>
        <w:t>。</w:t>
      </w:r>
    </w:p>
    <w:p w14:paraId="1B95EAF9">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三、获取竞争性磋商文件</w:t>
      </w:r>
      <w:bookmarkEnd w:id="14"/>
      <w:bookmarkEnd w:id="15"/>
      <w:bookmarkEnd w:id="16"/>
      <w:bookmarkEnd w:id="17"/>
      <w:bookmarkEnd w:id="18"/>
      <w:bookmarkEnd w:id="19"/>
    </w:p>
    <w:p w14:paraId="35F6FA54">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bookmarkStart w:id="20" w:name="_Toc28359092"/>
      <w:bookmarkStart w:id="21" w:name="_Toc35393801"/>
      <w:bookmarkStart w:id="22" w:name="_Toc35393632"/>
      <w:bookmarkStart w:id="23" w:name="_Toc28359015"/>
      <w:bookmarkStart w:id="24" w:name="_Toc44229881"/>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bCs/>
          <w:color w:val="000000" w:themeColor="text1"/>
          <w:szCs w:val="21"/>
          <w:highlight w:val="none"/>
          <w:u w:val="single"/>
          <w14:textFill>
            <w14:solidFill>
              <w14:schemeClr w14:val="tx1"/>
            </w14:solidFill>
          </w14:textFill>
        </w:rPr>
        <w:t xml:space="preserve"> 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19</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26</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8:00</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12:00</w:t>
      </w:r>
      <w:r>
        <w:rPr>
          <w:rFonts w:hint="eastAsia" w:ascii="宋体" w:hAnsi="宋体" w:cs="宋体"/>
          <w:bCs/>
          <w:color w:val="000000" w:themeColor="text1"/>
          <w:kern w:val="0"/>
          <w:szCs w:val="21"/>
          <w:highlight w:val="none"/>
          <w14:textFill>
            <w14:solidFill>
              <w14:schemeClr w14:val="tx1"/>
            </w14:solidFill>
          </w14:textFill>
        </w:rPr>
        <w:t>，下午</w:t>
      </w:r>
      <w:r>
        <w:rPr>
          <w:rFonts w:hint="eastAsia" w:ascii="宋体" w:hAnsi="宋体" w:cs="宋体"/>
          <w:bCs/>
          <w:color w:val="000000" w:themeColor="text1"/>
          <w:kern w:val="0"/>
          <w:szCs w:val="21"/>
          <w:highlight w:val="none"/>
          <w:u w:val="single"/>
          <w14:textFill>
            <w14:solidFill>
              <w14:schemeClr w14:val="tx1"/>
            </w14:solidFill>
          </w14:textFill>
        </w:rPr>
        <w:t>3:00</w:t>
      </w:r>
      <w:r>
        <w:rPr>
          <w:rFonts w:hint="eastAsia" w:ascii="宋体" w:hAnsi="宋体" w:cs="宋体"/>
          <w:bCs/>
          <w:color w:val="000000" w:themeColor="text1"/>
          <w:kern w:val="0"/>
          <w:szCs w:val="21"/>
          <w:highlight w:val="none"/>
          <w14:textFill>
            <w14:solidFill>
              <w14:schemeClr w14:val="tx1"/>
            </w14:solidFill>
          </w14:textFill>
        </w:rPr>
        <w:t>至6:00</w:t>
      </w:r>
      <w:r>
        <w:rPr>
          <w:rFonts w:hint="eastAsia" w:ascii="宋体" w:hAnsi="宋体" w:cs="宋体"/>
          <w:bCs/>
          <w:color w:val="000000" w:themeColor="text1"/>
          <w:kern w:val="0"/>
          <w:szCs w:val="21"/>
          <w:highlight w:val="none"/>
          <w:u w:val="single"/>
          <w14:textFill>
            <w14:solidFill>
              <w14:schemeClr w14:val="tx1"/>
            </w14:solidFill>
          </w14:textFill>
        </w:rPr>
        <w:t>　</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22A4D8F4">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lang w:eastAsia="zh-CN"/>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50A92B2B">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w:t>
      </w:r>
      <w:r>
        <w:rPr>
          <w:rFonts w:hint="eastAsia" w:ascii="宋体" w:hAnsi="宋体" w:cs="宋体"/>
          <w:bCs/>
          <w:color w:val="000000" w:themeColor="text1"/>
          <w:kern w:val="0"/>
          <w:szCs w:val="21"/>
          <w:highlight w:val="none"/>
          <w:lang w:eastAsia="zh-CN"/>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）-进入“项目采购”应用，在获取采购文件-待获取列表菜单中选择项目，获取竞争性磋商文件。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kern w:val="0"/>
          <w:szCs w:val="21"/>
          <w:highlight w:val="none"/>
          <w14:textFill>
            <w14:solidFill>
              <w14:schemeClr w14:val="tx1"/>
            </w14:solidFill>
          </w14:textFill>
        </w:rPr>
        <w:t>通过其他方式获取磋商文件的，将有可能导致供应商无法在广西政府采购云平台编制及上传响应文件。</w:t>
      </w:r>
    </w:p>
    <w:p w14:paraId="323D02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i w:val="0"/>
          <w:iCs/>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72DE37A2">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25" w:name="_Toc71365908"/>
      <w:r>
        <w:rPr>
          <w:rFonts w:hint="eastAsia" w:ascii="黑体" w:hAnsi="黑体" w:eastAsia="黑体"/>
          <w:b/>
          <w:color w:val="000000" w:themeColor="text1"/>
          <w:sz w:val="24"/>
          <w:highlight w:val="none"/>
          <w14:textFill>
            <w14:solidFill>
              <w14:schemeClr w14:val="tx1"/>
            </w14:solidFill>
          </w14:textFill>
        </w:rPr>
        <w:t>四、响应文件提交</w:t>
      </w:r>
      <w:bookmarkEnd w:id="20"/>
      <w:bookmarkEnd w:id="21"/>
      <w:bookmarkEnd w:id="22"/>
      <w:bookmarkEnd w:id="23"/>
      <w:bookmarkEnd w:id="24"/>
      <w:bookmarkEnd w:id="25"/>
    </w:p>
    <w:p w14:paraId="63016ECC">
      <w:pPr>
        <w:spacing w:line="360" w:lineRule="auto"/>
        <w:ind w:firstLine="420" w:firstLineChars="200"/>
        <w:rPr>
          <w:rFonts w:ascii="宋体" w:hAnsi="宋体"/>
          <w:bCs/>
          <w:color w:val="000000" w:themeColor="text1"/>
          <w:szCs w:val="21"/>
          <w:highlight w:val="none"/>
          <w14:textFill>
            <w14:solidFill>
              <w14:schemeClr w14:val="tx1"/>
            </w14:solidFill>
          </w14:textFill>
        </w:rPr>
      </w:pPr>
      <w:bookmarkStart w:id="26" w:name="_Toc44229882"/>
      <w:bookmarkStart w:id="27" w:name="_Toc35393633"/>
      <w:bookmarkStart w:id="28" w:name="_Toc28359016"/>
      <w:bookmarkStart w:id="29" w:name="_Toc28359093"/>
      <w:bookmarkStart w:id="30" w:name="_Toc35393802"/>
      <w:r>
        <w:rPr>
          <w:rFonts w:hint="eastAsia" w:ascii="宋体" w:hAnsi="宋体"/>
          <w:color w:val="000000" w:themeColor="text1"/>
          <w:szCs w:val="21"/>
          <w:highlight w:val="none"/>
          <w14:textFill>
            <w14:solidFill>
              <w14:schemeClr w14:val="tx1"/>
            </w14:solidFill>
          </w14:textFill>
        </w:rPr>
        <w:t>截止时间：</w:t>
      </w:r>
      <w:r>
        <w:rPr>
          <w:rFonts w:hint="eastAsia" w:ascii="宋体" w:hAnsi="宋体"/>
          <w:bCs/>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分（北京时间）</w:t>
      </w:r>
    </w:p>
    <w:p w14:paraId="26AA152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lang w:eastAsia="zh-CN"/>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00B5F48B">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1" w:name="_Toc71365909"/>
      <w:r>
        <w:rPr>
          <w:rFonts w:hint="eastAsia" w:ascii="黑体" w:hAnsi="黑体" w:eastAsia="黑体"/>
          <w:b/>
          <w:color w:val="000000" w:themeColor="text1"/>
          <w:sz w:val="24"/>
          <w:highlight w:val="none"/>
          <w14:textFill>
            <w14:solidFill>
              <w14:schemeClr w14:val="tx1"/>
            </w14:solidFill>
          </w14:textFill>
        </w:rPr>
        <w:t>五、开启</w:t>
      </w:r>
      <w:bookmarkEnd w:id="26"/>
      <w:bookmarkEnd w:id="27"/>
      <w:bookmarkEnd w:id="28"/>
      <w:bookmarkEnd w:id="29"/>
      <w:bookmarkEnd w:id="30"/>
      <w:bookmarkEnd w:id="31"/>
    </w:p>
    <w:p w14:paraId="31A7BFC5">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u w:val="single"/>
          <w14:textFill>
            <w14:solidFill>
              <w14:schemeClr w14:val="tx1"/>
            </w14:solidFill>
          </w14:textFill>
        </w:rPr>
        <w:t xml:space="preserve">2025 </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分（北京时间）</w:t>
      </w:r>
    </w:p>
    <w:p w14:paraId="400D0DAA">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lang w:eastAsia="zh-CN"/>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5EDDC7FB">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2" w:name="_Toc35393634"/>
      <w:bookmarkStart w:id="33" w:name="_Toc35393803"/>
      <w:bookmarkStart w:id="34" w:name="_Toc28359094"/>
      <w:bookmarkStart w:id="35" w:name="_Toc44229883"/>
      <w:bookmarkStart w:id="36" w:name="_Toc28359017"/>
      <w:bookmarkStart w:id="37" w:name="_Toc71365910"/>
      <w:r>
        <w:rPr>
          <w:rFonts w:hint="eastAsia" w:ascii="黑体" w:hAnsi="黑体" w:eastAsia="黑体"/>
          <w:b/>
          <w:color w:val="000000" w:themeColor="text1"/>
          <w:sz w:val="24"/>
          <w:highlight w:val="none"/>
          <w14:textFill>
            <w14:solidFill>
              <w14:schemeClr w14:val="tx1"/>
            </w14:solidFill>
          </w14:textFill>
        </w:rPr>
        <w:t>六、公告期限</w:t>
      </w:r>
      <w:bookmarkEnd w:id="32"/>
      <w:bookmarkEnd w:id="33"/>
      <w:bookmarkEnd w:id="34"/>
      <w:bookmarkEnd w:id="35"/>
      <w:bookmarkEnd w:id="36"/>
      <w:bookmarkEnd w:id="37"/>
    </w:p>
    <w:p w14:paraId="500A398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039C84C0">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8" w:name="_Toc71365911"/>
      <w:bookmarkStart w:id="39" w:name="_Toc35393635"/>
      <w:bookmarkStart w:id="40" w:name="_Toc35393804"/>
      <w:bookmarkStart w:id="41" w:name="_Toc44229884"/>
      <w:r>
        <w:rPr>
          <w:rFonts w:hint="eastAsia" w:ascii="黑体" w:hAnsi="黑体" w:eastAsia="黑体"/>
          <w:b/>
          <w:color w:val="000000" w:themeColor="text1"/>
          <w:sz w:val="24"/>
          <w:highlight w:val="none"/>
          <w14:textFill>
            <w14:solidFill>
              <w14:schemeClr w14:val="tx1"/>
            </w14:solidFill>
          </w14:textFill>
        </w:rPr>
        <w:t>七、其他补充事宜</w:t>
      </w:r>
      <w:bookmarkEnd w:id="38"/>
      <w:bookmarkEnd w:id="39"/>
      <w:bookmarkEnd w:id="40"/>
      <w:bookmarkEnd w:id="41"/>
    </w:p>
    <w:p w14:paraId="688CBF5D">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0E6D602B">
      <w:pPr>
        <w:spacing w:line="360" w:lineRule="auto"/>
        <w:ind w:firstLine="424" w:firstLineChars="202"/>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www.ccgp.gov.cn</w:t>
      </w:r>
      <w:r>
        <w:rPr>
          <w:rFonts w:hint="eastAsia" w:ascii="宋体" w:hAnsi="宋体" w:cs="宋体"/>
          <w:color w:val="000000" w:themeColor="text1"/>
          <w:kern w:val="0"/>
          <w:szCs w:val="21"/>
          <w:highlight w:val="none"/>
          <w14:textFill>
            <w14:solidFill>
              <w14:schemeClr w14:val="tx1"/>
            </w14:solidFill>
          </w14:textFill>
        </w:rPr>
        <w:t>（中国政府采购网）、</w:t>
      </w:r>
      <w:r>
        <w:rPr>
          <w:rFonts w:hint="eastAsia" w:ascii="宋体" w:hAnsi="宋体"/>
          <w:color w:val="000000" w:themeColor="text1"/>
          <w:szCs w:val="21"/>
          <w:highlight w:val="none"/>
          <w14:textFill>
            <w14:solidFill>
              <w14:schemeClr w14:val="tx1"/>
            </w14:solidFill>
          </w14:textFill>
        </w:rPr>
        <w:t>https：//</w:t>
      </w:r>
      <w:r>
        <w:rPr>
          <w:rFonts w:hint="eastAsia" w:ascii="宋体" w:hAnsi="宋体" w:cs="宋体"/>
          <w:color w:val="000000" w:themeColor="text1"/>
          <w:kern w:val="0"/>
          <w:szCs w:val="21"/>
          <w:highlight w:val="none"/>
          <w14:textFill>
            <w14:solidFill>
              <w14:schemeClr w14:val="tx1"/>
            </w14:solidFill>
          </w14:textFill>
        </w:rPr>
        <w:t>zfcg.gxzf.gov.cn（广西壮族自治区政府采购网</w:t>
      </w:r>
      <w:bookmarkStart w:id="42" w:name="_Hlk37429674"/>
      <w:bookmarkStart w:id="43" w:name="_Toc44229885"/>
      <w:bookmarkStart w:id="44" w:name="_Toc28359018"/>
      <w:bookmarkStart w:id="45" w:name="_Toc28359095"/>
      <w:bookmarkStart w:id="46" w:name="_Toc35393636"/>
      <w:bookmarkStart w:id="47" w:name="_Toc35393805"/>
      <w:r>
        <w:rPr>
          <w:rFonts w:hint="eastAsia" w:ascii="宋体" w:hAnsi="宋体" w:cs="宋体"/>
          <w:color w:val="000000" w:themeColor="text1"/>
          <w:kern w:val="0"/>
          <w:szCs w:val="21"/>
          <w:highlight w:val="none"/>
          <w14:textFill>
            <w14:solidFill>
              <w14:schemeClr w14:val="tx1"/>
            </w14:solidFill>
          </w14:textFill>
        </w:rPr>
        <w:t>）</w:t>
      </w:r>
    </w:p>
    <w:p w14:paraId="39DC2AF5">
      <w:pPr>
        <w:spacing w:line="360" w:lineRule="auto"/>
        <w:ind w:firstLine="424" w:firstLineChars="202"/>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本项目执行采购政策</w:t>
      </w:r>
    </w:p>
    <w:bookmarkEnd w:id="42"/>
    <w:p w14:paraId="3A218AD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081A97A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26224BD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优先采购节能产品、环境标志产品。</w:t>
      </w:r>
    </w:p>
    <w:p w14:paraId="28A8773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5E7F3D3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7936815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olor w:val="000000" w:themeColor="text1"/>
          <w:szCs w:val="21"/>
          <w:highlight w:val="none"/>
          <w14:textFill>
            <w14:solidFill>
              <w14:schemeClr w14:val="tx1"/>
            </w14:solidFill>
          </w14:textFill>
        </w:rPr>
        <w:t>竞标注意事项</w:t>
      </w:r>
    </w:p>
    <w:p w14:paraId="0C1E1C99">
      <w:pPr>
        <w:widowControl/>
        <w:spacing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帮助中心-项目采购-操作手册-电子招投标”查看电子竞标具体操作流程。如在操作过程中遇到问题或者需要技术支持，请致电客服热线：95763或者0771-3381253。</w:t>
      </w:r>
    </w:p>
    <w:p w14:paraId="37A4D8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系统管理-CA管理-申领CA”中查看CA服务商并选择其中任意一家CA服务商办理CA数字证书。如在操作过程中遇到问题或者需要技术支持，请致电相应的CA服务商客服咨询电话）。</w:t>
      </w:r>
    </w:p>
    <w:p w14:paraId="02F7E1BF">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w:t>
      </w:r>
      <w:r>
        <w:rPr>
          <w:rFonts w:hint="eastAsia" w:ascii="宋体" w:hAnsi="宋体" w:cs="宋体"/>
          <w:color w:val="000000" w:themeColor="text1"/>
          <w:kern w:val="0"/>
          <w:szCs w:val="21"/>
          <w:highlight w:val="none"/>
          <w14:textFill>
            <w14:solidFill>
              <w14:schemeClr w14:val="tx1"/>
            </w14:solidFill>
          </w14:textFill>
        </w:rPr>
        <w:t>平台电子开标大厅现场按规定时间对加密的响应文件进行解密，否则后果自负。</w:t>
      </w:r>
    </w:p>
    <w:p w14:paraId="29E11C0B">
      <w:pPr>
        <w:widowControl/>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B90A48B">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471A543E">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43"/>
      <w:bookmarkEnd w:id="44"/>
      <w:bookmarkEnd w:id="45"/>
      <w:bookmarkEnd w:id="46"/>
      <w:bookmarkEnd w:id="47"/>
    </w:p>
    <w:bookmarkEnd w:id="1"/>
    <w:p w14:paraId="3DC7AE9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1.采购人信息</w:t>
      </w:r>
    </w:p>
    <w:p w14:paraId="5F90BA6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w:t>
      </w:r>
      <w:r>
        <w:rPr>
          <w:rFonts w:hint="eastAsia" w:ascii="宋体" w:hAnsi="宋体" w:cs="宋体"/>
          <w:color w:val="000000" w:themeColor="text1"/>
          <w:kern w:val="0"/>
          <w:szCs w:val="21"/>
          <w:highlight w:val="none"/>
          <w:lang w:eastAsia="zh-CN"/>
          <w14:textFill>
            <w14:solidFill>
              <w14:schemeClr w14:val="tx1"/>
            </w14:solidFill>
          </w14:textFill>
        </w:rPr>
        <w:t>钦州市钦北区鸿亭街道小江社区卫生服务中心</w:t>
      </w:r>
      <w:r>
        <w:rPr>
          <w:rFonts w:hint="eastAsia" w:ascii="宋体" w:hAnsi="宋体" w:cs="宋体"/>
          <w:color w:val="000000" w:themeColor="text1"/>
          <w:kern w:val="0"/>
          <w:szCs w:val="21"/>
          <w:highlight w:val="none"/>
          <w14:textFill>
            <w14:solidFill>
              <w14:schemeClr w14:val="tx1"/>
            </w14:solidFill>
          </w14:textFill>
        </w:rPr>
        <w:t>　</w:t>
      </w:r>
    </w:p>
    <w:p w14:paraId="337C7117">
      <w:pPr>
        <w:spacing w:line="360" w:lineRule="auto"/>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w:t>
      </w:r>
      <w:r>
        <w:rPr>
          <w:rFonts w:hint="eastAsia"/>
          <w:color w:val="000000" w:themeColor="text1"/>
          <w:highlight w:val="none"/>
          <w:lang w:eastAsia="zh-CN"/>
          <w14:textFill>
            <w14:solidFill>
              <w14:schemeClr w14:val="tx1"/>
            </w14:solidFill>
          </w14:textFill>
        </w:rPr>
        <w:t>钦州市钦北区鸿亭街道小江二巷</w:t>
      </w:r>
    </w:p>
    <w:p w14:paraId="4EC75B7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bookmarkStart w:id="48" w:name="_Toc28359086"/>
      <w:bookmarkStart w:id="49" w:name="_Toc28359009"/>
      <w:r>
        <w:rPr>
          <w:rFonts w:hint="eastAsia" w:ascii="宋体" w:hAnsi="宋体" w:cs="宋体"/>
          <w:color w:val="000000" w:themeColor="text1"/>
          <w:kern w:val="0"/>
          <w:szCs w:val="21"/>
          <w:highlight w:val="none"/>
          <w14:textFill>
            <w14:solidFill>
              <w14:schemeClr w14:val="tx1"/>
            </w14:solidFill>
          </w14:textFill>
        </w:rPr>
        <w:t>梁显集</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0777-5987616</w:t>
      </w:r>
    </w:p>
    <w:p w14:paraId="4ED5743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2.采购代理机构信息</w:t>
      </w:r>
      <w:bookmarkEnd w:id="48"/>
      <w:bookmarkEnd w:id="49"/>
    </w:p>
    <w:p w14:paraId="3479BDA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称：云之龙咨询集团有限公司　</w:t>
      </w:r>
    </w:p>
    <w:p w14:paraId="1D393CE4">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地址：广西钦州市子材东大街19号奥林名城8号楼8层</w:t>
      </w:r>
    </w:p>
    <w:p w14:paraId="094EDEB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项目联系人姓名：</w:t>
      </w:r>
      <w:r>
        <w:rPr>
          <w:rFonts w:hint="eastAsia" w:ascii="宋体" w:hAnsi="宋体" w:cs="宋体"/>
          <w:color w:val="000000" w:themeColor="text1"/>
          <w:kern w:val="0"/>
          <w:szCs w:val="21"/>
          <w:highlight w:val="none"/>
          <w:lang w:eastAsia="zh-CN"/>
          <w14:textFill>
            <w14:solidFill>
              <w14:schemeClr w14:val="tx1"/>
            </w14:solidFill>
          </w14:textFill>
        </w:rPr>
        <w:t>郑全荣</w:t>
      </w:r>
    </w:p>
    <w:p w14:paraId="7E00441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联系电话：0777-5619366</w:t>
      </w:r>
    </w:p>
    <w:p w14:paraId="4F02748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3.项目联系方式</w:t>
      </w:r>
    </w:p>
    <w:p w14:paraId="4D26A1FF">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w:t>
      </w:r>
      <w:r>
        <w:rPr>
          <w:rFonts w:hint="eastAsia" w:ascii="宋体" w:hAnsi="宋体" w:cs="宋体"/>
          <w:color w:val="000000" w:themeColor="text1"/>
          <w:kern w:val="0"/>
          <w:szCs w:val="21"/>
          <w:highlight w:val="none"/>
          <w:lang w:eastAsia="zh-CN"/>
          <w14:textFill>
            <w14:solidFill>
              <w14:schemeClr w14:val="tx1"/>
            </w14:solidFill>
          </w14:textFill>
        </w:rPr>
        <w:t>郑全荣</w:t>
      </w:r>
    </w:p>
    <w:p w14:paraId="48AF8CBD">
      <w:pPr>
        <w:spacing w:line="32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话：0777-5619366　</w:t>
      </w:r>
    </w:p>
    <w:p w14:paraId="18CC7F1A">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p>
    <w:p w14:paraId="3012AB44">
      <w:pPr>
        <w:pStyle w:val="2"/>
        <w:spacing w:before="300" w:after="300" w:line="360" w:lineRule="auto"/>
        <w:ind w:firstLine="883" w:firstLineChars="200"/>
        <w:jc w:val="center"/>
        <w:rPr>
          <w:color w:val="000000" w:themeColor="text1"/>
          <w:highlight w:val="none"/>
          <w14:textFill>
            <w14:solidFill>
              <w14:schemeClr w14:val="tx1"/>
            </w14:solidFill>
          </w14:textFill>
        </w:rPr>
      </w:pPr>
      <w:bookmarkStart w:id="50" w:name="_Toc122424245"/>
      <w:r>
        <w:rPr>
          <w:rFonts w:hint="eastAsia"/>
          <w:color w:val="000000" w:themeColor="text1"/>
          <w:highlight w:val="none"/>
          <w14:textFill>
            <w14:solidFill>
              <w14:schemeClr w14:val="tx1"/>
            </w14:solidFill>
          </w14:textFill>
        </w:rPr>
        <w:t>第二章 供应商须知</w:t>
      </w:r>
      <w:bookmarkEnd w:id="50"/>
    </w:p>
    <w:p w14:paraId="4EA6214D">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76F3F706">
      <w:pPr>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DDD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42E54">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7BCD6E28">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1EFC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EBE97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7912" w:type="dxa"/>
            <w:vAlign w:val="center"/>
          </w:tcPr>
          <w:p w14:paraId="4E16BF0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iCs/>
                <w:color w:val="000000" w:themeColor="text1"/>
                <w:szCs w:val="21"/>
                <w:highlight w:val="none"/>
                <w:u w:val="single"/>
                <w14:textFill>
                  <w14:solidFill>
                    <w14:schemeClr w14:val="tx1"/>
                  </w14:solidFill>
                </w14:textFill>
              </w:rPr>
              <w:t>详见竞争性磋商公告</w:t>
            </w:r>
          </w:p>
        </w:tc>
      </w:tr>
      <w:tr w14:paraId="0DBE8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0853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11A0D5D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本项目不接受联合体</w:t>
            </w:r>
          </w:p>
        </w:tc>
      </w:tr>
      <w:tr w14:paraId="3FC7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F8EB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42782C06">
            <w:pPr>
              <w:pStyle w:val="1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☑不允许分包</w:t>
            </w:r>
          </w:p>
          <w:p w14:paraId="07A332CE">
            <w:pPr>
              <w:pStyle w:val="1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tc>
      </w:tr>
      <w:tr w14:paraId="5C54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943F9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22CCA99E">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3B2D44FB">
            <w:pPr>
              <w:pStyle w:val="1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1.供应商为法人或者其他组织的提供其营业执照等证明文件复印件（如营业执照或者事业单位法人证书或者执业许可证或者登记证书等）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20267AA">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single"/>
                <w:lang w:eastAsia="zh-CN"/>
                <w14:textFill>
                  <w14:solidFill>
                    <w14:schemeClr w14:val="tx1"/>
                  </w14:solidFill>
                </w14:textFill>
              </w:rPr>
              <w:t>2025年6月至2025年1</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月内</w:t>
            </w:r>
            <w:r>
              <w:rPr>
                <w:rFonts w:hint="eastAsia" w:ascii="宋体" w:hAnsi="宋体" w:cs="宋体"/>
                <w:color w:val="000000" w:themeColor="text1"/>
                <w:szCs w:val="21"/>
                <w:highlight w:val="none"/>
                <w:u w:val="none"/>
                <w:lang w:val="en-US"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D112D03">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cs="宋体"/>
                <w:color w:val="000000" w:themeColor="text1"/>
                <w:szCs w:val="21"/>
                <w:highlight w:val="none"/>
                <w:u w:val="single"/>
                <w:lang w:eastAsia="zh-CN"/>
                <w14:textFill>
                  <w14:solidFill>
                    <w14:schemeClr w14:val="tx1"/>
                  </w14:solidFill>
                </w14:textFill>
              </w:rPr>
              <w:t>2025年6月至2025年1</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月内</w:t>
            </w:r>
            <w:r>
              <w:rPr>
                <w:rFonts w:hint="eastAsia" w:ascii="宋体" w:hAnsi="宋体" w:cs="宋体"/>
                <w:color w:val="000000" w:themeColor="text1"/>
                <w:szCs w:val="21"/>
                <w:highlight w:val="none"/>
                <w:u w:val="none"/>
                <w:lang w:val="en-US"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个的依法缴纳社会保障资金的缴费凭证（专用收据或者社会保险缴纳清单）复印件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918093">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color w:val="000000" w:themeColor="text1"/>
                <w:szCs w:val="21"/>
                <w:highlight w:val="none"/>
                <w:u w:val="single"/>
                <w14:textFill>
                  <w14:solidFill>
                    <w14:schemeClr w14:val="tx1"/>
                  </w14:solidFill>
                </w14:textFill>
              </w:rPr>
              <w:t>2024</w:t>
            </w:r>
            <w:r>
              <w:rPr>
                <w:rFonts w:hint="eastAsia"/>
                <w:color w:val="000000" w:themeColor="text1"/>
                <w:szCs w:val="21"/>
                <w:highlight w:val="none"/>
                <w14:textFill>
                  <w14:solidFill>
                    <w14:schemeClr w14:val="tx1"/>
                  </w14:solidFill>
                </w14:textFill>
              </w:rPr>
              <w:t>年度财务报表复印件，或者银行出具的资信证明，或者中国人民银行征信中心出具的信用报告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供应商属于</w:t>
            </w:r>
            <w:r>
              <w:rPr>
                <w:rFonts w:hint="eastAsia"/>
                <w:color w:val="000000" w:themeColor="text1"/>
                <w:highlight w:val="none"/>
                <w14:textFill>
                  <w14:solidFill>
                    <w14:schemeClr w14:val="tx1"/>
                  </w14:solidFill>
                </w14:textFill>
              </w:rPr>
              <w:t>成立时间</w:t>
            </w:r>
            <w:r>
              <w:rPr>
                <w:rFonts w:hint="eastAsia"/>
                <w:color w:val="000000" w:themeColor="text1"/>
                <w:kern w:val="0"/>
                <w:highlight w:val="none"/>
                <w14:textFill>
                  <w14:solidFill>
                    <w14:schemeClr w14:val="tx1"/>
                  </w14:solidFill>
                </w14:textFill>
              </w:rPr>
              <w:t>在规定年度之后</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rFonts w:hint="eastAsia"/>
                <w:color w:val="000000" w:themeColor="text1"/>
                <w:highlight w:val="none"/>
                <w14:textFill>
                  <w14:solidFill>
                    <w14:schemeClr w14:val="tx1"/>
                  </w14:solidFill>
                </w14:textFill>
              </w:rPr>
              <w:t>，需提供成立之日起至响应文件提交截止时间前的月报表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资信证明应在有效期内，未注明有效期的，银行出具时间至响应文件提交截止时间不得超过一年）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bCs/>
                <w:color w:val="000000" w:themeColor="text1"/>
                <w:szCs w:val="21"/>
                <w:highlight w:val="none"/>
                <w14:textFill>
                  <w14:solidFill>
                    <w14:schemeClr w14:val="tx1"/>
                  </w14:solidFill>
                </w14:textFill>
              </w:rPr>
              <w:t>）</w:t>
            </w:r>
          </w:p>
          <w:p w14:paraId="5DCE9C45">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1ECCA3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DA4150">
            <w:pPr>
              <w:pStyle w:val="17"/>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有效的</w:t>
            </w:r>
            <w:r>
              <w:rPr>
                <w:rFonts w:hint="eastAsia" w:ascii="宋体" w:hAnsi="宋体" w:cs="宋体"/>
                <w:color w:val="000000" w:themeColor="text1"/>
                <w:szCs w:val="21"/>
                <w:highlight w:val="none"/>
                <w:lang w:eastAsia="zh-CN"/>
                <w14:textFill>
                  <w14:solidFill>
                    <w14:schemeClr w14:val="tx1"/>
                  </w14:solidFill>
                </w14:textFill>
              </w:rPr>
              <w:t>建筑工程施工总承包</w:t>
            </w:r>
            <w:r>
              <w:rPr>
                <w:rFonts w:hint="eastAsia" w:ascii="宋体" w:hAnsi="宋体" w:cs="宋体"/>
                <w:color w:val="000000" w:themeColor="text1"/>
                <w:szCs w:val="21"/>
                <w:highlight w:val="none"/>
                <w14:textFill>
                  <w14:solidFill>
                    <w14:schemeClr w14:val="tx1"/>
                  </w14:solidFill>
                </w14:textFill>
              </w:rPr>
              <w:t>三级及以上资质</w:t>
            </w:r>
            <w:r>
              <w:rPr>
                <w:color w:val="000000" w:themeColor="text1"/>
                <w:highlight w:val="none"/>
                <w14:textFill>
                  <w14:solidFill>
                    <w14:schemeClr w14:val="tx1"/>
                  </w14:solidFill>
                </w14:textFill>
              </w:rPr>
              <w:t>证书复印件及有效的</w:t>
            </w:r>
            <w:r>
              <w:rPr>
                <w:rFonts w:hint="eastAsia" w:ascii="宋体" w:hAnsi="宋体" w:cs="宋体"/>
                <w:color w:val="000000" w:themeColor="text1"/>
                <w:szCs w:val="21"/>
                <w:highlight w:val="none"/>
                <w14:textFill>
                  <w14:solidFill>
                    <w14:schemeClr w14:val="tx1"/>
                  </w14:solidFill>
                </w14:textFill>
              </w:rPr>
              <w:t>安全生产许可证</w:t>
            </w:r>
            <w:r>
              <w:rPr>
                <w:color w:val="000000" w:themeColor="text1"/>
                <w:highlight w:val="none"/>
                <w14:textFill>
                  <w14:solidFill>
                    <w14:schemeClr w14:val="tx1"/>
                  </w14:solidFill>
                </w14:textFill>
              </w:rPr>
              <w:t>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按无效处理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w:t>
            </w:r>
          </w:p>
          <w:p w14:paraId="5C20D0E7">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8.拟投入本工程的项目经理有效的建造师资格证复印件或打印件、安全生产考核合格证（B类）复印件或打印件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有效的身份证正反面复印件及项目经理不在其他项目服务的承诺书</w:t>
            </w:r>
            <w:r>
              <w:rPr>
                <w:rFonts w:hint="eastAsia" w:ascii="宋体" w:hAnsi="宋体" w:cs="宋体"/>
                <w:b/>
                <w:bCs/>
                <w:color w:val="000000" w:themeColor="text1"/>
                <w:szCs w:val="21"/>
                <w:highlight w:val="none"/>
                <w14:textFill>
                  <w14:solidFill>
                    <w14:schemeClr w14:val="tx1"/>
                  </w14:solidFill>
                </w14:textFill>
              </w:rPr>
              <w:t>（必须提供，否则</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按无效处理）</w:t>
            </w:r>
          </w:p>
          <w:p w14:paraId="2D8974F1">
            <w:pPr>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color w:val="000000" w:themeColor="text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拟投入本工程的技术负责人</w:t>
            </w:r>
            <w:r>
              <w:rPr>
                <w:rFonts w:hint="eastAsia" w:ascii="宋体" w:hAnsi="宋体" w:cs="宋体"/>
                <w:bCs/>
                <w:color w:val="000000" w:themeColor="text1"/>
                <w:szCs w:val="21"/>
                <w:highlight w:val="none"/>
                <w:lang w:eastAsia="zh-CN"/>
                <w14:textFill>
                  <w14:solidFill>
                    <w14:schemeClr w14:val="tx1"/>
                  </w14:solidFill>
                </w14:textFill>
              </w:rPr>
              <w:t>建筑工程相关专业工程师及以上职称证书</w:t>
            </w:r>
            <w:r>
              <w:rPr>
                <w:rFonts w:hint="eastAsia" w:ascii="宋体" w:hAnsi="宋体" w:cs="宋体"/>
                <w:bCs/>
                <w:color w:val="000000" w:themeColor="text1"/>
                <w:szCs w:val="21"/>
                <w:highlight w:val="none"/>
                <w14:textFill>
                  <w14:solidFill>
                    <w14:schemeClr w14:val="tx1"/>
                  </w14:solidFill>
                </w14:textFill>
              </w:rPr>
              <w:t>复印件或打印件</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按无效处理）</w:t>
            </w:r>
          </w:p>
          <w:p w14:paraId="36F3446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10.供应商</w:t>
            </w:r>
            <w:r>
              <w:rPr>
                <w:rFonts w:hint="eastAsia" w:ascii="宋体" w:hAnsi="宋体" w:cs="宋体"/>
                <w:color w:val="000000" w:themeColor="text1"/>
                <w:szCs w:val="21"/>
                <w:highlight w:val="none"/>
                <w14:textFill>
                  <w14:solidFill>
                    <w14:schemeClr w14:val="tx1"/>
                  </w14:solidFill>
                </w14:textFill>
              </w:rPr>
              <w:t>拟投入本工程四大员（施工员、质量员、</w:t>
            </w:r>
            <w:r>
              <w:rPr>
                <w:rFonts w:hint="eastAsia" w:ascii="宋体" w:hAnsi="宋体" w:cs="宋体"/>
                <w:color w:val="000000" w:themeColor="text1"/>
                <w:szCs w:val="21"/>
                <w:highlight w:val="none"/>
                <w:lang w:eastAsia="zh-CN"/>
                <w14:textFill>
                  <w14:solidFill>
                    <w14:schemeClr w14:val="tx1"/>
                  </w14:solidFill>
                </w14:textFill>
              </w:rPr>
              <w:t>专职安全生产管理人员</w:t>
            </w:r>
            <w:r>
              <w:rPr>
                <w:rFonts w:hint="eastAsia" w:ascii="宋体" w:hAnsi="宋体" w:cs="宋体"/>
                <w:color w:val="000000" w:themeColor="text1"/>
                <w:szCs w:val="21"/>
                <w:highlight w:val="none"/>
                <w14:textFill>
                  <w14:solidFill>
                    <w14:schemeClr w14:val="tx1"/>
                  </w14:solidFill>
                </w14:textFill>
              </w:rPr>
              <w:t>、材料员）中，</w:t>
            </w:r>
            <w:r>
              <w:rPr>
                <w:rFonts w:hint="eastAsia" w:ascii="宋体" w:hAnsi="宋体" w:cs="宋体"/>
                <w:color w:val="000000" w:themeColor="text1"/>
                <w:szCs w:val="21"/>
                <w:highlight w:val="none"/>
                <w:lang w:eastAsia="zh-CN"/>
                <w14:textFill>
                  <w14:solidFill>
                    <w14:schemeClr w14:val="tx1"/>
                  </w14:solidFill>
                </w14:textFill>
              </w:rPr>
              <w:t>专职安全生产管理人员</w:t>
            </w:r>
            <w:r>
              <w:rPr>
                <w:rFonts w:hint="eastAsia" w:ascii="宋体" w:hAnsi="宋体" w:cs="宋体"/>
                <w:color w:val="000000" w:themeColor="text1"/>
                <w:szCs w:val="21"/>
                <w:highlight w:val="none"/>
                <w14:textFill>
                  <w14:solidFill>
                    <w14:schemeClr w14:val="tx1"/>
                  </w14:solidFill>
                </w14:textFill>
              </w:rPr>
              <w:t>有效的安全生产考核合格证（C类）复印件或打印件及身份证正反面复印件，施工员、质量员、材料员有效的</w:t>
            </w:r>
            <w:r>
              <w:rPr>
                <w:rFonts w:hint="eastAsia"/>
                <w:color w:val="000000" w:themeColor="text1"/>
                <w:highlight w:val="none"/>
                <w14:textFill>
                  <w14:solidFill>
                    <w14:schemeClr w14:val="tx1"/>
                  </w14:solidFill>
                </w14:textFill>
              </w:rPr>
              <w:t>职业</w:t>
            </w:r>
            <w:r>
              <w:rPr>
                <w:rFonts w:hint="eastAsia"/>
                <w:color w:val="000000" w:themeColor="text1"/>
                <w:highlight w:val="none"/>
                <w:lang w:eastAsia="zh-CN"/>
                <w14:textFill>
                  <w14:solidFill>
                    <w14:schemeClr w14:val="tx1"/>
                  </w14:solidFill>
                </w14:textFill>
              </w:rPr>
              <w:t>相应的施工现场专业人员职业培训合格证书</w:t>
            </w:r>
            <w:r>
              <w:rPr>
                <w:rFonts w:hint="eastAsia" w:ascii="宋体" w:hAnsi="宋体" w:cs="宋体"/>
                <w:color w:val="000000" w:themeColor="text1"/>
                <w:szCs w:val="21"/>
                <w:highlight w:val="none"/>
                <w14:textFill>
                  <w14:solidFill>
                    <w14:schemeClr w14:val="tx1"/>
                  </w14:solidFill>
                </w14:textFill>
              </w:rPr>
              <w:t>复印件或打印件及身份证正反面复印件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w:t>
            </w:r>
            <w:r>
              <w:rPr>
                <w:rFonts w:hint="eastAsia" w:ascii="宋体" w:hAnsi="宋体" w:cs="宋体"/>
                <w:b/>
                <w:color w:val="000000" w:themeColor="text1"/>
                <w:szCs w:val="21"/>
                <w:highlight w:val="none"/>
                <w14:textFill>
                  <w14:solidFill>
                    <w14:schemeClr w14:val="tx1"/>
                  </w14:solidFill>
                </w14:textFill>
              </w:rPr>
              <w:t>响应文件</w:t>
            </w:r>
            <w:r>
              <w:rPr>
                <w:rFonts w:hint="eastAsia" w:ascii="宋体" w:hAnsi="宋体" w:cs="宋体"/>
                <w:b/>
                <w:bCs/>
                <w:color w:val="000000" w:themeColor="text1"/>
                <w:szCs w:val="21"/>
                <w:highlight w:val="none"/>
                <w14:textFill>
                  <w14:solidFill>
                    <w14:schemeClr w14:val="tx1"/>
                  </w14:solidFill>
                </w14:textFill>
              </w:rPr>
              <w:t>按无效处理</w:t>
            </w:r>
            <w:r>
              <w:rPr>
                <w:rFonts w:hint="eastAsia" w:ascii="宋体" w:hAnsi="宋体" w:cs="宋体"/>
                <w:b/>
                <w:color w:val="000000" w:themeColor="text1"/>
                <w:szCs w:val="21"/>
                <w:highlight w:val="none"/>
                <w14:textFill>
                  <w14:solidFill>
                    <w14:schemeClr w14:val="tx1"/>
                  </w14:solidFill>
                </w14:textFill>
              </w:rPr>
              <w:t>）</w:t>
            </w:r>
          </w:p>
          <w:p w14:paraId="3B4C959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11.供应商的《中小企业声明函》或《残疾人福利性单位声明函》或属于监狱企业的证明文件；（</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9F4F0E2">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12.除磋商文件规定必须提供以外，供应商认为需要提供的其他证明材料</w:t>
            </w:r>
            <w:r>
              <w:rPr>
                <w:rFonts w:hint="eastAsia" w:ascii="宋体" w:hAnsi="宋体" w:cs="宋体"/>
                <w:color w:val="000000" w:themeColor="text1"/>
                <w:szCs w:val="21"/>
                <w:highlight w:val="none"/>
                <w:lang w:eastAsia="zh-CN"/>
                <w14:textFill>
                  <w14:solidFill>
                    <w14:schemeClr w14:val="tx1"/>
                  </w14:solidFill>
                </w14:textFill>
              </w:rPr>
              <w:t>；</w:t>
            </w:r>
          </w:p>
          <w:p w14:paraId="6DCD3F71">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E8D5AE8">
            <w:pPr>
              <w:pStyle w:val="1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w:t>
            </w:r>
            <w:r>
              <w:rPr>
                <w:rFonts w:hint="eastAsia"/>
                <w:b/>
                <w:bCs/>
                <w:color w:val="000000" w:themeColor="text1"/>
                <w:highlight w:val="none"/>
                <w14:textFill>
                  <w14:solidFill>
                    <w14:schemeClr w14:val="tx1"/>
                  </w14:solidFill>
                </w14:textFill>
              </w:rPr>
              <w:t>标明“必须提供”的材料 ，必须加盖供应商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，否则响应文件按无效响应处理。</w:t>
            </w:r>
          </w:p>
        </w:tc>
      </w:tr>
      <w:tr w14:paraId="53E5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95645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4523FC6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1555DB4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1.竞标函及竞标函附录（格式后附）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863CAF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2F2832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3.已标价工程量清单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A4FBE0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4.供应商认为需要提供的其他有关资料。</w:t>
            </w:r>
          </w:p>
        </w:tc>
      </w:tr>
      <w:tr w14:paraId="07C9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3B846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40C8B13">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57CD65D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BEB554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E8A02C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AB6F7D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.建筑材料和设备节能环保要求承诺书（格式后附）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C6EFFC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.代理服务费承诺书（格式后附）</w:t>
            </w:r>
            <w:r>
              <w:rPr>
                <w:rFonts w:hint="eastAsia" w:ascii="宋体" w:hAnsi="宋体" w:cs="宋体"/>
                <w:color w:val="000000" w:themeColor="text1"/>
                <w:szCs w:val="21"/>
                <w:highlight w:val="none"/>
                <w:lang w:eastAsia="zh-CN"/>
                <w14:textFill>
                  <w14:solidFill>
                    <w14:schemeClr w14:val="tx1"/>
                  </w14:solidFill>
                </w14:textFill>
              </w:rPr>
              <w:t>；</w:t>
            </w:r>
          </w:p>
          <w:p w14:paraId="1A7978B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.施工组织设计（格式自拟）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C5E1AD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.项目管理机构配备情况表及主要人员简历表（格式后附）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 xml:space="preserve">） </w:t>
            </w:r>
          </w:p>
          <w:p w14:paraId="2ABAB64F">
            <w:pPr>
              <w:wordWrap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技术商务要求响应表；（</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A7EE096">
            <w:pPr>
              <w:wordWrap w:val="0"/>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kern w:val="0"/>
                <w:szCs w:val="21"/>
                <w:highlight w:val="none"/>
                <w14:textFill>
                  <w14:solidFill>
                    <w14:schemeClr w14:val="tx1"/>
                  </w14:solidFill>
                </w14:textFill>
              </w:rPr>
              <w:t>建设工程项目管理承诺书（格式后附）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99034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298E7B68">
            <w:pPr>
              <w:pStyle w:val="17"/>
              <w:rPr>
                <w:rFonts w:ascii="宋体" w:hAnsi="宋体" w:cs="宋体"/>
                <w:b/>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以上标明“必须提供”的材料，必须加盖供应商电子签章</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w:t>
            </w:r>
          </w:p>
        </w:tc>
      </w:tr>
      <w:tr w14:paraId="203A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F4817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0B5AC416">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竞标报价是履行合同的最终价格，包括了</w:t>
            </w:r>
            <w:r>
              <w:rPr>
                <w:rFonts w:hint="eastAsia" w:ascii="宋体" w:hAnsi="宋体" w:cs="宋体"/>
                <w:color w:val="000000" w:themeColor="text1"/>
                <w:szCs w:val="21"/>
                <w:highlight w:val="none"/>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2F58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8B75F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7912" w:type="dxa"/>
            <w:vAlign w:val="center"/>
          </w:tcPr>
          <w:p w14:paraId="461A9812">
            <w:pPr>
              <w:spacing w:line="360" w:lineRule="auto"/>
              <w:contextualSpacing/>
              <w:jc w:val="left"/>
              <w:rPr>
                <w:rFonts w:ascii="宋体" w:hAnsi="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本工程增值税计税方法：☑一般计税法</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 xml:space="preserve"> □简易计税法</w:t>
            </w:r>
          </w:p>
        </w:tc>
      </w:tr>
      <w:tr w14:paraId="6C57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4FE18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48C45769">
            <w:pPr>
              <w:pStyle w:val="14"/>
              <w:widowControl w:val="0"/>
              <w:tabs>
                <w:tab w:val="clear" w:pos="454"/>
              </w:tabs>
              <w:snapToGrid w:val="0"/>
              <w:spacing w:afterLines="0" w:line="360" w:lineRule="auto"/>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1880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9276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69BF5B6D">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本项目不收取磋商保证金。</w:t>
            </w:r>
          </w:p>
          <w:p w14:paraId="584531AE">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本项目收取磋商保证金，具体规定如下：</w:t>
            </w:r>
            <w:r>
              <w:rPr>
                <w:rFonts w:hint="eastAsia" w:ascii="宋体" w:hAnsi="宋体" w:cs="宋体"/>
                <w:color w:val="000000" w:themeColor="text1"/>
                <w:kern w:val="0"/>
                <w:szCs w:val="21"/>
                <w:highlight w:val="none"/>
                <w14:textFill>
                  <w14:solidFill>
                    <w14:schemeClr w14:val="tx1"/>
                  </w14:solidFill>
                </w14:textFill>
              </w:rPr>
              <w:t>磋商保证金人民币</w:t>
            </w:r>
            <w:r>
              <w:rPr>
                <w:rFonts w:hint="eastAsia" w:ascii="宋体" w:hAnsi="宋体" w:cs="宋体"/>
                <w:b/>
                <w:color w:val="000000" w:themeColor="text1"/>
                <w:kern w:val="0"/>
                <w:szCs w:val="21"/>
                <w:highlight w:val="none"/>
                <w:u w:val="single"/>
                <w:lang w:val="en-US" w:eastAsia="zh-CN"/>
                <w14:textFill>
                  <w14:solidFill>
                    <w14:schemeClr w14:val="tx1"/>
                  </w14:solidFill>
                </w14:textFill>
              </w:rPr>
              <w:t xml:space="preserve">  /  </w:t>
            </w:r>
            <w:r>
              <w:rPr>
                <w:rFonts w:hint="eastAsia" w:ascii="宋体" w:hAnsi="宋体" w:cs="宋体"/>
                <w:color w:val="000000" w:themeColor="text1"/>
                <w:kern w:val="0"/>
                <w:szCs w:val="21"/>
                <w:highlight w:val="none"/>
                <w14:textFill>
                  <w14:solidFill>
                    <w14:schemeClr w14:val="tx1"/>
                  </w14:solidFill>
                </w14:textFill>
              </w:rPr>
              <w:t>。</w:t>
            </w:r>
          </w:p>
          <w:p w14:paraId="03686D8A">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color w:val="000000" w:themeColor="text1"/>
                <w:kern w:val="0"/>
                <w:szCs w:val="21"/>
                <w:highlight w:val="none"/>
                <w:u w:val="single"/>
                <w14:textFill>
                  <w14:solidFill>
                    <w14:schemeClr w14:val="tx1"/>
                  </w14:solidFill>
                </w14:textFill>
              </w:rPr>
              <w:t>开户名：云之龙咨询集团有限公司钦州分公司</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开户银行：中信银行南宁东葛支行</w:t>
            </w:r>
            <w:r>
              <w:rPr>
                <w:rFonts w:hint="eastAsia" w:ascii="宋体" w:hAnsi="宋体" w:cs="宋体"/>
                <w:color w:val="000000" w:themeColor="text1"/>
                <w:kern w:val="0"/>
                <w:szCs w:val="21"/>
                <w:highlight w:val="none"/>
                <w:u w:val="single"/>
                <w:lang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银行账号：8113 0010 1460 0074 523</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采用支票、汇票、本票或者保函（不包含电子保函）等方式的，在响应文件提交截止时间前，供应商必须提交单独密封的支票、汇票、本票或者保函原件。</w:t>
            </w:r>
            <w:r>
              <w:rPr>
                <w:rFonts w:hint="eastAsia" w:ascii="宋体" w:hAnsi="宋体" w:cs="宋体"/>
                <w:b/>
                <w:color w:val="000000" w:themeColor="text1"/>
                <w:kern w:val="0"/>
                <w:szCs w:val="21"/>
                <w:highlight w:val="none"/>
                <w14:textFill>
                  <w14:solidFill>
                    <w14:schemeClr w14:val="tx1"/>
                  </w14:solidFill>
                </w14:textFill>
              </w:rPr>
              <w:t>否则视为无效磋商保证金。</w:t>
            </w:r>
          </w:p>
          <w:p w14:paraId="6D2B47A2">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相关要求：</w:t>
            </w:r>
          </w:p>
          <w:p w14:paraId="4E31DDF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3CC1A427">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。供应商必须</w:t>
            </w:r>
            <w:r>
              <w:rPr>
                <w:rFonts w:hint="eastAsia"/>
                <w:color w:val="000000" w:themeColor="text1"/>
                <w:highlight w:val="none"/>
                <w14:textFill>
                  <w14:solidFill>
                    <w14:schemeClr w14:val="tx1"/>
                  </w14:solidFill>
                </w14:textFill>
              </w:rPr>
              <w:t>在响应文件提交截止时间前采用现场或邮寄方式（现场提交地址：</w:t>
            </w:r>
            <w:r>
              <w:rPr>
                <w:rFonts w:hint="eastAsia" w:ascii="宋体" w:hAnsi="宋体" w:cs="宋体"/>
                <w:color w:val="000000" w:themeColor="text1"/>
                <w:kern w:val="0"/>
                <w:szCs w:val="21"/>
                <w:highlight w:val="none"/>
                <w:u w:val="single"/>
                <w14:textFill>
                  <w14:solidFill>
                    <w14:schemeClr w14:val="tx1"/>
                  </w14:solidFill>
                </w14:textFill>
              </w:rPr>
              <w:t>广西钦州市子材东大街19号奥林名城8号楼8层云之龙咨询集团有限公司</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邮寄地址：</w:t>
            </w:r>
            <w:r>
              <w:rPr>
                <w:rFonts w:hint="eastAsia" w:ascii="宋体" w:hAnsi="宋体" w:cs="宋体"/>
                <w:color w:val="000000" w:themeColor="text1"/>
                <w:kern w:val="0"/>
                <w:szCs w:val="21"/>
                <w:highlight w:val="none"/>
                <w:u w:val="single"/>
                <w14:textFill>
                  <w14:solidFill>
                    <w14:schemeClr w14:val="tx1"/>
                  </w14:solidFill>
                </w14:textFill>
              </w:rPr>
              <w:t>广西钦州市子材东大街19号奥林名城8号楼8层云之龙咨询集团有限公司，联系人：</w:t>
            </w:r>
            <w:r>
              <w:rPr>
                <w:rFonts w:hint="eastAsia" w:ascii="宋体" w:hAnsi="宋体" w:cs="宋体"/>
                <w:color w:val="000000" w:themeColor="text1"/>
                <w:kern w:val="0"/>
                <w:szCs w:val="21"/>
                <w:highlight w:val="none"/>
                <w:u w:val="single"/>
                <w:lang w:eastAsia="zh-CN"/>
                <w14:textFill>
                  <w14:solidFill>
                    <w14:schemeClr w14:val="tx1"/>
                  </w14:solidFill>
                </w14:textFill>
              </w:rPr>
              <w:t>郑全荣</w:t>
            </w:r>
            <w:r>
              <w:rPr>
                <w:rFonts w:hint="eastAsia" w:ascii="宋体" w:hAnsi="宋体" w:cs="宋体"/>
                <w:color w:val="000000" w:themeColor="text1"/>
                <w:kern w:val="0"/>
                <w:szCs w:val="21"/>
                <w:highlight w:val="none"/>
                <w:u w:val="single"/>
                <w14:textFill>
                  <w14:solidFill>
                    <w14:schemeClr w14:val="tx1"/>
                  </w14:solidFill>
                </w14:textFill>
              </w:rPr>
              <w:t>，电话：0777-5619399。</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（不包含电子保函）</w:t>
            </w:r>
            <w:r>
              <w:rPr>
                <w:rFonts w:hint="eastAsia" w:ascii="宋体" w:hAnsi="宋体"/>
                <w:color w:val="000000" w:themeColor="text1"/>
                <w:szCs w:val="21"/>
                <w:highlight w:val="none"/>
                <w14:textFill>
                  <w14:solidFill>
                    <w14:schemeClr w14:val="tx1"/>
                  </w14:solidFill>
                </w14:textFill>
              </w:rPr>
              <w:t>原件提交给采购人或者采购代理机构，由采购人或者采购代理机构向供应商出具回执（邮寄方式的除外），并妥善保管。</w:t>
            </w:r>
          </w:p>
          <w:p w14:paraId="45923632">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3.供应商为联合体的，可以由联合体中的一方或者多方共同交纳磋商保证金，其交纳的保证金对联合体各方均具有约束力。</w:t>
            </w:r>
          </w:p>
          <w:p w14:paraId="692D9565">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1C6DC673">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4ADAD810">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2.供应商采用现钞方式或者从个人账户转出的磋商保证金，视为无效磋商保证金。</w:t>
            </w:r>
          </w:p>
          <w:p w14:paraId="4BCAE3E8">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3.支票、汇票或者本票出现无效或者背书情形的，视为无效磋商保证金。</w:t>
            </w:r>
          </w:p>
          <w:p w14:paraId="4A23B7CA">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4.保函有效期低于竞标有效期的，视为无效磋商保证金。</w:t>
            </w:r>
          </w:p>
          <w:p w14:paraId="231C0B0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5.采用银行、保险机构出具保函的，必须为无条件保函，否则视为无效磋商保证金。</w:t>
            </w:r>
          </w:p>
        </w:tc>
      </w:tr>
      <w:tr w14:paraId="12BE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AEFFE9">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76A8035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6CA3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F8AAC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26259C6E">
            <w:pPr>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21855D71">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1E8F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83DD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5C7015C4">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w:t>
            </w:r>
          </w:p>
        </w:tc>
      </w:tr>
      <w:tr w14:paraId="7377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835F3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03F1F4E0">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2AB1469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30</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分钟</w:t>
            </w:r>
            <w:r>
              <w:rPr>
                <w:rFonts w:hint="eastAsia" w:hAnsi="宋体"/>
                <w:i/>
                <w:color w:val="000000" w:themeColor="text1"/>
                <w:highlight w:val="none"/>
                <w14:textFill>
                  <w14:solidFill>
                    <w14:schemeClr w14:val="tx1"/>
                  </w14:solidFill>
                </w14:textFill>
              </w:rPr>
              <w:t>（注：不少于</w:t>
            </w:r>
            <w:r>
              <w:rPr>
                <w:rFonts w:hAnsi="宋体"/>
                <w:i/>
                <w:color w:val="000000" w:themeColor="text1"/>
                <w:highlight w:val="none"/>
                <w14:textFill>
                  <w14:solidFill>
                    <w14:schemeClr w14:val="tx1"/>
                  </w14:solidFill>
                </w14:textFill>
              </w:rPr>
              <w:t>30</w:t>
            </w:r>
            <w:r>
              <w:rPr>
                <w:rFonts w:hint="eastAsia" w:hAnsi="宋体"/>
                <w:i/>
                <w:color w:val="000000" w:themeColor="text1"/>
                <w:highlight w:val="none"/>
                <w14:textFill>
                  <w14:solidFill>
                    <w14:schemeClr w14:val="tx1"/>
                  </w14:solidFill>
                </w14:textFill>
              </w:rPr>
              <w:t>分钟）</w:t>
            </w:r>
          </w:p>
        </w:tc>
      </w:tr>
      <w:tr w14:paraId="69D7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63C8F">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3B5B8028">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☑本项目不收取履约保证金。</w:t>
            </w:r>
          </w:p>
          <w:p w14:paraId="5EA0FF02">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color w:val="000000" w:themeColor="text1"/>
                <w:szCs w:val="21"/>
                <w:highlight w:val="none"/>
                <w14:textFill>
                  <w14:solidFill>
                    <w14:schemeClr w14:val="tx1"/>
                  </w14:solidFill>
                </w14:textFill>
              </w:rPr>
              <w:t>本项目收取履约保证金，具体规定如下：</w:t>
            </w:r>
          </w:p>
          <w:p w14:paraId="6665CC53">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i/>
                <w:color w:val="000000" w:themeColor="text1"/>
                <w:szCs w:val="21"/>
                <w:highlight w:val="none"/>
                <w14:textFill>
                  <w14:solidFill>
                    <w14:schemeClr w14:val="tx1"/>
                  </w14:solidFill>
                </w14:textFill>
              </w:rPr>
              <w:t>（注：履约保证金不超过</w:t>
            </w:r>
            <w:r>
              <w:rPr>
                <w:rFonts w:hint="eastAsia"/>
                <w:b/>
                <w:i/>
                <w:color w:val="000000" w:themeColor="text1"/>
                <w:highlight w:val="none"/>
                <w14:textFill>
                  <w14:solidFill>
                    <w14:schemeClr w14:val="tx1"/>
                  </w14:solidFill>
                </w14:textFill>
              </w:rPr>
              <w:t>政府采购合同金额的</w:t>
            </w:r>
            <w:r>
              <w:rPr>
                <w:rFonts w:ascii="宋体" w:hAnsi="宋体" w:cs="宋体"/>
                <w:b/>
                <w:i/>
                <w:color w:val="000000" w:themeColor="text1"/>
                <w:szCs w:val="21"/>
                <w:highlight w:val="none"/>
                <w14:textFill>
                  <w14:solidFill>
                    <w14:schemeClr w14:val="tx1"/>
                  </w14:solidFill>
                </w14:textFill>
              </w:rPr>
              <w:t>5</w:t>
            </w:r>
            <w:r>
              <w:rPr>
                <w:rFonts w:hint="eastAsia" w:ascii="宋体" w:hAnsi="宋体" w:cs="宋体"/>
                <w:b/>
                <w:i/>
                <w:color w:val="000000" w:themeColor="text1"/>
                <w:szCs w:val="21"/>
                <w:highlight w:val="none"/>
                <w14:textFill>
                  <w14:solidFill>
                    <w14:schemeClr w14:val="tx1"/>
                  </w14:solidFill>
                </w14:textFill>
              </w:rPr>
              <w:t>%，对中小企业收取的履约保证金数额不得超过政府采购合同金额的2%。采购人可根据供应商的资信等情况减免履约保证金。）</w:t>
            </w:r>
          </w:p>
          <w:p w14:paraId="502F9148">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履约保证金提交方式：银行转账、支票、汇票、本票或者银行、保险机构出具的保函（包含电子保函）等非现金方式。</w:t>
            </w:r>
          </w:p>
          <w:p w14:paraId="53F62EBD">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履约保证金缴纳期限：</w:t>
            </w:r>
            <w:r>
              <w:rPr>
                <w:rFonts w:hint="eastAsia" w:ascii="宋体" w:hAnsi="宋体"/>
                <w:iCs/>
                <w:color w:val="000000" w:themeColor="text1"/>
                <w:szCs w:val="21"/>
                <w:highlight w:val="none"/>
                <w:u w:val="single"/>
                <w14:textFill>
                  <w14:solidFill>
                    <w14:schemeClr w14:val="tx1"/>
                  </w14:solidFill>
                </w14:textFill>
              </w:rPr>
              <w:t>自成交通知书发出之日起25日内，但必须在签订合同前缴纳。</w:t>
            </w:r>
          </w:p>
          <w:p w14:paraId="1B0C5319">
            <w:pPr>
              <w:spacing w:line="360" w:lineRule="auto"/>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在工程竣工验收合格并对验收发现的问题完成整改后，由成交供应商提交书面申请，采购人在收到成交供应商全部合格材料后5个工作日内办理退还手续（不计利息）</w:t>
            </w:r>
            <w:r>
              <w:rPr>
                <w:rFonts w:hint="eastAsia" w:ascii="宋体" w:hAnsi="宋体" w:cs="宋体"/>
                <w:color w:val="000000" w:themeColor="text1"/>
                <w:szCs w:val="21"/>
                <w:highlight w:val="none"/>
                <w14:textFill>
                  <w14:solidFill>
                    <w14:schemeClr w14:val="tx1"/>
                  </w14:solidFill>
                </w14:textFill>
              </w:rPr>
              <w:t xml:space="preserve"> 。</w:t>
            </w:r>
          </w:p>
          <w:p w14:paraId="39170D29">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如：由成交供应商向履约保证金收取单位提供《广西壮族自治区政府采购项目合同验收书》（详见桂财采〔2015〕22号），保证金收取单位在收到合格材料后5个工作日内办理退还手续（不计利息）。</w:t>
            </w:r>
          </w:p>
          <w:p w14:paraId="4808E873">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3F885A4B">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    </w:t>
            </w:r>
          </w:p>
          <w:p w14:paraId="0249508B">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        </w:t>
            </w:r>
          </w:p>
          <w:p w14:paraId="00C3461E">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     </w:t>
            </w:r>
          </w:p>
          <w:p w14:paraId="342B38EB">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bookmarkStart w:id="51" w:name="_Hlk54170335"/>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51"/>
          </w:p>
          <w:p w14:paraId="056FA6EC">
            <w:pPr>
              <w:spacing w:line="360" w:lineRule="auto"/>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000000" w:themeColor="text1"/>
                <w:szCs w:val="21"/>
                <w:highlight w:val="none"/>
                <w14:textFill>
                  <w14:solidFill>
                    <w14:schemeClr w14:val="tx1"/>
                  </w14:solidFill>
                </w14:textFill>
              </w:rPr>
              <w:t>止）的，不予签订合同。</w:t>
            </w:r>
            <w:r>
              <w:rPr>
                <w:rFonts w:hint="eastAsia" w:ascii="宋体" w:hAnsi="宋体"/>
                <w:b/>
                <w:color w:val="000000" w:themeColor="text1"/>
                <w:szCs w:val="21"/>
                <w:highlight w:val="none"/>
                <w14:textFill>
                  <w14:solidFill>
                    <w14:schemeClr w14:val="tx1"/>
                  </w14:solidFill>
                </w14:textFill>
              </w:rPr>
              <w:br w:type="textWrapping"/>
            </w: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1DB9227C">
            <w:pPr>
              <w:spacing w:line="360" w:lineRule="auto"/>
              <w:contextualSpacing/>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5245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C2409D">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266F2C96">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B7270FE">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515F679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71A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A39A4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045085C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接收质疑函方式：书面形式</w:t>
            </w:r>
          </w:p>
          <w:p w14:paraId="7B4C154B">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质疑联系部门及联系方式：云之龙咨询集团有限公司</w:t>
            </w:r>
            <w:r>
              <w:rPr>
                <w:rFonts w:hint="eastAsia" w:ascii="宋体" w:hAnsi="宋体" w:cs="宋体"/>
                <w:color w:val="000000" w:themeColor="text1"/>
                <w:kern w:val="0"/>
                <w:szCs w:val="21"/>
                <w:highlight w:val="none"/>
                <w:lang w:eastAsia="zh-CN"/>
                <w14:textFill>
                  <w14:solidFill>
                    <w14:schemeClr w14:val="tx1"/>
                  </w14:solidFill>
                </w14:textFill>
              </w:rPr>
              <w:t>咨询部</w:t>
            </w:r>
          </w:p>
          <w:p w14:paraId="6779201F">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联系电话：0777-5619366</w:t>
            </w:r>
          </w:p>
          <w:p w14:paraId="1C4004AB">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通讯地址：广西钦州市子材东大街19号奥林名城8号楼8层</w:t>
            </w:r>
          </w:p>
          <w:p w14:paraId="150B61B0">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业务时间：工作日上午8时00分到12时00分，下午3时00分到6时00分，业务时间以外、双休日和法定节假日不办理业务。</w:t>
            </w:r>
          </w:p>
        </w:tc>
      </w:tr>
      <w:tr w14:paraId="06FB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4C7170">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2F536EBC">
            <w:pPr>
              <w:pStyle w:val="25"/>
              <w:numPr>
                <w:ilvl w:val="0"/>
                <w:numId w:val="1"/>
              </w:numPr>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采购代理费支付方式：</w:t>
            </w:r>
          </w:p>
          <w:p w14:paraId="7E020C28">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0701C0DC">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217FCA99">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w:t>
            </w:r>
            <w:r>
              <w:rPr>
                <w:rFonts w:hint="eastAsia" w:hAnsi="宋体" w:cs="宋体"/>
                <w:color w:val="000000" w:themeColor="text1"/>
                <w:sz w:val="21"/>
                <w:highlight w:val="none"/>
                <w:lang w:val="en-US" w:eastAsia="zh-CN"/>
                <w14:textFill>
                  <w14:solidFill>
                    <w14:schemeClr w14:val="tx1"/>
                  </w14:solidFill>
                </w14:textFill>
              </w:rPr>
              <w:t>预算</w:t>
            </w:r>
            <w:r>
              <w:rPr>
                <w:rFonts w:hint="eastAsia" w:hAnsi="宋体" w:cs="宋体"/>
                <w:color w:val="000000" w:themeColor="text1"/>
                <w:sz w:val="21"/>
                <w:highlight w:val="none"/>
                <w14:textFill>
                  <w14:solidFill>
                    <w14:schemeClr w14:val="tx1"/>
                  </w14:solidFill>
                </w14:textFill>
              </w:rPr>
              <w:t>金额为计费额，按本须知正文第</w:t>
            </w:r>
            <w:r>
              <w:rPr>
                <w:rFonts w:hAnsi="宋体" w:cs="宋体"/>
                <w:color w:val="000000" w:themeColor="text1"/>
                <w:sz w:val="21"/>
                <w:highlight w:val="none"/>
                <w14:textFill>
                  <w14:solidFill>
                    <w14:schemeClr w14:val="tx1"/>
                  </w14:solidFill>
                </w14:textFill>
              </w:rPr>
              <w:t>32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条规定的工程类收费标准采用差额定率累进法计算出收费基准价格，采购代理收费以收费基准价格收取。</w:t>
            </w:r>
          </w:p>
          <w:p w14:paraId="5227E4C1">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 采购代理费收取银行账户</w:t>
            </w:r>
          </w:p>
          <w:p w14:paraId="2A614631">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开户名称：云之龙咨询集团有限公司钦州分公司</w:t>
            </w:r>
          </w:p>
          <w:p w14:paraId="78D888C4">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开户银行：中信银行南宁东葛支行</w:t>
            </w:r>
            <w:r>
              <w:rPr>
                <w:rFonts w:hint="eastAsia" w:ascii="宋体" w:hAnsi="宋体" w:cs="宋体"/>
                <w:color w:val="000000" w:themeColor="text1"/>
                <w:kern w:val="0"/>
                <w:szCs w:val="21"/>
                <w:highlight w:val="none"/>
                <w:lang w:eastAsia="zh-CN"/>
                <w14:textFill>
                  <w14:solidFill>
                    <w14:schemeClr w14:val="tx1"/>
                  </w14:solidFill>
                </w14:textFill>
              </w:rPr>
              <w:t>；</w:t>
            </w:r>
          </w:p>
          <w:p w14:paraId="7058B52E">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银行账号：8113  0010  1330  0157  979</w:t>
            </w:r>
            <w:r>
              <w:rPr>
                <w:rFonts w:hint="eastAsia" w:ascii="宋体" w:hAnsi="宋体" w:cs="宋体"/>
                <w:color w:val="000000" w:themeColor="text1"/>
                <w:kern w:val="0"/>
                <w:szCs w:val="21"/>
                <w:highlight w:val="none"/>
                <w:lang w:eastAsia="zh-CN"/>
                <w14:textFill>
                  <w14:solidFill>
                    <w14:schemeClr w14:val="tx1"/>
                  </w14:solidFill>
                </w14:textFill>
              </w:rPr>
              <w:t>；</w:t>
            </w:r>
          </w:p>
          <w:p w14:paraId="62A6741A">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ascii="Times New Roman" w:hAnsi="宋体" w:cs="宋体"/>
                <w:color w:val="000000" w:themeColor="text1"/>
                <w:kern w:val="2"/>
                <w:sz w:val="21"/>
                <w:szCs w:val="24"/>
                <w:highlight w:val="none"/>
                <w14:textFill>
                  <w14:solidFill>
                    <w14:schemeClr w14:val="tx1"/>
                  </w14:solidFill>
                </w14:textFill>
              </w:rPr>
              <w:t>行号：3026  1102  9137</w:t>
            </w:r>
            <w:r>
              <w:rPr>
                <w:rFonts w:hint="eastAsia" w:hAnsi="宋体" w:cs="宋体"/>
                <w:color w:val="000000" w:themeColor="text1"/>
                <w:sz w:val="21"/>
                <w:highlight w:val="none"/>
                <w14:textFill>
                  <w14:solidFill>
                    <w14:schemeClr w14:val="tx1"/>
                  </w14:solidFill>
                </w14:textFill>
              </w:rPr>
              <w:t xml:space="preserve">  </w:t>
            </w:r>
          </w:p>
        </w:tc>
      </w:tr>
      <w:tr w14:paraId="0A0C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9B2F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1CCCC145">
            <w:pPr>
              <w:pStyle w:val="25"/>
              <w:snapToGrid w:val="0"/>
              <w:spacing w:line="360" w:lineRule="auto"/>
              <w:rPr>
                <w:rFonts w:hAnsi="宋体" w:cs="宋体"/>
                <w:color w:val="000000" w:themeColor="text1"/>
                <w:kern w:val="2"/>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解释：</w:t>
            </w:r>
            <w:r>
              <w:rPr>
                <w:rFonts w:hAnsi="宋体"/>
                <w:color w:val="000000" w:themeColor="text1"/>
                <w:sz w:val="21"/>
                <w:highlight w:val="none"/>
                <w14:textFill>
                  <w14:solidFill>
                    <w14:schemeClr w14:val="tx1"/>
                  </w14:solidFill>
                </w14:textFill>
              </w:rPr>
              <w:t>构成本</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的各个组成文件应互为解释，互为说明</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除</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中有特别规定外，仅适用于</w:t>
            </w:r>
            <w:r>
              <w:rPr>
                <w:rFonts w:hint="eastAsia" w:hAnsi="宋体"/>
                <w:color w:val="000000" w:themeColor="text1"/>
                <w:sz w:val="21"/>
                <w:highlight w:val="none"/>
                <w14:textFill>
                  <w14:solidFill>
                    <w14:schemeClr w14:val="tx1"/>
                  </w14:solidFill>
                </w14:textFill>
              </w:rPr>
              <w:t>竞标</w:t>
            </w:r>
            <w:r>
              <w:rPr>
                <w:rFonts w:hAnsi="宋体"/>
                <w:color w:val="000000" w:themeColor="text1"/>
                <w:sz w:val="21"/>
                <w:highlight w:val="none"/>
                <w14:textFill>
                  <w14:solidFill>
                    <w14:schemeClr w14:val="tx1"/>
                  </w14:solidFill>
                </w14:textFill>
              </w:rPr>
              <w:t>阶段的规定，按</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竞争性磋商</w:t>
            </w:r>
            <w:r>
              <w:rPr>
                <w:rFonts w:hAnsi="宋体"/>
                <w:color w:val="000000" w:themeColor="text1"/>
                <w:sz w:val="21"/>
                <w:highlight w:val="none"/>
                <w14:textFill>
                  <w14:solidFill>
                    <w14:schemeClr w14:val="tx1"/>
                  </w14:solidFill>
                </w14:textFill>
              </w:rPr>
              <w:t>公告、</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须知</w:t>
            </w:r>
            <w:r>
              <w:rPr>
                <w:rFonts w:hint="eastAsia" w:hAnsi="宋体"/>
                <w:color w:val="000000" w:themeColor="text1"/>
                <w:sz w:val="21"/>
                <w:highlight w:val="none"/>
                <w14:textFill>
                  <w14:solidFill>
                    <w14:schemeClr w14:val="tx1"/>
                  </w14:solidFill>
                </w14:textFill>
              </w:rPr>
              <w:t>、采购需求</w:t>
            </w:r>
            <w:r>
              <w:rPr>
                <w:rFonts w:hAnsi="宋体"/>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文件格式</w:t>
            </w:r>
            <w:r>
              <w:rPr>
                <w:rFonts w:hint="eastAsia" w:hAnsi="宋体"/>
                <w:color w:val="000000" w:themeColor="text1"/>
                <w:sz w:val="21"/>
                <w:highlight w:val="none"/>
                <w14:textFill>
                  <w14:solidFill>
                    <w14:schemeClr w14:val="tx1"/>
                  </w14:solidFill>
                </w14:textFill>
              </w:rPr>
              <w:t>、合同文本</w:t>
            </w:r>
            <w:r>
              <w:rPr>
                <w:rFonts w:hAnsi="宋体"/>
                <w:color w:val="000000" w:themeColor="text1"/>
                <w:sz w:val="21"/>
                <w:highlight w:val="none"/>
                <w14:textFill>
                  <w14:solidFill>
                    <w14:schemeClr w14:val="tx1"/>
                  </w14:solidFill>
                </w14:textFill>
              </w:rPr>
              <w:t>的先后顺序解释</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同一组成文件中就同一事项的规定或者约定不一致的，以编排顺序在后者为准</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同一组成文件不同版本之间有不一致的，以形成时间在后者为准</w:t>
            </w:r>
            <w:r>
              <w:rPr>
                <w:rFonts w:hint="eastAsia" w:hAnsi="宋体"/>
                <w:color w:val="000000" w:themeColor="text1"/>
                <w:sz w:val="21"/>
                <w:highlight w:val="none"/>
                <w:lang w:eastAsia="zh-CN"/>
                <w14:textFill>
                  <w14:solidFill>
                    <w14:schemeClr w14:val="tx1"/>
                  </w14:solidFill>
                </w14:textFill>
              </w:rPr>
              <w:t>；</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与同步更新的</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不一致时以</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为准。按本款前述规定仍不能形成结论的，由</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人</w:t>
            </w:r>
            <w:r>
              <w:rPr>
                <w:rFonts w:hint="eastAsia" w:hAnsi="宋体"/>
                <w:color w:val="000000" w:themeColor="text1"/>
                <w:sz w:val="21"/>
                <w:highlight w:val="none"/>
                <w14:textFill>
                  <w14:solidFill>
                    <w14:schemeClr w14:val="tx1"/>
                  </w14:solidFill>
                </w14:textFill>
              </w:rPr>
              <w:t>或者采购代理机构</w:t>
            </w:r>
            <w:r>
              <w:rPr>
                <w:rFonts w:hAnsi="宋体"/>
                <w:color w:val="000000" w:themeColor="text1"/>
                <w:sz w:val="21"/>
                <w:highlight w:val="none"/>
                <w14:textFill>
                  <w14:solidFill>
                    <w14:schemeClr w14:val="tx1"/>
                  </w14:solidFill>
                </w14:textFill>
              </w:rPr>
              <w:t>负责解释。</w:t>
            </w:r>
          </w:p>
        </w:tc>
      </w:tr>
      <w:tr w14:paraId="167C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6DEF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7912" w:type="dxa"/>
            <w:vAlign w:val="center"/>
          </w:tcPr>
          <w:p w14:paraId="7723E6F8">
            <w:pPr>
              <w:pStyle w:val="25"/>
              <w:snapToGrid w:val="0"/>
              <w:spacing w:line="360" w:lineRule="auto"/>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2482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D852C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87C1E18">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BEC3AB6">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14C5729E">
            <w:pPr>
              <w:pStyle w:val="25"/>
              <w:snapToGrid w:val="0"/>
              <w:spacing w:line="360" w:lineRule="auto"/>
              <w:rPr>
                <w:rFonts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w:t>
            </w:r>
            <w:r>
              <w:rPr>
                <w:rFonts w:hint="eastAsia" w:hAnsi="宋体" w:cs="宋体"/>
                <w:bCs/>
                <w:color w:val="000000" w:themeColor="text1"/>
                <w:sz w:val="21"/>
                <w:highlight w:val="none"/>
                <w14:textFill>
                  <w14:solidFill>
                    <w14:schemeClr w14:val="tx1"/>
                  </w14:solidFill>
                </w14:textFill>
              </w:rPr>
              <w:t>。</w:t>
            </w:r>
          </w:p>
          <w:p w14:paraId="32F3B112">
            <w:pPr>
              <w:pStyle w:val="25"/>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2C6FA80A">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w:t>
            </w:r>
            <w:r>
              <w:rPr>
                <w:rFonts w:hint="eastAsia" w:hAnsi="宋体" w:cs="宋体"/>
                <w:color w:val="000000" w:themeColor="text1"/>
                <w:sz w:val="21"/>
                <w:highlight w:val="none"/>
                <w:lang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所称的“不满”“超过”“以外”，不包括本数。</w:t>
            </w:r>
          </w:p>
        </w:tc>
      </w:tr>
    </w:tbl>
    <w:p w14:paraId="20D5CDD7">
      <w:pPr>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5DACD8F1">
      <w:pPr>
        <w:spacing w:line="400" w:lineRule="exact"/>
        <w:jc w:val="center"/>
        <w:rPr>
          <w:rFonts w:ascii="宋体" w:hAnsi="宋体"/>
          <w:b/>
          <w:color w:val="000000" w:themeColor="text1"/>
          <w:sz w:val="32"/>
          <w:szCs w:val="32"/>
          <w:highlight w:val="none"/>
          <w14:textFill>
            <w14:solidFill>
              <w14:schemeClr w14:val="tx1"/>
            </w14:solidFill>
          </w14:textFill>
        </w:rPr>
      </w:pPr>
    </w:p>
    <w:p w14:paraId="3DD40483">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23DA6481">
      <w:pPr>
        <w:spacing w:line="400" w:lineRule="exact"/>
        <w:rPr>
          <w:rFonts w:ascii="宋体" w:hAnsi="宋体"/>
          <w:color w:val="000000" w:themeColor="text1"/>
          <w:szCs w:val="21"/>
          <w:highlight w:val="none"/>
          <w14:textFill>
            <w14:solidFill>
              <w14:schemeClr w14:val="tx1"/>
            </w14:solidFill>
          </w14:textFill>
        </w:rPr>
      </w:pPr>
    </w:p>
    <w:p w14:paraId="76802D4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1F8790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76BA9F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r>
        <w:rPr>
          <w:rFonts w:hint="eastAsia" w:ascii="宋体" w:hAnsi="宋体" w:cs="宋体"/>
          <w:color w:val="000000" w:themeColor="text1"/>
          <w:spacing w:val="-6"/>
          <w:szCs w:val="21"/>
          <w:highlight w:val="none"/>
          <w14:textFill>
            <w14:solidFill>
              <w14:schemeClr w14:val="tx1"/>
            </w14:solidFill>
          </w14:textFill>
        </w:rPr>
        <w:t>。</w:t>
      </w:r>
    </w:p>
    <w:p w14:paraId="4EC8113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793D7D63">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EE6D282">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A122D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B94A6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2.4“工程”是指建设工程，包括建筑物和构筑物的新建、改建、扩建、装修、拆除、修缮等。</w:t>
      </w:r>
    </w:p>
    <w:p w14:paraId="56E6CD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2B08FC3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210007E2">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r>
        <w:rPr>
          <w:rFonts w:hint="eastAsia" w:ascii="宋体" w:hAnsi="宋体" w:cs="宋体"/>
          <w:color w:val="000000" w:themeColor="text1"/>
          <w:spacing w:val="-6"/>
          <w:szCs w:val="21"/>
          <w:highlight w:val="none"/>
          <w14:textFill>
            <w14:solidFill>
              <w14:schemeClr w14:val="tx1"/>
            </w14:solidFill>
          </w14:textFill>
        </w:rPr>
        <w:t>。</w:t>
      </w:r>
    </w:p>
    <w:p w14:paraId="5DC9393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29443B16">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4B32ABE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5A82ABC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53B5782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3E90C76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138E8C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3.1供应商的资格条件详见“供应商须知前附表”。</w:t>
      </w:r>
    </w:p>
    <w:p w14:paraId="7EA25B85">
      <w:pPr>
        <w:spacing w:line="360" w:lineRule="auto"/>
        <w:ind w:firstLine="420" w:firstLineChars="200"/>
        <w:rPr>
          <w:rFonts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3.2供应商</w:t>
      </w:r>
      <w:r>
        <w:rPr>
          <w:rFonts w:hint="eastAsia" w:cs="宋体"/>
          <w:color w:val="000000" w:themeColor="text1"/>
          <w:highlight w:val="none"/>
          <w14:textFill>
            <w14:solidFill>
              <w14:schemeClr w14:val="tx1"/>
            </w14:solidFill>
          </w14:textFill>
        </w:rPr>
        <w:t>不得存在下列情形之一：</w:t>
      </w:r>
    </w:p>
    <w:p w14:paraId="116BF3B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lang w:eastAsia="zh-CN"/>
          <w14:textFill>
            <w14:solidFill>
              <w14:schemeClr w14:val="tx1"/>
            </w14:solidFill>
          </w14:textFill>
        </w:rPr>
        <w:t>；</w:t>
      </w:r>
    </w:p>
    <w:p w14:paraId="410F7AF7">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（2）为本项目提供过整体设计、规范编制或者项目管理、监理、检测等服务的供应商，不得再参加本项目上述服务以外的其他采购活动</w:t>
      </w:r>
      <w:r>
        <w:rPr>
          <w:rFonts w:hint="eastAsia" w:ascii="宋体" w:hAnsi="宋体" w:cs="宋体"/>
          <w:color w:val="000000" w:themeColor="text1"/>
          <w:szCs w:val="21"/>
          <w:highlight w:val="none"/>
          <w:lang w:eastAsia="zh-CN"/>
          <w14:textFill>
            <w14:solidFill>
              <w14:schemeClr w14:val="tx1"/>
            </w14:solidFill>
          </w14:textFill>
        </w:rPr>
        <w:t>；</w:t>
      </w:r>
    </w:p>
    <w:p w14:paraId="328F2C71">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）为本分标的代建人</w:t>
      </w:r>
      <w:r>
        <w:rPr>
          <w:rFonts w:hint="eastAsia" w:cs="宋体"/>
          <w:color w:val="000000" w:themeColor="text1"/>
          <w:highlight w:val="none"/>
          <w:lang w:eastAsia="zh-CN"/>
          <w14:textFill>
            <w14:solidFill>
              <w14:schemeClr w14:val="tx1"/>
            </w14:solidFill>
          </w14:textFill>
        </w:rPr>
        <w:t>；</w:t>
      </w:r>
    </w:p>
    <w:p w14:paraId="2DFFDB5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）为本分标提供采购代理服务的</w:t>
      </w:r>
      <w:r>
        <w:rPr>
          <w:rFonts w:hint="eastAsia" w:cs="宋体"/>
          <w:color w:val="000000" w:themeColor="text1"/>
          <w:highlight w:val="none"/>
          <w:lang w:eastAsia="zh-CN"/>
          <w14:textFill>
            <w14:solidFill>
              <w14:schemeClr w14:val="tx1"/>
            </w14:solidFill>
          </w14:textFill>
        </w:rPr>
        <w:t>；</w:t>
      </w:r>
    </w:p>
    <w:p w14:paraId="1BEA953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）与本分标的监理人或代建人或采购代理机构同为一个法定代表人的</w:t>
      </w:r>
      <w:r>
        <w:rPr>
          <w:rFonts w:hint="eastAsia" w:cs="宋体"/>
          <w:color w:val="000000" w:themeColor="text1"/>
          <w:highlight w:val="none"/>
          <w:lang w:eastAsia="zh-CN"/>
          <w14:textFill>
            <w14:solidFill>
              <w14:schemeClr w14:val="tx1"/>
            </w14:solidFill>
          </w14:textFill>
        </w:rPr>
        <w:t>；</w:t>
      </w:r>
    </w:p>
    <w:p w14:paraId="62D5BE9A">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）与本分标的监理人或代建人或采购代理机构相互控股或参股的</w:t>
      </w:r>
      <w:r>
        <w:rPr>
          <w:rFonts w:hint="eastAsia" w:cs="宋体"/>
          <w:color w:val="000000" w:themeColor="text1"/>
          <w:highlight w:val="none"/>
          <w:lang w:eastAsia="zh-CN"/>
          <w14:textFill>
            <w14:solidFill>
              <w14:schemeClr w14:val="tx1"/>
            </w14:solidFill>
          </w14:textFill>
        </w:rPr>
        <w:t>；</w:t>
      </w:r>
    </w:p>
    <w:p w14:paraId="7B3CC3EB">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t>）与本分标的监理人或代建人或采购代理机构相互任职或工作的</w:t>
      </w:r>
      <w:r>
        <w:rPr>
          <w:rFonts w:hint="eastAsia" w:cs="宋体"/>
          <w:color w:val="000000" w:themeColor="text1"/>
          <w:highlight w:val="none"/>
          <w:lang w:eastAsia="zh-CN"/>
          <w14:textFill>
            <w14:solidFill>
              <w14:schemeClr w14:val="tx1"/>
            </w14:solidFill>
          </w14:textFill>
        </w:rPr>
        <w:t>；</w:t>
      </w:r>
    </w:p>
    <w:p w14:paraId="0CB9C6A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（8）在“信用中国”网站（</w:t>
      </w:r>
      <w:r>
        <w:rPr>
          <w:rFonts w:hint="eastAsia" w:cs="宋体"/>
          <w:color w:val="000000" w:themeColor="text1"/>
          <w:highlight w:val="none"/>
          <w:lang w:eastAsia="zh-CN"/>
          <w14:textFill>
            <w14:solidFill>
              <w14:schemeClr w14:val="tx1"/>
            </w14:solidFill>
          </w14:textFill>
        </w:rPr>
        <w:t>www.creditchina.gov.cn</w:t>
      </w:r>
      <w:r>
        <w:rPr>
          <w:rFonts w:hint="eastAsia" w:cs="宋体"/>
          <w:color w:val="000000" w:themeColor="text1"/>
          <w:highlight w:val="none"/>
          <w14:textFill>
            <w14:solidFill>
              <w14:schemeClr w14:val="tx1"/>
            </w14:solidFill>
          </w14:textFill>
        </w:rPr>
        <w:t>） 、中国政府采购网（</w:t>
      </w:r>
      <w:r>
        <w:rPr>
          <w:rFonts w:hint="eastAsia" w:cs="宋体"/>
          <w:color w:val="000000" w:themeColor="text1"/>
          <w:highlight w:val="none"/>
          <w:lang w:eastAsia="zh-CN"/>
          <w14:textFill>
            <w14:solidFill>
              <w14:schemeClr w14:val="tx1"/>
            </w14:solidFill>
          </w14:textFill>
        </w:rPr>
        <w:t>www.ccgp.gov.cn</w:t>
      </w:r>
      <w:r>
        <w:rPr>
          <w:rFonts w:hint="eastAsia" w:cs="宋体"/>
          <w:color w:val="000000" w:themeColor="text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w:t>
      </w:r>
    </w:p>
    <w:p w14:paraId="0A284EF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2FD503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12FB1F3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186C2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085964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93F44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52"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2"/>
    </w:p>
    <w:p w14:paraId="71F560E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727AB913">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53" w:name="_Toc254970673"/>
      <w:bookmarkStart w:id="54"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08DE1535">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4580D203">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A4A7CB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53"/>
      <w:bookmarkEnd w:id="54"/>
    </w:p>
    <w:p w14:paraId="4330879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5" w:name="_8.1提供相同品牌产品且通过资格审查、符合性审查的不同投标人参加同一合"/>
      <w:bookmarkEnd w:id="55"/>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56"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56"/>
    <w:p w14:paraId="117AF6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35F28B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7" w:name="_Hlk170492024"/>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供应商在竞标活动中提供任何虚假材料谋取成交的，将报财政部门查处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签订合同后发现的，成交供应商须依照</w:t>
      </w:r>
      <w:bookmarkStart w:id="58" w:name="_Hlk170492034"/>
      <w:r>
        <w:rPr>
          <w:rFonts w:hint="eastAsia" w:ascii="宋体" w:hAnsi="宋体" w:cs="宋体"/>
          <w:color w:val="000000" w:themeColor="text1"/>
          <w:szCs w:val="21"/>
          <w:highlight w:val="none"/>
          <w14:textFill>
            <w14:solidFill>
              <w14:schemeClr w14:val="tx1"/>
            </w14:solidFill>
          </w14:textFill>
        </w:rPr>
        <w:t>有关法律法规</w:t>
      </w:r>
      <w:bookmarkEnd w:id="58"/>
      <w:r>
        <w:rPr>
          <w:rFonts w:hint="eastAsia" w:ascii="宋体" w:hAnsi="宋体" w:cs="宋体"/>
          <w:color w:val="000000" w:themeColor="text1"/>
          <w:szCs w:val="21"/>
          <w:highlight w:val="none"/>
          <w14:textFill>
            <w14:solidFill>
              <w14:schemeClr w14:val="tx1"/>
            </w14:solidFill>
          </w14:textFill>
        </w:rPr>
        <w:t>规定赔偿采购人，且民事赔偿并不免除违法供应商的行政与刑事责任。</w:t>
      </w:r>
    </w:p>
    <w:bookmarkEnd w:id="57"/>
    <w:p w14:paraId="6F082F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6F7EE33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r>
        <w:rPr>
          <w:rFonts w:hint="eastAsia" w:ascii="宋体" w:hAnsi="宋体" w:cs="宋体"/>
          <w:color w:val="000000" w:themeColor="text1"/>
          <w:szCs w:val="21"/>
          <w:highlight w:val="none"/>
          <w:lang w:eastAsia="zh-CN"/>
          <w14:textFill>
            <w14:solidFill>
              <w14:schemeClr w14:val="tx1"/>
            </w14:solidFill>
          </w14:textFill>
        </w:rPr>
        <w:t>；</w:t>
      </w:r>
    </w:p>
    <w:p w14:paraId="4A0B87A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r>
        <w:rPr>
          <w:rFonts w:hint="eastAsia" w:ascii="宋体" w:hAnsi="宋体" w:cs="宋体"/>
          <w:color w:val="000000" w:themeColor="text1"/>
          <w:szCs w:val="21"/>
          <w:highlight w:val="none"/>
          <w:lang w:eastAsia="zh-CN"/>
          <w14:textFill>
            <w14:solidFill>
              <w14:schemeClr w14:val="tx1"/>
            </w14:solidFill>
          </w14:textFill>
        </w:rPr>
        <w:t>；</w:t>
      </w:r>
    </w:p>
    <w:p w14:paraId="3FC2D61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r>
        <w:rPr>
          <w:rFonts w:hint="eastAsia" w:ascii="宋体" w:hAnsi="宋体" w:cs="宋体"/>
          <w:color w:val="000000" w:themeColor="text1"/>
          <w:szCs w:val="21"/>
          <w:highlight w:val="none"/>
          <w:lang w:eastAsia="zh-CN"/>
          <w14:textFill>
            <w14:solidFill>
              <w14:schemeClr w14:val="tx1"/>
            </w14:solidFill>
          </w14:textFill>
        </w:rPr>
        <w:t>；</w:t>
      </w:r>
    </w:p>
    <w:p w14:paraId="3C3B07A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r>
        <w:rPr>
          <w:rFonts w:hint="eastAsia" w:ascii="宋体" w:hAnsi="宋体" w:cs="宋体"/>
          <w:color w:val="000000" w:themeColor="text1"/>
          <w:szCs w:val="21"/>
          <w:highlight w:val="none"/>
          <w:lang w:eastAsia="zh-CN"/>
          <w14:textFill>
            <w14:solidFill>
              <w14:schemeClr w14:val="tx1"/>
            </w14:solidFill>
          </w14:textFill>
        </w:rPr>
        <w:t>；</w:t>
      </w:r>
    </w:p>
    <w:p w14:paraId="3CA75E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0702C8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A29335">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有下列情形之一的视为供应商相互串通竞标，响应文件将被视为无效：</w:t>
      </w:r>
    </w:p>
    <w:p w14:paraId="7EA5AF7E">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（1）不同供应商的响应文件由同一单位或者个人编制</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 </w:t>
      </w:r>
    </w:p>
    <w:p w14:paraId="6EA9BAAA">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（2）不同供应商委托同一单位或者个人办理竞标事宜</w:t>
      </w:r>
      <w:r>
        <w:rPr>
          <w:rFonts w:hint="eastAsia" w:ascii="宋体" w:hAnsi="宋体" w:cs="宋体"/>
          <w:b/>
          <w:bCs/>
          <w:color w:val="000000" w:themeColor="text1"/>
          <w:szCs w:val="21"/>
          <w:highlight w:val="none"/>
          <w:lang w:eastAsia="zh-CN"/>
          <w14:textFill>
            <w14:solidFill>
              <w14:schemeClr w14:val="tx1"/>
            </w14:solidFill>
          </w14:textFill>
        </w:rPr>
        <w:t>；</w:t>
      </w:r>
    </w:p>
    <w:p w14:paraId="54EEAACC">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（3）不同的供应商的响应文件载明的项目管理员为同一个人</w:t>
      </w:r>
      <w:r>
        <w:rPr>
          <w:rFonts w:hint="eastAsia" w:ascii="宋体" w:hAnsi="宋体" w:cs="宋体"/>
          <w:b/>
          <w:bCs/>
          <w:color w:val="000000" w:themeColor="text1"/>
          <w:szCs w:val="21"/>
          <w:highlight w:val="none"/>
          <w:lang w:eastAsia="zh-CN"/>
          <w14:textFill>
            <w14:solidFill>
              <w14:schemeClr w14:val="tx1"/>
            </w14:solidFill>
          </w14:textFill>
        </w:rPr>
        <w:t>；</w:t>
      </w:r>
    </w:p>
    <w:p w14:paraId="25E89135">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（4）不同供应商的响应文件异常一致或者报价呈规律性差异</w:t>
      </w:r>
      <w:r>
        <w:rPr>
          <w:rFonts w:hint="eastAsia" w:ascii="宋体" w:hAnsi="宋体" w:cs="宋体"/>
          <w:b/>
          <w:bCs/>
          <w:color w:val="000000" w:themeColor="text1"/>
          <w:szCs w:val="21"/>
          <w:highlight w:val="none"/>
          <w:lang w:eastAsia="zh-CN"/>
          <w14:textFill>
            <w14:solidFill>
              <w14:schemeClr w14:val="tx1"/>
            </w14:solidFill>
          </w14:textFill>
        </w:rPr>
        <w:t>；</w:t>
      </w:r>
    </w:p>
    <w:p w14:paraId="70E0E989">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（5）不同供应商的响应文件相互混装</w:t>
      </w:r>
      <w:r>
        <w:rPr>
          <w:rFonts w:hint="eastAsia" w:ascii="宋体" w:hAnsi="宋体" w:cs="宋体"/>
          <w:b/>
          <w:bCs/>
          <w:color w:val="000000" w:themeColor="text1"/>
          <w:szCs w:val="21"/>
          <w:highlight w:val="none"/>
          <w:lang w:eastAsia="zh-CN"/>
          <w14:textFill>
            <w14:solidFill>
              <w14:schemeClr w14:val="tx1"/>
            </w14:solidFill>
          </w14:textFill>
        </w:rPr>
        <w:t>；</w:t>
      </w:r>
    </w:p>
    <w:p w14:paraId="088EDF1A">
      <w:pPr>
        <w:tabs>
          <w:tab w:val="left" w:pos="6931"/>
        </w:tabs>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3390B0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4CFC629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宋体"/>
          <w:color w:val="000000" w:themeColor="text1"/>
          <w:szCs w:val="21"/>
          <w:highlight w:val="none"/>
          <w:lang w:eastAsia="zh-CN"/>
          <w14:textFill>
            <w14:solidFill>
              <w14:schemeClr w14:val="tx1"/>
            </w14:solidFill>
          </w14:textFill>
        </w:rPr>
        <w:t>；</w:t>
      </w:r>
    </w:p>
    <w:p w14:paraId="76D930E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r>
        <w:rPr>
          <w:rFonts w:hint="eastAsia" w:ascii="宋体" w:hAnsi="宋体" w:cs="宋体"/>
          <w:color w:val="000000" w:themeColor="text1"/>
          <w:szCs w:val="21"/>
          <w:highlight w:val="none"/>
          <w:lang w:eastAsia="zh-CN"/>
          <w14:textFill>
            <w14:solidFill>
              <w14:schemeClr w14:val="tx1"/>
            </w14:solidFill>
          </w14:textFill>
        </w:rPr>
        <w:t>；</w:t>
      </w:r>
    </w:p>
    <w:p w14:paraId="4F1334F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r>
        <w:rPr>
          <w:rFonts w:hint="eastAsia" w:ascii="宋体" w:hAnsi="宋体" w:cs="宋体"/>
          <w:color w:val="000000" w:themeColor="text1"/>
          <w:szCs w:val="21"/>
          <w:highlight w:val="none"/>
          <w:lang w:eastAsia="zh-CN"/>
          <w14:textFill>
            <w14:solidFill>
              <w14:schemeClr w14:val="tx1"/>
            </w14:solidFill>
          </w14:textFill>
        </w:rPr>
        <w:t>；</w:t>
      </w:r>
    </w:p>
    <w:p w14:paraId="4C3110E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r>
        <w:rPr>
          <w:rFonts w:hint="eastAsia" w:ascii="宋体" w:hAnsi="宋体" w:cs="宋体"/>
          <w:color w:val="000000" w:themeColor="text1"/>
          <w:szCs w:val="21"/>
          <w:highlight w:val="none"/>
          <w:lang w:eastAsia="zh-CN"/>
          <w14:textFill>
            <w14:solidFill>
              <w14:schemeClr w14:val="tx1"/>
            </w14:solidFill>
          </w14:textFill>
        </w:rPr>
        <w:t>；</w:t>
      </w:r>
    </w:p>
    <w:p w14:paraId="13B6D54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r>
        <w:rPr>
          <w:rFonts w:hint="eastAsia" w:ascii="宋体" w:hAnsi="宋体" w:cs="宋体"/>
          <w:color w:val="000000" w:themeColor="text1"/>
          <w:szCs w:val="21"/>
          <w:highlight w:val="none"/>
          <w:lang w:eastAsia="zh-CN"/>
          <w14:textFill>
            <w14:solidFill>
              <w14:schemeClr w14:val="tx1"/>
            </w14:solidFill>
          </w14:textFill>
        </w:rPr>
        <w:t>；</w:t>
      </w:r>
    </w:p>
    <w:p w14:paraId="591656D7">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r>
        <w:rPr>
          <w:rFonts w:hint="eastAsia" w:ascii="宋体" w:hAnsi="宋体" w:cs="宋体"/>
          <w:color w:val="000000" w:themeColor="text1"/>
          <w:szCs w:val="21"/>
          <w:highlight w:val="none"/>
          <w:lang w:eastAsia="zh-CN"/>
          <w14:textFill>
            <w14:solidFill>
              <w14:schemeClr w14:val="tx1"/>
            </w14:solidFill>
          </w14:textFill>
        </w:rPr>
        <w:t>；</w:t>
      </w:r>
    </w:p>
    <w:p w14:paraId="23CE31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BE62D0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EA155E1">
      <w:pPr>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59" w:name="_Toc254970675"/>
      <w:bookmarkStart w:id="60" w:name="_Toc254970534"/>
    </w:p>
    <w:p w14:paraId="3018E89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59"/>
      <w:bookmarkEnd w:id="60"/>
    </w:p>
    <w:p w14:paraId="62FE7B8B">
      <w:pPr>
        <w:spacing w:line="360" w:lineRule="auto"/>
        <w:rPr>
          <w:rFonts w:ascii="宋体" w:hAnsi="宋体"/>
          <w:color w:val="000000" w:themeColor="text1"/>
          <w:szCs w:val="21"/>
          <w:highlight w:val="none"/>
          <w14:textFill>
            <w14:solidFill>
              <w14:schemeClr w14:val="tx1"/>
            </w14:solidFill>
          </w14:textFill>
        </w:rPr>
      </w:pPr>
    </w:p>
    <w:p w14:paraId="412B2A7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01F83B83">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竞争性磋商公告</w:t>
      </w:r>
      <w:r>
        <w:rPr>
          <w:rFonts w:hint="eastAsia" w:ascii="宋体" w:hAnsi="宋体"/>
          <w:color w:val="000000" w:themeColor="text1"/>
          <w:szCs w:val="21"/>
          <w:highlight w:val="none"/>
          <w:lang w:eastAsia="zh-CN"/>
          <w14:textFill>
            <w14:solidFill>
              <w14:schemeClr w14:val="tx1"/>
            </w14:solidFill>
          </w14:textFill>
        </w:rPr>
        <w:t>；</w:t>
      </w:r>
    </w:p>
    <w:p w14:paraId="443330D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  供应商须知</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4A19F4D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  采购需求</w:t>
      </w:r>
      <w:r>
        <w:rPr>
          <w:rFonts w:hint="eastAsia" w:ascii="宋体" w:hAnsi="宋体"/>
          <w:color w:val="000000" w:themeColor="text1"/>
          <w:szCs w:val="21"/>
          <w:highlight w:val="none"/>
          <w:lang w:eastAsia="zh-CN"/>
          <w14:textFill>
            <w14:solidFill>
              <w14:schemeClr w14:val="tx1"/>
            </w14:solidFill>
          </w14:textFill>
        </w:rPr>
        <w:t>；</w:t>
      </w:r>
    </w:p>
    <w:p w14:paraId="65E87967">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评审程序、评审方法和评审标准</w:t>
      </w:r>
      <w:r>
        <w:rPr>
          <w:rFonts w:hint="eastAsia" w:ascii="宋体" w:hAnsi="宋体"/>
          <w:color w:val="000000" w:themeColor="text1"/>
          <w:szCs w:val="21"/>
          <w:highlight w:val="none"/>
          <w:lang w:eastAsia="zh-CN"/>
          <w14:textFill>
            <w14:solidFill>
              <w14:schemeClr w14:val="tx1"/>
            </w14:solidFill>
          </w14:textFill>
        </w:rPr>
        <w:t>；</w:t>
      </w:r>
    </w:p>
    <w:p w14:paraId="196ED16A">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工程量清单及图纸</w:t>
      </w:r>
      <w:r>
        <w:rPr>
          <w:rFonts w:hint="eastAsia" w:ascii="宋体" w:hAnsi="宋体"/>
          <w:color w:val="000000" w:themeColor="text1"/>
          <w:szCs w:val="21"/>
          <w:highlight w:val="none"/>
          <w:lang w:eastAsia="zh-CN"/>
          <w14:textFill>
            <w14:solidFill>
              <w14:schemeClr w14:val="tx1"/>
            </w14:solidFill>
          </w14:textFill>
        </w:rPr>
        <w:t>；</w:t>
      </w:r>
    </w:p>
    <w:p w14:paraId="6ABC0AC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响应文件格式</w:t>
      </w:r>
      <w:r>
        <w:rPr>
          <w:rFonts w:hint="eastAsia" w:ascii="宋体" w:hAnsi="宋体"/>
          <w:color w:val="000000" w:themeColor="text1"/>
          <w:szCs w:val="21"/>
          <w:highlight w:val="none"/>
          <w:lang w:eastAsia="zh-CN"/>
          <w14:textFill>
            <w14:solidFill>
              <w14:schemeClr w14:val="tx1"/>
            </w14:solidFill>
          </w14:textFill>
        </w:rPr>
        <w:t>；</w:t>
      </w:r>
    </w:p>
    <w:p w14:paraId="67BC38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合同文本。</w:t>
      </w:r>
    </w:p>
    <w:p w14:paraId="133154F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5296386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2CD579D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614F5C9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000000" w:themeColor="text1"/>
          <w:szCs w:val="21"/>
          <w:highlight w:val="none"/>
          <w14:textFill>
            <w14:solidFill>
              <w14:schemeClr w14:val="tx1"/>
            </w14:solidFill>
          </w14:textFill>
        </w:rPr>
        <w:t>采购人或者采购代理机构应当</w:t>
      </w:r>
      <w:r>
        <w:rPr>
          <w:rFonts w:ascii="宋体" w:hAnsi="宋体"/>
          <w:color w:val="000000" w:themeColor="text1"/>
          <w:szCs w:val="21"/>
          <w:highlight w:val="none"/>
          <w14:textFill>
            <w14:solidFill>
              <w14:schemeClr w14:val="tx1"/>
            </w14:solidFill>
          </w14:textFill>
        </w:rPr>
        <w:t>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316B78BB">
      <w:pPr>
        <w:spacing w:line="360" w:lineRule="auto"/>
        <w:rPr>
          <w:rFonts w:ascii="宋体" w:hAnsi="宋体"/>
          <w:color w:val="000000" w:themeColor="text1"/>
          <w:szCs w:val="21"/>
          <w:highlight w:val="none"/>
          <w14:textFill>
            <w14:solidFill>
              <w14:schemeClr w14:val="tx1"/>
            </w14:solidFill>
          </w14:textFill>
        </w:rPr>
      </w:pPr>
    </w:p>
    <w:p w14:paraId="6F58E781">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16B38A18">
      <w:pPr>
        <w:spacing w:line="360" w:lineRule="auto"/>
        <w:rPr>
          <w:rFonts w:ascii="宋体" w:hAnsi="宋体"/>
          <w:color w:val="000000" w:themeColor="text1"/>
          <w:szCs w:val="21"/>
          <w:highlight w:val="none"/>
          <w14:textFill>
            <w14:solidFill>
              <w14:schemeClr w14:val="tx1"/>
            </w14:solidFill>
          </w14:textFill>
        </w:rPr>
      </w:pPr>
    </w:p>
    <w:p w14:paraId="7C909C9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97DF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94822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88DF6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6F1CCE3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539054F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0F0A9452">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1CE4BC2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14061A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磋商文件没有规定的，应采用中华人民共和国法定计量单位，货币种类为人民币，否则视同未响应。</w:t>
      </w:r>
    </w:p>
    <w:p w14:paraId="34272E4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195BAB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1C0823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41CC8CE8">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15.1竞标报价应按磋商文件第五章“工程量清单及图纸”的要求及第六章“响应文件格式”填写相应表格。</w:t>
      </w:r>
    </w:p>
    <w:p w14:paraId="3199C72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7612CBA4">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15.3本项目的增值税计税方法见“供应商须知前附表”。</w:t>
      </w:r>
    </w:p>
    <w:p w14:paraId="4B6A2824">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15.4竞标报价要求</w:t>
      </w:r>
    </w:p>
    <w:p w14:paraId="7751E70F">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4</w:t>
      </w: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供应商的竞标报价应符合以下要求，否则响应文件按无效处理：</w:t>
      </w:r>
    </w:p>
    <w:p w14:paraId="7C2C2951">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r>
        <w:rPr>
          <w:rFonts w:hint="eastAsia" w:ascii="宋体" w:hAnsi="宋体" w:cs="宋体"/>
          <w:b/>
          <w:bCs/>
          <w:color w:val="000000" w:themeColor="text1"/>
          <w:szCs w:val="21"/>
          <w:highlight w:val="none"/>
          <w:lang w:eastAsia="zh-CN"/>
          <w14:textFill>
            <w14:solidFill>
              <w14:schemeClr w14:val="tx1"/>
            </w14:solidFill>
          </w14:textFill>
        </w:rPr>
        <w:t>；</w:t>
      </w:r>
    </w:p>
    <w:p w14:paraId="45C8F8FA">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）供应商必须就所竞标的分标的单项内容作唯一报价。</w:t>
      </w:r>
    </w:p>
    <w:p w14:paraId="69105B0A">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769BAE12">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w:t>
      </w:r>
      <w:r>
        <w:rPr>
          <w:rFonts w:ascii="宋体" w:hAnsi="宋体" w:cs="宋体"/>
          <w:b/>
          <w:bCs/>
          <w:color w:val="000000" w:themeColor="text1"/>
          <w:szCs w:val="21"/>
          <w:highlight w:val="none"/>
          <w14:textFill>
            <w14:solidFill>
              <w14:schemeClr w14:val="tx1"/>
            </w14:solidFill>
          </w14:textFill>
        </w:rPr>
        <w:t>3</w:t>
      </w:r>
      <w:bookmarkStart w:id="61" w:name="_Hlk42592874"/>
      <w:r>
        <w:rPr>
          <w:rFonts w:hint="eastAsia" w:ascii="宋体" w:hAnsi="宋体" w:cs="宋体"/>
          <w:b/>
          <w:bCs/>
          <w:color w:val="000000" w:themeColor="text1"/>
          <w:szCs w:val="21"/>
          <w:highlight w:val="none"/>
          <w14:textFill>
            <w14:solidFill>
              <w14:schemeClr w14:val="tx1"/>
            </w14:solidFill>
          </w14:textFill>
        </w:rPr>
        <w:t>竞标报价（包含首次报价、最后报价）超过分项采购预算金额或者单价最高限价的（如有要求），其响应文件将按无效处理。</w:t>
      </w:r>
    </w:p>
    <w:p w14:paraId="35C09D08">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15.4.4供应商在提交响应文件截止时间前修改竞标函中的竞标总报价，应同时修改响应文件“已标价工程量清单”中的相应报价。此修改须符合本须知正文第20条、第21条的有关要求。</w:t>
      </w:r>
    </w:p>
    <w:bookmarkEnd w:id="61"/>
    <w:p w14:paraId="4CB6FC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0AA247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2C5F6B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5733D7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685B7FA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2866A93D">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6DB7D7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6A37972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2" w:name="_Hlk66782243"/>
      <w:r>
        <w:rPr>
          <w:rFonts w:hint="eastAsia" w:ascii="宋体" w:hAnsi="宋体" w:cs="宋体"/>
          <w:color w:val="000000" w:themeColor="text1"/>
          <w:szCs w:val="21"/>
          <w:highlight w:val="none"/>
          <w14:textFill>
            <w14:solidFill>
              <w14:schemeClr w14:val="tx1"/>
            </w14:solidFill>
          </w14:textFill>
        </w:rPr>
        <w:t>未成交供应商的磋商保证金自成交通知书发出之日起5个工作日内退还</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62"/>
      <w:r>
        <w:rPr>
          <w:rFonts w:hint="eastAsia" w:ascii="宋体" w:hAnsi="宋体" w:cs="宋体"/>
          <w:color w:val="000000" w:themeColor="text1"/>
          <w:szCs w:val="21"/>
          <w:highlight w:val="none"/>
          <w14:textFill>
            <w14:solidFill>
              <w14:schemeClr w14:val="tx1"/>
            </w14:solidFill>
          </w14:textFill>
        </w:rPr>
        <w:t xml:space="preserve"> </w:t>
      </w:r>
    </w:p>
    <w:p w14:paraId="515460F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65CDF9C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12A8961">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r>
        <w:rPr>
          <w:rFonts w:hint="eastAsia" w:ascii="宋体" w:hAnsi="宋体" w:cs="宋体"/>
          <w:color w:val="000000" w:themeColor="text1"/>
          <w:szCs w:val="21"/>
          <w:highlight w:val="none"/>
          <w:lang w:eastAsia="zh-CN"/>
          <w14:textFill>
            <w14:solidFill>
              <w14:schemeClr w14:val="tx1"/>
            </w14:solidFill>
          </w14:textFill>
        </w:rPr>
        <w:t>；</w:t>
      </w:r>
    </w:p>
    <w:p w14:paraId="1D18D813">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r>
        <w:rPr>
          <w:rFonts w:hint="eastAsia" w:ascii="宋体" w:hAnsi="宋体"/>
          <w:color w:val="000000" w:themeColor="text1"/>
          <w:szCs w:val="21"/>
          <w:highlight w:val="none"/>
          <w:lang w:eastAsia="zh-CN"/>
          <w14:textFill>
            <w14:solidFill>
              <w14:schemeClr w14:val="tx1"/>
            </w14:solidFill>
          </w14:textFill>
        </w:rPr>
        <w:t>；</w:t>
      </w:r>
    </w:p>
    <w:p w14:paraId="630F3E8C">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r>
        <w:rPr>
          <w:rFonts w:hint="eastAsia" w:ascii="宋体" w:hAnsi="宋体" w:cs="宋体"/>
          <w:color w:val="000000" w:themeColor="text1"/>
          <w:szCs w:val="21"/>
          <w:highlight w:val="none"/>
          <w:lang w:eastAsia="zh-CN"/>
          <w14:textFill>
            <w14:solidFill>
              <w14:schemeClr w14:val="tx1"/>
            </w14:solidFill>
          </w14:textFill>
        </w:rPr>
        <w:t>；</w:t>
      </w:r>
    </w:p>
    <w:p w14:paraId="7C915FB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r>
        <w:rPr>
          <w:rFonts w:hint="eastAsia" w:ascii="宋体" w:hAnsi="宋体" w:cs="宋体"/>
          <w:color w:val="000000" w:themeColor="text1"/>
          <w:szCs w:val="21"/>
          <w:highlight w:val="none"/>
          <w:lang w:eastAsia="zh-CN"/>
          <w14:textFill>
            <w14:solidFill>
              <w14:schemeClr w14:val="tx1"/>
            </w14:solidFill>
          </w14:textFill>
        </w:rPr>
        <w:t>；</w:t>
      </w:r>
    </w:p>
    <w:p w14:paraId="746A0A69">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r>
        <w:rPr>
          <w:rFonts w:hint="eastAsia" w:ascii="宋体" w:hAnsi="宋体" w:cs="宋体"/>
          <w:color w:val="000000" w:themeColor="text1"/>
          <w:szCs w:val="21"/>
          <w:highlight w:val="none"/>
          <w:lang w:eastAsia="zh-CN"/>
          <w14:textFill>
            <w14:solidFill>
              <w14:schemeClr w14:val="tx1"/>
            </w14:solidFill>
          </w14:textFill>
        </w:rPr>
        <w:t>；</w:t>
      </w:r>
    </w:p>
    <w:p w14:paraId="272AD25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6F7E1C9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01D580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w:t>
      </w:r>
      <w:r>
        <w:rPr>
          <w:rFonts w:hint="eastAsia" w:ascii="宋体" w:hAnsi="宋体" w:cs="宋体"/>
          <w:color w:val="000000" w:themeColor="text1"/>
          <w:szCs w:val="21"/>
          <w:highlight w:val="none"/>
          <w:lang w:eastAsia="zh-CN"/>
          <w14:textFill>
            <w14:solidFill>
              <w14:schemeClr w14:val="tx1"/>
            </w14:solidFill>
          </w14:textFill>
        </w:rPr>
        <w:t>广西政府采购云平台新版客户端</w:t>
      </w:r>
      <w:r>
        <w:rPr>
          <w:rFonts w:hint="eastAsia" w:ascii="宋体" w:hAnsi="宋体" w:cs="宋体"/>
          <w:color w:val="000000" w:themeColor="text1"/>
          <w:szCs w:val="21"/>
          <w:highlight w:val="none"/>
          <w14:textFill>
            <w14:solidFill>
              <w14:schemeClr w14:val="tx1"/>
            </w14:solidFill>
          </w14:textFill>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C0563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79D4DF60">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19DE2EAC">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bookmarkStart w:id="63" w:name="_Hlk170492647"/>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并与广西政府采购云平台中获取磋商文件的供应商名称一致，</w:t>
      </w:r>
      <w:bookmarkEnd w:id="63"/>
      <w:r>
        <w:rPr>
          <w:rFonts w:hint="eastAsia" w:ascii="宋体" w:hAnsi="宋体" w:cs="宋体"/>
          <w:b/>
          <w:bCs/>
          <w:color w:val="000000" w:themeColor="text1"/>
          <w:szCs w:val="21"/>
          <w:highlight w:val="none"/>
          <w14:textFill>
            <w14:solidFill>
              <w14:schemeClr w14:val="tx1"/>
            </w14:solidFill>
          </w14:textFill>
        </w:rPr>
        <w:t>否则其响应文件按无效处理。</w:t>
      </w:r>
    </w:p>
    <w:p w14:paraId="44DE70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B5C4365">
      <w:pPr>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593ABB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w:t>
      </w:r>
      <w:r>
        <w:rPr>
          <w:rFonts w:hint="eastAsia"/>
          <w:color w:val="000000" w:themeColor="text1"/>
          <w:highlight w:val="none"/>
          <w:lang w:eastAsia="zh-CN"/>
          <w14:textFill>
            <w14:solidFill>
              <w14:schemeClr w14:val="tx1"/>
            </w14:solidFill>
          </w14:textFill>
        </w:rPr>
        <w:t>广西政府采购云平台新版客户端</w:t>
      </w:r>
      <w:r>
        <w:rPr>
          <w:rFonts w:hint="eastAsia"/>
          <w:color w:val="000000" w:themeColor="text1"/>
          <w:highlight w:val="none"/>
          <w14:textFill>
            <w14:solidFill>
              <w14:schemeClr w14:val="tx1"/>
            </w14:solidFill>
          </w14:textFill>
        </w:rPr>
        <w:t>”在线编制生成且后缀名为“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详见“供应商须知前附表”。</w:t>
      </w:r>
    </w:p>
    <w:p w14:paraId="6A1C2B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5C4E78E3">
      <w:pPr>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r>
        <w:rPr>
          <w:rFonts w:hint="eastAsia" w:hAnsi="宋体"/>
          <w:b/>
          <w:color w:val="000000" w:themeColor="text1"/>
          <w:highlight w:val="none"/>
          <w14:textFill>
            <w14:solidFill>
              <w14:schemeClr w14:val="tx1"/>
            </w14:solidFill>
          </w14:textFill>
        </w:rPr>
        <w:t xml:space="preserve"> </w:t>
      </w:r>
    </w:p>
    <w:p w14:paraId="1A295C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3BAA62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1ECDDD80">
      <w:pPr>
        <w:spacing w:line="360" w:lineRule="auto"/>
        <w:ind w:firstLine="420" w:firstLineChars="200"/>
        <w:rPr>
          <w:rFonts w:hAnsi="宋体"/>
          <w:bCs/>
          <w:color w:val="000000" w:themeColor="text1"/>
          <w:szCs w:val="21"/>
          <w:highlight w:val="none"/>
          <w14:textFill>
            <w14:solidFill>
              <w14:schemeClr w14:val="tx1"/>
            </w14:solidFill>
          </w14:textFill>
        </w:rPr>
      </w:pPr>
      <w:bookmarkStart w:id="64" w:name="_Toc254970684"/>
      <w:bookmarkStart w:id="65" w:name="_Toc254970543"/>
      <w:r>
        <w:rPr>
          <w:rFonts w:hAnsi="宋体"/>
          <w:bCs/>
          <w:color w:val="000000" w:themeColor="text1"/>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1.1供应商应当在提交响应文件截止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前完成电子响应文件的提交（上传），提交响应文件截止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前可以补充、修改或者撤回响应文件。补充或者修改响应文件的，应当先行撤回原响应文件，补充、修改后重新提交（上传），提交响应文件截止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前未完成提交（上传）的，视为撤回响应文件。提交响应文件截止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以后提交（上传）的响应文件，广西政府采购云平台将予以拒收。（注：补充、修改或者撤回方式可登录广西政府采购云平台，进入“服务中心”中查看 “电子投标文件制作与投送教程”）</w:t>
      </w:r>
    </w:p>
    <w:bookmarkEnd w:id="64"/>
    <w:bookmarkEnd w:id="65"/>
    <w:p w14:paraId="7D86F1E1">
      <w:pPr>
        <w:pStyle w:val="101"/>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33A32EA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66"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611F1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7A1AB68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3B9137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供应商在响应文件提交截止时间后向采购人、采购代理机构书面申请撤回响应文件的，将根据本须知正文第17.4条的规定不予退还其磋商保证金。</w:t>
      </w:r>
    </w:p>
    <w:bookmarkEnd w:id="66"/>
    <w:p w14:paraId="79F8813E">
      <w:pPr>
        <w:spacing w:line="360" w:lineRule="auto"/>
        <w:rPr>
          <w:rFonts w:ascii="宋体" w:hAnsi="宋体"/>
          <w:color w:val="000000" w:themeColor="text1"/>
          <w:szCs w:val="21"/>
          <w:highlight w:val="none"/>
          <w14:textFill>
            <w14:solidFill>
              <w14:schemeClr w14:val="tx1"/>
            </w14:solidFill>
          </w14:textFill>
        </w:rPr>
      </w:pPr>
    </w:p>
    <w:p w14:paraId="4A4FE365">
      <w:pPr>
        <w:spacing w:line="360" w:lineRule="auto"/>
        <w:ind w:left="420" w:firstLine="42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2E52FE52">
      <w:pPr>
        <w:spacing w:line="360" w:lineRule="auto"/>
        <w:ind w:left="420" w:firstLine="420"/>
        <w:rPr>
          <w:rFonts w:ascii="宋体" w:hAnsi="宋体"/>
          <w:color w:val="000000" w:themeColor="text1"/>
          <w:szCs w:val="21"/>
          <w:highlight w:val="none"/>
          <w14:textFill>
            <w14:solidFill>
              <w14:schemeClr w14:val="tx1"/>
            </w14:solidFill>
          </w14:textFill>
        </w:rPr>
      </w:pPr>
    </w:p>
    <w:p w14:paraId="13EE69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114B5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w:t>
      </w:r>
      <w:r>
        <w:rPr>
          <w:rFonts w:hint="eastAsia"/>
          <w:color w:val="000000" w:themeColor="text1"/>
          <w:highlight w:val="none"/>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6E65B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D77EAF">
      <w:pPr>
        <w:spacing w:line="360" w:lineRule="auto"/>
        <w:ind w:firstLine="420" w:firstLineChars="200"/>
        <w:rPr>
          <w:rFonts w:hint="eastAsia"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3A16DDA2">
      <w:pPr>
        <w:spacing w:line="360" w:lineRule="auto"/>
        <w:ind w:firstLine="420" w:firstLineChars="200"/>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24.4参加过采购项目前期咨询论证的专家，不得参加该采购项目的评审活动。</w:t>
      </w:r>
    </w:p>
    <w:p w14:paraId="7ABD12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1186B7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的响应文件按无效处理</w:t>
      </w:r>
      <w:r>
        <w:rPr>
          <w:b/>
          <w:color w:val="000000" w:themeColor="text1"/>
          <w:highlight w:val="none"/>
          <w14:textFill>
            <w14:solidFill>
              <w14:schemeClr w14:val="tx1"/>
            </w14:solidFill>
          </w14:textFill>
        </w:rPr>
        <w:t>。</w:t>
      </w:r>
    </w:p>
    <w:p w14:paraId="3E157C8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435028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488477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r>
        <w:rPr>
          <w:rFonts w:hint="eastAsia" w:ascii="宋体" w:hAnsi="宋体" w:cs="宋体"/>
          <w:color w:val="000000" w:themeColor="text1"/>
          <w:szCs w:val="21"/>
          <w:highlight w:val="none"/>
          <w14:textFill>
            <w14:solidFill>
              <w14:schemeClr w14:val="tx1"/>
            </w14:solidFill>
          </w14:textFill>
        </w:rPr>
        <w:t>并推荐成交候选供应商</w:t>
      </w:r>
      <w:r>
        <w:rPr>
          <w:rFonts w:ascii="宋体" w:hAnsi="宋体" w:cs="宋体"/>
          <w:color w:val="000000" w:themeColor="text1"/>
          <w:szCs w:val="21"/>
          <w:highlight w:val="none"/>
          <w14:textFill>
            <w14:solidFill>
              <w14:schemeClr w14:val="tx1"/>
            </w14:solidFill>
          </w14:textFill>
        </w:rPr>
        <w:t>。</w:t>
      </w:r>
    </w:p>
    <w:p w14:paraId="5354FE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9C0F00">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2AEF13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（1）电子交易平台发生故障而无法登录访问的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6141CF47">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r>
        <w:rPr>
          <w:rFonts w:hint="eastAsia" w:hAnsi="宋体"/>
          <w:color w:val="000000" w:themeColor="text1"/>
          <w:highlight w:val="none"/>
          <w:lang w:eastAsia="zh-CN"/>
          <w14:textFill>
            <w14:solidFill>
              <w14:schemeClr w14:val="tx1"/>
            </w14:solidFill>
          </w14:textFill>
        </w:rPr>
        <w:t>；</w:t>
      </w:r>
    </w:p>
    <w:p w14:paraId="6387D91F">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r>
        <w:rPr>
          <w:rFonts w:hint="eastAsia" w:hAnsi="宋体"/>
          <w:color w:val="000000" w:themeColor="text1"/>
          <w:highlight w:val="none"/>
          <w:lang w:eastAsia="zh-CN"/>
          <w14:textFill>
            <w14:solidFill>
              <w14:schemeClr w14:val="tx1"/>
            </w14:solidFill>
          </w14:textFill>
        </w:rPr>
        <w:t>；</w:t>
      </w:r>
    </w:p>
    <w:p w14:paraId="2459858B">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（4）病毒发作导致不能进行正常操作的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78149364">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69F7DA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26.5</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影响或可能影响采购公平、公正性的，经采购代理机构确认，报采购人同意后，应当重新采购。采购代理机构必须对原有的资料及信息作出妥善保密处理，并报财政部门备案。</w:t>
      </w:r>
    </w:p>
    <w:p w14:paraId="409DF2A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64E9D9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5FC079">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7"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7"/>
    </w:p>
    <w:p w14:paraId="2972F512">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4554DDB9">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r>
        <w:rPr>
          <w:rFonts w:hint="eastAsia" w:ascii="宋体" w:hAnsi="宋体" w:cs="Courier New"/>
          <w:color w:val="000000" w:themeColor="text1"/>
          <w:szCs w:val="21"/>
          <w:highlight w:val="none"/>
          <w:lang w:eastAsia="zh-CN"/>
          <w14:textFill>
            <w14:solidFill>
              <w14:schemeClr w14:val="tx1"/>
            </w14:solidFill>
          </w14:textFill>
        </w:rPr>
        <w:t>；</w:t>
      </w:r>
    </w:p>
    <w:p w14:paraId="16B4CF61">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r>
        <w:rPr>
          <w:rFonts w:hint="eastAsia" w:ascii="宋体" w:hAnsi="宋体" w:cs="Courier New"/>
          <w:color w:val="000000" w:themeColor="text1"/>
          <w:szCs w:val="21"/>
          <w:highlight w:val="none"/>
          <w:lang w:eastAsia="zh-CN"/>
          <w14:textFill>
            <w14:solidFill>
              <w14:schemeClr w14:val="tx1"/>
            </w14:solidFill>
          </w14:textFill>
        </w:rPr>
        <w:t>；</w:t>
      </w:r>
    </w:p>
    <w:p w14:paraId="05E12F5F">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46AEDC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6FC0715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1E81A2C3">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7039F3C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5998538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277EE0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F3E815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3BD73D9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1B5C25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072D9DE">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FF93E9">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也不得协商另行订立背离磋商文件和合同实质性内容的协议。</w:t>
      </w:r>
    </w:p>
    <w:p w14:paraId="1CBE5D47">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32EBBB6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2FE3DE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652B9F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4EC79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2E408AF9">
      <w:pPr>
        <w:pStyle w:val="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1DE5C0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30C6717F">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（1）对可以质疑的磋商文件提出质疑的，为获取磋商文件之日或者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lang w:eastAsia="zh-CN"/>
          <w14:textFill>
            <w14:solidFill>
              <w14:schemeClr w14:val="tx1"/>
            </w14:solidFill>
          </w14:textFill>
        </w:rPr>
        <w:t>；</w:t>
      </w:r>
    </w:p>
    <w:p w14:paraId="066B4A5B">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r>
        <w:rPr>
          <w:rFonts w:hint="eastAsia" w:ascii="宋体" w:hAnsi="宋体" w:cs="宋体"/>
          <w:color w:val="000000" w:themeColor="text1"/>
          <w:highlight w:val="none"/>
          <w:lang w:eastAsia="zh-CN"/>
          <w14:textFill>
            <w14:solidFill>
              <w14:schemeClr w14:val="tx1"/>
            </w14:solidFill>
          </w14:textFill>
        </w:rPr>
        <w:t>；</w:t>
      </w:r>
    </w:p>
    <w:p w14:paraId="193B34B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0B811D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8FA14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D10F472">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r>
        <w:rPr>
          <w:rFonts w:hint="eastAsia" w:ascii="宋体" w:hAnsi="宋体" w:cs="宋体"/>
          <w:color w:val="000000" w:themeColor="text1"/>
          <w:highlight w:val="none"/>
          <w:lang w:eastAsia="zh-CN"/>
          <w14:textFill>
            <w14:solidFill>
              <w14:schemeClr w14:val="tx1"/>
            </w14:solidFill>
          </w14:textFill>
        </w:rPr>
        <w:t>；</w:t>
      </w:r>
    </w:p>
    <w:p w14:paraId="7A7E5B05">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r>
        <w:rPr>
          <w:rFonts w:hint="eastAsia" w:ascii="宋体" w:hAnsi="宋体" w:cs="宋体"/>
          <w:color w:val="000000" w:themeColor="text1"/>
          <w:highlight w:val="none"/>
          <w:lang w:eastAsia="zh-CN"/>
          <w14:textFill>
            <w14:solidFill>
              <w14:schemeClr w14:val="tx1"/>
            </w14:solidFill>
          </w14:textFill>
        </w:rPr>
        <w:t>；</w:t>
      </w:r>
    </w:p>
    <w:p w14:paraId="63E322A0">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r>
        <w:rPr>
          <w:rFonts w:hint="eastAsia" w:ascii="宋体" w:hAnsi="宋体" w:cs="宋体"/>
          <w:color w:val="000000" w:themeColor="text1"/>
          <w:highlight w:val="none"/>
          <w:lang w:eastAsia="zh-CN"/>
          <w14:textFill>
            <w14:solidFill>
              <w14:schemeClr w14:val="tx1"/>
            </w14:solidFill>
          </w14:textFill>
        </w:rPr>
        <w:t>；</w:t>
      </w:r>
    </w:p>
    <w:p w14:paraId="5E63A7D7">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r>
        <w:rPr>
          <w:rFonts w:hint="eastAsia" w:ascii="宋体" w:hAnsi="宋体" w:cs="宋体"/>
          <w:color w:val="000000" w:themeColor="text1"/>
          <w:highlight w:val="none"/>
          <w:lang w:eastAsia="zh-CN"/>
          <w14:textFill>
            <w14:solidFill>
              <w14:schemeClr w14:val="tx1"/>
            </w14:solidFill>
          </w14:textFill>
        </w:rPr>
        <w:t>；</w:t>
      </w:r>
    </w:p>
    <w:p w14:paraId="3426A614">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r>
        <w:rPr>
          <w:rFonts w:hint="eastAsia" w:ascii="宋体" w:hAnsi="宋体" w:cs="宋体"/>
          <w:color w:val="000000" w:themeColor="text1"/>
          <w:highlight w:val="none"/>
          <w:lang w:eastAsia="zh-CN"/>
          <w14:textFill>
            <w14:solidFill>
              <w14:schemeClr w14:val="tx1"/>
            </w14:solidFill>
          </w14:textFill>
        </w:rPr>
        <w:t>；</w:t>
      </w:r>
    </w:p>
    <w:p w14:paraId="0A6B028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12A099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供应商为法人或者其他组织的，应当由法定代表人、主要负责人，或者其委托代理人签字或者盖章，并加盖公章。</w:t>
      </w:r>
    </w:p>
    <w:p w14:paraId="79300E1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认为供应商质疑成立且影响或者可能影响成交结果的，按照下列情况处理：</w:t>
      </w:r>
    </w:p>
    <w:p w14:paraId="255589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否则应当修改采购文件后重新开展采购活动。</w:t>
      </w:r>
    </w:p>
    <w:p w14:paraId="5BC1ECB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否则应当重新开展采购活动。</w:t>
      </w:r>
    </w:p>
    <w:p w14:paraId="4F14C86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4A01F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05804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2C53A10E">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.1代理服务费收取标准及缴费账户详见“供应商须知前附表”，供应商为联合体的，可以由联合体中的一方或者多方共同交纳代理服务费。</w:t>
      </w:r>
    </w:p>
    <w:p w14:paraId="352E2EC6">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4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77"/>
        <w:gridCol w:w="10"/>
        <w:gridCol w:w="1659"/>
      </w:tblGrid>
      <w:tr w14:paraId="3424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72" w:type="dxa"/>
            <w:vMerge w:val="restart"/>
            <w:tcBorders>
              <w:tl2br w:val="single" w:color="auto" w:sz="4" w:space="0"/>
            </w:tcBorders>
            <w:noWrap w:val="0"/>
            <w:vAlign w:val="top"/>
          </w:tcPr>
          <w:p w14:paraId="6B86054C">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 xml:space="preserve"> </w:t>
            </w:r>
          </w:p>
          <w:p w14:paraId="3D839F1D">
            <w:pPr>
              <w:spacing w:line="360" w:lineRule="auto"/>
              <w:ind w:firstLine="2730" w:firstLineChars="13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费率</w:t>
            </w:r>
          </w:p>
          <w:p w14:paraId="504456E9">
            <w:pPr>
              <w:spacing w:line="360" w:lineRule="auto"/>
              <w:ind w:firstLine="210" w:firstLineChars="1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预算</w:t>
            </w:r>
            <w:r>
              <w:rPr>
                <w:rFonts w:hint="eastAsia" w:ascii="宋体" w:hAnsi="宋体"/>
                <w:color w:val="000000" w:themeColor="text1"/>
                <w:sz w:val="21"/>
                <w:szCs w:val="21"/>
                <w:highlight w:val="none"/>
                <w14:textFill>
                  <w14:solidFill>
                    <w14:schemeClr w14:val="tx1"/>
                  </w14:solidFill>
                </w14:textFill>
              </w:rPr>
              <w:t>金额</w:t>
            </w:r>
          </w:p>
        </w:tc>
        <w:tc>
          <w:tcPr>
            <w:tcW w:w="5005" w:type="dxa"/>
            <w:gridSpan w:val="4"/>
            <w:noWrap w:val="0"/>
            <w:vAlign w:val="center"/>
          </w:tcPr>
          <w:p w14:paraId="3B2E3019">
            <w:pPr>
              <w:spacing w:line="360" w:lineRule="auto"/>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服务类型费用（‰）</w:t>
            </w:r>
          </w:p>
        </w:tc>
      </w:tr>
      <w:tr w14:paraId="3B1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472" w:type="dxa"/>
            <w:vMerge w:val="continue"/>
            <w:tcBorders>
              <w:tl2br w:val="single" w:color="auto" w:sz="4" w:space="0"/>
            </w:tcBorders>
            <w:noWrap w:val="0"/>
            <w:vAlign w:val="top"/>
          </w:tcPr>
          <w:p w14:paraId="092BCEEF">
            <w:pPr>
              <w:spacing w:line="360" w:lineRule="auto"/>
              <w:jc w:val="center"/>
              <w:rPr>
                <w:color w:val="000000" w:themeColor="text1"/>
                <w:sz w:val="21"/>
                <w:szCs w:val="21"/>
                <w:highlight w:val="none"/>
                <w14:textFill>
                  <w14:solidFill>
                    <w14:schemeClr w14:val="tx1"/>
                  </w14:solidFill>
                </w14:textFill>
              </w:rPr>
            </w:pPr>
          </w:p>
        </w:tc>
        <w:tc>
          <w:tcPr>
            <w:tcW w:w="1659" w:type="dxa"/>
            <w:noWrap w:val="0"/>
            <w:vAlign w:val="center"/>
          </w:tcPr>
          <w:p w14:paraId="0EA39022">
            <w:pPr>
              <w:spacing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工程类</w:t>
            </w:r>
          </w:p>
        </w:tc>
        <w:tc>
          <w:tcPr>
            <w:tcW w:w="1677" w:type="dxa"/>
            <w:noWrap w:val="0"/>
            <w:vAlign w:val="center"/>
          </w:tcPr>
          <w:p w14:paraId="1F2C7BF4">
            <w:pPr>
              <w:spacing w:line="360" w:lineRule="auto"/>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货物类</w:t>
            </w:r>
          </w:p>
        </w:tc>
        <w:tc>
          <w:tcPr>
            <w:tcW w:w="1669" w:type="dxa"/>
            <w:gridSpan w:val="2"/>
            <w:noWrap w:val="0"/>
            <w:vAlign w:val="center"/>
          </w:tcPr>
          <w:p w14:paraId="2C65D207">
            <w:pPr>
              <w:spacing w:line="360" w:lineRule="auto"/>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服务类</w:t>
            </w:r>
          </w:p>
        </w:tc>
      </w:tr>
      <w:tr w14:paraId="56B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C01286">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100万元以下</w:t>
            </w:r>
          </w:p>
        </w:tc>
        <w:tc>
          <w:tcPr>
            <w:tcW w:w="1659" w:type="dxa"/>
            <w:noWrap w:val="0"/>
            <w:vAlign w:val="top"/>
          </w:tcPr>
          <w:p w14:paraId="7797FC02">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6.300</w:t>
            </w:r>
          </w:p>
        </w:tc>
        <w:tc>
          <w:tcPr>
            <w:tcW w:w="1687" w:type="dxa"/>
            <w:gridSpan w:val="2"/>
            <w:noWrap w:val="0"/>
            <w:vAlign w:val="top"/>
          </w:tcPr>
          <w:p w14:paraId="7596DE93">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9.450</w:t>
            </w:r>
          </w:p>
        </w:tc>
        <w:tc>
          <w:tcPr>
            <w:tcW w:w="1659" w:type="dxa"/>
            <w:noWrap w:val="0"/>
            <w:vAlign w:val="top"/>
          </w:tcPr>
          <w:p w14:paraId="5E5C9561">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9.450</w:t>
            </w:r>
          </w:p>
        </w:tc>
      </w:tr>
      <w:tr w14:paraId="59A9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6ACD74">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100～500万元</w:t>
            </w:r>
          </w:p>
        </w:tc>
        <w:tc>
          <w:tcPr>
            <w:tcW w:w="1659" w:type="dxa"/>
            <w:noWrap w:val="0"/>
            <w:vAlign w:val="top"/>
          </w:tcPr>
          <w:p w14:paraId="314CFD60">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4.410</w:t>
            </w:r>
          </w:p>
        </w:tc>
        <w:tc>
          <w:tcPr>
            <w:tcW w:w="1687" w:type="dxa"/>
            <w:gridSpan w:val="2"/>
            <w:noWrap w:val="0"/>
            <w:vAlign w:val="top"/>
          </w:tcPr>
          <w:p w14:paraId="578616BB">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6.930</w:t>
            </w:r>
          </w:p>
        </w:tc>
        <w:tc>
          <w:tcPr>
            <w:tcW w:w="1659" w:type="dxa"/>
            <w:noWrap w:val="0"/>
            <w:vAlign w:val="top"/>
          </w:tcPr>
          <w:p w14:paraId="69E34F8F">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5.040</w:t>
            </w:r>
          </w:p>
        </w:tc>
      </w:tr>
      <w:tr w14:paraId="41ED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DB1296">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500～1000万元</w:t>
            </w:r>
          </w:p>
        </w:tc>
        <w:tc>
          <w:tcPr>
            <w:tcW w:w="1659" w:type="dxa"/>
            <w:noWrap w:val="0"/>
            <w:vAlign w:val="top"/>
          </w:tcPr>
          <w:p w14:paraId="5E59C465">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3.465</w:t>
            </w:r>
          </w:p>
        </w:tc>
        <w:tc>
          <w:tcPr>
            <w:tcW w:w="1687" w:type="dxa"/>
            <w:gridSpan w:val="2"/>
            <w:noWrap w:val="0"/>
            <w:vAlign w:val="top"/>
          </w:tcPr>
          <w:p w14:paraId="069DFEBB">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5.040</w:t>
            </w:r>
          </w:p>
        </w:tc>
        <w:tc>
          <w:tcPr>
            <w:tcW w:w="1659" w:type="dxa"/>
            <w:noWrap w:val="0"/>
            <w:vAlign w:val="top"/>
          </w:tcPr>
          <w:p w14:paraId="4630AC5C">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2.835</w:t>
            </w:r>
          </w:p>
        </w:tc>
      </w:tr>
      <w:tr w14:paraId="7D65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5F80C3">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1000～5000万元</w:t>
            </w:r>
          </w:p>
        </w:tc>
        <w:tc>
          <w:tcPr>
            <w:tcW w:w="1659" w:type="dxa"/>
            <w:noWrap w:val="0"/>
            <w:vAlign w:val="top"/>
          </w:tcPr>
          <w:p w14:paraId="0C0D0557">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2.205</w:t>
            </w:r>
          </w:p>
        </w:tc>
        <w:tc>
          <w:tcPr>
            <w:tcW w:w="1687" w:type="dxa"/>
            <w:gridSpan w:val="2"/>
            <w:noWrap w:val="0"/>
            <w:vAlign w:val="top"/>
          </w:tcPr>
          <w:p w14:paraId="59057FD3">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3.150</w:t>
            </w:r>
          </w:p>
        </w:tc>
        <w:tc>
          <w:tcPr>
            <w:tcW w:w="1659" w:type="dxa"/>
            <w:noWrap w:val="0"/>
            <w:vAlign w:val="top"/>
          </w:tcPr>
          <w:p w14:paraId="49B012B0">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1.575</w:t>
            </w:r>
          </w:p>
        </w:tc>
      </w:tr>
      <w:tr w14:paraId="182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54A5D8">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5000万元～1亿元</w:t>
            </w:r>
          </w:p>
        </w:tc>
        <w:tc>
          <w:tcPr>
            <w:tcW w:w="1659" w:type="dxa"/>
            <w:noWrap w:val="0"/>
            <w:vAlign w:val="top"/>
          </w:tcPr>
          <w:p w14:paraId="64B9C1AE">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1.260</w:t>
            </w:r>
          </w:p>
        </w:tc>
        <w:tc>
          <w:tcPr>
            <w:tcW w:w="1687" w:type="dxa"/>
            <w:gridSpan w:val="2"/>
            <w:noWrap w:val="0"/>
            <w:vAlign w:val="top"/>
          </w:tcPr>
          <w:p w14:paraId="1D89A723">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1.575</w:t>
            </w:r>
          </w:p>
        </w:tc>
        <w:tc>
          <w:tcPr>
            <w:tcW w:w="1659" w:type="dxa"/>
            <w:noWrap w:val="0"/>
            <w:vAlign w:val="top"/>
          </w:tcPr>
          <w:p w14:paraId="5C809F55">
            <w:pPr>
              <w:spacing w:line="360" w:lineRule="auto"/>
              <w:ind w:firstLine="210" w:firstLineChars="10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0.630</w:t>
            </w:r>
          </w:p>
        </w:tc>
      </w:tr>
    </w:tbl>
    <w:p w14:paraId="3A11FE39">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61843223">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（1）按本表费率计算的收费为采购代理的收费基准价格；</w:t>
      </w:r>
    </w:p>
    <w:p w14:paraId="58B31514">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（2）采购代理服务费按差额定率累进法计算。</w:t>
      </w:r>
    </w:p>
    <w:p w14:paraId="5474C8FE">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例如：某工程采购代理业务</w:t>
      </w:r>
      <w:r>
        <w:rPr>
          <w:rFonts w:hint="eastAsia" w:ascii="宋体" w:hAnsi="宋体" w:eastAsia="宋体" w:cs="宋体"/>
          <w:color w:val="000000" w:themeColor="text1"/>
          <w:szCs w:val="21"/>
          <w:highlight w:val="none"/>
          <w:lang w:val="en-US" w:eastAsia="zh-CN"/>
          <w14:textFill>
            <w14:solidFill>
              <w14:schemeClr w14:val="tx1"/>
            </w14:solidFill>
          </w14:textFill>
        </w:rPr>
        <w:t>预算</w:t>
      </w:r>
      <w:r>
        <w:rPr>
          <w:rFonts w:hint="eastAsia" w:ascii="宋体" w:hAnsi="宋体" w:eastAsia="宋体" w:cs="宋体"/>
          <w:color w:val="000000" w:themeColor="text1"/>
          <w:szCs w:val="21"/>
          <w:highlight w:val="none"/>
          <w14:textFill>
            <w14:solidFill>
              <w14:schemeClr w14:val="tx1"/>
            </w14:solidFill>
          </w14:textFill>
        </w:rPr>
        <w:t>金额或者暂定价为200万元，计算采购代理收费额如下：</w:t>
      </w:r>
    </w:p>
    <w:p w14:paraId="04DC38F6">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第一阶梯：100 万元 ×6.300 ‰＝ 0.6300 万元</w:t>
      </w:r>
    </w:p>
    <w:p w14:paraId="5899CBD8">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第二阶梯：（ 200 － 100 ）万元 ×4.410 ‰＝ 0.4410万元</w:t>
      </w:r>
    </w:p>
    <w:p w14:paraId="595C50D2">
      <w:pPr>
        <w:tabs>
          <w:tab w:val="left" w:pos="283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合计收费＝ 0.6300 ＋ 0.4410＝ 1.071万元</w:t>
      </w:r>
    </w:p>
    <w:p w14:paraId="5AA14FA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31B1622E">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422C76EF">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33.2农民工工资保证金见“供应商须知前附表”。</w:t>
      </w:r>
    </w:p>
    <w:p w14:paraId="2A10B395">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3 其他事项详见“供应商须知前附表”。</w:t>
      </w:r>
    </w:p>
    <w:p w14:paraId="25F998C8">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E62C0B8">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r>
        <w:rPr>
          <w:rFonts w:hint="eastAsia" w:hAnsi="宋体"/>
          <w:color w:val="000000" w:themeColor="text1"/>
          <w:sz w:val="21"/>
          <w:highlight w:val="none"/>
          <w:lang w:eastAsia="zh-CN"/>
          <w14:textFill>
            <w14:solidFill>
              <w14:schemeClr w14:val="tx1"/>
            </w14:solidFill>
          </w14:textFill>
        </w:rPr>
        <w:t>；</w:t>
      </w:r>
    </w:p>
    <w:p w14:paraId="2C143F66">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r>
        <w:rPr>
          <w:rFonts w:hint="eastAsia" w:hAnsi="宋体"/>
          <w:color w:val="000000" w:themeColor="text1"/>
          <w:sz w:val="21"/>
          <w:highlight w:val="none"/>
          <w:lang w:eastAsia="zh-CN"/>
          <w14:textFill>
            <w14:solidFill>
              <w14:schemeClr w14:val="tx1"/>
            </w14:solidFill>
          </w14:textFill>
        </w:rPr>
        <w:t>；</w:t>
      </w:r>
    </w:p>
    <w:p w14:paraId="02083FA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3439302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sz w:val="21"/>
          <w:highlight w:val="none"/>
          <w14:textFill>
            <w14:solidFill>
              <w14:schemeClr w14:val="tx1"/>
            </w14:solidFill>
          </w14:textFill>
        </w:rPr>
        <w:t>中小企业的，联合体视同中小企业。其中，联合体各方均为小微企业的，联合体视同小微企业。</w:t>
      </w:r>
    </w:p>
    <w:p w14:paraId="4D1F037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2A8DFD02">
      <w:pPr>
        <w:pStyle w:val="2"/>
        <w:spacing w:before="0" w:after="0" w:line="360" w:lineRule="auto"/>
        <w:jc w:val="center"/>
        <w:rPr>
          <w:color w:val="000000" w:themeColor="text1"/>
          <w:highlight w:val="none"/>
          <w14:textFill>
            <w14:solidFill>
              <w14:schemeClr w14:val="tx1"/>
            </w14:solidFill>
          </w14:textFill>
        </w:rPr>
      </w:pPr>
      <w:r>
        <w:rPr>
          <w:rFonts w:hAnsi="宋体"/>
          <w:b w:val="0"/>
          <w:color w:val="000000" w:themeColor="text1"/>
          <w:highlight w:val="none"/>
          <w14:textFill>
            <w14:solidFill>
              <w14:schemeClr w14:val="tx1"/>
            </w14:solidFill>
          </w14:textFill>
        </w:rPr>
        <w:br w:type="page"/>
      </w:r>
      <w:bookmarkStart w:id="68" w:name="_Toc122424246"/>
      <w:r>
        <w:rPr>
          <w:rFonts w:hint="eastAsia"/>
          <w:color w:val="000000" w:themeColor="text1"/>
          <w:highlight w:val="none"/>
          <w14:textFill>
            <w14:solidFill>
              <w14:schemeClr w14:val="tx1"/>
            </w14:solidFill>
          </w14:textFill>
        </w:rPr>
        <w:t>第三章 采购需求</w:t>
      </w:r>
      <w:bookmarkEnd w:id="68"/>
    </w:p>
    <w:p w14:paraId="4C60BBC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5A4AB5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p>
    <w:p w14:paraId="72E99A57">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2.“实质性要求”是指采购需求中带“▲”的条款或者不能负偏离的条款或者已经指明不满足按响应文件无效处理的条款。</w:t>
      </w:r>
    </w:p>
    <w:p w14:paraId="1212B3F7">
      <w:pPr>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104983C7">
      <w:pPr>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所属行业：建筑业</w:t>
      </w:r>
    </w:p>
    <w:tbl>
      <w:tblPr>
        <w:tblStyle w:val="43"/>
        <w:tblW w:w="8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960"/>
        <w:gridCol w:w="751"/>
        <w:gridCol w:w="991"/>
        <w:gridCol w:w="5714"/>
        <w:gridCol w:w="46"/>
      </w:tblGrid>
      <w:tr w14:paraId="4FEB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824" w:hRule="atLeast"/>
          <w:jc w:val="center"/>
        </w:trPr>
        <w:tc>
          <w:tcPr>
            <w:tcW w:w="389" w:type="dxa"/>
            <w:vAlign w:val="center"/>
          </w:tcPr>
          <w:p w14:paraId="144A7AF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711" w:type="dxa"/>
            <w:gridSpan w:val="2"/>
            <w:vAlign w:val="center"/>
          </w:tcPr>
          <w:p w14:paraId="62DF3E1E">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991" w:type="dxa"/>
            <w:vAlign w:val="center"/>
          </w:tcPr>
          <w:p w14:paraId="7325C3E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5714" w:type="dxa"/>
            <w:vAlign w:val="center"/>
          </w:tcPr>
          <w:p w14:paraId="747FF9A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14:paraId="562B4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1266" w:hRule="atLeast"/>
          <w:jc w:val="center"/>
        </w:trPr>
        <w:tc>
          <w:tcPr>
            <w:tcW w:w="389" w:type="dxa"/>
            <w:vAlign w:val="center"/>
          </w:tcPr>
          <w:p w14:paraId="3509B0B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11" w:type="dxa"/>
            <w:gridSpan w:val="2"/>
            <w:vAlign w:val="center"/>
          </w:tcPr>
          <w:p w14:paraId="5B50E92F">
            <w:pPr>
              <w:tabs>
                <w:tab w:val="left" w:pos="180"/>
                <w:tab w:val="left" w:pos="1620"/>
              </w:tabs>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钦州市钦北区鸿亭街道小江社区卫生服务中心业务用房、医疗污水处理建设项目一至三层消防安装及消防水池建设工程</w:t>
            </w:r>
          </w:p>
        </w:tc>
        <w:tc>
          <w:tcPr>
            <w:tcW w:w="991" w:type="dxa"/>
            <w:vAlign w:val="center"/>
          </w:tcPr>
          <w:p w14:paraId="100D1BF7">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5714" w:type="dxa"/>
            <w:vAlign w:val="center"/>
          </w:tcPr>
          <w:p w14:paraId="5405122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建设地点：</w:t>
            </w:r>
            <w:r>
              <w:rPr>
                <w:rFonts w:hint="eastAsia"/>
                <w:color w:val="000000" w:themeColor="text1"/>
                <w:highlight w:val="none"/>
                <w:lang w:eastAsia="zh-CN"/>
                <w14:textFill>
                  <w14:solidFill>
                    <w14:schemeClr w14:val="tx1"/>
                  </w14:solidFill>
                </w14:textFill>
              </w:rPr>
              <w:t>钦州市钦北区鸿亭街道小江二巷</w:t>
            </w:r>
            <w:r>
              <w:rPr>
                <w:rFonts w:hint="eastAsia" w:ascii="宋体" w:hAnsi="宋体"/>
                <w:color w:val="000000" w:themeColor="text1"/>
                <w:szCs w:val="21"/>
                <w:highlight w:val="none"/>
                <w14:textFill>
                  <w14:solidFill>
                    <w14:schemeClr w14:val="tx1"/>
                  </w14:solidFill>
                </w14:textFill>
              </w:rPr>
              <w:t>。</w:t>
            </w:r>
          </w:p>
          <w:p w14:paraId="7E4D3808">
            <w:pPr>
              <w:numPr>
                <w:ilvl w:val="0"/>
                <w:numId w:val="0"/>
              </w:num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二、工程概况：</w:t>
            </w:r>
          </w:p>
          <w:p w14:paraId="2C89A9BF">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新建消防水池、一至三层消防安装等施工图纸包含的工程内容。</w:t>
            </w:r>
          </w:p>
          <w:p w14:paraId="5DC6930B">
            <w:pPr>
              <w:numPr>
                <w:ilvl w:val="0"/>
                <w:numId w:val="0"/>
              </w:num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w:t>
            </w:r>
            <w:r>
              <w:rPr>
                <w:rFonts w:hint="eastAsia" w:ascii="宋体" w:hAnsi="宋体"/>
                <w:b/>
                <w:bCs/>
                <w:color w:val="000000" w:themeColor="text1"/>
                <w:szCs w:val="21"/>
                <w:highlight w:val="none"/>
                <w14:textFill>
                  <w14:solidFill>
                    <w14:schemeClr w14:val="tx1"/>
                  </w14:solidFill>
                </w14:textFill>
              </w:rPr>
              <w:t>、工程质量要求：</w:t>
            </w:r>
            <w:r>
              <w:rPr>
                <w:rFonts w:hint="eastAsia" w:ascii="宋体" w:hAnsi="宋体" w:cs="宋体"/>
                <w:color w:val="000000" w:themeColor="text1"/>
                <w:szCs w:val="21"/>
                <w:highlight w:val="none"/>
                <w14:textFill>
                  <w14:solidFill>
                    <w14:schemeClr w14:val="tx1"/>
                  </w14:solidFill>
                </w14:textFill>
              </w:rPr>
              <w:t>达到国家施工验收规范合格标准要求</w:t>
            </w:r>
            <w:r>
              <w:rPr>
                <w:rFonts w:hint="eastAsia" w:ascii="宋体" w:hAnsi="宋体" w:cs="宋体"/>
                <w:color w:val="000000" w:themeColor="text1"/>
                <w:szCs w:val="21"/>
                <w:highlight w:val="none"/>
                <w:lang w:eastAsia="zh-CN"/>
                <w14:textFill>
                  <w14:solidFill>
                    <w14:schemeClr w14:val="tx1"/>
                  </w14:solidFill>
                </w14:textFill>
              </w:rPr>
              <w:t>。</w:t>
            </w:r>
          </w:p>
          <w:p w14:paraId="15F7F477">
            <w:pPr>
              <w:numPr>
                <w:ilvl w:val="0"/>
                <w:numId w:val="0"/>
              </w:num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四：要求工期：</w:t>
            </w:r>
            <w:r>
              <w:rPr>
                <w:rFonts w:hint="eastAsia" w:ascii="宋体" w:hAnsi="宋体"/>
                <w:color w:val="000000" w:themeColor="text1"/>
                <w:highlight w:val="none"/>
                <w:lang w:val="en-US" w:eastAsia="zh-CN"/>
                <w14:textFill>
                  <w14:solidFill>
                    <w14:schemeClr w14:val="tx1"/>
                  </w14:solidFill>
                </w14:textFill>
              </w:rPr>
              <w:t>90日历天</w:t>
            </w:r>
            <w:r>
              <w:rPr>
                <w:rFonts w:ascii="宋体" w:hAnsi="宋体"/>
                <w:color w:val="000000" w:themeColor="text1"/>
                <w:highlight w:val="none"/>
                <w:lang w:val="zh-CN"/>
                <w14:textFill>
                  <w14:solidFill>
                    <w14:schemeClr w14:val="tx1"/>
                  </w14:solidFill>
                </w14:textFill>
              </w:rPr>
              <w:t>。</w:t>
            </w:r>
          </w:p>
          <w:p w14:paraId="4C861C6E">
            <w:pPr>
              <w:numPr>
                <w:ilvl w:val="0"/>
                <w:numId w:val="0"/>
              </w:numPr>
              <w:spacing w:line="360" w:lineRule="auto"/>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五、</w:t>
            </w:r>
            <w:r>
              <w:rPr>
                <w:rFonts w:hint="eastAsia" w:ascii="宋体" w:hAnsi="宋体"/>
                <w:b/>
                <w:bCs/>
                <w:color w:val="000000" w:themeColor="text1"/>
                <w:szCs w:val="21"/>
                <w:highlight w:val="none"/>
                <w14:textFill>
                  <w14:solidFill>
                    <w14:schemeClr w14:val="tx1"/>
                  </w14:solidFill>
                </w14:textFill>
              </w:rPr>
              <w:t>具体需求内容详见工程量清单（另册发放）</w:t>
            </w:r>
          </w:p>
        </w:tc>
      </w:tr>
      <w:tr w14:paraId="29A5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5"/>
            <w:tcBorders>
              <w:top w:val="single" w:color="auto" w:sz="4" w:space="0"/>
              <w:left w:val="single" w:color="auto" w:sz="4" w:space="0"/>
              <w:bottom w:val="single" w:color="auto" w:sz="4" w:space="0"/>
              <w:right w:val="single" w:color="auto" w:sz="4" w:space="0"/>
            </w:tcBorders>
          </w:tcPr>
          <w:p w14:paraId="11AE3E6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一、商务要求</w:t>
            </w:r>
          </w:p>
        </w:tc>
      </w:tr>
      <w:tr w14:paraId="0221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A3C5BB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AD6F9E2">
            <w:pP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90日历天</w:t>
            </w:r>
            <w:r>
              <w:rPr>
                <w:rFonts w:ascii="宋体" w:hAnsi="宋体"/>
                <w:color w:val="000000" w:themeColor="text1"/>
                <w:highlight w:val="none"/>
                <w:lang w:val="zh-CN"/>
                <w14:textFill>
                  <w14:solidFill>
                    <w14:schemeClr w14:val="tx1"/>
                  </w14:solidFill>
                </w14:textFill>
              </w:rPr>
              <w:t>。</w:t>
            </w:r>
          </w:p>
        </w:tc>
      </w:tr>
      <w:tr w14:paraId="59090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7BA5C30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9F60AAC">
            <w:pPr>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钦州市钦北区鸿亭街道小江二巷</w:t>
            </w:r>
            <w:r>
              <w:rPr>
                <w:rFonts w:hint="eastAsia" w:ascii="宋体" w:hAnsi="宋体"/>
                <w:color w:val="000000" w:themeColor="text1"/>
                <w:szCs w:val="21"/>
                <w:highlight w:val="none"/>
                <w14:textFill>
                  <w14:solidFill>
                    <w14:schemeClr w14:val="tx1"/>
                  </w14:solidFill>
                </w14:textFill>
              </w:rPr>
              <w:t>。</w:t>
            </w:r>
          </w:p>
        </w:tc>
      </w:tr>
      <w:tr w14:paraId="2BB7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2BDA339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AA19F9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自成交通知书发出之日起</w:t>
            </w:r>
            <w:r>
              <w:rPr>
                <w:rFonts w:hint="eastAsia" w:ascii="宋体" w:hAnsi="宋体"/>
                <w:color w:val="000000" w:themeColor="text1"/>
                <w:szCs w:val="21"/>
                <w:highlight w:val="none"/>
                <w:u w:val="single"/>
                <w14:textFill>
                  <w14:solidFill>
                    <w14:schemeClr w14:val="tx1"/>
                  </w14:solidFill>
                </w14:textFill>
              </w:rPr>
              <w:t xml:space="preserve"> 25 </w:t>
            </w:r>
            <w:r>
              <w:rPr>
                <w:rFonts w:hint="eastAsia" w:ascii="宋体" w:hAnsi="宋体"/>
                <w:color w:val="000000" w:themeColor="text1"/>
                <w:szCs w:val="21"/>
                <w:highlight w:val="none"/>
                <w14:textFill>
                  <w14:solidFill>
                    <w14:schemeClr w14:val="tx1"/>
                  </w14:solidFill>
                </w14:textFill>
              </w:rPr>
              <w:t>日内。</w:t>
            </w:r>
          </w:p>
        </w:tc>
      </w:tr>
      <w:tr w14:paraId="08B6C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8F59A5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付款条件（进度和方式）</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86EE212">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工程进度款支付预付款:无。</w:t>
            </w:r>
          </w:p>
          <w:p w14:paraId="6048C63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付款周期：工程进度完成工程量的</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0%支付至合同总价款的</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lang w:eastAsia="zh-CN"/>
                <w14:textFill>
                  <w14:solidFill>
                    <w14:schemeClr w14:val="tx1"/>
                  </w14:solidFill>
                </w14:textFill>
              </w:rPr>
              <w:t>工程竣工验收合格10个工作日内</w:t>
            </w:r>
            <w:r>
              <w:rPr>
                <w:rFonts w:hint="eastAsia" w:ascii="宋体" w:hAnsi="宋体"/>
                <w:color w:val="000000" w:themeColor="text1"/>
                <w:szCs w:val="21"/>
                <w:highlight w:val="none"/>
                <w14:textFill>
                  <w14:solidFill>
                    <w14:schemeClr w14:val="tx1"/>
                  </w14:solidFill>
                </w14:textFill>
              </w:rPr>
              <w:t>，工程进度款支付至完成合同总价款的</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0%；竣工结算经审计部门审计后，工程款支付至项目审定结算价款的</w:t>
            </w:r>
            <w:r>
              <w:rPr>
                <w:rFonts w:hint="eastAsia" w:ascii="宋体" w:hAnsi="宋体"/>
                <w:color w:val="000000" w:themeColor="text1"/>
                <w:szCs w:val="21"/>
                <w:highlight w:val="none"/>
                <w:lang w:val="en-US" w:eastAsia="zh-CN"/>
                <w14:textFill>
                  <w14:solidFill>
                    <w14:schemeClr w14:val="tx1"/>
                  </w14:solidFill>
                </w14:textFill>
              </w:rPr>
              <w:t>97</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ascii="宋体" w:hAnsi="宋体"/>
                <w:color w:val="000000" w:themeColor="text1"/>
                <w:szCs w:val="21"/>
                <w:highlight w:val="none"/>
                <w14:textFill>
                  <w14:solidFill>
                    <w14:schemeClr w14:val="tx1"/>
                  </w14:solidFill>
                </w14:textFill>
              </w:rPr>
              <w:t>，待工程</w:t>
            </w:r>
            <w:r>
              <w:rPr>
                <w:rFonts w:hint="eastAsia" w:ascii="宋体" w:hAnsi="宋体"/>
                <w:color w:val="000000" w:themeColor="text1"/>
                <w:szCs w:val="21"/>
                <w:highlight w:val="none"/>
                <w14:textFill>
                  <w14:solidFill>
                    <w14:schemeClr w14:val="tx1"/>
                  </w14:solidFill>
                </w14:textFill>
              </w:rPr>
              <w:t>缺陷责任</w:t>
            </w:r>
            <w:r>
              <w:rPr>
                <w:rFonts w:ascii="宋体" w:hAnsi="宋体"/>
                <w:color w:val="000000" w:themeColor="text1"/>
                <w:szCs w:val="21"/>
                <w:highlight w:val="none"/>
                <w14:textFill>
                  <w14:solidFill>
                    <w14:schemeClr w14:val="tx1"/>
                  </w14:solidFill>
                </w14:textFill>
              </w:rPr>
              <w:t>期满后</w:t>
            </w:r>
            <w:r>
              <w:rPr>
                <w:rFonts w:hint="eastAsia" w:ascii="宋体" w:hAnsi="宋体"/>
                <w:color w:val="000000" w:themeColor="text1"/>
                <w:szCs w:val="21"/>
                <w:highlight w:val="none"/>
                <w14:textFill>
                  <w14:solidFill>
                    <w14:schemeClr w14:val="tx1"/>
                  </w14:solidFill>
                </w14:textFill>
              </w:rPr>
              <w:t>由</w:t>
            </w:r>
            <w:r>
              <w:rPr>
                <w:rFonts w:ascii="宋体" w:hAnsi="宋体"/>
                <w:color w:val="000000" w:themeColor="text1"/>
                <w:szCs w:val="21"/>
                <w:highlight w:val="none"/>
                <w14:textFill>
                  <w14:solidFill>
                    <w14:schemeClr w14:val="tx1"/>
                  </w14:solidFill>
                </w14:textFill>
              </w:rPr>
              <w:t>成交供应商申请退还，</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一次性无息返还。</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每次付款前，</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应向</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开具同等金额的增值税专用发票，否则，</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有权顺延付款。</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知晓</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的费用来源于财政拨付及支付项目款项流程，如因财政拨付的原因导致延迟支付，</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承诺不因进度款延迟支付而停工，承诺放弃向</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主张违约金或赔偿款之请求。</w:t>
            </w:r>
          </w:p>
        </w:tc>
      </w:tr>
      <w:tr w14:paraId="5685C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89CBE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验收标准</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5EEF798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符合现行国家相关标准、行业标准、地方标准或者其他标准、规范。</w:t>
            </w:r>
          </w:p>
        </w:tc>
      </w:tr>
      <w:tr w14:paraId="25714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5D0E23B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二、与实现项目目标相关的其他要求</w:t>
            </w:r>
          </w:p>
        </w:tc>
      </w:tr>
      <w:tr w14:paraId="59E3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2413F8AA">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业绩要求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203FCF9E">
            <w:pPr>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2022年1月1日以来至响应文件递交截止日期止供应商提供同类工程施工项目业绩，符合第四章“评审标准”的可予以加分。</w:t>
            </w:r>
          </w:p>
        </w:tc>
      </w:tr>
      <w:tr w14:paraId="6C87C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0130A255">
            <w:pPr>
              <w:wordWrap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其它</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7396C5D6">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1.采购需求中，</w:t>
            </w:r>
            <w:r>
              <w:rPr>
                <w:rFonts w:hint="eastAsia" w:ascii="宋体" w:hAnsi="宋体" w:cs="宋体"/>
                <w:b/>
                <w:bCs/>
                <w:color w:val="000000" w:themeColor="text1"/>
                <w:szCs w:val="21"/>
                <w:highlight w:val="none"/>
                <w14:textFill>
                  <w14:solidFill>
                    <w14:schemeClr w14:val="tx1"/>
                  </w14:solidFill>
                </w14:textFill>
              </w:rPr>
              <w:t>技术要求允许负偏离的条款数为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项，商务要求允许负偏离的条款数为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项，必须满足或优于，否则响应文件按无效处理。</w:t>
            </w:r>
          </w:p>
          <w:p w14:paraId="610F27B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2.供应商</w:t>
            </w:r>
            <w:r>
              <w:rPr>
                <w:rFonts w:hint="eastAsia" w:ascii="宋体" w:hAnsi="宋体" w:cs="宋体"/>
                <w:color w:val="000000" w:themeColor="text1"/>
                <w:szCs w:val="21"/>
                <w:highlight w:val="none"/>
                <w14:textFill>
                  <w14:solidFill>
                    <w14:schemeClr w14:val="tx1"/>
                  </w14:solidFill>
                </w14:textFill>
              </w:rPr>
              <w:t>在竞标活动中如提供任何虚假材料，</w:t>
            </w:r>
            <w:r>
              <w:rPr>
                <w:rFonts w:hint="eastAsia" w:ascii="宋体" w:hAnsi="宋体" w:cs="宋体"/>
                <w:b/>
                <w:color w:val="000000" w:themeColor="text1"/>
                <w:szCs w:val="21"/>
                <w:highlight w:val="none"/>
                <w14:textFill>
                  <w14:solidFill>
                    <w14:schemeClr w14:val="tx1"/>
                  </w14:solidFill>
                </w14:textFill>
              </w:rPr>
              <w:t>其响应文件按无效处理，</w:t>
            </w:r>
            <w:r>
              <w:rPr>
                <w:rFonts w:hint="eastAsia" w:ascii="宋体" w:hAnsi="宋体" w:cs="宋体"/>
                <w:color w:val="000000" w:themeColor="text1"/>
                <w:szCs w:val="21"/>
                <w:highlight w:val="none"/>
                <w14:textFill>
                  <w14:solidFill>
                    <w14:schemeClr w14:val="tx1"/>
                  </w14:solidFill>
                </w14:textFill>
              </w:rPr>
              <w:t>并报监管部门查处。</w:t>
            </w:r>
          </w:p>
          <w:p w14:paraId="5628055A">
            <w:pPr>
              <w:wordWrap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3.供应商应在响应文件中提供施工组织设计</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并就本项目投入具有相关能力的人员。</w:t>
            </w:r>
          </w:p>
        </w:tc>
      </w:tr>
    </w:tbl>
    <w:p w14:paraId="08A235F0">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D556F21">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4F85FF57">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575573F">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482FFF1B">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2F856D8E">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0DB0279D">
      <w:pPr>
        <w:pStyle w:val="2"/>
        <w:spacing w:before="0" w:after="0" w:line="360" w:lineRule="auto"/>
        <w:jc w:val="center"/>
        <w:rPr>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69" w:name="_Toc122424247"/>
      <w:r>
        <w:rPr>
          <w:rFonts w:hint="eastAsia"/>
          <w:color w:val="000000" w:themeColor="text1"/>
          <w:highlight w:val="none"/>
          <w14:textFill>
            <w14:solidFill>
              <w14:schemeClr w14:val="tx1"/>
            </w14:solidFill>
          </w14:textFill>
        </w:rPr>
        <w:t>第四章  评审程序、评审方法和评审标准</w:t>
      </w:r>
      <w:bookmarkEnd w:id="69"/>
    </w:p>
    <w:p w14:paraId="417BB826">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1611D68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203FE76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7AB79CF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589FC41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7DCF507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235B97C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1CDD53D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35F901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7A5481C4">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.3供应商有下列情形之一的，资格审查不通过，其响应文件按无效处理：</w:t>
      </w:r>
    </w:p>
    <w:p w14:paraId="49C42079">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）不具备磋商文件中规定的资格要求的</w:t>
      </w:r>
      <w:r>
        <w:rPr>
          <w:rFonts w:hint="eastAsia" w:ascii="宋体" w:hAnsi="宋体" w:cs="宋体"/>
          <w:b/>
          <w:bCs/>
          <w:color w:val="000000" w:themeColor="text1"/>
          <w:szCs w:val="21"/>
          <w:highlight w:val="none"/>
          <w:lang w:eastAsia="zh-CN"/>
          <w14:textFill>
            <w14:solidFill>
              <w14:schemeClr w14:val="tx1"/>
            </w14:solidFill>
          </w14:textFill>
        </w:rPr>
        <w:t>；</w:t>
      </w:r>
    </w:p>
    <w:p w14:paraId="1128ABA5">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（2）未按磋商文件规定的方式获取本磋商文件的供应商</w:t>
      </w:r>
      <w:r>
        <w:rPr>
          <w:rFonts w:hint="eastAsia" w:ascii="宋体" w:hAnsi="宋体" w:cs="宋体"/>
          <w:b/>
          <w:bCs/>
          <w:color w:val="000000" w:themeColor="text1"/>
          <w:szCs w:val="21"/>
          <w:highlight w:val="none"/>
          <w:lang w:eastAsia="zh-CN"/>
          <w14:textFill>
            <w14:solidFill>
              <w14:schemeClr w14:val="tx1"/>
            </w14:solidFill>
          </w14:textFill>
        </w:rPr>
        <w:t>；</w:t>
      </w:r>
    </w:p>
    <w:p w14:paraId="7F512602">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r>
        <w:rPr>
          <w:rFonts w:hint="eastAsia" w:ascii="宋体" w:hAnsi="宋体" w:cs="宋体"/>
          <w:b/>
          <w:bCs/>
          <w:color w:val="000000" w:themeColor="text1"/>
          <w:szCs w:val="21"/>
          <w:highlight w:val="none"/>
          <w:lang w:eastAsia="zh-CN"/>
          <w14:textFill>
            <w14:solidFill>
              <w14:schemeClr w14:val="tx1"/>
            </w14:solidFill>
          </w14:textFill>
        </w:rPr>
        <w:t>；</w:t>
      </w:r>
    </w:p>
    <w:p w14:paraId="0408A8D1">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r>
        <w:rPr>
          <w:rFonts w:hint="eastAsia" w:ascii="宋体" w:hAnsi="宋体" w:cs="宋体"/>
          <w:b/>
          <w:bCs/>
          <w:color w:val="000000" w:themeColor="text1"/>
          <w:szCs w:val="21"/>
          <w:highlight w:val="none"/>
          <w:lang w:eastAsia="zh-CN"/>
          <w14:textFill>
            <w14:solidFill>
              <w14:schemeClr w14:val="tx1"/>
            </w14:solidFill>
          </w14:textFill>
        </w:rPr>
        <w:t>；</w:t>
      </w:r>
    </w:p>
    <w:p w14:paraId="65A7FD5F">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）有第二章“供应商须知”第3.2项规定的任何一种情形的。</w:t>
      </w:r>
    </w:p>
    <w:p w14:paraId="6421AABE">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b/>
          <w:bCs/>
          <w:color w:val="000000" w:themeColor="text1"/>
          <w:szCs w:val="21"/>
          <w:highlight w:val="none"/>
          <w14:textFill>
            <w14:solidFill>
              <w14:schemeClr w14:val="tx1"/>
            </w14:solidFill>
          </w14:textFill>
        </w:rPr>
        <w:t>应当重新开展采购活动。</w:t>
      </w:r>
    </w:p>
    <w:p w14:paraId="0705EDF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487156C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0"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70"/>
    <w:p w14:paraId="3527A8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7A24FE">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w:t>
      </w:r>
      <w:r>
        <w:rPr>
          <w:rFonts w:hint="eastAsia" w:ascii="宋体" w:hAnsi="宋体" w:cs="宋体"/>
          <w:color w:val="000000" w:themeColor="text1"/>
          <w:szCs w:val="21"/>
          <w:highlight w:val="none"/>
          <w:lang w:val="en-US" w:eastAsia="zh-CN"/>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5D5838C2">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43F9879">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3EEE9573">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r>
        <w:rPr>
          <w:rFonts w:hint="eastAsia" w:ascii="宋体" w:hAnsi="宋体" w:cs="宋体"/>
          <w:color w:val="000000" w:themeColor="text1"/>
          <w:szCs w:val="21"/>
          <w:highlight w:val="none"/>
          <w:lang w:eastAsia="zh-CN"/>
          <w14:textFill>
            <w14:solidFill>
              <w14:schemeClr w14:val="tx1"/>
            </w14:solidFill>
          </w14:textFill>
        </w:rPr>
        <w:t>；</w:t>
      </w:r>
    </w:p>
    <w:p w14:paraId="1A6AFA6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r>
        <w:rPr>
          <w:rFonts w:hint="eastAsia" w:ascii="宋体" w:hAnsi="宋体" w:cs="宋体"/>
          <w:color w:val="000000" w:themeColor="text1"/>
          <w:szCs w:val="21"/>
          <w:highlight w:val="none"/>
          <w:lang w:eastAsia="zh-CN"/>
          <w14:textFill>
            <w14:solidFill>
              <w14:schemeClr w14:val="tx1"/>
            </w14:solidFill>
          </w14:textFill>
        </w:rPr>
        <w:t>；</w:t>
      </w:r>
    </w:p>
    <w:p w14:paraId="2666E29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r>
        <w:rPr>
          <w:rFonts w:hint="eastAsia" w:ascii="宋体" w:hAnsi="宋体" w:cs="宋体"/>
          <w:color w:val="000000" w:themeColor="text1"/>
          <w:szCs w:val="21"/>
          <w:highlight w:val="none"/>
          <w:lang w:eastAsia="zh-CN"/>
          <w14:textFill>
            <w14:solidFill>
              <w14:schemeClr w14:val="tx1"/>
            </w14:solidFill>
          </w14:textFill>
        </w:rPr>
        <w:t>；</w:t>
      </w:r>
    </w:p>
    <w:p w14:paraId="788A78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2FA3F0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w:t>
      </w:r>
      <w:r>
        <w:rPr>
          <w:rFonts w:hint="eastAsia" w:ascii="宋体" w:hAnsi="宋体" w:cs="宋体"/>
          <w:b/>
          <w:bCs/>
          <w:color w:val="000000" w:themeColor="text1"/>
          <w:szCs w:val="21"/>
          <w:highlight w:val="none"/>
          <w14:textFill>
            <w14:solidFill>
              <w14:schemeClr w14:val="tx1"/>
            </w14:solidFill>
          </w14:textFill>
        </w:rPr>
        <w:t>修正后的报价经供应商确认后产生约束力，供应商不确认的，其响应文件按无效处理。</w:t>
      </w:r>
    </w:p>
    <w:p w14:paraId="456436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3CA2F5FC">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在评审时，如发现下列情形之一的，将被视为响应文件无效处理：</w:t>
      </w:r>
    </w:p>
    <w:p w14:paraId="49DADFD3">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（1）商务技术评审</w:t>
      </w:r>
    </w:p>
    <w:p w14:paraId="390E3D17">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1）响应文件未按磋商文件要求签署、盖章的</w:t>
      </w:r>
      <w:r>
        <w:rPr>
          <w:rFonts w:hint="eastAsia" w:ascii="宋体" w:hAnsi="宋体" w:cs="宋体"/>
          <w:b/>
          <w:color w:val="000000" w:themeColor="text1"/>
          <w:szCs w:val="21"/>
          <w:highlight w:val="none"/>
          <w:lang w:eastAsia="zh-CN"/>
          <w14:textFill>
            <w14:solidFill>
              <w14:schemeClr w14:val="tx1"/>
            </w14:solidFill>
          </w14:textFill>
        </w:rPr>
        <w:t>；</w:t>
      </w:r>
    </w:p>
    <w:p w14:paraId="714BE66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2）委托代理人未能出具有效身份证或者出具的身份证与授权委托书中的信息不符的</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 </w:t>
      </w:r>
    </w:p>
    <w:p w14:paraId="324DDB2F">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3）提交的磋商保证金无效的或者未按照磋商文件的规定提交磋商保证金的</w:t>
      </w:r>
      <w:r>
        <w:rPr>
          <w:rFonts w:hint="eastAsia" w:ascii="宋体" w:hAnsi="宋体" w:cs="宋体"/>
          <w:b/>
          <w:color w:val="000000" w:themeColor="text1"/>
          <w:szCs w:val="21"/>
          <w:highlight w:val="none"/>
          <w:lang w:eastAsia="zh-CN"/>
          <w14:textFill>
            <w14:solidFill>
              <w14:schemeClr w14:val="tx1"/>
            </w14:solidFill>
          </w14:textFill>
        </w:rPr>
        <w:t>；</w:t>
      </w:r>
    </w:p>
    <w:p w14:paraId="53D1C20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响应文件提供的商务技术文件出现任一项不符合“供应商须知前附表”商务技术文件中 “必须提供”或者“委托时必须提供”文件资料要求的规定或者提供的商务技术文件无效的。</w:t>
      </w:r>
    </w:p>
    <w:p w14:paraId="334B0F70">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5）响应文件的实质性内容未使用中文表述、使用计量单位不符合磋商文件要求的</w:t>
      </w:r>
      <w:r>
        <w:rPr>
          <w:rFonts w:hint="eastAsia" w:ascii="宋体" w:hAnsi="宋体" w:cs="宋体"/>
          <w:b/>
          <w:color w:val="000000" w:themeColor="text1"/>
          <w:szCs w:val="21"/>
          <w:highlight w:val="none"/>
          <w:lang w:eastAsia="zh-CN"/>
          <w14:textFill>
            <w14:solidFill>
              <w14:schemeClr w14:val="tx1"/>
            </w14:solidFill>
          </w14:textFill>
        </w:rPr>
        <w:t>；</w:t>
      </w:r>
    </w:p>
    <w:p w14:paraId="091FA7BF">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6）响应文件中的文件资料因填写不齐全或者内容虚假或者出现其他情形而导致被磋商小组认定无效的</w:t>
      </w:r>
      <w:r>
        <w:rPr>
          <w:rFonts w:hint="eastAsia" w:ascii="宋体" w:hAnsi="宋体" w:cs="宋体"/>
          <w:b/>
          <w:color w:val="000000" w:themeColor="text1"/>
          <w:szCs w:val="21"/>
          <w:highlight w:val="none"/>
          <w:lang w:eastAsia="zh-CN"/>
          <w14:textFill>
            <w14:solidFill>
              <w14:schemeClr w14:val="tx1"/>
            </w14:solidFill>
          </w14:textFill>
        </w:rPr>
        <w:t>；</w:t>
      </w:r>
    </w:p>
    <w:p w14:paraId="0C7EFAE4">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7）响应文件含有采购人不能接受的附加条件的</w:t>
      </w:r>
      <w:r>
        <w:rPr>
          <w:rFonts w:hint="eastAsia" w:ascii="宋体" w:hAnsi="宋体" w:cs="宋体"/>
          <w:b/>
          <w:color w:val="000000" w:themeColor="text1"/>
          <w:szCs w:val="21"/>
          <w:highlight w:val="none"/>
          <w:lang w:eastAsia="zh-CN"/>
          <w14:textFill>
            <w14:solidFill>
              <w14:schemeClr w14:val="tx1"/>
            </w14:solidFill>
          </w14:textFill>
        </w:rPr>
        <w:t>；</w:t>
      </w:r>
    </w:p>
    <w:p w14:paraId="3706E47A">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8）属于“供应商须知正文”第7.</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条供应商相互串通竞标情形的</w:t>
      </w:r>
      <w:r>
        <w:rPr>
          <w:rFonts w:hint="eastAsia" w:ascii="宋体" w:hAnsi="宋体" w:cs="宋体"/>
          <w:b/>
          <w:color w:val="000000" w:themeColor="text1"/>
          <w:szCs w:val="21"/>
          <w:highlight w:val="none"/>
          <w:lang w:eastAsia="zh-CN"/>
          <w14:textFill>
            <w14:solidFill>
              <w14:schemeClr w14:val="tx1"/>
            </w14:solidFill>
          </w14:textFill>
        </w:rPr>
        <w:t>；</w:t>
      </w:r>
    </w:p>
    <w:p w14:paraId="185881F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9）虚假竞标，或者出现其他情形而导致被磋商小组认定无效的</w:t>
      </w:r>
      <w:r>
        <w:rPr>
          <w:rFonts w:hint="eastAsia" w:ascii="宋体" w:hAnsi="宋体" w:cs="宋体"/>
          <w:b/>
          <w:color w:val="000000" w:themeColor="text1"/>
          <w:szCs w:val="21"/>
          <w:highlight w:val="none"/>
          <w:lang w:eastAsia="zh-CN"/>
          <w14:textFill>
            <w14:solidFill>
              <w14:schemeClr w14:val="tx1"/>
            </w14:solidFill>
          </w14:textFill>
        </w:rPr>
        <w:t>；</w:t>
      </w:r>
    </w:p>
    <w:p w14:paraId="2FBD6C1D">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0）</w:t>
      </w:r>
      <w:bookmarkStart w:id="71" w:name="_Hlk71704147"/>
      <w:r>
        <w:rPr>
          <w:rFonts w:hint="eastAsia" w:ascii="宋体" w:hAnsi="宋体" w:cs="宋体"/>
          <w:b/>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71"/>
      <w:r>
        <w:rPr>
          <w:rFonts w:hint="eastAsia" w:ascii="宋体" w:hAnsi="宋体" w:cs="宋体"/>
          <w:b/>
          <w:color w:val="000000" w:themeColor="text1"/>
          <w:szCs w:val="21"/>
          <w:highlight w:val="none"/>
          <w:lang w:eastAsia="zh-CN"/>
          <w14:textFill>
            <w14:solidFill>
              <w14:schemeClr w14:val="tx1"/>
            </w14:solidFill>
          </w14:textFill>
        </w:rPr>
        <w:t>；</w:t>
      </w:r>
    </w:p>
    <w:p w14:paraId="29B6973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1）响应文件标注的项目名称或者项目编号与磋商文件标注的项目名称或者项目编号不一致的</w:t>
      </w:r>
      <w:r>
        <w:rPr>
          <w:rFonts w:hint="eastAsia" w:ascii="宋体" w:hAnsi="宋体" w:cs="宋体"/>
          <w:b/>
          <w:color w:val="000000" w:themeColor="text1"/>
          <w:szCs w:val="21"/>
          <w:highlight w:val="none"/>
          <w:lang w:eastAsia="zh-CN"/>
          <w14:textFill>
            <w14:solidFill>
              <w14:schemeClr w14:val="tx1"/>
            </w14:solidFill>
          </w14:textFill>
        </w:rPr>
        <w:t>；</w:t>
      </w:r>
    </w:p>
    <w:p w14:paraId="7EC97C40">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竞争性磋商文件明确不允许分包，响应文件拟分包的</w:t>
      </w:r>
      <w:r>
        <w:rPr>
          <w:rFonts w:hint="eastAsia" w:ascii="宋体" w:hAnsi="宋体"/>
          <w:b/>
          <w:color w:val="000000" w:themeColor="text1"/>
          <w:szCs w:val="21"/>
          <w:highlight w:val="none"/>
          <w:lang w:eastAsia="zh-CN"/>
          <w14:textFill>
            <w14:solidFill>
              <w14:schemeClr w14:val="tx1"/>
            </w14:solidFill>
          </w14:textFill>
        </w:rPr>
        <w:t>；</w:t>
      </w:r>
    </w:p>
    <w:p w14:paraId="28AD3841">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3）未响应磋商文件实质性要求的</w:t>
      </w:r>
      <w:r>
        <w:rPr>
          <w:rFonts w:hint="eastAsia" w:ascii="宋体" w:hAnsi="宋体" w:cs="宋体"/>
          <w:b/>
          <w:color w:val="000000" w:themeColor="text1"/>
          <w:szCs w:val="21"/>
          <w:highlight w:val="none"/>
          <w:lang w:eastAsia="zh-CN"/>
          <w14:textFill>
            <w14:solidFill>
              <w14:schemeClr w14:val="tx1"/>
            </w14:solidFill>
          </w14:textFill>
        </w:rPr>
        <w:t>；</w:t>
      </w:r>
    </w:p>
    <w:p w14:paraId="5B89F62C">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14）法律、法规和磋商文件规定的其他无效情形。</w:t>
      </w:r>
    </w:p>
    <w:p w14:paraId="1D2EA144">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）报价评审</w:t>
      </w:r>
    </w:p>
    <w:p w14:paraId="334CF53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响应文件未提供“供应商须知前附表” 报价文件中规定的“竞标报价表”的</w:t>
      </w:r>
      <w:r>
        <w:rPr>
          <w:rFonts w:hint="eastAsia" w:ascii="宋体" w:hAnsi="宋体" w:cs="宋体"/>
          <w:b/>
          <w:color w:val="000000" w:themeColor="text1"/>
          <w:szCs w:val="21"/>
          <w:highlight w:val="none"/>
          <w:lang w:eastAsia="zh-CN"/>
          <w14:textFill>
            <w14:solidFill>
              <w14:schemeClr w14:val="tx1"/>
            </w14:solidFill>
          </w14:textFill>
        </w:rPr>
        <w:t>；</w:t>
      </w:r>
    </w:p>
    <w:p w14:paraId="7C602D97">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2）未采用人民币报价或者未按照磋商文件标明的币种报价的</w:t>
      </w:r>
      <w:r>
        <w:rPr>
          <w:rFonts w:hint="eastAsia" w:ascii="宋体" w:hAnsi="宋体" w:cs="宋体"/>
          <w:b/>
          <w:color w:val="000000" w:themeColor="text1"/>
          <w:szCs w:val="21"/>
          <w:highlight w:val="none"/>
          <w:lang w:eastAsia="zh-CN"/>
          <w14:textFill>
            <w14:solidFill>
              <w14:schemeClr w14:val="tx1"/>
            </w14:solidFill>
          </w14:textFill>
        </w:rPr>
        <w:t>；</w:t>
      </w:r>
    </w:p>
    <w:p w14:paraId="5BD9F3A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3）供应商未就所竞标分标进行报价或者存在漏项报价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供应商未就所竞标分标的单项内容作唯一报价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供应商未就所竞标分标的全部内容作完整唯一总价报价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供应商响应文件中存在有选择、有条件报价的（磋商文件允许有备选方案或者其他约定的除外）</w:t>
      </w:r>
      <w:r>
        <w:rPr>
          <w:rFonts w:hint="eastAsia" w:ascii="宋体" w:hAnsi="宋体" w:cs="宋体"/>
          <w:b/>
          <w:color w:val="000000" w:themeColor="text1"/>
          <w:szCs w:val="21"/>
          <w:highlight w:val="none"/>
          <w:lang w:eastAsia="zh-CN"/>
          <w14:textFill>
            <w14:solidFill>
              <w14:schemeClr w14:val="tx1"/>
            </w14:solidFill>
          </w14:textFill>
        </w:rPr>
        <w:t>；</w:t>
      </w:r>
    </w:p>
    <w:p w14:paraId="24D8004B">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72" w:name="_Hlk42596405"/>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竞标报价（包含首次报价、最后报价）</w:t>
      </w:r>
      <w:bookmarkEnd w:id="72"/>
      <w:bookmarkStart w:id="73" w:name="_Hlk42596276"/>
      <w:r>
        <w:rPr>
          <w:rFonts w:hint="eastAsia" w:ascii="宋体" w:hAnsi="宋体" w:cs="宋体"/>
          <w:b/>
          <w:color w:val="000000" w:themeColor="text1"/>
          <w:szCs w:val="21"/>
          <w:highlight w:val="none"/>
          <w14:textFill>
            <w14:solidFill>
              <w14:schemeClr w14:val="tx1"/>
            </w14:solidFill>
          </w14:textFill>
        </w:rPr>
        <w:t>超过磋商文件分项采购预算金额或者单价最高限价的</w:t>
      </w:r>
      <w:bookmarkEnd w:id="73"/>
      <w:r>
        <w:rPr>
          <w:rFonts w:hint="eastAsia" w:ascii="宋体" w:hAnsi="宋体" w:cs="宋体"/>
          <w:b/>
          <w:color w:val="000000" w:themeColor="text1"/>
          <w:szCs w:val="21"/>
          <w:highlight w:val="none"/>
          <w14:textFill>
            <w14:solidFill>
              <w14:schemeClr w14:val="tx1"/>
            </w14:solidFill>
          </w14:textFill>
        </w:rPr>
        <w:t>（如项目有要求并公布了分项采购预算金额或者单价最高限价）</w:t>
      </w:r>
      <w:r>
        <w:rPr>
          <w:rFonts w:hint="eastAsia" w:ascii="宋体" w:hAnsi="宋体" w:cs="宋体"/>
          <w:b/>
          <w:color w:val="000000" w:themeColor="text1"/>
          <w:szCs w:val="21"/>
          <w:highlight w:val="none"/>
          <w:lang w:eastAsia="zh-CN"/>
          <w14:textFill>
            <w14:solidFill>
              <w14:schemeClr w14:val="tx1"/>
            </w14:solidFill>
          </w14:textFill>
        </w:rPr>
        <w:t>；</w:t>
      </w:r>
    </w:p>
    <w:p w14:paraId="392B1C11">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5）修正后的报价，供应商不确认的</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或者经供应商确认修正后的竞标报价（包含首次报价、最后报价）超过所竞标分标规定的采购预算金额或者最高限价（如本项目公布了最高限价）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或者经供应商确认修正后竞标报价（包含首次报价、最后报价）超过磋商文件分项采购预算金额或者最高限价的（如本项目有要求并公布了分项采购预算金额或者最高限价）</w:t>
      </w:r>
      <w:r>
        <w:rPr>
          <w:rFonts w:hint="eastAsia" w:ascii="宋体" w:hAnsi="宋体" w:cs="宋体"/>
          <w:b/>
          <w:color w:val="000000" w:themeColor="text1"/>
          <w:szCs w:val="21"/>
          <w:highlight w:val="none"/>
          <w:lang w:eastAsia="zh-CN"/>
          <w14:textFill>
            <w14:solidFill>
              <w14:schemeClr w14:val="tx1"/>
            </w14:solidFill>
          </w14:textFill>
        </w:rPr>
        <w:t>；</w:t>
      </w:r>
    </w:p>
    <w:p w14:paraId="3C9CC8C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6）在单价合同工程中供应商采用总价优惠或以总价百分比优惠的方式进行竞标报价的</w:t>
      </w:r>
      <w:r>
        <w:rPr>
          <w:rFonts w:hint="eastAsia" w:ascii="宋体" w:hAnsi="宋体" w:cs="宋体"/>
          <w:b/>
          <w:color w:val="000000" w:themeColor="text1"/>
          <w:szCs w:val="21"/>
          <w:highlight w:val="none"/>
          <w:lang w:eastAsia="zh-CN"/>
          <w14:textFill>
            <w14:solidFill>
              <w14:schemeClr w14:val="tx1"/>
            </w14:solidFill>
          </w14:textFill>
        </w:rPr>
        <w:t>；</w:t>
      </w:r>
    </w:p>
    <w:p w14:paraId="41183116">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7）竞标总报价与已标价工程量清单汇总表不一致的</w:t>
      </w:r>
      <w:r>
        <w:rPr>
          <w:rFonts w:hint="eastAsia" w:ascii="宋体" w:hAnsi="宋体" w:cs="宋体"/>
          <w:b/>
          <w:color w:val="000000" w:themeColor="text1"/>
          <w:szCs w:val="21"/>
          <w:highlight w:val="none"/>
          <w:lang w:eastAsia="zh-CN"/>
          <w14:textFill>
            <w14:solidFill>
              <w14:schemeClr w14:val="tx1"/>
            </w14:solidFill>
          </w14:textFill>
        </w:rPr>
        <w:t>；</w:t>
      </w:r>
    </w:p>
    <w:p w14:paraId="19AA5EE3">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8）安全文明施工费和规费、增值税不按</w:t>
      </w:r>
      <w:r>
        <w:rPr>
          <w:rFonts w:hint="eastAsia" w:ascii="宋体" w:hAnsi="宋体" w:cs="宋体"/>
          <w:b/>
          <w:color w:val="000000" w:themeColor="text1"/>
          <w:szCs w:val="21"/>
          <w:highlight w:val="none"/>
          <w:lang w:eastAsia="zh-CN"/>
          <w14:textFill>
            <w14:solidFill>
              <w14:schemeClr w14:val="tx1"/>
            </w14:solidFill>
          </w14:textFill>
        </w:rPr>
        <w:t>广西壮族自治区</w:t>
      </w:r>
      <w:r>
        <w:rPr>
          <w:rFonts w:hint="eastAsia" w:ascii="宋体" w:hAnsi="宋体" w:cs="宋体"/>
          <w:b/>
          <w:color w:val="000000" w:themeColor="text1"/>
          <w:szCs w:val="21"/>
          <w:highlight w:val="none"/>
          <w14:textFill>
            <w14:solidFill>
              <w14:schemeClr w14:val="tx1"/>
            </w14:solidFill>
          </w14:textFill>
        </w:rPr>
        <w:t>费用定额及造价管理相关文件规定报价的（园林绿化及仿古建筑工程除外）</w:t>
      </w:r>
      <w:r>
        <w:rPr>
          <w:rFonts w:hint="eastAsia" w:ascii="宋体" w:hAnsi="宋体" w:cs="宋体"/>
          <w:b/>
          <w:color w:val="000000" w:themeColor="text1"/>
          <w:szCs w:val="21"/>
          <w:highlight w:val="none"/>
          <w:lang w:eastAsia="zh-CN"/>
          <w14:textFill>
            <w14:solidFill>
              <w14:schemeClr w14:val="tx1"/>
            </w14:solidFill>
          </w14:textFill>
        </w:rPr>
        <w:t>；</w:t>
      </w:r>
    </w:p>
    <w:p w14:paraId="51A3CE8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9）供应商已标价工程量清单的项目编码（12位）、计量单位、工程量任何一处与工程量清单不一致的</w:t>
      </w:r>
      <w:r>
        <w:rPr>
          <w:rFonts w:hint="eastAsia" w:ascii="宋体" w:hAnsi="宋体" w:cs="宋体"/>
          <w:b/>
          <w:color w:val="000000" w:themeColor="text1"/>
          <w:szCs w:val="21"/>
          <w:highlight w:val="none"/>
          <w:lang w:eastAsia="zh-CN"/>
          <w14:textFill>
            <w14:solidFill>
              <w14:schemeClr w14:val="tx1"/>
            </w14:solidFill>
          </w14:textFill>
        </w:rPr>
        <w:t>；</w:t>
      </w:r>
    </w:p>
    <w:p w14:paraId="754D4F9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10）供应商已标价工程量清单的项目名称或项目特征与工程量清单不一致，磋商小组要求澄清、说明或补正，但供应商拒绝澄清、说明或补正的</w:t>
      </w:r>
      <w:r>
        <w:rPr>
          <w:rFonts w:hint="eastAsia" w:ascii="宋体" w:hAnsi="宋体" w:cs="宋体"/>
          <w:b/>
          <w:color w:val="000000" w:themeColor="text1"/>
          <w:szCs w:val="21"/>
          <w:highlight w:val="none"/>
          <w:lang w:eastAsia="zh-CN"/>
          <w14:textFill>
            <w14:solidFill>
              <w14:schemeClr w14:val="tx1"/>
            </w14:solidFill>
          </w14:textFill>
        </w:rPr>
        <w:t>；</w:t>
      </w:r>
    </w:p>
    <w:p w14:paraId="0EB8D57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11）设有暂估价、暂列金额的，竞标时未按工程量清单给出的暂估价总价、暂列金额总价计入竞标总报价中的</w:t>
      </w:r>
      <w:r>
        <w:rPr>
          <w:rFonts w:hint="eastAsia" w:ascii="宋体" w:hAnsi="宋体" w:cs="宋体"/>
          <w:b/>
          <w:color w:val="000000" w:themeColor="text1"/>
          <w:szCs w:val="21"/>
          <w:highlight w:val="none"/>
          <w:lang w:eastAsia="zh-CN"/>
          <w14:textFill>
            <w14:solidFill>
              <w14:schemeClr w14:val="tx1"/>
            </w14:solidFill>
          </w14:textFill>
        </w:rPr>
        <w:t>；</w:t>
      </w:r>
    </w:p>
    <w:p w14:paraId="5EA577E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12）供应商对工程量清单内容进行增减或对竞标范围进行调整的</w:t>
      </w:r>
      <w:r>
        <w:rPr>
          <w:rFonts w:hint="eastAsia" w:ascii="宋体" w:hAnsi="宋体" w:cs="宋体"/>
          <w:b/>
          <w:color w:val="000000" w:themeColor="text1"/>
          <w:szCs w:val="21"/>
          <w:highlight w:val="none"/>
          <w:lang w:eastAsia="zh-CN"/>
          <w14:textFill>
            <w14:solidFill>
              <w14:schemeClr w14:val="tx1"/>
            </w14:solidFill>
          </w14:textFill>
        </w:rPr>
        <w:t>；</w:t>
      </w:r>
    </w:p>
    <w:p w14:paraId="6FE6A22C">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响应文件响应的标的数量及单位与竞争性磋商采购文件要求实质性不一致的</w:t>
      </w:r>
      <w:r>
        <w:rPr>
          <w:rFonts w:hint="eastAsia" w:ascii="宋体" w:hAnsi="宋体"/>
          <w:b/>
          <w:color w:val="000000" w:themeColor="text1"/>
          <w:szCs w:val="21"/>
          <w:highlight w:val="none"/>
          <w:lang w:eastAsia="zh-CN"/>
          <w14:textFill>
            <w14:solidFill>
              <w14:schemeClr w14:val="tx1"/>
            </w14:solidFill>
          </w14:textFill>
        </w:rPr>
        <w:t>；</w:t>
      </w:r>
    </w:p>
    <w:p w14:paraId="3AB03DA0">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bookmarkStart w:id="74" w:name="_Hlk188371373"/>
      <w:r>
        <w:rPr>
          <w:rFonts w:hint="eastAsia" w:ascii="宋体" w:hAnsi="宋体"/>
          <w:b/>
          <w:color w:val="000000" w:themeColor="text1"/>
          <w:szCs w:val="21"/>
          <w:highlight w:val="none"/>
          <w14:textFill>
            <w14:solidFill>
              <w14:schemeClr w14:val="tx1"/>
            </w14:solidFill>
          </w14:textFill>
        </w:rPr>
        <w:t>14）竞标函附录的承诺</w:t>
      </w:r>
      <w:bookmarkStart w:id="75" w:name="_Hlk188372203"/>
      <w:r>
        <w:rPr>
          <w:rFonts w:hint="eastAsia" w:ascii="宋体" w:hAnsi="宋体"/>
          <w:b/>
          <w:color w:val="000000" w:themeColor="text1"/>
          <w:szCs w:val="21"/>
          <w:highlight w:val="none"/>
          <w14:textFill>
            <w14:solidFill>
              <w14:schemeClr w14:val="tx1"/>
            </w14:solidFill>
          </w14:textFill>
        </w:rPr>
        <w:t>不</w:t>
      </w:r>
      <w:bookmarkEnd w:id="75"/>
      <w:r>
        <w:rPr>
          <w:rFonts w:hint="eastAsia" w:ascii="宋体" w:hAnsi="宋体"/>
          <w:b/>
          <w:color w:val="000000" w:themeColor="text1"/>
          <w:szCs w:val="21"/>
          <w:highlight w:val="none"/>
          <w14:textFill>
            <w14:solidFill>
              <w14:schemeClr w14:val="tx1"/>
            </w14:solidFill>
          </w14:textFill>
        </w:rPr>
        <w:t>符合磋商文件规定</w:t>
      </w:r>
      <w:bookmarkEnd w:id="74"/>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w:t>
      </w:r>
    </w:p>
    <w:p w14:paraId="470FFEBE">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5）未响应磋商文件实质性要求的。</w:t>
      </w:r>
    </w:p>
    <w:p w14:paraId="0ADD2D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w:t>
      </w:r>
    </w:p>
    <w:p w14:paraId="56FAA6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通过符合性审查的合格供应商不足3家的，不得进入磋商环节，应当重新开展采购活动。</w:t>
      </w:r>
    </w:p>
    <w:p w14:paraId="15FAE3E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7F83693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集中与单一供应商分别进行磋商，并给予所有参加磋商的供应商平等的磋商机会。符合磋商资格的供应商必须在接到磋商通知后规定时间内参加磋商，</w:t>
      </w:r>
      <w:r>
        <w:rPr>
          <w:rFonts w:hint="eastAsia" w:ascii="宋体" w:hAnsi="宋体" w:cs="宋体"/>
          <w:b/>
          <w:bCs/>
          <w:color w:val="000000" w:themeColor="text1"/>
          <w:szCs w:val="21"/>
          <w:highlight w:val="none"/>
          <w14:textFill>
            <w14:solidFill>
              <w14:schemeClr w14:val="tx1"/>
            </w14:solidFill>
          </w14:textFill>
        </w:rPr>
        <w:t>未在规定时间内参加磋商的视同放弃参加磋商权利，其响应文件按无效处理。</w:t>
      </w:r>
    </w:p>
    <w:p w14:paraId="7B5CE4A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A1B0C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52B72681">
      <w:pPr>
        <w:spacing w:line="360" w:lineRule="auto"/>
        <w:ind w:firstLine="422" w:firstLineChars="200"/>
        <w:rPr>
          <w:rFonts w:ascii="宋体" w:hAnsi="宋体" w:cs="宋体"/>
          <w:b/>
          <w:bCs/>
          <w:i w:val="0"/>
          <w:iCs w:val="0"/>
          <w:color w:val="000000" w:themeColor="text1"/>
          <w:szCs w:val="21"/>
          <w:highlight w:val="none"/>
          <w14:textFill>
            <w14:solidFill>
              <w14:schemeClr w14:val="tx1"/>
            </w14:solidFill>
          </w14:textFill>
        </w:rPr>
      </w:pPr>
      <w:r>
        <w:rPr>
          <w:rFonts w:ascii="宋体" w:hAnsi="宋体" w:cs="宋体"/>
          <w:b/>
          <w:bCs/>
          <w:i w:val="0"/>
          <w:iCs w:val="0"/>
          <w:color w:val="000000" w:themeColor="text1"/>
          <w:szCs w:val="21"/>
          <w:highlight w:val="none"/>
          <w14:textFill>
            <w14:solidFill>
              <w14:schemeClr w14:val="tx1"/>
            </w14:solidFill>
          </w14:textFill>
        </w:rPr>
        <w:t>3.4</w:t>
      </w:r>
      <w:r>
        <w:rPr>
          <w:rFonts w:hint="eastAsia" w:ascii="宋体" w:hAnsi="宋体" w:cs="宋体"/>
          <w:b/>
          <w:bCs/>
          <w:i w:val="0"/>
          <w:iCs w:val="0"/>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362CB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highlight w:val="none"/>
          <w14:textFill>
            <w14:solidFill>
              <w14:schemeClr w14:val="tx1"/>
            </w14:solidFill>
          </w14:textFill>
        </w:rPr>
        <w:t>。</w:t>
      </w:r>
    </w:p>
    <w:p w14:paraId="0F66F09D">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采购代理机构对磋商过程和磋商内容进行记录。</w:t>
      </w:r>
    </w:p>
    <w:p w14:paraId="2CF031EC">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w:t>
      </w:r>
      <w:r>
        <w:rPr>
          <w:rFonts w:ascii="宋体" w:hAnsi="宋体"/>
          <w:color w:val="000000" w:themeColor="text1"/>
          <w:highlight w:val="none"/>
          <w14:textFill>
            <w14:solidFill>
              <w14:schemeClr w14:val="tx1"/>
            </w14:solidFill>
          </w14:textFill>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36EB3A">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3.8除</w:t>
      </w:r>
      <w:r>
        <w:rPr>
          <w:rFonts w:ascii="宋体" w:hAnsi="宋体"/>
          <w:color w:val="000000" w:themeColor="text1"/>
          <w:highlight w:val="none"/>
          <w14:textFill>
            <w14:solidFill>
              <w14:schemeClr w14:val="tx1"/>
            </w14:solidFill>
          </w14:textFill>
        </w:rPr>
        <w:t>本章第3.7条</w:t>
      </w:r>
      <w:r>
        <w:rPr>
          <w:rFonts w:hint="eastAsia" w:ascii="宋体" w:hAnsi="宋体"/>
          <w:color w:val="000000" w:themeColor="text1"/>
          <w:highlight w:val="none"/>
          <w14:textFill>
            <w14:solidFill>
              <w14:schemeClr w14:val="tx1"/>
            </w14:solidFill>
          </w14:textFill>
        </w:rPr>
        <w:t>规定的</w:t>
      </w:r>
      <w:r>
        <w:rPr>
          <w:rFonts w:ascii="宋体" w:hAnsi="宋体"/>
          <w:color w:val="000000" w:themeColor="text1"/>
          <w:highlight w:val="none"/>
          <w14:textFill>
            <w14:solidFill>
              <w14:schemeClr w14:val="tx1"/>
            </w14:solidFill>
          </w14:textFill>
        </w:rPr>
        <w:t>情形</w:t>
      </w:r>
      <w:r>
        <w:rPr>
          <w:rFonts w:hint="eastAsia" w:ascii="宋体" w:hAnsi="宋体"/>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对磋商过程提交的响应文件进行有效性、完整性和响应程度审查，通过审查的合格供应商不足3家的，应当重新开展采购活动。</w:t>
      </w:r>
    </w:p>
    <w:p w14:paraId="6B53DF73">
      <w:pPr>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4F1A17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条规定的情形外，提交最后报价的供应商不得少于3家，否则应当重新</w:t>
      </w:r>
      <w:r>
        <w:rPr>
          <w:rFonts w:hint="eastAsia" w:ascii="宋体" w:hAnsi="宋体"/>
          <w:color w:val="000000" w:themeColor="text1"/>
          <w:szCs w:val="21"/>
          <w:highlight w:val="none"/>
          <w14:textFill>
            <w14:solidFill>
              <w14:schemeClr w14:val="tx1"/>
            </w14:solidFill>
          </w14:textFill>
        </w:rPr>
        <w:t>开展采购活动</w:t>
      </w:r>
      <w:r>
        <w:rPr>
          <w:rFonts w:hint="eastAsia" w:ascii="宋体" w:hAnsi="宋体" w:cs="宋体"/>
          <w:color w:val="000000" w:themeColor="text1"/>
          <w:szCs w:val="21"/>
          <w:highlight w:val="none"/>
          <w14:textFill>
            <w14:solidFill>
              <w14:schemeClr w14:val="tx1"/>
            </w14:solidFill>
          </w14:textFill>
        </w:rPr>
        <w:t>。</w:t>
      </w:r>
    </w:p>
    <w:p w14:paraId="39C450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000000" w:themeColor="text1"/>
          <w:szCs w:val="21"/>
          <w:highlight w:val="none"/>
          <w14:textFill>
            <w14:solidFill>
              <w14:schemeClr w14:val="tx1"/>
            </w14:solidFill>
          </w14:textFill>
        </w:rPr>
        <w:t>如果供应商的最后报价与首次报价不一致的，不能只报竞标总报价，必须同时提供“已标价工程量清单”，否则做无效响应处理。</w:t>
      </w:r>
    </w:p>
    <w:p w14:paraId="46B737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w:t>
      </w:r>
    </w:p>
    <w:p w14:paraId="08983D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w:t>
      </w:r>
      <w:r>
        <w:rPr>
          <w:rFonts w:ascii="宋体" w:hAnsi="宋体"/>
          <w:color w:val="000000" w:themeColor="text1"/>
          <w:highlight w:val="none"/>
          <w14:textFill>
            <w14:solidFill>
              <w14:schemeClr w14:val="tx1"/>
            </w14:solidFill>
          </w14:textFill>
        </w:rPr>
        <w:t>第3.7条</w:t>
      </w:r>
      <w:r>
        <w:rPr>
          <w:rFonts w:hint="eastAsia" w:ascii="宋体" w:hAnsi="宋体" w:cs="宋体"/>
          <w:color w:val="000000" w:themeColor="text1"/>
          <w:szCs w:val="21"/>
          <w:highlight w:val="none"/>
          <w14:textFill>
            <w14:solidFill>
              <w14:schemeClr w14:val="tx1"/>
            </w14:solidFill>
          </w14:textFill>
        </w:rPr>
        <w:t>规定</w:t>
      </w:r>
      <w:r>
        <w:rPr>
          <w:color w:val="000000" w:themeColor="text1"/>
          <w:highlight w:val="none"/>
          <w14:textFill>
            <w14:solidFill>
              <w14:schemeClr w14:val="tx1"/>
            </w14:solidFill>
          </w14:textFill>
        </w:rPr>
        <w:t>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553F8E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w:t>
      </w:r>
      <w:r>
        <w:rPr>
          <w:rFonts w:hint="eastAsia" w:ascii="宋体" w:hAnsi="宋体" w:cs="宋体"/>
          <w:b/>
          <w:bCs/>
          <w:color w:val="000000" w:themeColor="text1"/>
          <w:szCs w:val="21"/>
          <w:highlight w:val="none"/>
          <w14:textFill>
            <w14:solidFill>
              <w14:schemeClr w14:val="tx1"/>
            </w14:solidFill>
          </w14:textFill>
        </w:rPr>
        <w:t>退出磋商的供应商的响应文件按无效处理。</w:t>
      </w:r>
      <w:r>
        <w:rPr>
          <w:rFonts w:hint="eastAsia" w:ascii="宋体" w:hAnsi="宋体" w:cs="宋体"/>
          <w:color w:val="000000" w:themeColor="text1"/>
          <w:szCs w:val="21"/>
          <w:highlight w:val="none"/>
          <w14:textFill>
            <w14:solidFill>
              <w14:schemeClr w14:val="tx1"/>
            </w14:solidFill>
          </w14:textFill>
        </w:rPr>
        <w:t>采购人、采购代理机构将退还退出磋商的供应商的保证金。</w:t>
      </w:r>
    </w:p>
    <w:p w14:paraId="74124AF7">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4.5</w:t>
      </w:r>
      <w:r>
        <w:rPr>
          <w:rFonts w:hint="eastAsia" w:ascii="宋体" w:hAnsi="宋体" w:cs="宋体"/>
          <w:b/>
          <w:bCs/>
          <w:color w:val="000000" w:themeColor="text1"/>
          <w:szCs w:val="21"/>
          <w:highlight w:val="none"/>
          <w14:textFill>
            <w14:solidFill>
              <w14:schemeClr w14:val="tx1"/>
            </w14:solidFill>
          </w14:textFill>
        </w:rPr>
        <w:t>供应商未在规定时间内提交最后报价的，视同退出磋商，其响应文件按无效处理。</w:t>
      </w:r>
    </w:p>
    <w:p w14:paraId="5BD7F5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5C6C02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4D278673">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4.8</w:t>
      </w:r>
      <w:r>
        <w:rPr>
          <w:rFonts w:hint="eastAsia" w:ascii="宋体" w:hAnsi="宋体" w:cs="宋体"/>
          <w:b/>
          <w:bCs/>
          <w:color w:val="000000" w:themeColor="text1"/>
          <w:szCs w:val="21"/>
          <w:highlight w:val="none"/>
          <w14:textFill>
            <w14:solidFill>
              <w14:schemeClr w14:val="tx1"/>
            </w14:solidFill>
          </w14:textFill>
        </w:rPr>
        <w:t>修正后的报价出现下列情形的，按无效响应处理：</w:t>
      </w:r>
    </w:p>
    <w:p w14:paraId="14E01C91">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（1）供应商不确认的（全流程电子化评标采取在线确认）</w:t>
      </w:r>
      <w:r>
        <w:rPr>
          <w:rFonts w:hint="eastAsia" w:ascii="宋体" w:hAnsi="宋体" w:cs="宋体"/>
          <w:b/>
          <w:bCs/>
          <w:color w:val="000000" w:themeColor="text1"/>
          <w:szCs w:val="21"/>
          <w:highlight w:val="none"/>
          <w:lang w:eastAsia="zh-CN"/>
          <w14:textFill>
            <w14:solidFill>
              <w14:schemeClr w14:val="tx1"/>
            </w14:solidFill>
          </w14:textFill>
        </w:rPr>
        <w:t>；</w:t>
      </w:r>
    </w:p>
    <w:p w14:paraId="1B81DEBA">
      <w:pPr>
        <w:spacing w:line="360" w:lineRule="auto"/>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r>
        <w:rPr>
          <w:rFonts w:hint="eastAsia" w:ascii="宋体" w:hAnsi="宋体" w:cs="宋体"/>
          <w:b/>
          <w:bCs/>
          <w:color w:val="000000" w:themeColor="text1"/>
          <w:szCs w:val="21"/>
          <w:highlight w:val="none"/>
          <w:lang w:eastAsia="zh-CN"/>
          <w14:textFill>
            <w14:solidFill>
              <w14:schemeClr w14:val="tx1"/>
            </w14:solidFill>
          </w14:textFill>
        </w:rPr>
        <w:t>；</w:t>
      </w:r>
    </w:p>
    <w:p w14:paraId="787CC29E">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（3）经供应商确认修正后的竞标报价（包含首次报价、最后报价）超过分项采购预算金额或者单价最高限价的（如项目有要求并公布了分项采购预算金额或者单价最高限价）。</w:t>
      </w:r>
    </w:p>
    <w:p w14:paraId="040907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5A5624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2A4407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5713476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3C177D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40149A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2FBF62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366EBC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769EEBF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30B2C5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E488FB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 成交供应商</w:t>
      </w:r>
      <w:r>
        <w:rPr>
          <w:rFonts w:hint="eastAsia" w:ascii="黑体" w:hAnsi="黑体" w:eastAsia="黑体" w:cs="宋体"/>
          <w:b/>
          <w:bCs/>
          <w:color w:val="000000" w:themeColor="text1"/>
          <w:sz w:val="24"/>
          <w:highlight w:val="none"/>
          <w:lang w:val="en-US" w:eastAsia="zh-CN"/>
          <w14:textFill>
            <w14:solidFill>
              <w14:schemeClr w14:val="tx1"/>
            </w14:solidFill>
          </w14:textFill>
        </w:rPr>
        <w:t>推</w:t>
      </w:r>
      <w:r>
        <w:rPr>
          <w:rFonts w:hint="eastAsia" w:ascii="黑体" w:hAnsi="黑体" w:eastAsia="黑体" w:cs="宋体"/>
          <w:b/>
          <w:bCs/>
          <w:color w:val="000000" w:themeColor="text1"/>
          <w:sz w:val="24"/>
          <w:highlight w:val="none"/>
          <w14:textFill>
            <w14:solidFill>
              <w14:schemeClr w14:val="tx1"/>
            </w14:solidFill>
          </w14:textFill>
        </w:rPr>
        <w:t>荐原则</w:t>
      </w:r>
    </w:p>
    <w:p w14:paraId="5BCE59BA">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r>
        <w:rPr>
          <w:rFonts w:hint="eastAsia" w:ascii="宋体" w:hAnsi="宋体"/>
          <w:color w:val="000000" w:themeColor="text1"/>
          <w:kern w:val="0"/>
          <w:szCs w:val="21"/>
          <w:highlight w:val="none"/>
          <w14:textFill>
            <w14:solidFill>
              <w14:schemeClr w14:val="tx1"/>
            </w14:solidFill>
          </w14:textFill>
        </w:rPr>
        <w:t>。</w:t>
      </w:r>
    </w:p>
    <w:p w14:paraId="423077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3F7318">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37465F35">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评审依据：磋商小组以磋商文件为评审依据，对供应商的报价、技术、商务等方面内容按百分制打分。（计分方法按四舍五入取至百分位）</w:t>
      </w:r>
    </w:p>
    <w:p w14:paraId="3882F917">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br w:type="page"/>
      </w:r>
    </w:p>
    <w:tbl>
      <w:tblPr>
        <w:tblStyle w:val="4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494"/>
        <w:gridCol w:w="1595"/>
        <w:gridCol w:w="5843"/>
        <w:gridCol w:w="878"/>
      </w:tblGrid>
      <w:tr w14:paraId="486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00684037">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089" w:type="dxa"/>
            <w:gridSpan w:val="2"/>
            <w:noWrap w:val="0"/>
            <w:vAlign w:val="center"/>
          </w:tcPr>
          <w:p w14:paraId="31ADB9CE">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5843" w:type="dxa"/>
            <w:noWrap w:val="0"/>
            <w:vAlign w:val="center"/>
          </w:tcPr>
          <w:p w14:paraId="4F0A353A">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评审标准</w:t>
            </w:r>
          </w:p>
        </w:tc>
        <w:tc>
          <w:tcPr>
            <w:tcW w:w="878" w:type="dxa"/>
            <w:noWrap w:val="0"/>
            <w:vAlign w:val="center"/>
          </w:tcPr>
          <w:p w14:paraId="0F175B11">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分值</w:t>
            </w:r>
          </w:p>
        </w:tc>
      </w:tr>
      <w:tr w14:paraId="27AB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577BF4EA">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089" w:type="dxa"/>
            <w:gridSpan w:val="2"/>
            <w:noWrap w:val="0"/>
            <w:vAlign w:val="center"/>
          </w:tcPr>
          <w:p w14:paraId="103BCAE2">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价格分</w:t>
            </w:r>
          </w:p>
        </w:tc>
        <w:tc>
          <w:tcPr>
            <w:tcW w:w="5843" w:type="dxa"/>
            <w:noWrap w:val="0"/>
            <w:vAlign w:val="top"/>
          </w:tcPr>
          <w:p w14:paraId="41E3814C">
            <w:pPr>
              <w:pStyle w:val="17"/>
              <w:rPr>
                <w:rFonts w:hAnsi="宋体" w:cs="Courier New"/>
                <w:bCs/>
                <w:color w:val="000000" w:themeColor="text1"/>
                <w:kern w:val="2"/>
                <w:sz w:val="21"/>
                <w:highlight w:val="none"/>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1）本项目为专门面向中小企业项目，根据《政府采购促进中小企业发展管理办法》（财库〔2020〕46号）、《财政部、司法部关于政府采购支持监狱企业发展有关问题的通知》（财库〔2014〕68号）、《关于促进残疾人就业政府采购政策的通知》（财库〔2017〕141号）的规定，不再对供应商的最后报价进行政策性扣除。</w:t>
            </w:r>
          </w:p>
          <w:p w14:paraId="10921AAB">
            <w:pPr>
              <w:pStyle w:val="25"/>
              <w:spacing w:line="360" w:lineRule="auto"/>
              <w:rPr>
                <w:rFonts w:hAnsi="宋体" w:cs="Courier New"/>
                <w:bCs/>
                <w:color w:val="000000" w:themeColor="text1"/>
                <w:kern w:val="2"/>
                <w:sz w:val="21"/>
                <w:highlight w:val="none"/>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（2）以进入比较与评价环节的最低的</w:t>
            </w:r>
            <w:r>
              <w:rPr>
                <w:rFonts w:hint="eastAsia" w:hAnsi="宋体" w:cs="Courier New"/>
                <w:bCs/>
                <w:color w:val="000000" w:themeColor="text1"/>
                <w:kern w:val="2"/>
                <w:sz w:val="21"/>
                <w:highlight w:val="none"/>
                <w:lang w:val="en-US" w:eastAsia="zh-CN"/>
                <w14:textFill>
                  <w14:solidFill>
                    <w14:schemeClr w14:val="tx1"/>
                  </w14:solidFill>
                </w14:textFill>
              </w:rPr>
              <w:t>最后报</w:t>
            </w:r>
            <w:r>
              <w:rPr>
                <w:rFonts w:hint="eastAsia" w:hAnsi="宋体" w:cs="Courier New"/>
                <w:bCs/>
                <w:color w:val="000000" w:themeColor="text1"/>
                <w:kern w:val="2"/>
                <w:sz w:val="21"/>
                <w:highlight w:val="none"/>
                <w14:textFill>
                  <w14:solidFill>
                    <w14:schemeClr w14:val="tx1"/>
                  </w14:solidFill>
                </w14:textFill>
              </w:rPr>
              <w:t>价为基准价，基准价得分为</w:t>
            </w:r>
            <w:r>
              <w:rPr>
                <w:rFonts w:hAnsi="宋体" w:cs="Courier New"/>
                <w:bCs/>
                <w:color w:val="000000" w:themeColor="text1"/>
                <w:kern w:val="2"/>
                <w:sz w:val="21"/>
                <w:highlight w:val="none"/>
                <w14:textFill>
                  <w14:solidFill>
                    <w14:schemeClr w14:val="tx1"/>
                  </w14:solidFill>
                </w14:textFill>
              </w:rPr>
              <w:t xml:space="preserve"> </w:t>
            </w:r>
            <w:r>
              <w:rPr>
                <w:rFonts w:hint="eastAsia" w:hAnsi="宋体" w:cs="Courier New"/>
                <w:bCs/>
                <w:color w:val="000000" w:themeColor="text1"/>
                <w:kern w:val="2"/>
                <w:sz w:val="21"/>
                <w:highlight w:val="none"/>
                <w:lang w:val="en-US" w:eastAsia="zh-CN"/>
                <w14:textFill>
                  <w14:solidFill>
                    <w14:schemeClr w14:val="tx1"/>
                  </w14:solidFill>
                </w14:textFill>
              </w:rPr>
              <w:t>2</w:t>
            </w:r>
            <w:r>
              <w:rPr>
                <w:rFonts w:hint="eastAsia" w:hAnsi="宋体" w:cs="Courier New"/>
                <w:bCs/>
                <w:color w:val="000000" w:themeColor="text1"/>
                <w:kern w:val="2"/>
                <w:sz w:val="21"/>
                <w:highlight w:val="none"/>
                <w14:textFill>
                  <w14:solidFill>
                    <w14:schemeClr w14:val="tx1"/>
                  </w14:solidFill>
                </w14:textFill>
              </w:rPr>
              <w:t>0分 。</w:t>
            </w:r>
          </w:p>
          <w:p w14:paraId="060812C7">
            <w:pPr>
              <w:pStyle w:val="25"/>
              <w:wordWrap w:val="0"/>
              <w:spacing w:line="400" w:lineRule="exact"/>
              <w:ind w:firstLine="420" w:firstLineChars="200"/>
              <w:rPr>
                <w:rFonts w:hint="eastAsia" w:hAnsi="宋体" w:cs="宋体"/>
                <w:bCs/>
                <w:color w:val="000000" w:themeColor="text1"/>
                <w:kern w:val="2"/>
                <w:sz w:val="21"/>
                <w:highlight w:val="none"/>
                <w:lang w:val="en-US" w:eastAsia="zh-CN"/>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（3）价格分计算公式：某供应商报价得分=（基准价/某供应商最后报价）×</w:t>
            </w:r>
            <w:r>
              <w:rPr>
                <w:rFonts w:hint="eastAsia" w:hAnsi="宋体" w:cs="Courier New"/>
                <w:bCs/>
                <w:color w:val="000000" w:themeColor="text1"/>
                <w:kern w:val="2"/>
                <w:sz w:val="21"/>
                <w:highlight w:val="none"/>
                <w:lang w:val="en-US" w:eastAsia="zh-CN"/>
                <w14:textFill>
                  <w14:solidFill>
                    <w14:schemeClr w14:val="tx1"/>
                  </w14:solidFill>
                </w14:textFill>
              </w:rPr>
              <w:t>20</w:t>
            </w:r>
            <w:r>
              <w:rPr>
                <w:rFonts w:hint="eastAsia" w:hAnsi="宋体" w:cs="Courier New"/>
                <w:bCs/>
                <w:color w:val="000000" w:themeColor="text1"/>
                <w:kern w:val="2"/>
                <w:sz w:val="21"/>
                <w:highlight w:val="none"/>
                <w14:textFill>
                  <w14:solidFill>
                    <w14:schemeClr w14:val="tx1"/>
                  </w14:solidFill>
                </w14:textFill>
              </w:rPr>
              <w:t>分</w:t>
            </w:r>
          </w:p>
        </w:tc>
        <w:tc>
          <w:tcPr>
            <w:tcW w:w="878" w:type="dxa"/>
            <w:noWrap w:val="0"/>
            <w:vAlign w:val="center"/>
          </w:tcPr>
          <w:p w14:paraId="3CF0A123">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20分</w:t>
            </w:r>
          </w:p>
        </w:tc>
      </w:tr>
      <w:tr w14:paraId="7E4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6CF63F62">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w:t>
            </w:r>
          </w:p>
        </w:tc>
        <w:tc>
          <w:tcPr>
            <w:tcW w:w="2089" w:type="dxa"/>
            <w:gridSpan w:val="2"/>
            <w:noWrap w:val="0"/>
            <w:vAlign w:val="center"/>
          </w:tcPr>
          <w:p w14:paraId="0CB2C1D1">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技术分</w:t>
            </w:r>
          </w:p>
        </w:tc>
        <w:tc>
          <w:tcPr>
            <w:tcW w:w="5843" w:type="dxa"/>
            <w:noWrap w:val="0"/>
            <w:vAlign w:val="center"/>
          </w:tcPr>
          <w:p w14:paraId="6C04C652">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评审标准</w:t>
            </w:r>
          </w:p>
        </w:tc>
        <w:tc>
          <w:tcPr>
            <w:tcW w:w="878" w:type="dxa"/>
            <w:noWrap w:val="0"/>
            <w:vAlign w:val="center"/>
          </w:tcPr>
          <w:p w14:paraId="104CE39F">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70分</w:t>
            </w:r>
          </w:p>
        </w:tc>
      </w:tr>
      <w:tr w14:paraId="7FA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548" w:type="dxa"/>
            <w:noWrap w:val="0"/>
            <w:vAlign w:val="center"/>
          </w:tcPr>
          <w:p w14:paraId="1CB99E01">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2.1</w:t>
            </w:r>
          </w:p>
        </w:tc>
        <w:tc>
          <w:tcPr>
            <w:tcW w:w="494" w:type="dxa"/>
            <w:noWrap w:val="0"/>
            <w:vAlign w:val="center"/>
          </w:tcPr>
          <w:p w14:paraId="5A084E06">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项目管理机构</w:t>
            </w:r>
          </w:p>
        </w:tc>
        <w:tc>
          <w:tcPr>
            <w:tcW w:w="1595" w:type="dxa"/>
            <w:noWrap w:val="0"/>
            <w:vAlign w:val="center"/>
          </w:tcPr>
          <w:p w14:paraId="7E3CF1BC">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项目经理任职资格</w:t>
            </w:r>
          </w:p>
        </w:tc>
        <w:tc>
          <w:tcPr>
            <w:tcW w:w="5843" w:type="dxa"/>
            <w:noWrap w:val="0"/>
            <w:vAlign w:val="center"/>
          </w:tcPr>
          <w:p w14:paraId="5D23AF19">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项目经理具备建筑工程</w:t>
            </w:r>
            <w:r>
              <w:rPr>
                <w:rFonts w:hint="eastAsia"/>
                <w:color w:val="000000" w:themeColor="text1"/>
                <w:highlight w:val="none"/>
                <w14:textFill>
                  <w14:solidFill>
                    <w14:schemeClr w14:val="tx1"/>
                  </w14:solidFill>
                </w14:textFill>
              </w:rPr>
              <w:t>相关</w:t>
            </w:r>
            <w:r>
              <w:rPr>
                <w:rFonts w:hint="eastAsia" w:ascii="宋体" w:hAnsi="宋体" w:cs="宋体"/>
                <w:color w:val="000000" w:themeColor="text1"/>
                <w:szCs w:val="21"/>
                <w:highlight w:val="none"/>
                <w14:textFill>
                  <w14:solidFill>
                    <w14:schemeClr w14:val="tx1"/>
                  </w14:solidFill>
                </w14:textFill>
              </w:rPr>
              <w:t>专业中级技术职称的得3分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具备建筑工程相关专业</w:t>
            </w:r>
            <w:r>
              <w:rPr>
                <w:rFonts w:hint="eastAsia" w:ascii="宋体" w:hAnsi="宋体" w:cs="宋体"/>
                <w:color w:val="000000" w:themeColor="text1"/>
                <w:szCs w:val="21"/>
                <w:highlight w:val="none"/>
                <w:lang w:val="en-US" w:eastAsia="zh-CN"/>
                <w14:textFill>
                  <w14:solidFill>
                    <w14:schemeClr w14:val="tx1"/>
                  </w14:solidFill>
                </w14:textFill>
              </w:rPr>
              <w:t>高级</w:t>
            </w:r>
            <w:r>
              <w:rPr>
                <w:rFonts w:hint="eastAsia" w:ascii="宋体" w:hAnsi="宋体" w:cs="宋体"/>
                <w:color w:val="000000" w:themeColor="text1"/>
                <w:szCs w:val="21"/>
                <w:highlight w:val="none"/>
                <w14:textFill>
                  <w14:solidFill>
                    <w14:schemeClr w14:val="tx1"/>
                  </w14:solidFill>
                </w14:textFill>
              </w:rPr>
              <w:t>技术职称的得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14:paraId="0A7A163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注：响应文件中提供项目经理相应有效的职称证书复印件，复印件需加盖单位公章，否则不得分。</w:t>
            </w:r>
          </w:p>
        </w:tc>
        <w:tc>
          <w:tcPr>
            <w:tcW w:w="878" w:type="dxa"/>
            <w:noWrap w:val="0"/>
            <w:vAlign w:val="center"/>
          </w:tcPr>
          <w:p w14:paraId="076F901E">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w:t>
            </w:r>
          </w:p>
        </w:tc>
      </w:tr>
      <w:tr w14:paraId="4D9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restart"/>
            <w:noWrap w:val="0"/>
            <w:vAlign w:val="center"/>
          </w:tcPr>
          <w:p w14:paraId="5B40F8AC">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w:t>
            </w:r>
          </w:p>
        </w:tc>
        <w:tc>
          <w:tcPr>
            <w:tcW w:w="494" w:type="dxa"/>
            <w:vMerge w:val="restart"/>
            <w:noWrap w:val="0"/>
            <w:vAlign w:val="center"/>
          </w:tcPr>
          <w:p w14:paraId="595A0C64">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施工组织设计</w:t>
            </w:r>
          </w:p>
        </w:tc>
        <w:tc>
          <w:tcPr>
            <w:tcW w:w="1595" w:type="dxa"/>
            <w:noWrap w:val="0"/>
            <w:vAlign w:val="center"/>
          </w:tcPr>
          <w:p w14:paraId="76F4CB74">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主要施工方法</w:t>
            </w:r>
          </w:p>
        </w:tc>
        <w:tc>
          <w:tcPr>
            <w:tcW w:w="5843" w:type="dxa"/>
            <w:noWrap w:val="0"/>
            <w:vAlign w:val="center"/>
          </w:tcPr>
          <w:p w14:paraId="01074983">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一档（2分）：各主要分部施工方法基本符合项目实际，施工技术方案考虑不够详细、不够切合项目。</w:t>
            </w:r>
          </w:p>
          <w:p w14:paraId="6512A07E">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二档（6分）：各主要分部施工方法符合项目实际，有详尽的施工技术方案，工艺基本可行、方法可行，能指导具体施工并确保安全。</w:t>
            </w:r>
          </w:p>
          <w:p w14:paraId="5B4F452E">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三档（10分）：各主要分部施工方法符合项目实际，有详尽的施工技术方案，工艺先进、方法科学合理、可行，能指导具体施工并确保安全。</w:t>
            </w:r>
          </w:p>
          <w:p w14:paraId="03EE4F71">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0AD9FCDA">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6C6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D5BBD9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61A76008">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0FDAB3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拟投入的主要物资计划</w:t>
            </w:r>
          </w:p>
        </w:tc>
        <w:tc>
          <w:tcPr>
            <w:tcW w:w="5843" w:type="dxa"/>
            <w:noWrap w:val="0"/>
            <w:vAlign w:val="center"/>
          </w:tcPr>
          <w:p w14:paraId="4501B8C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w:t>
            </w:r>
            <w:r>
              <w:rPr>
                <w:rFonts w:hint="eastAsia" w:ascii="宋体" w:hAnsi="宋体" w:cs="宋体"/>
                <w:color w:val="000000" w:themeColor="text1"/>
                <w:kern w:val="0"/>
                <w:szCs w:val="21"/>
                <w:highlight w:val="none"/>
                <w14:textFill>
                  <w14:solidFill>
                    <w14:schemeClr w14:val="tx1"/>
                  </w14:solidFill>
                </w14:textFill>
              </w:rPr>
              <w:t>投入的施工材料有组织计划，数量、选型配置、进场时间基本满足施工需要</w:t>
            </w:r>
            <w:r>
              <w:rPr>
                <w:rFonts w:hint="eastAsia" w:ascii="宋体" w:hAnsi="宋体" w:cs="宋体"/>
                <w:color w:val="000000" w:themeColor="text1"/>
                <w:szCs w:val="21"/>
                <w:highlight w:val="none"/>
                <w14:textFill>
                  <w14:solidFill>
                    <w14:schemeClr w14:val="tx1"/>
                  </w14:solidFill>
                </w14:textFill>
              </w:rPr>
              <w:t>。</w:t>
            </w:r>
          </w:p>
          <w:p w14:paraId="6C85AEC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w:t>
            </w:r>
            <w:r>
              <w:rPr>
                <w:rFonts w:hint="eastAsia" w:ascii="宋体" w:hAnsi="宋体" w:cs="宋体"/>
                <w:color w:val="000000" w:themeColor="text1"/>
                <w:kern w:val="0"/>
                <w:szCs w:val="21"/>
                <w:highlight w:val="none"/>
                <w14:textFill>
                  <w14:solidFill>
                    <w14:schemeClr w14:val="tx1"/>
                  </w14:solidFill>
                </w14:textFill>
              </w:rPr>
              <w:t>投入的施工材料有详细的组织计划且计划</w:t>
            </w:r>
            <w:r>
              <w:rPr>
                <w:rFonts w:hint="eastAsia" w:ascii="宋体" w:hAnsi="宋体" w:cs="宋体"/>
                <w:color w:val="000000" w:themeColor="text1"/>
                <w:szCs w:val="21"/>
                <w:highlight w:val="none"/>
                <w14:textFill>
                  <w14:solidFill>
                    <w14:schemeClr w14:val="tx1"/>
                  </w14:solidFill>
                </w14:textFill>
              </w:rPr>
              <w:t>考虑不够周全</w:t>
            </w:r>
            <w:r>
              <w:rPr>
                <w:rFonts w:hint="eastAsia" w:ascii="宋体" w:hAnsi="宋体" w:cs="宋体"/>
                <w:color w:val="000000" w:themeColor="text1"/>
                <w:kern w:val="0"/>
                <w:szCs w:val="21"/>
                <w:highlight w:val="none"/>
                <w14:textFill>
                  <w14:solidFill>
                    <w14:schemeClr w14:val="tx1"/>
                  </w14:solidFill>
                </w14:textFill>
              </w:rPr>
              <w:t>，数量、选型配置、进场时间安排较合理，满足施工需要</w:t>
            </w:r>
            <w:r>
              <w:rPr>
                <w:rFonts w:hint="eastAsia" w:ascii="宋体" w:hAnsi="宋体" w:cs="宋体"/>
                <w:color w:val="000000" w:themeColor="text1"/>
                <w:szCs w:val="21"/>
                <w:highlight w:val="none"/>
                <w14:textFill>
                  <w14:solidFill>
                    <w14:schemeClr w14:val="tx1"/>
                  </w14:solidFill>
                </w14:textFill>
              </w:rPr>
              <w:t xml:space="preserve">。 </w:t>
            </w:r>
          </w:p>
          <w:p w14:paraId="4F5FCC1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三档（8分）：投入的施工材料有详细的组织计划且计划周密，数量、选型配置、进场时间安排合理，有拟配备本项目的试验和检测仪器设备表，完全满足施工需要。</w:t>
            </w:r>
          </w:p>
          <w:p w14:paraId="5DD92AAC">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64CE6AE9">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3C7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1097E7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44138ED3">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1A5CCC7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拟投入的主要施工机械、设备计划</w:t>
            </w:r>
          </w:p>
        </w:tc>
        <w:tc>
          <w:tcPr>
            <w:tcW w:w="5843" w:type="dxa"/>
            <w:noWrap w:val="0"/>
            <w:vAlign w:val="center"/>
          </w:tcPr>
          <w:p w14:paraId="44855FB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一档（2分）：投入的施工机械、设备、机具无详细的组织计划，设备数量、选型配置、进场时间安排不够合理。</w:t>
            </w:r>
          </w:p>
          <w:p w14:paraId="3D02715E">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二档（5分）：投入的施工机械、设备、机具有组织计划且计划考虑基本切合项目实际，设备数量、选型配置、进场时间安排合理，基本满足施工需要。  </w:t>
            </w:r>
          </w:p>
          <w:p w14:paraId="0486019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三档（8分）：投入的施工机械、设备、机具有详细的组织计划且计划周密，设备数量、选型配置、进场时间安排合理，满足施工需要。 </w:t>
            </w:r>
          </w:p>
          <w:p w14:paraId="260D375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34BBD897">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2319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C5F9F05">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751D7FE9">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57C98B8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劳动力安排计划</w:t>
            </w:r>
          </w:p>
        </w:tc>
        <w:tc>
          <w:tcPr>
            <w:tcW w:w="5843" w:type="dxa"/>
            <w:noWrap w:val="0"/>
            <w:vAlign w:val="center"/>
          </w:tcPr>
          <w:p w14:paraId="1244939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w:t>
            </w:r>
            <w:r>
              <w:rPr>
                <w:rFonts w:hint="eastAsia" w:ascii="宋体" w:hAnsi="宋体" w:cs="宋体"/>
                <w:color w:val="000000" w:themeColor="text1"/>
                <w:kern w:val="0"/>
                <w:szCs w:val="21"/>
                <w:highlight w:val="none"/>
                <w14:textFill>
                  <w14:solidFill>
                    <w14:schemeClr w14:val="tx1"/>
                  </w14:solidFill>
                </w14:textFill>
              </w:rPr>
              <w:t>各主要施工工序有劳动力安排计划，劳动力投入基本满足施工需要</w:t>
            </w:r>
            <w:r>
              <w:rPr>
                <w:rFonts w:hint="eastAsia" w:ascii="宋体" w:hAnsi="宋体" w:cs="宋体"/>
                <w:color w:val="000000" w:themeColor="text1"/>
                <w:szCs w:val="21"/>
                <w:highlight w:val="none"/>
                <w14:textFill>
                  <w14:solidFill>
                    <w14:schemeClr w14:val="tx1"/>
                  </w14:solidFill>
                </w14:textFill>
              </w:rPr>
              <w:t xml:space="preserve">。 </w:t>
            </w:r>
          </w:p>
          <w:p w14:paraId="0F3B270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w:t>
            </w:r>
            <w:r>
              <w:rPr>
                <w:rFonts w:hint="eastAsia" w:ascii="宋体" w:hAnsi="宋体" w:cs="宋体"/>
                <w:color w:val="000000" w:themeColor="text1"/>
                <w:kern w:val="0"/>
                <w:szCs w:val="21"/>
                <w:highlight w:val="none"/>
                <w14:textFill>
                  <w14:solidFill>
                    <w14:schemeClr w14:val="tx1"/>
                  </w14:solidFill>
                </w14:textFill>
              </w:rPr>
              <w:t>各主要施工工序有详细的劳动力安排计划，有各工种劳动力安排计划，劳动力投入较合理，满足施工需要</w:t>
            </w:r>
            <w:r>
              <w:rPr>
                <w:rFonts w:hint="eastAsia" w:ascii="宋体" w:hAnsi="宋体" w:cs="宋体"/>
                <w:color w:val="000000" w:themeColor="text1"/>
                <w:szCs w:val="21"/>
                <w:highlight w:val="none"/>
                <w14:textFill>
                  <w14:solidFill>
                    <w14:schemeClr w14:val="tx1"/>
                  </w14:solidFill>
                </w14:textFill>
              </w:rPr>
              <w:t>。</w:t>
            </w:r>
          </w:p>
          <w:p w14:paraId="00AA7EF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三档（8分）：各主要施工工序有详细周密的劳动力安排计划，有各工种劳动力安排计划，劳动力投入合理，满足施工需要。</w:t>
            </w:r>
          </w:p>
          <w:p w14:paraId="7BB86CF2">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3A6A6D51">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439F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00096CDA">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5F8B0BA5">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4F24ABF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确保工程质量的技术组织措施</w:t>
            </w:r>
          </w:p>
        </w:tc>
        <w:tc>
          <w:tcPr>
            <w:tcW w:w="5843" w:type="dxa"/>
            <w:noWrap w:val="0"/>
            <w:vAlign w:val="center"/>
          </w:tcPr>
          <w:p w14:paraId="6EF50698">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一档（2分）：有专门的质量技术管理班子和制度。主要工序有质量技术保证措施和手段，基本能保证技术质量，达到承诺的质量标准。</w:t>
            </w:r>
          </w:p>
          <w:p w14:paraId="2A4101A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专门的质量技术管理班子和制度，且人员配备较合理，制度较健全。有质量管理责任人和职责明确，正确完整列出针对本工程关键工序的质量验收流程和验收依据标准。主要工序有质量技术保证措施和手段，自控体系较完整，能有效保证技术质量，达到承诺的质量标准。</w:t>
            </w:r>
          </w:p>
          <w:p w14:paraId="7DE77EA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有专门的质量技术管理班子和制度，且人员配备合理，制度健全。有质量管理责任人和职责明确，正确完整列出针对本工程关键工序的质量验收流程和验收依据标准，有针对施工过程质量控制日常管理制度流程，且满足本工程需要。主要工序有质量技术保证措施和手段，自控体系完整，能有效保证技术质量，达到承诺的质量标准。</w:t>
            </w:r>
          </w:p>
          <w:p w14:paraId="153D95FE">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15BCA2CD">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6F7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51323804">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5995581E">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7B244302">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确保安全生产的技术组织措施</w:t>
            </w:r>
          </w:p>
        </w:tc>
        <w:tc>
          <w:tcPr>
            <w:tcW w:w="5843" w:type="dxa"/>
            <w:noWrap w:val="0"/>
            <w:vAlign w:val="center"/>
          </w:tcPr>
          <w:p w14:paraId="6E31525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一档（2分）：有专门的安全管理人员和制度，且人员配备基本合理，制度基本健全，各道工序安全技术措施基本符合满足有关安全技术标准要求。现场防火、应急救援、社会治安安全措施基本可行。</w:t>
            </w:r>
          </w:p>
          <w:p w14:paraId="4FE0794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专门的安全管理人员和制度，且人员配备较合理，制度较健全，各道工序安全技术措施针对性较强，符合实际且满足有关安全技术标准要求。现场防火、应急救援、社会治安安全措施较得力。有对本工程的全面风险分析、施工各项风险的专项防护措施、风险事件的应急处置预案，内容基本可行。</w:t>
            </w:r>
          </w:p>
          <w:p w14:paraId="1CFE440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有专门的安全管理人员和制度，且人员配备合理，制度健全，各道工序安全技术措施针对性强，符合实际且满足有关安全技术标准要求。现场防火、应急救援、社会治安安全措施得力。有针对本工程的全面风险分析、施工各项风险的专项防护措施、风险事件的应急处置预案，且内容可行性强。有可行的对他方交叉作业安全管理措施和针对本工程突发异常天气等自然灾害环形的预防保障及应急处置措施。</w:t>
            </w:r>
          </w:p>
          <w:p w14:paraId="051F736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13D732E6">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278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F0FAB06">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66D62BAC">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849D133">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确保工期的技术组织措施</w:t>
            </w:r>
          </w:p>
        </w:tc>
        <w:tc>
          <w:tcPr>
            <w:tcW w:w="5843" w:type="dxa"/>
            <w:noWrap w:val="0"/>
            <w:vAlign w:val="center"/>
          </w:tcPr>
          <w:p w14:paraId="38D33A04">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一档（2分）：在施工工艺、施工方法、材料选用、劳动力安排、技术等方面有保证工期的措施。有控制工期的施工进度计划，基本符合本项目施工实际要求。</w:t>
            </w:r>
          </w:p>
          <w:p w14:paraId="2C9010C9">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施工工艺、施工方法、材料选用、劳动力安排、技术等方面有保证工期的具体措施且措施较得当。有控制工期的施工进度计划。有施工总进度表或施工网络图，各项计划图表编制较完善，安排较合理，符合本项目施工实际要求。</w:t>
            </w:r>
          </w:p>
          <w:p w14:paraId="7659488B">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施工工艺、施工方法、材料选用、劳动力安排、技术等方面有保证工期的具体措施且措施得当。有控制工期的施工进度计划。有施工总进度表或施工网络图，对关键线路节点控制管理措施得当，并对如果发生进度滞后有具体可行的纠偏及补救措施，各项计划图表编制完善，安排科学合理，符合本项目施工实际要求。</w:t>
            </w:r>
          </w:p>
          <w:p w14:paraId="6B80542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71BDBA1B">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31FE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6FF6A4E9">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48D7D586">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528D02F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确保文明施工的技术组织措施</w:t>
            </w:r>
          </w:p>
        </w:tc>
        <w:tc>
          <w:tcPr>
            <w:tcW w:w="5843" w:type="dxa"/>
            <w:noWrap w:val="0"/>
            <w:vAlign w:val="center"/>
          </w:tcPr>
          <w:p w14:paraId="0358D77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应有现场文明施工、环境保护措施，且措施内容应达到《建筑施工安全生产检查标准》（JGJ59-2011）合格标准并符合《广西壮族自治区建筑工程文明施工导则》要求。各项措施不够合理。无具体实现现场文明施工目标的承诺。</w:t>
            </w:r>
          </w:p>
          <w:p w14:paraId="042FFCF6">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现场文明施工、环境保护措施，且措施内容达到《建筑施工安全生产检查标准》（JGJ59-2011）合格标准并符合《广西壮族自治区建筑工程文明施工导则》要求。各项措施详细，内容基本合理。有具体实现现场文明施工目标的承诺。</w:t>
            </w:r>
          </w:p>
          <w:p w14:paraId="3CFB6363">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档（6分）：针对本工程项目特点，有现场文明施工、环境保护措施，且措施内容达到《建筑施工安全生产检查标准》（JGJ59-2011）合格标准并符合《广西壮族自治区建筑工程文明施工导则》要求。各项措施详尽、周全、具体、有效。有具体实现现场文明施工目标的承诺。 </w:t>
            </w:r>
          </w:p>
          <w:p w14:paraId="4CA5DD21">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0AD25D5E">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408B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02DDA33">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25CD716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9B8A408">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工程施工的重点和难点及保证措施</w:t>
            </w:r>
          </w:p>
        </w:tc>
        <w:tc>
          <w:tcPr>
            <w:tcW w:w="5843" w:type="dxa"/>
            <w:noWrap w:val="0"/>
            <w:vAlign w:val="center"/>
          </w:tcPr>
          <w:p w14:paraId="257B41C9">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一档（2分）：针对本工程的特点，阐述本工程的重点和难点，解决重点和难点问题的方法不够合理。</w:t>
            </w:r>
          </w:p>
          <w:p w14:paraId="6BA4AF5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二档（4分）：针对本工程的特点，阐述本工程的重点和难点，解决重点和难点问题的方法基本合理。 </w:t>
            </w:r>
          </w:p>
          <w:p w14:paraId="358996F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三档（6分）：针对本工程的特点，阐述本工程的重点和难点，解决重点和难点问题的方法科学合理且全面。</w:t>
            </w:r>
          </w:p>
          <w:p w14:paraId="679569FB">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注：方案未达到一档标准要求的，得0分。</w:t>
            </w:r>
          </w:p>
        </w:tc>
        <w:tc>
          <w:tcPr>
            <w:tcW w:w="878" w:type="dxa"/>
            <w:noWrap w:val="0"/>
            <w:vAlign w:val="center"/>
          </w:tcPr>
          <w:p w14:paraId="4272ECCB">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263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A43A791">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089" w:type="dxa"/>
            <w:gridSpan w:val="2"/>
            <w:noWrap w:val="0"/>
            <w:vAlign w:val="center"/>
          </w:tcPr>
          <w:p w14:paraId="245CCF4E">
            <w:pPr>
              <w:widowControl/>
              <w:wordWrap w:val="0"/>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商务分</w:t>
            </w:r>
          </w:p>
        </w:tc>
        <w:tc>
          <w:tcPr>
            <w:tcW w:w="5843" w:type="dxa"/>
            <w:noWrap w:val="0"/>
            <w:vAlign w:val="center"/>
          </w:tcPr>
          <w:p w14:paraId="4C17593B">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评审标准</w:t>
            </w:r>
          </w:p>
        </w:tc>
        <w:tc>
          <w:tcPr>
            <w:tcW w:w="878" w:type="dxa"/>
            <w:noWrap w:val="0"/>
            <w:vAlign w:val="center"/>
          </w:tcPr>
          <w:p w14:paraId="63204F08">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18F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4017F6A">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2089" w:type="dxa"/>
            <w:gridSpan w:val="2"/>
            <w:noWrap w:val="0"/>
            <w:vAlign w:val="center"/>
          </w:tcPr>
          <w:p w14:paraId="4300830E">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业绩分</w:t>
            </w:r>
          </w:p>
        </w:tc>
        <w:tc>
          <w:tcPr>
            <w:tcW w:w="5843" w:type="dxa"/>
            <w:noWrap w:val="0"/>
            <w:vAlign w:val="center"/>
          </w:tcPr>
          <w:p w14:paraId="2351A3B6">
            <w:pPr>
              <w:wordWrap w:val="0"/>
              <w:autoSpaceDE w:val="0"/>
              <w:autoSpaceDN w:val="0"/>
              <w:adjustRightInd w:val="0"/>
              <w:spacing w:line="400" w:lineRule="exact"/>
              <w:rPr>
                <w:rFonts w:hint="eastAsia" w:hAnsi="宋体" w:cs="Courier New"/>
                <w:bCs/>
                <w:color w:val="000000" w:themeColor="text1"/>
                <w:kern w:val="2"/>
                <w:sz w:val="21"/>
                <w:highlight w:val="none"/>
                <w:lang w:val="en-US" w:eastAsia="zh-CN"/>
                <w14:textFill>
                  <w14:solidFill>
                    <w14:schemeClr w14:val="tx1"/>
                  </w14:solidFill>
                </w14:textFill>
              </w:rPr>
            </w:pPr>
            <w:r>
              <w:rPr>
                <w:rFonts w:hint="eastAsia" w:hAnsi="宋体" w:cs="Courier New"/>
                <w:bCs/>
                <w:color w:val="000000" w:themeColor="text1"/>
                <w:kern w:val="2"/>
                <w:sz w:val="21"/>
                <w:highlight w:val="none"/>
                <w:lang w:val="en-US" w:eastAsia="zh-CN"/>
                <w14:textFill>
                  <w14:solidFill>
                    <w14:schemeClr w14:val="tx1"/>
                  </w14:solidFill>
                </w14:textFill>
              </w:rPr>
              <w:t>供应商自2022年1月1日以来（以合同签订时间为准）具有同类项目业绩的，每个得2.5分，满分10分。</w:t>
            </w:r>
          </w:p>
          <w:p w14:paraId="610B4F20">
            <w:pPr>
              <w:wordWrap w:val="0"/>
              <w:autoSpaceDE w:val="0"/>
              <w:autoSpaceDN w:val="0"/>
              <w:adjustRightInd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hAnsi="宋体" w:cs="Courier New"/>
                <w:bCs/>
                <w:color w:val="000000" w:themeColor="text1"/>
                <w:kern w:val="2"/>
                <w:sz w:val="21"/>
                <w:highlight w:val="none"/>
                <w:lang w:val="en-US" w:eastAsia="zh-CN"/>
                <w14:textFill>
                  <w14:solidFill>
                    <w14:schemeClr w14:val="tx1"/>
                  </w14:solidFill>
                </w14:textFill>
              </w:rPr>
              <w:t>注：需在响应文件中提供中标（成交）通知书或施工合同复印件并加盖供应商公章，不提供</w:t>
            </w:r>
            <w:bookmarkStart w:id="839" w:name="_GoBack"/>
            <w:bookmarkEnd w:id="839"/>
            <w:r>
              <w:rPr>
                <w:rFonts w:hint="eastAsia" w:hAnsi="宋体" w:cs="Courier New"/>
                <w:bCs/>
                <w:color w:val="000000" w:themeColor="text1"/>
                <w:kern w:val="2"/>
                <w:sz w:val="21"/>
                <w:highlight w:val="none"/>
                <w:lang w:val="en-US" w:eastAsia="zh-CN"/>
                <w14:textFill>
                  <w14:solidFill>
                    <w14:schemeClr w14:val="tx1"/>
                  </w14:solidFill>
                </w14:textFill>
              </w:rPr>
              <w:t>不得分。</w:t>
            </w:r>
          </w:p>
        </w:tc>
        <w:tc>
          <w:tcPr>
            <w:tcW w:w="878" w:type="dxa"/>
            <w:noWrap w:val="0"/>
            <w:vAlign w:val="center"/>
          </w:tcPr>
          <w:p w14:paraId="6E717207">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457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0" w:type="dxa"/>
            <w:gridSpan w:val="4"/>
            <w:noWrap w:val="0"/>
            <w:vAlign w:val="top"/>
          </w:tcPr>
          <w:p w14:paraId="60EF188E">
            <w:pPr>
              <w:pStyle w:val="25"/>
              <w:wordWrap w:val="0"/>
              <w:spacing w:line="400" w:lineRule="exact"/>
              <w:ind w:firstLine="420" w:firstLineChars="200"/>
              <w:rPr>
                <w:rFonts w:hint="eastAsia" w:hAnsi="宋体" w:cs="宋体"/>
                <w:bCs/>
                <w:color w:val="000000" w:themeColor="text1"/>
                <w:kern w:val="2"/>
                <w:sz w:val="21"/>
                <w:highlight w:val="none"/>
                <w:lang w:val="en-US" w:eastAsia="zh-CN"/>
                <w14:textFill>
                  <w14:solidFill>
                    <w14:schemeClr w14:val="tx1"/>
                  </w14:solidFill>
                </w14:textFill>
              </w:rPr>
            </w:pPr>
            <w:r>
              <w:rPr>
                <w:rFonts w:hint="eastAsia" w:hAnsi="宋体" w:cs="宋体"/>
                <w:bCs/>
                <w:color w:val="000000" w:themeColor="text1"/>
                <w:kern w:val="2"/>
                <w:sz w:val="21"/>
                <w:highlight w:val="none"/>
                <w:lang w:val="en-US" w:eastAsia="zh-CN"/>
                <w14:textFill>
                  <w14:solidFill>
                    <w14:schemeClr w14:val="tx1"/>
                  </w14:solidFill>
                </w14:textFill>
              </w:rPr>
              <w:t>总得分＝1＋2＋3</w:t>
            </w:r>
          </w:p>
        </w:tc>
        <w:tc>
          <w:tcPr>
            <w:tcW w:w="878" w:type="dxa"/>
            <w:noWrap w:val="0"/>
            <w:vAlign w:val="center"/>
          </w:tcPr>
          <w:p w14:paraId="743FC06F">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100分</w:t>
            </w:r>
          </w:p>
        </w:tc>
      </w:tr>
      <w:tr w14:paraId="5CA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8" w:type="dxa"/>
            <w:gridSpan w:val="5"/>
            <w:noWrap w:val="0"/>
            <w:vAlign w:val="top"/>
          </w:tcPr>
          <w:p w14:paraId="578C0066">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本项目为施工项目，不涉及政策功能的节能，环保分加分。</w:t>
            </w:r>
          </w:p>
        </w:tc>
      </w:tr>
    </w:tbl>
    <w:p w14:paraId="67FBA5B7">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p w14:paraId="6FAECF30">
      <w:pPr>
        <w:pStyle w:val="2"/>
        <w:rPr>
          <w:rFonts w:ascii="宋体" w:hAnsi="宋体" w:cs="宋体"/>
          <w:color w:val="000000" w:themeColor="text1"/>
          <w:highlight w:val="none"/>
          <w14:textFill>
            <w14:solidFill>
              <w14:schemeClr w14:val="tx1"/>
            </w14:solidFill>
          </w14:textFill>
        </w:rPr>
      </w:pPr>
    </w:p>
    <w:p w14:paraId="2C0B4131">
      <w:pPr>
        <w:pStyle w:val="2"/>
        <w:jc w:val="center"/>
        <w:rPr>
          <w:rFonts w:ascii="宋体" w:hAnsi="宋体" w:cs="宋体"/>
          <w:color w:val="000000" w:themeColor="text1"/>
          <w:highlight w:val="none"/>
          <w14:textFill>
            <w14:solidFill>
              <w14:schemeClr w14:val="tx1"/>
            </w14:solidFill>
          </w14:textFill>
        </w:rPr>
      </w:pPr>
    </w:p>
    <w:p w14:paraId="3B65B64C">
      <w:pPr>
        <w:pStyle w:val="2"/>
        <w:jc w:val="center"/>
        <w:rPr>
          <w:rFonts w:ascii="宋体" w:hAnsi="宋体" w:cs="宋体"/>
          <w:color w:val="000000" w:themeColor="text1"/>
          <w:highlight w:val="none"/>
          <w14:textFill>
            <w14:solidFill>
              <w14:schemeClr w14:val="tx1"/>
            </w14:solidFill>
          </w14:textFill>
        </w:rPr>
      </w:pPr>
    </w:p>
    <w:p w14:paraId="184D4D74">
      <w:pPr>
        <w:rPr>
          <w:color w:val="000000" w:themeColor="text1"/>
          <w:highlight w:val="none"/>
          <w14:textFill>
            <w14:solidFill>
              <w14:schemeClr w14:val="tx1"/>
            </w14:solidFill>
          </w14:textFill>
        </w:rPr>
      </w:pPr>
    </w:p>
    <w:p w14:paraId="790C4849">
      <w:pPr>
        <w:pStyle w:val="2"/>
        <w:jc w:val="center"/>
        <w:rPr>
          <w:color w:val="000000" w:themeColor="text1"/>
          <w:highlight w:val="none"/>
          <w14:textFill>
            <w14:solidFill>
              <w14:schemeClr w14:val="tx1"/>
            </w14:solidFill>
          </w14:textFill>
        </w:rPr>
      </w:pPr>
      <w:bookmarkStart w:id="76" w:name="_Toc122424248"/>
      <w:r>
        <w:rPr>
          <w:rFonts w:hint="eastAsia"/>
          <w:color w:val="000000" w:themeColor="text1"/>
          <w:highlight w:val="none"/>
          <w14:textFill>
            <w14:solidFill>
              <w14:schemeClr w14:val="tx1"/>
            </w14:solidFill>
          </w14:textFill>
        </w:rPr>
        <w:t>第五章 工程量清单及图纸</w:t>
      </w:r>
      <w:bookmarkEnd w:id="76"/>
    </w:p>
    <w:p w14:paraId="7282C34D">
      <w:pPr>
        <w:pStyle w:val="2"/>
        <w:jc w:val="center"/>
        <w:rPr>
          <w:color w:val="000000" w:themeColor="text1"/>
          <w:highlight w:val="none"/>
          <w14:textFill>
            <w14:solidFill>
              <w14:schemeClr w14:val="tx1"/>
            </w14:solidFill>
          </w14:textFill>
        </w:rPr>
      </w:pPr>
    </w:p>
    <w:p w14:paraId="2812DA5A">
      <w:pPr>
        <w:pStyle w:val="2"/>
        <w:spacing w:before="0" w:after="0" w:line="360" w:lineRule="auto"/>
        <w:jc w:val="center"/>
        <w:rPr>
          <w:rFonts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14:paraId="7492DC38">
      <w:pPr>
        <w:pStyle w:val="3"/>
        <w:spacing w:before="0" w:after="0" w:line="360" w:lineRule="auto"/>
        <w:rPr>
          <w:color w:val="000000" w:themeColor="text1"/>
          <w:kern w:val="44"/>
          <w:highlight w:val="none"/>
          <w14:textFill>
            <w14:solidFill>
              <w14:schemeClr w14:val="tx1"/>
            </w14:solidFill>
          </w14:textFill>
        </w:rPr>
      </w:pPr>
      <w:bookmarkStart w:id="77" w:name="_Toc407135284"/>
      <w:bookmarkStart w:id="78" w:name="_Toc122424250"/>
      <w:bookmarkStart w:id="79" w:name="_Toc1386396751"/>
      <w:bookmarkStart w:id="80" w:name="_Toc78449869"/>
      <w:bookmarkStart w:id="81" w:name="_Toc1392571603"/>
      <w:bookmarkStart w:id="82" w:name="_Toc122424001"/>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工程量清单编制说明</w:t>
      </w:r>
      <w:bookmarkEnd w:id="77"/>
      <w:bookmarkEnd w:id="78"/>
      <w:bookmarkEnd w:id="79"/>
      <w:bookmarkEnd w:id="80"/>
      <w:bookmarkEnd w:id="81"/>
      <w:bookmarkEnd w:id="82"/>
    </w:p>
    <w:p w14:paraId="5835DC6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r>
        <w:rPr>
          <w:rFonts w:hint="eastAsia" w:hAnsi="宋体" w:cs="宋体"/>
          <w:color w:val="000000" w:themeColor="text1"/>
          <w:highlight w:val="none"/>
          <w14:textFill>
            <w14:solidFill>
              <w14:schemeClr w14:val="tx1"/>
            </w14:solidFill>
          </w14:textFill>
        </w:rPr>
        <w:t>本工程量清单依据《建设工程工程量清单计价规范</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GB50500-2013</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广西实施细则》（以下简称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《计价规范》</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、《工程量清单计算规范（</w:t>
      </w:r>
      <w:r>
        <w:rPr>
          <w:color w:val="000000" w:themeColor="text1"/>
          <w:highlight w:val="none"/>
          <w14:textFill>
            <w14:solidFill>
              <w14:schemeClr w14:val="tx1"/>
            </w14:solidFill>
          </w14:textFill>
        </w:rPr>
        <w:t>GB50854~50862-2013</w:t>
      </w:r>
      <w:r>
        <w:rPr>
          <w:rFonts w:hint="eastAsia" w:hAnsi="宋体" w:cs="宋体"/>
          <w:color w:val="000000" w:themeColor="text1"/>
          <w:highlight w:val="none"/>
          <w14:textFill>
            <w14:solidFill>
              <w14:schemeClr w14:val="tx1"/>
            </w14:solidFill>
          </w14:textFill>
        </w:rPr>
        <w:t>）》及广西实施细则（修订本）（以下简称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《计算规范》</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号）、磋商文件</w:t>
      </w:r>
      <w:r>
        <w:rPr>
          <w:rFonts w:hint="eastAsia" w:hAnsi="宋体" w:cs="宋体"/>
          <w:color w:val="000000" w:themeColor="text1"/>
          <w:highlight w:val="none"/>
          <w14:textFill>
            <w14:solidFill>
              <w14:schemeClr w14:val="tx1"/>
            </w14:solidFill>
          </w14:textFill>
        </w:rPr>
        <w:t>、施工图等编制。计算规范中没有的清单项目，应在本章第</w:t>
      </w:r>
      <w:r>
        <w:rPr>
          <w:color w:val="000000" w:themeColor="text1"/>
          <w:highlight w:val="none"/>
          <w14:textFill>
            <w14:solidFill>
              <w14:schemeClr w14:val="tx1"/>
            </w14:solidFill>
          </w14:textFill>
        </w:rPr>
        <w:t>1.4</w:t>
      </w:r>
      <w:r>
        <w:rPr>
          <w:rFonts w:hint="eastAsia" w:hAnsi="宋体" w:cs="宋体"/>
          <w:color w:val="000000" w:themeColor="text1"/>
          <w:highlight w:val="none"/>
          <w14:textFill>
            <w14:solidFill>
              <w14:schemeClr w14:val="tx1"/>
            </w14:solidFill>
          </w14:textFill>
        </w:rPr>
        <w:t>款约定。</w:t>
      </w:r>
    </w:p>
    <w:p w14:paraId="6D9AB52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工程量清单应与供应商须知、合同协议条款、合同的通用条款、合同专用条款、技术规范及图纸等文件一起结合使用。</w:t>
      </w:r>
    </w:p>
    <w:p w14:paraId="6E4FC27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工程量清单是磋商文件的组成部分，是工程量清单计价的基础，作为编制</w:t>
      </w:r>
      <w:r>
        <w:rPr>
          <w:rFonts w:hint="eastAsia" w:cs="宋体"/>
          <w:color w:val="000000" w:themeColor="text1"/>
          <w:highlight w:val="none"/>
          <w:lang w:val="en-US" w:eastAsia="zh-CN"/>
          <w14:textFill>
            <w14:solidFill>
              <w14:schemeClr w14:val="tx1"/>
            </w14:solidFill>
          </w14:textFill>
        </w:rPr>
        <w:t>招标</w:t>
      </w:r>
      <w:r>
        <w:rPr>
          <w:rFonts w:hint="eastAsia" w:cs="宋体"/>
          <w:color w:val="000000" w:themeColor="text1"/>
          <w:highlight w:val="none"/>
          <w14:textFill>
            <w14:solidFill>
              <w14:schemeClr w14:val="tx1"/>
            </w14:solidFill>
          </w14:textFill>
        </w:rPr>
        <w:t>控制价、竞标报价、计算或调整工程量、索赔等的依据之一。</w:t>
      </w:r>
    </w:p>
    <w:p w14:paraId="2DFBE043">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补充清单项目的特征、计量单位、工程量计算规则及工作内容说明如下：</w:t>
      </w:r>
    </w:p>
    <w:p w14:paraId="30D02D4E">
      <w:pPr>
        <w:spacing w:line="360" w:lineRule="auto"/>
        <w:ind w:left="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58B4756F">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1.5 </w:t>
      </w:r>
      <w:r>
        <w:rPr>
          <w:rFonts w:hint="eastAsia" w:ascii="Times New Roman" w:hAnsi="Times New Roman"/>
          <w:color w:val="000000" w:themeColor="text1"/>
          <w:sz w:val="21"/>
          <w:highlight w:val="none"/>
          <w14:textFill>
            <w14:solidFill>
              <w14:schemeClr w14:val="tx1"/>
            </w14:solidFill>
          </w14:textFill>
        </w:rPr>
        <w:t>《允许调整主要材料和工程设备一览表》（表</w:t>
      </w:r>
      <w:r>
        <w:rPr>
          <w:rFonts w:ascii="Times New Roman" w:hAnsi="Times New Roman"/>
          <w:color w:val="000000" w:themeColor="text1"/>
          <w:sz w:val="21"/>
          <w:highlight w:val="none"/>
          <w14:textFill>
            <w14:solidFill>
              <w14:schemeClr w14:val="tx1"/>
            </w14:solidFill>
          </w14:textFill>
        </w:rPr>
        <w:t>-22</w:t>
      </w:r>
      <w:r>
        <w:rPr>
          <w:rFonts w:hint="eastAsia" w:ascii="Times New Roman" w:hAnsi="Times New Roman"/>
          <w:color w:val="000000" w:themeColor="text1"/>
          <w:sz w:val="21"/>
          <w:highlight w:val="none"/>
          <w14:textFill>
            <w14:solidFill>
              <w14:schemeClr w14:val="tx1"/>
            </w14:solidFill>
          </w14:textFill>
        </w:rPr>
        <w:t>，表格编号为计价规范相应表格编号，下同）作为项目实施过程中材料和设备价格风险调整依据。</w:t>
      </w:r>
    </w:p>
    <w:p w14:paraId="7FB0054D">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1.6 </w:t>
      </w:r>
      <w:r>
        <w:rPr>
          <w:rFonts w:hint="eastAsia" w:ascii="Times New Roman" w:hAnsi="Times New Roman"/>
          <w:color w:val="000000" w:themeColor="text1"/>
          <w:sz w:val="21"/>
          <w:highlight w:val="none"/>
          <w14:textFill>
            <w14:solidFill>
              <w14:schemeClr w14:val="tx1"/>
            </w14:solidFill>
          </w14:textFill>
        </w:rPr>
        <w:t>本工程暂列金额（约按合同造价</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ascii="Times New Roman" w:hAnsi="Times New Roman"/>
          <w:color w:val="000000" w:themeColor="text1"/>
          <w:sz w:val="21"/>
          <w:highlight w:val="none"/>
          <w14:textFill>
            <w14:solidFill>
              <w14:schemeClr w14:val="tx1"/>
            </w14:solidFill>
          </w14:textFill>
        </w:rPr>
        <w:t>%</w:t>
      </w:r>
      <w:r>
        <w:rPr>
          <w:rFonts w:hint="eastAsia" w:ascii="Times New Roman" w:hAnsi="Times New Roman"/>
          <w:color w:val="000000" w:themeColor="text1"/>
          <w:sz w:val="21"/>
          <w:highlight w:val="none"/>
          <w14:textFill>
            <w14:solidFill>
              <w14:schemeClr w14:val="tx1"/>
            </w14:solidFill>
          </w14:textFill>
        </w:rPr>
        <w:t>计算），共</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14:textFill>
            <w14:solidFill>
              <w14:schemeClr w14:val="tx1"/>
            </w14:solidFill>
          </w14:textFill>
        </w:rPr>
        <w:t>元，作为合同签订时尚未确定或者不可预见但施工中可能发生的费用。</w:t>
      </w:r>
    </w:p>
    <w:p w14:paraId="0D37BA1E">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1.7 </w:t>
      </w:r>
      <w:r>
        <w:rPr>
          <w:rFonts w:hint="eastAsia" w:ascii="Times New Roman" w:hAnsi="Times New Roman"/>
          <w:color w:val="000000" w:themeColor="text1"/>
          <w:sz w:val="21"/>
          <w:highlight w:val="none"/>
          <w14:textFill>
            <w14:solidFill>
              <w14:schemeClr w14:val="tx1"/>
            </w14:solidFill>
          </w14:textFill>
        </w:rPr>
        <w:t>本工程发包人提供的材料和设备详见《发包人提供的主要材料和工程设备一览表》（表</w:t>
      </w:r>
      <w:r>
        <w:rPr>
          <w:rFonts w:ascii="Times New Roman" w:hAnsi="Times New Roman"/>
          <w:color w:val="000000" w:themeColor="text1"/>
          <w:sz w:val="21"/>
          <w:highlight w:val="none"/>
          <w14:textFill>
            <w14:solidFill>
              <w14:schemeClr w14:val="tx1"/>
            </w14:solidFill>
          </w14:textFill>
        </w:rPr>
        <w:t>-21</w:t>
      </w:r>
      <w:r>
        <w:rPr>
          <w:rFonts w:hint="eastAsia" w:ascii="Times New Roman" w:hAnsi="Times New Roman"/>
          <w:color w:val="000000" w:themeColor="text1"/>
          <w:sz w:val="21"/>
          <w:highlight w:val="none"/>
          <w14:textFill>
            <w14:solidFill>
              <w14:schemeClr w14:val="tx1"/>
            </w14:solidFill>
          </w14:textFill>
        </w:rPr>
        <w:t>）。</w:t>
      </w:r>
    </w:p>
    <w:p w14:paraId="669C797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本工程部分材料和设备在采购时作为暂估价计列，结算按实调整，具体内容详见《材料（工程设备）暂估单价及调整表》（表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2A15560B">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采购时暂估专业工程的价款属于暂估价，结算按实调整，具体内容详见《专业工程暂估价及结算价表》（表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3303C50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本工程量清单编码处标注</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号的清单项目作为主要清单项目，需要供应商提供</w:t>
      </w:r>
      <w:r>
        <w:rPr>
          <w:rFonts w:hint="eastAsia" w:hAnsi="宋体"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w:t>
      </w:r>
    </w:p>
    <w:p w14:paraId="0ECEA012">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p>
    <w:p w14:paraId="485DE91D">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工程量清单与磋商文件同时发布。</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一般计税法建设工程的工程量清单表格按</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附件“增值税一般计税方法工程计价表”要求提供</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简易计税法建设工程按照《计价规范》要求的</w:t>
      </w:r>
      <w:r>
        <w:rPr>
          <w:rFonts w:hint="eastAsia" w:cs="宋体"/>
          <w:color w:val="000000" w:themeColor="text1"/>
          <w:highlight w:val="none"/>
          <w14:textFill>
            <w14:solidFill>
              <w14:schemeClr w14:val="tx1"/>
            </w14:solidFill>
          </w14:textFill>
        </w:rPr>
        <w:t>表格提供，但规费和税费要按照《关于建筑业实施营业税改征增值税后广西壮族自治区建设工程计价依据调整的通知》（桂建标〔</w:t>
      </w:r>
      <w:r>
        <w:rPr>
          <w:color w:val="000000" w:themeColor="text1"/>
          <w:highlight w:val="none"/>
          <w14:textFill>
            <w14:solidFill>
              <w14:schemeClr w14:val="tx1"/>
            </w14:solidFill>
          </w14:textFill>
        </w:rPr>
        <w:t>2016</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17</w:t>
      </w:r>
      <w:r>
        <w:rPr>
          <w:rFonts w:hint="eastAsia" w:cs="宋体"/>
          <w:color w:val="000000" w:themeColor="text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要求调整，具体</w:t>
      </w:r>
      <w:r>
        <w:rPr>
          <w:rFonts w:hint="eastAsia" w:cs="宋体"/>
          <w:color w:val="000000" w:themeColor="text1"/>
          <w:highlight w:val="none"/>
          <w14:textFill>
            <w14:solidFill>
              <w14:schemeClr w14:val="tx1"/>
            </w14:solidFill>
          </w14:textFill>
        </w:rPr>
        <w:t>包括：</w:t>
      </w:r>
    </w:p>
    <w:p w14:paraId="39EF4741">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竞标工程量清单（封</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5E2B5540">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竞标工程量清单（封扉</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00D51960">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6ACC5D3D">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79EB53C5">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单项工程竞标报价汇总表（表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03385A6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单位工程竞标报价汇总表（表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4E49EF2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221A80FA">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549446EC">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6C8BE529">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6388DDBE">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479D818">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专业工程暂估价</w:t>
      </w:r>
      <w:r>
        <w:rPr>
          <w:rFonts w:hint="eastAsia"/>
          <w:color w:val="000000" w:themeColor="text1"/>
          <w:highlight w:val="none"/>
          <w14:textFill>
            <w14:solidFill>
              <w14:schemeClr w14:val="tx1"/>
            </w14:solidFill>
          </w14:textFill>
        </w:rPr>
        <w:t>及结算价</w:t>
      </w:r>
      <w:r>
        <w:rPr>
          <w:rFonts w:hint="eastAsia" w:cs="宋体"/>
          <w:color w:val="000000" w:themeColor="text1"/>
          <w:highlight w:val="none"/>
          <w14:textFill>
            <w14:solidFill>
              <w14:schemeClr w14:val="tx1"/>
            </w14:solidFill>
          </w14:textFill>
        </w:rPr>
        <w:t>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000219C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EBDFC27">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35CBF87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1.15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6F70CE87">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5F93B6DF">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2C42DD59">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74373B10">
      <w:pPr>
        <w:spacing w:line="360" w:lineRule="auto"/>
        <w:ind w:firstLine="630" w:firstLineChars="300"/>
        <w:jc w:val="left"/>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1.19</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1A24028C">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1.20本工程</w:t>
      </w:r>
      <w:r>
        <w:rPr>
          <w:rFonts w:cs="宋体"/>
          <w:color w:val="000000" w:themeColor="text1"/>
          <w:highlight w:val="none"/>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22E79783">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注：如本工程在合同中约定采用造价信息价差调整法，1.</w:t>
      </w:r>
      <w:r>
        <w:rPr>
          <w:color w:val="000000" w:themeColor="text1"/>
          <w:highlight w:val="none"/>
          <w14:textFill>
            <w14:solidFill>
              <w14:schemeClr w14:val="tx1"/>
            </w14:solidFill>
          </w14:textFill>
        </w:rPr>
        <w:t xml:space="preserve">18 </w:t>
      </w:r>
      <w:r>
        <w:rPr>
          <w:rFonts w:cs="宋体"/>
          <w:color w:val="000000" w:themeColor="text1"/>
          <w:highlight w:val="none"/>
          <w14:textFill>
            <w14:solidFill>
              <w14:schemeClr w14:val="tx1"/>
            </w14:solidFill>
          </w14:textFill>
        </w:rPr>
        <w:t>允许调整</w:t>
      </w:r>
      <w:r>
        <w:rPr>
          <w:rFonts w:hint="eastAsia" w:cs="宋体"/>
          <w:color w:val="000000" w:themeColor="text1"/>
          <w:highlight w:val="none"/>
          <w14:textFill>
            <w14:solidFill>
              <w14:schemeClr w14:val="tx1"/>
            </w14:solidFill>
          </w14:textFill>
        </w:rPr>
        <w:t>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）载明的主要材料和工程设备为本工程允许调整材料和工程设备，工程量清单必须提供该表格，并应载明允许调整材料和工程设备名称型号规格、单位、风险系数、基准单价等内容，且不能提供空白表。</w:t>
      </w:r>
    </w:p>
    <w:p w14:paraId="012F70E8">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以下表格视工程实际需要选用，如该工程不发生如下表格相关项目和费用，所编制工程量清单则不需列入相应表格：</w:t>
      </w:r>
    </w:p>
    <w:p w14:paraId="32CCD2E1">
      <w:pPr>
        <w:spacing w:line="360" w:lineRule="auto"/>
        <w:ind w:firstLine="630" w:firstLineChars="300"/>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74529CB6">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2123428A">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07B4FE27">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3F694310">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9DABD36">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1070DD5E">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00AA1586">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5EB8CD7A">
      <w:pPr>
        <w:pStyle w:val="3"/>
        <w:spacing w:before="0" w:after="0" w:line="360" w:lineRule="auto"/>
        <w:rPr>
          <w:color w:val="000000" w:themeColor="text1"/>
          <w:highlight w:val="none"/>
          <w14:textFill>
            <w14:solidFill>
              <w14:schemeClr w14:val="tx1"/>
            </w14:solidFill>
          </w14:textFill>
        </w:rPr>
      </w:pPr>
      <w:bookmarkStart w:id="83" w:name="_Toc122424002"/>
      <w:bookmarkStart w:id="84" w:name="_Toc407135285"/>
      <w:bookmarkStart w:id="85" w:name="_Toc347872619"/>
      <w:bookmarkStart w:id="86" w:name="_Toc78449870"/>
      <w:bookmarkStart w:id="87" w:name="_Toc990933621"/>
      <w:bookmarkStart w:id="88" w:name="_Toc122424251"/>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s="黑体"/>
          <w:color w:val="000000" w:themeColor="text1"/>
          <w:highlight w:val="none"/>
          <w:lang w:val="en-US" w:eastAsia="zh-CN"/>
          <w14:textFill>
            <w14:solidFill>
              <w14:schemeClr w14:val="tx1"/>
            </w14:solidFill>
          </w14:textFill>
        </w:rPr>
        <w:t>招标</w:t>
      </w:r>
      <w:r>
        <w:rPr>
          <w:rFonts w:hint="eastAsia" w:cs="黑体"/>
          <w:color w:val="000000" w:themeColor="text1"/>
          <w:highlight w:val="none"/>
          <w14:textFill>
            <w14:solidFill>
              <w14:schemeClr w14:val="tx1"/>
            </w14:solidFill>
          </w14:textFill>
        </w:rPr>
        <w:t>控制价编制说明</w:t>
      </w:r>
      <w:bookmarkEnd w:id="83"/>
      <w:bookmarkEnd w:id="84"/>
      <w:bookmarkEnd w:id="85"/>
      <w:bookmarkEnd w:id="86"/>
      <w:bookmarkEnd w:id="87"/>
      <w:bookmarkEnd w:id="88"/>
    </w:p>
    <w:p w14:paraId="631807A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2.1 </w:t>
      </w:r>
      <w:r>
        <w:rPr>
          <w:rFonts w:hint="eastAsia" w:hAnsi="宋体" w:cs="宋体"/>
          <w:color w:val="000000" w:themeColor="text1"/>
          <w:highlight w:val="none"/>
          <w:lang w:val="en-US" w:eastAsia="zh-CN"/>
          <w14:textFill>
            <w14:solidFill>
              <w14:schemeClr w14:val="tx1"/>
            </w14:solidFill>
          </w14:textFill>
        </w:rPr>
        <w:t>招标</w:t>
      </w:r>
      <w:r>
        <w:rPr>
          <w:rFonts w:hint="eastAsia" w:hAnsi="宋体" w:cs="宋体"/>
          <w:color w:val="000000" w:themeColor="text1"/>
          <w:highlight w:val="none"/>
          <w14:textFill>
            <w14:solidFill>
              <w14:schemeClr w14:val="tx1"/>
            </w14:solidFill>
          </w14:textFill>
        </w:rPr>
        <w:t>控制价编制依据：</w:t>
      </w:r>
    </w:p>
    <w:p w14:paraId="0F5CC437">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《计价规范》及《计算规范》、</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号）等</w:t>
      </w:r>
      <w:r>
        <w:rPr>
          <w:rFonts w:hint="eastAsia" w:hAnsi="宋体" w:cs="宋体"/>
          <w:color w:val="000000" w:themeColor="text1"/>
          <w:highlight w:val="none"/>
          <w:lang w:eastAsia="zh-CN"/>
          <w14:textFill>
            <w14:solidFill>
              <w14:schemeClr w14:val="tx1"/>
            </w14:solidFill>
          </w14:textFill>
        </w:rPr>
        <w:t>；</w:t>
      </w:r>
    </w:p>
    <w:p w14:paraId="12C1C25C">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）自治区住房城乡建设行政主管部门颁发的计价定额及有关规定：</w:t>
      </w:r>
      <w:r>
        <w:rPr>
          <w:rFonts w:hint="eastAsia"/>
          <w:color w:val="000000" w:themeColor="text1"/>
          <w:highlight w:val="none"/>
          <w:u w:val="single"/>
          <w14:textFill>
            <w14:solidFill>
              <w14:schemeClr w14:val="tx1"/>
            </w14:solidFill>
          </w14:textFill>
        </w:rPr>
        <w:t>详见</w:t>
      </w:r>
      <w:r>
        <w:rPr>
          <w:color w:val="000000" w:themeColor="text1"/>
          <w:highlight w:val="none"/>
          <w:u w:val="single"/>
          <w14:textFill>
            <w14:solidFill>
              <w14:schemeClr w14:val="tx1"/>
            </w14:solidFill>
          </w14:textFill>
        </w:rPr>
        <w:t xml:space="preserve">工程量清单说明   </w:t>
      </w:r>
      <w:r>
        <w:rPr>
          <w:rFonts w:hint="eastAsia" w:cs="宋体"/>
          <w:color w:val="000000" w:themeColor="text1"/>
          <w:highlight w:val="none"/>
          <w14:textFill>
            <w14:solidFill>
              <w14:schemeClr w14:val="tx1"/>
            </w14:solidFill>
          </w14:textFill>
        </w:rPr>
        <w:t>。</w:t>
      </w:r>
    </w:p>
    <w:p w14:paraId="68A2D56A">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）建设工程设计文件及相关资料：</w:t>
      </w:r>
      <w:r>
        <w:rPr>
          <w:color w:val="000000" w:themeColor="text1"/>
          <w:highlight w:val="none"/>
          <w:u w:val="single"/>
          <w14:textFill>
            <w14:solidFill>
              <w14:schemeClr w14:val="tx1"/>
            </w14:solidFill>
          </w14:textFill>
        </w:rPr>
        <w:t>施工</w:t>
      </w:r>
      <w:r>
        <w:rPr>
          <w:rFonts w:hint="eastAsia"/>
          <w:color w:val="000000" w:themeColor="text1"/>
          <w:highlight w:val="none"/>
          <w:u w:val="single"/>
          <w14:textFill>
            <w14:solidFill>
              <w14:schemeClr w14:val="tx1"/>
            </w14:solidFill>
          </w14:textFill>
        </w:rPr>
        <w:t>图纸、工程量清单</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p>
    <w:p w14:paraId="42FEFBFE">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）本工程磋商文件及工程量清单</w:t>
      </w:r>
      <w:r>
        <w:rPr>
          <w:rFonts w:hint="eastAsia" w:cs="宋体"/>
          <w:color w:val="000000" w:themeColor="text1"/>
          <w:highlight w:val="none"/>
          <w:lang w:eastAsia="zh-CN"/>
          <w14:textFill>
            <w14:solidFill>
              <w14:schemeClr w14:val="tx1"/>
            </w14:solidFill>
          </w14:textFill>
        </w:rPr>
        <w:t>；</w:t>
      </w:r>
    </w:p>
    <w:p w14:paraId="4215C793">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）与建设项目相关的标准、规范、技术资料</w:t>
      </w:r>
      <w:r>
        <w:rPr>
          <w:rFonts w:hint="eastAsia" w:cs="宋体"/>
          <w:color w:val="000000" w:themeColor="text1"/>
          <w:highlight w:val="none"/>
          <w:lang w:eastAsia="zh-CN"/>
          <w14:textFill>
            <w14:solidFill>
              <w14:schemeClr w14:val="tx1"/>
            </w14:solidFill>
          </w14:textFill>
        </w:rPr>
        <w:t>；</w:t>
      </w:r>
    </w:p>
    <w:p w14:paraId="3C55D5B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）施工现场情况、工程特点及常规施工方案</w:t>
      </w:r>
      <w:r>
        <w:rPr>
          <w:rFonts w:hint="eastAsia" w:cs="宋体"/>
          <w:color w:val="000000" w:themeColor="text1"/>
          <w:highlight w:val="none"/>
          <w:lang w:eastAsia="zh-CN"/>
          <w14:textFill>
            <w14:solidFill>
              <w14:schemeClr w14:val="tx1"/>
            </w14:solidFill>
          </w14:textFill>
        </w:rPr>
        <w:t>；</w:t>
      </w:r>
    </w:p>
    <w:p w14:paraId="24F34C95">
      <w:pPr>
        <w:spacing w:line="360" w:lineRule="auto"/>
        <w:ind w:firstLine="420" w:firstLineChars="200"/>
        <w:rPr>
          <w:rFonts w:hAnsi="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t>）材料价格信息</w:t>
      </w:r>
      <w:r>
        <w:rPr>
          <w:rFonts w:hint="eastAsia" w:hAnsi="宋体" w:cs="宋体"/>
          <w:color w:val="000000" w:themeColor="text1"/>
          <w:highlight w:val="none"/>
          <w14:textFill>
            <w14:solidFill>
              <w14:schemeClr w14:val="tx1"/>
            </w14:solidFill>
          </w14:textFill>
        </w:rPr>
        <w:t>：材料价格主要按照</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钦州</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市建设工程造价管理机构发布的工程造价信息</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2025</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年第</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9</w:t>
      </w:r>
      <w:r>
        <w:rPr>
          <w:rFonts w:hint="eastAsia"/>
          <w:color w:val="000000" w:themeColor="text1"/>
          <w:highlight w:val="none"/>
          <w:u w:val="singl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下半月</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期，缺项部分参照《南宁建设工程造价信息》发布的信息价，无信息价的按市场询价，材料档次按中高档计取</w:t>
      </w:r>
      <w:r>
        <w:rPr>
          <w:rFonts w:hint="eastAsia" w:hAnsi="宋体" w:cs="宋体"/>
          <w:color w:val="000000" w:themeColor="text1"/>
          <w:highlight w:val="none"/>
          <w14:textFill>
            <w14:solidFill>
              <w14:schemeClr w14:val="tx1"/>
            </w14:solidFill>
          </w14:textFill>
        </w:rPr>
        <w:t>。</w:t>
      </w:r>
    </w:p>
    <w:p w14:paraId="7655227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2.2 </w:t>
      </w:r>
      <w:r>
        <w:rPr>
          <w:rFonts w:hint="eastAsia" w:hAnsi="宋体" w:cs="宋体"/>
          <w:color w:val="000000" w:themeColor="text1"/>
          <w:highlight w:val="none"/>
          <w14:textFill>
            <w14:solidFill>
              <w14:schemeClr w14:val="tx1"/>
            </w14:solidFill>
          </w14:textFill>
        </w:rPr>
        <w:t>分部分项及单价措施项目综合单价应包括磋商文件中采购人要求供应商所承担的风险内容及其范围（幅度）产生的风险费用。</w:t>
      </w:r>
    </w:p>
    <w:p w14:paraId="125023A6">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2.3 </w:t>
      </w:r>
      <w:r>
        <w:rPr>
          <w:rFonts w:hint="eastAsia" w:hAnsi="宋体" w:cs="宋体"/>
          <w:color w:val="000000" w:themeColor="text1"/>
          <w:highlight w:val="none"/>
          <w14:textFill>
            <w14:solidFill>
              <w14:schemeClr w14:val="tx1"/>
            </w14:solidFill>
          </w14:textFill>
        </w:rPr>
        <w:t>总价措施项目应根据拟定的磋商文件和常规施工方案按《计价规范》和《计算规范》规定编制。</w:t>
      </w:r>
    </w:p>
    <w:p w14:paraId="1732488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2.4 </w:t>
      </w:r>
      <w:r>
        <w:rPr>
          <w:rFonts w:hint="eastAsia" w:cs="宋体"/>
          <w:color w:val="000000" w:themeColor="text1"/>
          <w:highlight w:val="none"/>
          <w14:textFill>
            <w14:solidFill>
              <w14:schemeClr w14:val="tx1"/>
            </w14:solidFill>
          </w14:textFill>
        </w:rPr>
        <w:t>其他项目费应按下列规定报价：</w:t>
      </w:r>
    </w:p>
    <w:p w14:paraId="7378F9BB">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r>
        <w:rPr>
          <w:rFonts w:hint="eastAsia" w:cs="宋体"/>
          <w:color w:val="000000" w:themeColor="text1"/>
          <w:highlight w:val="none"/>
          <w:lang w:eastAsia="zh-CN"/>
          <w14:textFill>
            <w14:solidFill>
              <w14:schemeClr w14:val="tx1"/>
            </w14:solidFill>
          </w14:textFill>
        </w:rPr>
        <w:t>；</w:t>
      </w:r>
    </w:p>
    <w:p w14:paraId="3EEE2615">
      <w:pPr>
        <w:pStyle w:val="157"/>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r>
        <w:rPr>
          <w:rFonts w:hint="eastAsia" w:cs="宋体"/>
          <w:color w:val="000000" w:themeColor="text1"/>
          <w:highlight w:val="none"/>
          <w:lang w:eastAsia="zh-CN"/>
          <w14:textFill>
            <w14:solidFill>
              <w14:schemeClr w14:val="tx1"/>
            </w14:solidFill>
          </w14:textFill>
        </w:rPr>
        <w:t>；</w:t>
      </w:r>
    </w:p>
    <w:p w14:paraId="314FE6BC">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r>
        <w:rPr>
          <w:rFonts w:hint="eastAsia" w:cs="宋体"/>
          <w:color w:val="000000" w:themeColor="text1"/>
          <w:highlight w:val="none"/>
          <w:lang w:eastAsia="zh-CN"/>
          <w14:textFill>
            <w14:solidFill>
              <w14:schemeClr w14:val="tx1"/>
            </w14:solidFill>
          </w14:textFill>
        </w:rPr>
        <w:t>；</w:t>
      </w:r>
    </w:p>
    <w:p w14:paraId="655C712D">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）计日工应按工程量清单中列出的项目和数量，根据工程特点和有关计价依据确定的综合单价计算</w:t>
      </w:r>
      <w:r>
        <w:rPr>
          <w:rFonts w:hint="eastAsia" w:cs="宋体"/>
          <w:color w:val="000000" w:themeColor="text1"/>
          <w:highlight w:val="none"/>
          <w:lang w:eastAsia="zh-CN"/>
          <w14:textFill>
            <w14:solidFill>
              <w14:schemeClr w14:val="tx1"/>
            </w14:solidFill>
          </w14:textFill>
        </w:rPr>
        <w:t>；</w:t>
      </w:r>
    </w:p>
    <w:p w14:paraId="6DEF3BC6">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）总承包服务费应根据工程量清单列出的内容</w:t>
      </w:r>
      <w:r>
        <w:rPr>
          <w:rFonts w:hint="eastAsia" w:hAnsi="宋体" w:cs="宋体"/>
          <w:color w:val="000000" w:themeColor="text1"/>
          <w:highlight w:val="none"/>
          <w14:textFill>
            <w14:solidFill>
              <w14:schemeClr w14:val="tx1"/>
            </w14:solidFill>
          </w14:textFill>
        </w:rPr>
        <w:t>和要求，按自治区住房城乡建设行政主管部门颁发的计价定额及有关规定计算</w:t>
      </w:r>
      <w:r>
        <w:rPr>
          <w:rFonts w:hint="eastAsia" w:cs="宋体"/>
          <w:color w:val="000000" w:themeColor="text1"/>
          <w:highlight w:val="none"/>
          <w14:textFill>
            <w14:solidFill>
              <w14:schemeClr w14:val="tx1"/>
            </w14:solidFill>
          </w14:textFill>
        </w:rPr>
        <w:t>。</w:t>
      </w:r>
    </w:p>
    <w:p w14:paraId="1FAC5BA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（6）对建设单位创建优质工程的，鼓励在采购控制价和预算中按</w:t>
      </w:r>
      <w:r>
        <w:rPr>
          <w:rFonts w:hint="eastAsia"/>
          <w:color w:val="000000" w:themeColor="text1"/>
          <w:highlight w:val="none"/>
          <w:lang w:eastAsia="zh-CN"/>
          <w14:textFill>
            <w14:solidFill>
              <w14:schemeClr w14:val="tx1"/>
            </w14:solidFill>
          </w14:textFill>
        </w:rPr>
        <w:t>广西壮族自治区</w:t>
      </w:r>
      <w:r>
        <w:rPr>
          <w:rFonts w:hint="eastAsia"/>
          <w:color w:val="000000" w:themeColor="text1"/>
          <w:highlight w:val="none"/>
          <w14:textFill>
            <w14:solidFill>
              <w14:schemeClr w14:val="tx1"/>
            </w14:solidFill>
          </w14:textFill>
        </w:rPr>
        <w:t>工程建设定额规定计列工程优质费，并明确工程优质费不可竞争。</w:t>
      </w:r>
    </w:p>
    <w:p w14:paraId="497B6DE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2.5 </w:t>
      </w:r>
      <w:r>
        <w:rPr>
          <w:rFonts w:hint="eastAsia" w:cs="宋体"/>
          <w:color w:val="000000" w:themeColor="text1"/>
          <w:highlight w:val="none"/>
          <w14:textFill>
            <w14:solidFill>
              <w14:schemeClr w14:val="tx1"/>
            </w14:solidFill>
          </w14:textFill>
        </w:rPr>
        <w:t>规费和增值税应按规定确定，作为不可竞争费用。</w:t>
      </w:r>
    </w:p>
    <w:p w14:paraId="2881E1A8">
      <w:pPr>
        <w:spacing w:line="360" w:lineRule="auto"/>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2.6 </w:t>
      </w:r>
      <w:r>
        <w:rPr>
          <w:rFonts w:hint="eastAsia" w:hAnsi="宋体"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详见工程量清单说明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6F5DC526">
      <w:pPr>
        <w:pStyle w:val="3"/>
        <w:spacing w:before="0" w:after="0" w:line="360" w:lineRule="auto"/>
        <w:rPr>
          <w:color w:val="000000" w:themeColor="text1"/>
          <w:highlight w:val="none"/>
          <w14:textFill>
            <w14:solidFill>
              <w14:schemeClr w14:val="tx1"/>
            </w14:solidFill>
          </w14:textFill>
        </w:rPr>
      </w:pPr>
      <w:bookmarkStart w:id="89" w:name="_Toc407135286"/>
      <w:bookmarkStart w:id="90" w:name="_Toc879821176"/>
      <w:bookmarkStart w:id="91" w:name="_Toc78449871"/>
      <w:bookmarkStart w:id="92" w:name="_Toc378483916"/>
      <w:bookmarkStart w:id="93" w:name="_Toc122424252"/>
      <w:bookmarkStart w:id="94" w:name="_Toc122424003"/>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竞标报价（已标价工程量清单）编制说明</w:t>
      </w:r>
      <w:bookmarkEnd w:id="89"/>
      <w:bookmarkEnd w:id="90"/>
      <w:bookmarkEnd w:id="91"/>
      <w:bookmarkEnd w:id="92"/>
      <w:bookmarkEnd w:id="93"/>
      <w:bookmarkEnd w:id="94"/>
    </w:p>
    <w:p w14:paraId="3D34A529">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3.1 </w:t>
      </w:r>
      <w:r>
        <w:rPr>
          <w:rFonts w:hint="eastAsia" w:cs="宋体"/>
          <w:color w:val="000000" w:themeColor="text1"/>
          <w:highlight w:val="none"/>
          <w14:textFill>
            <w14:solidFill>
              <w14:schemeClr w14:val="tx1"/>
            </w14:solidFill>
          </w14:textFill>
        </w:rPr>
        <w:t>供应商应依据磋商文件、工程量清单以及《计价规范》、《计算规范》自主报价，自主报价</w:t>
      </w:r>
      <w:r>
        <w:rPr>
          <w:rFonts w:hint="eastAsia" w:hAnsi="宋体" w:cs="宋体"/>
          <w:color w:val="000000" w:themeColor="text1"/>
          <w:highlight w:val="none"/>
          <w14:textFill>
            <w14:solidFill>
              <w14:schemeClr w14:val="tx1"/>
            </w14:solidFill>
          </w14:textFill>
        </w:rPr>
        <w:t>不得违反计价规范强制性条文规定。</w:t>
      </w:r>
      <w:r>
        <w:rPr>
          <w:rFonts w:hint="eastAsia" w:cs="宋体"/>
          <w:color w:val="000000" w:themeColor="text1"/>
          <w:highlight w:val="none"/>
          <w14:textFill>
            <w14:solidFill>
              <w14:schemeClr w14:val="tx1"/>
            </w14:solidFill>
          </w14:textFill>
        </w:rPr>
        <w:t>供应商不得采用总价让利或以百分比让利等形式进行报价，任何优惠（或降价、让利）均应反映在相应清单项目的综合单价中。同时，不得出现任意一项单价重大让利，</w:t>
      </w:r>
      <w:r>
        <w:rPr>
          <w:rFonts w:hint="eastAsia" w:hAnsi="宋体" w:cs="宋体"/>
          <w:color w:val="000000" w:themeColor="text1"/>
          <w:highlight w:val="none"/>
          <w14:textFill>
            <w14:solidFill>
              <w14:schemeClr w14:val="tx1"/>
            </w14:solidFill>
          </w14:textFill>
        </w:rPr>
        <w:t>不得以自有机械闲置、自有材料等不计成本为由</w:t>
      </w:r>
      <w:r>
        <w:rPr>
          <w:rFonts w:hint="eastAsia" w:cs="宋体"/>
          <w:color w:val="000000" w:themeColor="text1"/>
          <w:highlight w:val="none"/>
          <w14:textFill>
            <w14:solidFill>
              <w14:schemeClr w14:val="tx1"/>
            </w14:solidFill>
          </w14:textFill>
        </w:rPr>
        <w:t>低于工程成本报价。</w:t>
      </w:r>
    </w:p>
    <w:p w14:paraId="64CD6FA0">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3.2 </w:t>
      </w:r>
      <w:r>
        <w:rPr>
          <w:rFonts w:hint="eastAsia" w:cs="宋体"/>
          <w:color w:val="000000" w:themeColor="text1"/>
          <w:highlight w:val="none"/>
          <w14:textFill>
            <w14:solidFill>
              <w14:schemeClr w14:val="tx1"/>
            </w14:solidFill>
          </w14:textFill>
        </w:rPr>
        <w:t>供应商应按工程量清单填报价格。项目编码、项目名称、项目特征、计量单位、工程量必须与工程量清单一致，</w:t>
      </w:r>
      <w:r>
        <w:rPr>
          <w:rFonts w:hint="eastAsia" w:hAnsi="宋体" w:cs="宋体"/>
          <w:color w:val="000000" w:themeColor="text1"/>
          <w:highlight w:val="none"/>
          <w14:textFill>
            <w14:solidFill>
              <w14:schemeClr w14:val="tx1"/>
            </w14:solidFill>
          </w14:textFill>
        </w:rPr>
        <w:t>供应商不得对工程量清单项目进行增减调整。</w:t>
      </w:r>
    </w:p>
    <w:p w14:paraId="5F6B123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3.3 </w:t>
      </w:r>
      <w:r>
        <w:rPr>
          <w:rFonts w:hint="eastAsia" w:cs="宋体"/>
          <w:color w:val="000000" w:themeColor="text1"/>
          <w:highlight w:val="none"/>
          <w14:textFill>
            <w14:solidFill>
              <w14:schemeClr w14:val="tx1"/>
            </w14:solidFill>
          </w14:textFill>
        </w:rPr>
        <w:t>综合单价中应包含磋商文件中划分的应由供应商承担的风险范围及其费用。</w:t>
      </w:r>
    </w:p>
    <w:p w14:paraId="2FE6BF28">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3.4 </w:t>
      </w:r>
      <w:r>
        <w:rPr>
          <w:rFonts w:hint="eastAsia" w:hAnsi="宋体" w:cs="宋体"/>
          <w:color w:val="000000" w:themeColor="text1"/>
          <w:highlight w:val="none"/>
          <w14:textFill>
            <w14:solidFill>
              <w14:schemeClr w14:val="tx1"/>
            </w14:solidFill>
          </w14:textFill>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59896BF3">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 </w:t>
      </w:r>
      <w:r>
        <w:rPr>
          <w:rFonts w:hint="eastAsia" w:hAnsi="宋体" w:cs="宋体"/>
          <w:color w:val="000000" w:themeColor="text1"/>
          <w:highlight w:val="none"/>
          <w14:textFill>
            <w14:solidFill>
              <w14:schemeClr w14:val="tx1"/>
            </w14:solidFill>
          </w14:textFill>
        </w:rPr>
        <w:t>总价措施项目的金额应根据磋商文件及竞标时拟定的施工组织设计或施工方案，按计价规范的规定自主确定。但</w:t>
      </w:r>
      <w:r>
        <w:rPr>
          <w:rFonts w:hint="eastAsia" w:cs="宋体"/>
          <w:color w:val="000000" w:themeColor="text1"/>
          <w:highlight w:val="none"/>
          <w14:textFill>
            <w14:solidFill>
              <w14:schemeClr w14:val="tx1"/>
            </w14:solidFill>
          </w14:textFill>
        </w:rPr>
        <w:t>安全文明施工费按国家、省级或行业建设主管部门的有关规定执行，作为不竞争费用单列。</w:t>
      </w:r>
    </w:p>
    <w:p w14:paraId="1922FE12">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3.6 </w:t>
      </w:r>
      <w:r>
        <w:rPr>
          <w:rFonts w:hint="eastAsia" w:cs="宋体"/>
          <w:color w:val="000000" w:themeColor="text1"/>
          <w:highlight w:val="none"/>
          <w14:textFill>
            <w14:solidFill>
              <w14:schemeClr w14:val="tx1"/>
            </w14:solidFill>
          </w14:textFill>
        </w:rPr>
        <w:t>其他项目费应按下列规定报价：</w:t>
      </w:r>
    </w:p>
    <w:p w14:paraId="352343D2">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r>
        <w:rPr>
          <w:rFonts w:hint="eastAsia" w:cs="宋体"/>
          <w:color w:val="000000" w:themeColor="text1"/>
          <w:highlight w:val="none"/>
          <w:lang w:eastAsia="zh-CN"/>
          <w14:textFill>
            <w14:solidFill>
              <w14:schemeClr w14:val="tx1"/>
            </w14:solidFill>
          </w14:textFill>
        </w:rPr>
        <w:t>；</w:t>
      </w:r>
    </w:p>
    <w:p w14:paraId="2CC69413">
      <w:pPr>
        <w:pStyle w:val="157"/>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r>
        <w:rPr>
          <w:rFonts w:hint="eastAsia" w:cs="宋体"/>
          <w:color w:val="000000" w:themeColor="text1"/>
          <w:highlight w:val="none"/>
          <w:lang w:eastAsia="zh-CN"/>
          <w14:textFill>
            <w14:solidFill>
              <w14:schemeClr w14:val="tx1"/>
            </w14:solidFill>
          </w14:textFill>
        </w:rPr>
        <w:t>；</w:t>
      </w:r>
    </w:p>
    <w:p w14:paraId="422BC28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r>
        <w:rPr>
          <w:rFonts w:hint="eastAsia" w:cs="宋体"/>
          <w:color w:val="000000" w:themeColor="text1"/>
          <w:highlight w:val="none"/>
          <w:lang w:eastAsia="zh-CN"/>
          <w14:textFill>
            <w14:solidFill>
              <w14:schemeClr w14:val="tx1"/>
            </w14:solidFill>
          </w14:textFill>
        </w:rPr>
        <w:t>；</w:t>
      </w:r>
    </w:p>
    <w:p w14:paraId="04C1995B">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）计日工应按工程量清单中列出的项目和估算数量，自主确定综合单价并计算计日工总额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计日工单价均不含规费和税金</w:t>
      </w:r>
      <w:r>
        <w:rPr>
          <w:rFonts w:hint="eastAsia" w:cs="宋体"/>
          <w:color w:val="000000" w:themeColor="text1"/>
          <w:highlight w:val="none"/>
          <w:lang w:eastAsia="zh-CN"/>
          <w14:textFill>
            <w14:solidFill>
              <w14:schemeClr w14:val="tx1"/>
            </w14:solidFill>
          </w14:textFill>
        </w:rPr>
        <w:t>；</w:t>
      </w:r>
    </w:p>
    <w:p w14:paraId="5AB14DA2">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）总承包服务费应根据工程量清单中列出的内容</w:t>
      </w:r>
      <w:r>
        <w:rPr>
          <w:rFonts w:hint="eastAsia" w:hAnsi="宋体" w:cs="宋体"/>
          <w:color w:val="000000" w:themeColor="text1"/>
          <w:highlight w:val="none"/>
          <w14:textFill>
            <w14:solidFill>
              <w14:schemeClr w14:val="tx1"/>
            </w14:solidFill>
          </w14:textFill>
        </w:rPr>
        <w:t>和供应材料、设备情况，按照采购人提出的协调、配合与服务要求和施工现场管理需要</w:t>
      </w:r>
      <w:r>
        <w:rPr>
          <w:rFonts w:hint="eastAsia" w:cs="宋体"/>
          <w:color w:val="000000" w:themeColor="text1"/>
          <w:highlight w:val="none"/>
          <w14:textFill>
            <w14:solidFill>
              <w14:schemeClr w14:val="tx1"/>
            </w14:solidFill>
          </w14:textFill>
        </w:rPr>
        <w:t>自主确定。</w:t>
      </w:r>
    </w:p>
    <w:p w14:paraId="4EC2F455">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（6）对建设单位创建优质工程的，鼓励在采购控制价和预算中按</w:t>
      </w:r>
      <w:r>
        <w:rPr>
          <w:rFonts w:hint="eastAsia"/>
          <w:color w:val="000000" w:themeColor="text1"/>
          <w:highlight w:val="none"/>
          <w:lang w:eastAsia="zh-CN"/>
          <w14:textFill>
            <w14:solidFill>
              <w14:schemeClr w14:val="tx1"/>
            </w14:solidFill>
          </w14:textFill>
        </w:rPr>
        <w:t>广西壮族自治区</w:t>
      </w:r>
      <w:r>
        <w:rPr>
          <w:rFonts w:hint="eastAsia"/>
          <w:color w:val="000000" w:themeColor="text1"/>
          <w:highlight w:val="none"/>
          <w14:textFill>
            <w14:solidFill>
              <w14:schemeClr w14:val="tx1"/>
            </w14:solidFill>
          </w14:textFill>
        </w:rPr>
        <w:t>工程建设定额规定计列工程优质费，并明确工程优质费不可竞争。</w:t>
      </w:r>
    </w:p>
    <w:p w14:paraId="7245BEA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3.7 </w:t>
      </w:r>
      <w:r>
        <w:rPr>
          <w:rFonts w:hint="eastAsia" w:cs="宋体"/>
          <w:color w:val="000000" w:themeColor="text1"/>
          <w:highlight w:val="none"/>
          <w14:textFill>
            <w14:solidFill>
              <w14:schemeClr w14:val="tx1"/>
            </w14:solidFill>
          </w14:textFill>
        </w:rPr>
        <w:t>规费和增值税应按规定确定，作为不可竞争费用。</w:t>
      </w:r>
    </w:p>
    <w:p w14:paraId="52C23178">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3.8 </w:t>
      </w:r>
      <w:r>
        <w:rPr>
          <w:rFonts w:hint="eastAsia" w:cs="宋体"/>
          <w:color w:val="000000" w:themeColor="text1"/>
          <w:highlight w:val="none"/>
          <w14:textFill>
            <w14:solidFill>
              <w14:schemeClr w14:val="tx1"/>
            </w14:solidFill>
          </w14:textFill>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CC14D9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3.9 </w:t>
      </w:r>
      <w:r>
        <w:rPr>
          <w:rFonts w:hint="eastAsia" w:cs="宋体"/>
          <w:color w:val="000000" w:themeColor="text1"/>
          <w:highlight w:val="none"/>
          <w14:textFill>
            <w14:solidFill>
              <w14:schemeClr w14:val="tx1"/>
            </w14:solidFill>
          </w14:textFill>
        </w:rPr>
        <w:t>竞标总价应当与分部分项工程费、措施项目费、其他项目费和规费、增值税的合计金额一致。</w:t>
      </w:r>
    </w:p>
    <w:p w14:paraId="38CECA2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供应商应按《允许调整主要材料和工程设备一览表》的内容填报，不得擅自调整材料和设备名称型号规格、单位、风险系数、基准单价。</w:t>
      </w:r>
    </w:p>
    <w:p w14:paraId="76CA637F">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竞标报价</w:t>
      </w:r>
      <w:r>
        <w:rPr>
          <w:rFonts w:hint="eastAsia" w:cs="宋体"/>
          <w:color w:val="000000" w:themeColor="text1"/>
          <w:highlight w:val="none"/>
          <w14:textFill>
            <w14:solidFill>
              <w14:schemeClr w14:val="tx1"/>
            </w14:solidFill>
          </w14:textFill>
        </w:rPr>
        <w:t>表格按本工程工程量清单表格要求填写，并</w:t>
      </w:r>
      <w:r>
        <w:rPr>
          <w:rFonts w:hint="eastAsia" w:hAnsi="宋体" w:cs="宋体"/>
          <w:color w:val="000000" w:themeColor="text1"/>
          <w:highlight w:val="none"/>
          <w14:textFill>
            <w14:solidFill>
              <w14:schemeClr w14:val="tx1"/>
            </w14:solidFill>
          </w14:textFill>
        </w:rPr>
        <w:t>应按磋商文件的要求，附上《工程量清单综合单价分析表》（表</w:t>
      </w:r>
      <w:r>
        <w:rPr>
          <w:color w:val="000000" w:themeColor="text1"/>
          <w:highlight w:val="none"/>
          <w14:textFill>
            <w14:solidFill>
              <w14:schemeClr w14:val="tx1"/>
            </w14:solidFill>
          </w14:textFill>
        </w:rPr>
        <w:t>-09</w:t>
      </w:r>
      <w:r>
        <w:rPr>
          <w:rFonts w:hint="eastAsia" w:hAnsi="宋体" w:cs="宋体"/>
          <w:color w:val="000000" w:themeColor="text1"/>
          <w:highlight w:val="none"/>
          <w14:textFill>
            <w14:solidFill>
              <w14:schemeClr w14:val="tx1"/>
            </w14:solidFill>
          </w14:textFill>
        </w:rPr>
        <w:t>）和《主要清单项目工料机分析表》（表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p>
    <w:p w14:paraId="250F559C">
      <w:pPr>
        <w:spacing w:line="360" w:lineRule="auto"/>
        <w:ind w:firstLine="420" w:firstLineChars="200"/>
        <w:rPr>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未尽事宜详见本工程工程量清单、采购控制价编制说明以及现行《计价规范》等有关规定执行。</w:t>
      </w:r>
    </w:p>
    <w:p w14:paraId="45EEF6CF">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因2021年《广西壮族自治区园林绿化及仿古建筑工程费用定额》采用全费用综合单价形式，故园林绿化及仿古建筑工程的工程量清单及计价采用《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2DD4073E">
      <w:pPr>
        <w:pStyle w:val="3"/>
        <w:spacing w:before="0" w:after="0" w:line="360" w:lineRule="auto"/>
        <w:rPr>
          <w:rFonts w:cs="黑体"/>
          <w:color w:val="000000" w:themeColor="text1"/>
          <w:highlight w:val="none"/>
          <w14:textFill>
            <w14:solidFill>
              <w14:schemeClr w14:val="tx1"/>
            </w14:solidFill>
          </w14:textFill>
        </w:rPr>
      </w:pPr>
      <w:bookmarkStart w:id="95" w:name="_Toc122424004"/>
      <w:bookmarkStart w:id="96" w:name="_Toc122424253"/>
      <w:r>
        <w:rPr>
          <w:rFonts w:hint="eastAsia" w:cs="黑体"/>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工程量清单及</w:t>
      </w:r>
      <w:r>
        <w:rPr>
          <w:rFonts w:hint="eastAsia" w:cs="黑体"/>
          <w:color w:val="000000" w:themeColor="text1"/>
          <w:highlight w:val="none"/>
          <w14:textFill>
            <w14:solidFill>
              <w14:schemeClr w14:val="tx1"/>
            </w14:solidFill>
          </w14:textFill>
        </w:rPr>
        <w:t>图纸（另册）</w:t>
      </w:r>
      <w:bookmarkEnd w:id="95"/>
      <w:bookmarkEnd w:id="96"/>
    </w:p>
    <w:p w14:paraId="422A264D">
      <w:pPr>
        <w:pStyle w:val="4"/>
        <w:spacing w:before="0" w:after="0" w:line="360" w:lineRule="auto"/>
        <w:rPr>
          <w:color w:val="000000" w:themeColor="text1"/>
          <w:highlight w:val="none"/>
          <w14:textFill>
            <w14:solidFill>
              <w14:schemeClr w14:val="tx1"/>
            </w14:solidFill>
          </w14:textFill>
        </w:rPr>
      </w:pPr>
      <w:r>
        <w:rPr>
          <w:rFonts w:cs="黑体"/>
          <w:color w:val="000000" w:themeColor="text1"/>
          <w:highlight w:val="none"/>
          <w14:textFill>
            <w14:solidFill>
              <w14:schemeClr w14:val="tx1"/>
            </w14:solidFill>
          </w14:textFill>
        </w:rPr>
        <w:br w:type="page"/>
      </w:r>
    </w:p>
    <w:p w14:paraId="0820D523">
      <w:pPr>
        <w:rPr>
          <w:color w:val="000000" w:themeColor="text1"/>
          <w:highlight w:val="none"/>
          <w14:textFill>
            <w14:solidFill>
              <w14:schemeClr w14:val="tx1"/>
            </w14:solidFill>
          </w14:textFill>
        </w:rPr>
      </w:pPr>
    </w:p>
    <w:p w14:paraId="6B247C16">
      <w:pPr>
        <w:rPr>
          <w:color w:val="000000" w:themeColor="text1"/>
          <w:highlight w:val="none"/>
          <w14:textFill>
            <w14:solidFill>
              <w14:schemeClr w14:val="tx1"/>
            </w14:solidFill>
          </w14:textFill>
        </w:rPr>
      </w:pPr>
    </w:p>
    <w:p w14:paraId="24406129">
      <w:pPr>
        <w:rPr>
          <w:color w:val="000000" w:themeColor="text1"/>
          <w:highlight w:val="none"/>
          <w14:textFill>
            <w14:solidFill>
              <w14:schemeClr w14:val="tx1"/>
            </w14:solidFill>
          </w14:textFill>
        </w:rPr>
      </w:pPr>
    </w:p>
    <w:p w14:paraId="0A1BB3C6">
      <w:pPr>
        <w:rPr>
          <w:color w:val="000000" w:themeColor="text1"/>
          <w:highlight w:val="none"/>
          <w14:textFill>
            <w14:solidFill>
              <w14:schemeClr w14:val="tx1"/>
            </w14:solidFill>
          </w14:textFill>
        </w:rPr>
      </w:pPr>
    </w:p>
    <w:p w14:paraId="62537427">
      <w:pPr>
        <w:rPr>
          <w:color w:val="000000" w:themeColor="text1"/>
          <w:highlight w:val="none"/>
          <w14:textFill>
            <w14:solidFill>
              <w14:schemeClr w14:val="tx1"/>
            </w14:solidFill>
          </w14:textFill>
        </w:rPr>
      </w:pPr>
    </w:p>
    <w:p w14:paraId="014E2C32">
      <w:pPr>
        <w:rPr>
          <w:color w:val="000000" w:themeColor="text1"/>
          <w:highlight w:val="none"/>
          <w14:textFill>
            <w14:solidFill>
              <w14:schemeClr w14:val="tx1"/>
            </w14:solidFill>
          </w14:textFill>
        </w:rPr>
      </w:pPr>
    </w:p>
    <w:p w14:paraId="2A915A26">
      <w:pPr>
        <w:rPr>
          <w:color w:val="000000" w:themeColor="text1"/>
          <w:highlight w:val="none"/>
          <w14:textFill>
            <w14:solidFill>
              <w14:schemeClr w14:val="tx1"/>
            </w14:solidFill>
          </w14:textFill>
        </w:rPr>
      </w:pPr>
    </w:p>
    <w:p w14:paraId="7625017D">
      <w:pPr>
        <w:rPr>
          <w:color w:val="000000" w:themeColor="text1"/>
          <w:highlight w:val="none"/>
          <w14:textFill>
            <w14:solidFill>
              <w14:schemeClr w14:val="tx1"/>
            </w14:solidFill>
          </w14:textFill>
        </w:rPr>
      </w:pPr>
    </w:p>
    <w:p w14:paraId="378A9009">
      <w:pPr>
        <w:rPr>
          <w:color w:val="000000" w:themeColor="text1"/>
          <w:highlight w:val="none"/>
          <w14:textFill>
            <w14:solidFill>
              <w14:schemeClr w14:val="tx1"/>
            </w14:solidFill>
          </w14:textFill>
        </w:rPr>
      </w:pPr>
    </w:p>
    <w:p w14:paraId="0B6799D5">
      <w:pPr>
        <w:rPr>
          <w:color w:val="000000" w:themeColor="text1"/>
          <w:highlight w:val="none"/>
          <w14:textFill>
            <w14:solidFill>
              <w14:schemeClr w14:val="tx1"/>
            </w14:solidFill>
          </w14:textFill>
        </w:rPr>
      </w:pPr>
    </w:p>
    <w:p w14:paraId="69C9E13E">
      <w:pPr>
        <w:rPr>
          <w:color w:val="000000" w:themeColor="text1"/>
          <w:highlight w:val="none"/>
          <w14:textFill>
            <w14:solidFill>
              <w14:schemeClr w14:val="tx1"/>
            </w14:solidFill>
          </w14:textFill>
        </w:rPr>
      </w:pPr>
    </w:p>
    <w:p w14:paraId="7EB9A177">
      <w:pPr>
        <w:rPr>
          <w:color w:val="000000" w:themeColor="text1"/>
          <w:highlight w:val="none"/>
          <w14:textFill>
            <w14:solidFill>
              <w14:schemeClr w14:val="tx1"/>
            </w14:solidFill>
          </w14:textFill>
        </w:rPr>
      </w:pPr>
    </w:p>
    <w:p w14:paraId="6C7F7D01">
      <w:pPr>
        <w:rPr>
          <w:color w:val="000000" w:themeColor="text1"/>
          <w:highlight w:val="none"/>
          <w14:textFill>
            <w14:solidFill>
              <w14:schemeClr w14:val="tx1"/>
            </w14:solidFill>
          </w14:textFill>
        </w:rPr>
      </w:pPr>
    </w:p>
    <w:p w14:paraId="10032C17">
      <w:pPr>
        <w:rPr>
          <w:color w:val="000000" w:themeColor="text1"/>
          <w:highlight w:val="none"/>
          <w14:textFill>
            <w14:solidFill>
              <w14:schemeClr w14:val="tx1"/>
            </w14:solidFill>
          </w14:textFill>
        </w:rPr>
      </w:pPr>
    </w:p>
    <w:p w14:paraId="42D8375C">
      <w:pPr>
        <w:rPr>
          <w:color w:val="000000" w:themeColor="text1"/>
          <w:highlight w:val="none"/>
          <w14:textFill>
            <w14:solidFill>
              <w14:schemeClr w14:val="tx1"/>
            </w14:solidFill>
          </w14:textFill>
        </w:rPr>
      </w:pPr>
    </w:p>
    <w:p w14:paraId="4395943B">
      <w:pPr>
        <w:rPr>
          <w:color w:val="000000" w:themeColor="text1"/>
          <w:highlight w:val="none"/>
          <w14:textFill>
            <w14:solidFill>
              <w14:schemeClr w14:val="tx1"/>
            </w14:solidFill>
          </w14:textFill>
        </w:rPr>
      </w:pPr>
    </w:p>
    <w:p w14:paraId="43789DA9">
      <w:pPr>
        <w:rPr>
          <w:color w:val="000000" w:themeColor="text1"/>
          <w:highlight w:val="none"/>
          <w14:textFill>
            <w14:solidFill>
              <w14:schemeClr w14:val="tx1"/>
            </w14:solidFill>
          </w14:textFill>
        </w:rPr>
      </w:pPr>
    </w:p>
    <w:p w14:paraId="701EF5F1">
      <w:pPr>
        <w:pStyle w:val="2"/>
        <w:jc w:val="center"/>
        <w:rPr>
          <w:color w:val="000000" w:themeColor="text1"/>
          <w:highlight w:val="none"/>
          <w14:textFill>
            <w14:solidFill>
              <w14:schemeClr w14:val="tx1"/>
            </w14:solidFill>
          </w14:textFill>
        </w:rPr>
      </w:pPr>
      <w:bookmarkStart w:id="97" w:name="_Toc122424265"/>
      <w:r>
        <w:rPr>
          <w:rFonts w:hint="eastAsia"/>
          <w:color w:val="000000" w:themeColor="text1"/>
          <w:highlight w:val="none"/>
          <w14:textFill>
            <w14:solidFill>
              <w14:schemeClr w14:val="tx1"/>
            </w14:solidFill>
          </w14:textFill>
        </w:rPr>
        <w:t>第六章 响应文件格式</w:t>
      </w:r>
      <w:bookmarkEnd w:id="97"/>
    </w:p>
    <w:p w14:paraId="6A5657B5">
      <w:pPr>
        <w:spacing w:line="240" w:lineRule="atLeast"/>
        <w:rPr>
          <w:rFonts w:ascii="宋体" w:hAnsi="宋体"/>
          <w:b/>
          <w:color w:val="000000" w:themeColor="text1"/>
          <w:sz w:val="32"/>
          <w:szCs w:val="32"/>
          <w:highlight w:val="none"/>
          <w14:textFill>
            <w14:solidFill>
              <w14:schemeClr w14:val="tx1"/>
            </w14:solidFill>
          </w14:textFill>
        </w:rPr>
      </w:pPr>
    </w:p>
    <w:p w14:paraId="7448AF09">
      <w:pPr>
        <w:spacing w:line="240" w:lineRule="atLeast"/>
        <w:rPr>
          <w:rFonts w:ascii="宋体" w:hAnsi="宋体"/>
          <w:b/>
          <w:color w:val="000000" w:themeColor="text1"/>
          <w:sz w:val="32"/>
          <w:szCs w:val="32"/>
          <w:highlight w:val="none"/>
          <w14:textFill>
            <w14:solidFill>
              <w14:schemeClr w14:val="tx1"/>
            </w14:solidFill>
          </w14:textFill>
        </w:rPr>
      </w:pPr>
    </w:p>
    <w:p w14:paraId="7EC04E73">
      <w:pPr>
        <w:spacing w:line="240" w:lineRule="atLeast"/>
        <w:rPr>
          <w:rFonts w:ascii="宋体" w:hAnsi="宋体"/>
          <w:b/>
          <w:color w:val="000000" w:themeColor="text1"/>
          <w:sz w:val="32"/>
          <w:szCs w:val="32"/>
          <w:highlight w:val="none"/>
          <w14:textFill>
            <w14:solidFill>
              <w14:schemeClr w14:val="tx1"/>
            </w14:solidFill>
          </w14:textFill>
        </w:rPr>
      </w:pPr>
    </w:p>
    <w:p w14:paraId="73FE7891">
      <w:pPr>
        <w:spacing w:line="240" w:lineRule="atLeast"/>
        <w:rPr>
          <w:rFonts w:ascii="宋体" w:hAnsi="宋体"/>
          <w:b/>
          <w:color w:val="000000" w:themeColor="text1"/>
          <w:sz w:val="32"/>
          <w:szCs w:val="32"/>
          <w:highlight w:val="none"/>
          <w14:textFill>
            <w14:solidFill>
              <w14:schemeClr w14:val="tx1"/>
            </w14:solidFill>
          </w14:textFill>
        </w:rPr>
      </w:pPr>
    </w:p>
    <w:p w14:paraId="06C3A90A">
      <w:pPr>
        <w:spacing w:line="240" w:lineRule="atLeast"/>
        <w:rPr>
          <w:rFonts w:ascii="宋体" w:hAnsi="宋体"/>
          <w:b/>
          <w:color w:val="000000" w:themeColor="text1"/>
          <w:sz w:val="32"/>
          <w:szCs w:val="32"/>
          <w:highlight w:val="none"/>
          <w14:textFill>
            <w14:solidFill>
              <w14:schemeClr w14:val="tx1"/>
            </w14:solidFill>
          </w14:textFill>
        </w:rPr>
      </w:pPr>
    </w:p>
    <w:p w14:paraId="1B6EC939">
      <w:pPr>
        <w:spacing w:line="240" w:lineRule="atLeast"/>
        <w:rPr>
          <w:rFonts w:ascii="宋体" w:hAnsi="宋体"/>
          <w:b/>
          <w:color w:val="000000" w:themeColor="text1"/>
          <w:sz w:val="32"/>
          <w:szCs w:val="32"/>
          <w:highlight w:val="none"/>
          <w14:textFill>
            <w14:solidFill>
              <w14:schemeClr w14:val="tx1"/>
            </w14:solidFill>
          </w14:textFill>
        </w:rPr>
      </w:pPr>
    </w:p>
    <w:p w14:paraId="1458E236">
      <w:pPr>
        <w:spacing w:line="240" w:lineRule="atLeast"/>
        <w:rPr>
          <w:rFonts w:ascii="宋体" w:hAnsi="宋体"/>
          <w:b/>
          <w:color w:val="000000" w:themeColor="text1"/>
          <w:sz w:val="32"/>
          <w:szCs w:val="32"/>
          <w:highlight w:val="none"/>
          <w14:textFill>
            <w14:solidFill>
              <w14:schemeClr w14:val="tx1"/>
            </w14:solidFill>
          </w14:textFill>
        </w:rPr>
      </w:pPr>
    </w:p>
    <w:p w14:paraId="26EB43DB">
      <w:pPr>
        <w:spacing w:line="240" w:lineRule="atLeast"/>
        <w:rPr>
          <w:rFonts w:ascii="宋体" w:hAnsi="宋体"/>
          <w:b/>
          <w:color w:val="000000" w:themeColor="text1"/>
          <w:sz w:val="32"/>
          <w:szCs w:val="32"/>
          <w:highlight w:val="none"/>
          <w14:textFill>
            <w14:solidFill>
              <w14:schemeClr w14:val="tx1"/>
            </w14:solidFill>
          </w14:textFill>
        </w:rPr>
      </w:pPr>
    </w:p>
    <w:p w14:paraId="5ECA08F8">
      <w:pPr>
        <w:spacing w:line="240" w:lineRule="atLeast"/>
        <w:rPr>
          <w:rFonts w:ascii="宋体" w:hAnsi="宋体"/>
          <w:b/>
          <w:color w:val="000000" w:themeColor="text1"/>
          <w:sz w:val="32"/>
          <w:szCs w:val="32"/>
          <w:highlight w:val="none"/>
          <w14:textFill>
            <w14:solidFill>
              <w14:schemeClr w14:val="tx1"/>
            </w14:solidFill>
          </w14:textFill>
        </w:rPr>
      </w:pPr>
    </w:p>
    <w:p w14:paraId="4A5EBBEF">
      <w:pPr>
        <w:spacing w:line="240" w:lineRule="atLeast"/>
        <w:rPr>
          <w:rFonts w:ascii="宋体" w:hAnsi="宋体"/>
          <w:b/>
          <w:color w:val="000000" w:themeColor="text1"/>
          <w:sz w:val="32"/>
          <w:szCs w:val="32"/>
          <w:highlight w:val="none"/>
          <w14:textFill>
            <w14:solidFill>
              <w14:schemeClr w14:val="tx1"/>
            </w14:solidFill>
          </w14:textFill>
        </w:rPr>
      </w:pPr>
    </w:p>
    <w:p w14:paraId="5C93C5E1">
      <w:pPr>
        <w:snapToGrid w:val="0"/>
        <w:spacing w:before="50" w:after="50"/>
        <w:outlineLvl w:val="1"/>
        <w:rPr>
          <w:rFonts w:ascii="宋体" w:hAnsi="宋体"/>
          <w:b/>
          <w:bCs/>
          <w:color w:val="000000" w:themeColor="text1"/>
          <w:sz w:val="24"/>
          <w:highlight w:val="none"/>
          <w14:textFill>
            <w14:solidFill>
              <w14:schemeClr w14:val="tx1"/>
            </w14:solidFill>
          </w14:textFill>
        </w:rPr>
      </w:pPr>
    </w:p>
    <w:p w14:paraId="4C21880F">
      <w:pPr>
        <w:rPr>
          <w:b/>
          <w:color w:val="000000" w:themeColor="text1"/>
          <w:sz w:val="32"/>
          <w:szCs w:val="32"/>
          <w:highlight w:val="none"/>
          <w14:textFill>
            <w14:solidFill>
              <w14:schemeClr w14:val="tx1"/>
            </w14:solidFill>
          </w14:textFill>
        </w:rPr>
      </w:pPr>
      <w:bookmarkStart w:id="98" w:name="_Toc35611516"/>
      <w:bookmarkStart w:id="99" w:name="_Toc35611438"/>
      <w:bookmarkStart w:id="100" w:name="_Toc71366186"/>
      <w:bookmarkStart w:id="101" w:name="_Toc44229899"/>
      <w:bookmarkStart w:id="102" w:name="_Toc31723070"/>
      <w:bookmarkStart w:id="103" w:name="_Toc31728084"/>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98"/>
      <w:bookmarkEnd w:id="99"/>
      <w:bookmarkEnd w:id="100"/>
      <w:bookmarkEnd w:id="101"/>
      <w:bookmarkEnd w:id="102"/>
      <w:bookmarkEnd w:id="103"/>
    </w:p>
    <w:p w14:paraId="5B8234F7">
      <w:pPr>
        <w:snapToGrid w:val="0"/>
        <w:spacing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3277847A">
      <w:pPr>
        <w:snapToGrid w:val="0"/>
        <w:spacing w:beforeLines="50" w:after="50"/>
        <w:jc w:val="center"/>
        <w:rPr>
          <w:rFonts w:ascii="宋体" w:hAnsi="宋体"/>
          <w:color w:val="000000" w:themeColor="text1"/>
          <w:sz w:val="44"/>
          <w:szCs w:val="44"/>
          <w:highlight w:val="none"/>
          <w14:textFill>
            <w14:solidFill>
              <w14:schemeClr w14:val="tx1"/>
            </w14:solidFill>
          </w14:textFill>
        </w:rPr>
      </w:pPr>
    </w:p>
    <w:p w14:paraId="205808D4">
      <w:pPr>
        <w:snapToGrid w:val="0"/>
        <w:spacing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B57EB23">
      <w:pPr>
        <w:snapToGrid w:val="0"/>
        <w:spacing w:beforeLines="50" w:after="50"/>
        <w:rPr>
          <w:rFonts w:ascii="宋体" w:hAnsi="宋体"/>
          <w:color w:val="000000" w:themeColor="text1"/>
          <w:sz w:val="24"/>
          <w:szCs w:val="20"/>
          <w:highlight w:val="none"/>
          <w14:textFill>
            <w14:solidFill>
              <w14:schemeClr w14:val="tx1"/>
            </w14:solidFill>
          </w14:textFill>
        </w:rPr>
      </w:pPr>
    </w:p>
    <w:p w14:paraId="740F38CE">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29323839">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583D31">
      <w:pPr>
        <w:snapToGrid w:val="0"/>
        <w:spacing w:beforeLines="50" w:after="50"/>
        <w:rPr>
          <w:rFonts w:ascii="宋体" w:hAnsi="宋体"/>
          <w:bCs/>
          <w:color w:val="000000" w:themeColor="text1"/>
          <w:sz w:val="24"/>
          <w:szCs w:val="20"/>
          <w:highlight w:val="none"/>
          <w14:textFill>
            <w14:solidFill>
              <w14:schemeClr w14:val="tx1"/>
            </w14:solidFill>
          </w14:textFill>
        </w:rPr>
      </w:pPr>
    </w:p>
    <w:p w14:paraId="713FEAB1">
      <w:pPr>
        <w:snapToGrid w:val="0"/>
        <w:spacing w:beforeLines="50" w:after="50"/>
        <w:rPr>
          <w:rFonts w:ascii="宋体" w:hAnsi="宋体"/>
          <w:bCs/>
          <w:color w:val="000000" w:themeColor="text1"/>
          <w:sz w:val="24"/>
          <w:szCs w:val="20"/>
          <w:highlight w:val="none"/>
          <w14:textFill>
            <w14:solidFill>
              <w14:schemeClr w14:val="tx1"/>
            </w14:solidFill>
          </w14:textFill>
        </w:rPr>
      </w:pPr>
    </w:p>
    <w:p w14:paraId="55E4A1B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04D1B2E">
      <w:pPr>
        <w:snapToGrid w:val="0"/>
        <w:spacing w:beforeLines="50" w:after="50"/>
        <w:rPr>
          <w:rFonts w:ascii="宋体" w:hAnsi="宋体"/>
          <w:bCs/>
          <w:color w:val="000000" w:themeColor="text1"/>
          <w:sz w:val="24"/>
          <w:szCs w:val="20"/>
          <w:highlight w:val="none"/>
          <w14:textFill>
            <w14:solidFill>
              <w14:schemeClr w14:val="tx1"/>
            </w14:solidFill>
          </w14:textFill>
        </w:rPr>
      </w:pPr>
    </w:p>
    <w:p w14:paraId="686F4E4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9A196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203B189">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E7F68B8">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6252AB4">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5E8CA6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2DBC030">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5FD3AA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2FB723EF">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A665832">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7CD41E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B1A81C6">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12C2C86">
      <w:pPr>
        <w:snapToGrid w:val="0"/>
        <w:spacing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68B7D110">
      <w:pPr>
        <w:snapToGrid w:val="0"/>
        <w:spacing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62E852C1">
      <w:pPr>
        <w:snapToGrid w:val="0"/>
        <w:spacing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57EF7064">
      <w:pPr>
        <w:spacing w:line="300" w:lineRule="auto"/>
        <w:rPr>
          <w:rFonts w:ascii="宋体" w:hAnsi="宋体"/>
          <w:color w:val="000000" w:themeColor="text1"/>
          <w:szCs w:val="21"/>
          <w:highlight w:val="none"/>
          <w14:textFill>
            <w14:solidFill>
              <w14:schemeClr w14:val="tx1"/>
            </w14:solidFill>
          </w14:textFill>
        </w:rPr>
      </w:pPr>
    </w:p>
    <w:p w14:paraId="1C50D006">
      <w:pPr>
        <w:spacing w:line="300" w:lineRule="auto"/>
        <w:rPr>
          <w:rFonts w:ascii="宋体" w:hAnsi="宋体"/>
          <w:color w:val="000000" w:themeColor="text1"/>
          <w:szCs w:val="21"/>
          <w:highlight w:val="none"/>
          <w14:textFill>
            <w14:solidFill>
              <w14:schemeClr w14:val="tx1"/>
            </w14:solidFill>
          </w14:textFill>
        </w:rPr>
      </w:pPr>
    </w:p>
    <w:p w14:paraId="44602D32">
      <w:pPr>
        <w:spacing w:line="300" w:lineRule="auto"/>
        <w:rPr>
          <w:rFonts w:ascii="宋体" w:hAnsi="宋体"/>
          <w:color w:val="000000" w:themeColor="text1"/>
          <w:szCs w:val="21"/>
          <w:highlight w:val="none"/>
          <w14:textFill>
            <w14:solidFill>
              <w14:schemeClr w14:val="tx1"/>
            </w14:solidFill>
          </w14:textFill>
        </w:rPr>
      </w:pPr>
    </w:p>
    <w:p w14:paraId="7FCA3D6C">
      <w:pPr>
        <w:spacing w:line="300" w:lineRule="auto"/>
        <w:rPr>
          <w:rFonts w:ascii="宋体" w:hAnsi="宋体"/>
          <w:color w:val="000000" w:themeColor="text1"/>
          <w:szCs w:val="21"/>
          <w:highlight w:val="none"/>
          <w14:textFill>
            <w14:solidFill>
              <w14:schemeClr w14:val="tx1"/>
            </w14:solidFill>
          </w14:textFill>
        </w:rPr>
      </w:pPr>
    </w:p>
    <w:p w14:paraId="4C3F6595">
      <w:pPr>
        <w:spacing w:line="300" w:lineRule="auto"/>
        <w:rPr>
          <w:rFonts w:ascii="宋体" w:hAnsi="宋体"/>
          <w:color w:val="000000" w:themeColor="text1"/>
          <w:szCs w:val="21"/>
          <w:highlight w:val="none"/>
          <w14:textFill>
            <w14:solidFill>
              <w14:schemeClr w14:val="tx1"/>
            </w14:solidFill>
          </w14:textFill>
        </w:rPr>
      </w:pPr>
    </w:p>
    <w:p w14:paraId="7D88D069">
      <w:pPr>
        <w:spacing w:line="300" w:lineRule="auto"/>
        <w:rPr>
          <w:rFonts w:ascii="宋体" w:hAnsi="宋体"/>
          <w:color w:val="000000" w:themeColor="text1"/>
          <w:szCs w:val="21"/>
          <w:highlight w:val="none"/>
          <w14:textFill>
            <w14:solidFill>
              <w14:schemeClr w14:val="tx1"/>
            </w14:solidFill>
          </w14:textFill>
        </w:rPr>
      </w:pPr>
    </w:p>
    <w:p w14:paraId="19596B0A">
      <w:pPr>
        <w:spacing w:line="300" w:lineRule="auto"/>
        <w:rPr>
          <w:rFonts w:ascii="宋体" w:hAnsi="宋体"/>
          <w:color w:val="000000" w:themeColor="text1"/>
          <w:szCs w:val="21"/>
          <w:highlight w:val="none"/>
          <w14:textFill>
            <w14:solidFill>
              <w14:schemeClr w14:val="tx1"/>
            </w14:solidFill>
          </w14:textFill>
        </w:rPr>
      </w:pPr>
    </w:p>
    <w:p w14:paraId="4581264A">
      <w:pPr>
        <w:spacing w:line="300" w:lineRule="auto"/>
        <w:rPr>
          <w:rFonts w:ascii="宋体" w:hAnsi="宋体"/>
          <w:color w:val="000000" w:themeColor="text1"/>
          <w:szCs w:val="21"/>
          <w:highlight w:val="none"/>
          <w14:textFill>
            <w14:solidFill>
              <w14:schemeClr w14:val="tx1"/>
            </w14:solidFill>
          </w14:textFill>
        </w:rPr>
      </w:pPr>
    </w:p>
    <w:p w14:paraId="5E3DD4A7">
      <w:pPr>
        <w:spacing w:line="300" w:lineRule="auto"/>
        <w:rPr>
          <w:rFonts w:ascii="宋体" w:hAnsi="宋体"/>
          <w:color w:val="000000" w:themeColor="text1"/>
          <w:szCs w:val="21"/>
          <w:highlight w:val="none"/>
          <w14:textFill>
            <w14:solidFill>
              <w14:schemeClr w14:val="tx1"/>
            </w14:solidFill>
          </w14:textFill>
        </w:rPr>
      </w:pPr>
    </w:p>
    <w:p w14:paraId="7D1E9775">
      <w:pPr>
        <w:spacing w:line="300" w:lineRule="auto"/>
        <w:rPr>
          <w:rFonts w:ascii="宋体" w:hAnsi="宋体"/>
          <w:color w:val="000000" w:themeColor="text1"/>
          <w:szCs w:val="21"/>
          <w:highlight w:val="none"/>
          <w14:textFill>
            <w14:solidFill>
              <w14:schemeClr w14:val="tx1"/>
            </w14:solidFill>
          </w14:textFill>
        </w:rPr>
      </w:pPr>
    </w:p>
    <w:p w14:paraId="1A582249">
      <w:pPr>
        <w:spacing w:line="300" w:lineRule="auto"/>
        <w:rPr>
          <w:rFonts w:ascii="宋体" w:hAnsi="宋体"/>
          <w:color w:val="000000" w:themeColor="text1"/>
          <w:szCs w:val="21"/>
          <w:highlight w:val="none"/>
          <w14:textFill>
            <w14:solidFill>
              <w14:schemeClr w14:val="tx1"/>
            </w14:solidFill>
          </w14:textFill>
        </w:rPr>
      </w:pPr>
    </w:p>
    <w:p w14:paraId="4F5E910D">
      <w:pPr>
        <w:spacing w:line="300" w:lineRule="auto"/>
        <w:rPr>
          <w:rFonts w:ascii="宋体" w:hAnsi="宋体"/>
          <w:color w:val="000000" w:themeColor="text1"/>
          <w:szCs w:val="21"/>
          <w:highlight w:val="none"/>
          <w14:textFill>
            <w14:solidFill>
              <w14:schemeClr w14:val="tx1"/>
            </w14:solidFill>
          </w14:textFill>
        </w:rPr>
      </w:pPr>
    </w:p>
    <w:p w14:paraId="1D379B18">
      <w:pPr>
        <w:spacing w:line="300" w:lineRule="auto"/>
        <w:rPr>
          <w:rFonts w:ascii="宋体" w:hAnsi="宋体"/>
          <w:color w:val="000000" w:themeColor="text1"/>
          <w:szCs w:val="21"/>
          <w:highlight w:val="none"/>
          <w14:textFill>
            <w14:solidFill>
              <w14:schemeClr w14:val="tx1"/>
            </w14:solidFill>
          </w14:textFill>
        </w:rPr>
      </w:pPr>
    </w:p>
    <w:p w14:paraId="5B725928">
      <w:pPr>
        <w:spacing w:line="300" w:lineRule="auto"/>
        <w:rPr>
          <w:rFonts w:ascii="宋体" w:hAnsi="宋体"/>
          <w:color w:val="000000" w:themeColor="text1"/>
          <w:szCs w:val="21"/>
          <w:highlight w:val="none"/>
          <w14:textFill>
            <w14:solidFill>
              <w14:schemeClr w14:val="tx1"/>
            </w14:solidFill>
          </w14:textFill>
        </w:rPr>
      </w:pPr>
    </w:p>
    <w:p w14:paraId="36BCF19C">
      <w:pPr>
        <w:spacing w:line="300" w:lineRule="auto"/>
        <w:rPr>
          <w:rFonts w:ascii="宋体" w:hAnsi="宋体"/>
          <w:color w:val="000000" w:themeColor="text1"/>
          <w:szCs w:val="21"/>
          <w:highlight w:val="none"/>
          <w14:textFill>
            <w14:solidFill>
              <w14:schemeClr w14:val="tx1"/>
            </w14:solidFill>
          </w14:textFill>
        </w:rPr>
      </w:pPr>
    </w:p>
    <w:p w14:paraId="44E7119F">
      <w:pPr>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6393788D">
      <w:pPr>
        <w:wordWrap w:val="0"/>
        <w:spacing w:beforeLines="50" w:after="50" w:line="320" w:lineRule="exact"/>
        <w:ind w:right="482" w:firstLine="210" w:firstLineChars="100"/>
        <w:contextualSpacing/>
        <w:jc w:val="center"/>
        <w:rPr>
          <w:rFonts w:ascii="宋体" w:hAnsi="宋体"/>
          <w:color w:val="000000" w:themeColor="text1"/>
          <w:szCs w:val="21"/>
          <w:highlight w:val="none"/>
          <w14:textFill>
            <w14:solidFill>
              <w14:schemeClr w14:val="tx1"/>
            </w14:solidFill>
          </w14:textFill>
        </w:rPr>
      </w:pPr>
    </w:p>
    <w:p w14:paraId="209E9F39">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52B8C4DB">
      <w:pPr>
        <w:snapToGrid w:val="0"/>
        <w:spacing w:beforeLines="50" w:after="50" w:line="360" w:lineRule="auto"/>
        <w:jc w:val="center"/>
        <w:rPr>
          <w:rFonts w:ascii="宋体" w:hAnsi="宋体"/>
          <w:b/>
          <w:color w:val="000000" w:themeColor="text1"/>
          <w:sz w:val="24"/>
          <w:highlight w:val="none"/>
          <w14:textFill>
            <w14:solidFill>
              <w14:schemeClr w14:val="tx1"/>
            </w14:solidFill>
          </w14:textFill>
        </w:rPr>
      </w:pPr>
    </w:p>
    <w:p w14:paraId="05C5B15E">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0F24E072">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76139A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E5781">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C6004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D3788">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0B6B0">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DB458D">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D4F84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624F6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5DD5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15C5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1A118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7DDE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B532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1A57C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D958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E1895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2C88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BBD1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2D92922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F8E4BA">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66356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6F8B0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3B2F4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B59A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2C4B1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72AF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7FBE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E32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7174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A3D28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0E3E6490">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DC7C26E">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出资额或者持有股份的比例虽然不足百分之五十，但依其出资额或者持有的股份所享有的表决权已足以对股东会、股东大会的决议产生重大影响的股东。</w:t>
      </w:r>
    </w:p>
    <w:p w14:paraId="2115A161">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C850A4D">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4CB55FE0">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118F8397">
      <w:pPr>
        <w:spacing w:line="360" w:lineRule="auto"/>
        <w:ind w:firstLine="560" w:firstLineChars="200"/>
        <w:contextualSpacing/>
        <w:jc w:val="left"/>
        <w:rPr>
          <w:rFonts w:ascii="宋体" w:hAnsi="宋体" w:cs="宋体"/>
          <w:color w:val="000000" w:themeColor="text1"/>
          <w:sz w:val="28"/>
          <w:szCs w:val="28"/>
          <w:highlight w:val="none"/>
          <w14:textFill>
            <w14:solidFill>
              <w14:schemeClr w14:val="tx1"/>
            </w14:solidFill>
          </w14:textFill>
        </w:rPr>
      </w:pPr>
    </w:p>
    <w:p w14:paraId="4C669016">
      <w:pPr>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397047F9">
      <w:pPr>
        <w:spacing w:line="360" w:lineRule="auto"/>
        <w:ind w:right="480" w:firstLine="3000" w:firstLineChars="125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4C31129">
      <w:pPr>
        <w:spacing w:line="360" w:lineRule="auto"/>
        <w:ind w:firstLine="480" w:firstLineChars="200"/>
        <w:contextualSpacing/>
        <w:jc w:val="righ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472E9763">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4A2E37C4">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12207E19">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2F8C4F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136A">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DCEF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21B0DB">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46BE">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相互关系</w:t>
            </w:r>
          </w:p>
        </w:tc>
      </w:tr>
      <w:tr w14:paraId="183663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6D38B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9636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07A46">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372A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70F5D8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9E40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E57B6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8E2E1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A0204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67550B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BBCC7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EA369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C088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EA95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443B69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75DE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3B084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984D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F915B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13162E27">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64A5930">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6E8D904">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778D6F37">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6D7E6255">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7C4F191A">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39910DAB">
      <w:pPr>
        <w:spacing w:line="360" w:lineRule="auto"/>
        <w:contextualSpacing/>
        <w:jc w:val="left"/>
        <w:rPr>
          <w:color w:val="000000" w:themeColor="text1"/>
          <w:sz w:val="28"/>
          <w:szCs w:val="28"/>
          <w:highlight w:val="none"/>
          <w14:textFill>
            <w14:solidFill>
              <w14:schemeClr w14:val="tx1"/>
            </w14:solidFill>
          </w14:textFill>
        </w:rPr>
      </w:pPr>
    </w:p>
    <w:p w14:paraId="283098A5">
      <w:pPr>
        <w:spacing w:line="360" w:lineRule="auto"/>
        <w:contextualSpacing/>
        <w:jc w:val="left"/>
        <w:rPr>
          <w:color w:val="000000" w:themeColor="text1"/>
          <w:sz w:val="28"/>
          <w:szCs w:val="28"/>
          <w:highlight w:val="none"/>
          <w14:textFill>
            <w14:solidFill>
              <w14:schemeClr w14:val="tx1"/>
            </w14:solidFill>
          </w14:textFill>
        </w:rPr>
      </w:pPr>
    </w:p>
    <w:p w14:paraId="6CBD546A">
      <w:pPr>
        <w:spacing w:line="360" w:lineRule="auto"/>
        <w:contextualSpacing/>
        <w:jc w:val="left"/>
        <w:rPr>
          <w:color w:val="000000" w:themeColor="text1"/>
          <w:sz w:val="28"/>
          <w:szCs w:val="28"/>
          <w:highlight w:val="none"/>
          <w14:textFill>
            <w14:solidFill>
              <w14:schemeClr w14:val="tx1"/>
            </w14:solidFill>
          </w14:textFill>
        </w:rPr>
      </w:pPr>
    </w:p>
    <w:p w14:paraId="283D7FB3">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2FAE5A1D">
      <w:pPr>
        <w:spacing w:line="360" w:lineRule="auto"/>
        <w:ind w:right="480"/>
        <w:contextualSpacing/>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0387228E">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r>
        <w:rPr>
          <w:rFonts w:hint="eastAsia" w:ascii="宋体" w:hAnsi="宋体"/>
          <w:color w:val="000000" w:themeColor="text1"/>
          <w:sz w:val="24"/>
          <w:highlight w:val="none"/>
          <w:u w:val="single"/>
          <w14:textFill>
            <w14:solidFill>
              <w14:schemeClr w14:val="tx1"/>
            </w14:solidFill>
          </w14:textFill>
        </w:rPr>
        <w:t xml:space="preserve">                </w:t>
      </w:r>
    </w:p>
    <w:p w14:paraId="4BD00C24">
      <w:pPr>
        <w:spacing w:line="360" w:lineRule="auto"/>
        <w:ind w:firstLine="480" w:firstLineChars="200"/>
        <w:contextualSpacing/>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14D9127">
      <w:pPr>
        <w:spacing w:line="320" w:lineRule="exact"/>
        <w:jc w:val="center"/>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5D0445D7">
      <w:pPr>
        <w:spacing w:line="320" w:lineRule="exact"/>
        <w:jc w:val="center"/>
        <w:rPr>
          <w:rFonts w:ascii="宋体" w:hAnsi="宋体"/>
          <w:color w:val="000000" w:themeColor="text1"/>
          <w:sz w:val="24"/>
          <w:szCs w:val="20"/>
          <w:highlight w:val="none"/>
          <w14:textFill>
            <w14:solidFill>
              <w14:schemeClr w14:val="tx1"/>
            </w14:solidFill>
          </w14:textFill>
        </w:rPr>
      </w:pPr>
    </w:p>
    <w:p w14:paraId="03A4F639">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2126B7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1C2C6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（项目名称）（项目编号）</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项目的竞标，为便于贵方公正、择优地确定成交供应商及其服务，我方就本次竞标有关事项郑重声明如下：</w:t>
      </w:r>
    </w:p>
    <w:p w14:paraId="44B0B42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6F97161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226F9CC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630EACE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r>
        <w:rPr>
          <w:rFonts w:hint="eastAsia" w:ascii="宋体" w:hAnsi="宋体" w:cs="宋体"/>
          <w:color w:val="000000" w:themeColor="text1"/>
          <w:sz w:val="24"/>
          <w:highlight w:val="none"/>
          <w:lang w:eastAsia="zh-CN"/>
          <w14:textFill>
            <w14:solidFill>
              <w14:schemeClr w14:val="tx1"/>
            </w14:solidFill>
          </w14:textFill>
        </w:rPr>
        <w:t>；</w:t>
      </w:r>
    </w:p>
    <w:p w14:paraId="31964984">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r>
        <w:rPr>
          <w:rFonts w:hint="eastAsia" w:ascii="宋体" w:hAnsi="宋体" w:cs="宋体"/>
          <w:color w:val="000000" w:themeColor="text1"/>
          <w:sz w:val="24"/>
          <w:highlight w:val="none"/>
          <w:lang w:eastAsia="zh-CN"/>
          <w14:textFill>
            <w14:solidFill>
              <w14:schemeClr w14:val="tx1"/>
            </w14:solidFill>
          </w14:textFill>
        </w:rPr>
        <w:t>；</w:t>
      </w:r>
    </w:p>
    <w:p w14:paraId="32286B05">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r>
        <w:rPr>
          <w:rFonts w:hint="eastAsia" w:ascii="宋体" w:hAnsi="宋体" w:cs="宋体"/>
          <w:color w:val="000000" w:themeColor="text1"/>
          <w:sz w:val="24"/>
          <w:highlight w:val="none"/>
          <w:lang w:eastAsia="zh-CN"/>
          <w14:textFill>
            <w14:solidFill>
              <w14:schemeClr w14:val="tx1"/>
            </w14:solidFill>
          </w14:textFill>
        </w:rPr>
        <w:t>；</w:t>
      </w:r>
    </w:p>
    <w:p w14:paraId="32BF8C6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382F75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6062619B">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r>
        <w:rPr>
          <w:rFonts w:hint="eastAsia" w:ascii="宋体" w:hAnsi="宋体" w:cs="宋体"/>
          <w:color w:val="000000" w:themeColor="text1"/>
          <w:sz w:val="24"/>
          <w:highlight w:val="none"/>
          <w:lang w:eastAsia="zh-CN"/>
          <w14:textFill>
            <w14:solidFill>
              <w14:schemeClr w14:val="tx1"/>
            </w14:solidFill>
          </w14:textFill>
        </w:rPr>
        <w:t>；</w:t>
      </w:r>
    </w:p>
    <w:p w14:paraId="5B7C1E4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r>
        <w:rPr>
          <w:rFonts w:hint="eastAsia" w:ascii="宋体" w:hAnsi="宋体" w:cs="宋体"/>
          <w:color w:val="000000" w:themeColor="text1"/>
          <w:sz w:val="24"/>
          <w:highlight w:val="none"/>
          <w:lang w:eastAsia="zh-CN"/>
          <w14:textFill>
            <w14:solidFill>
              <w14:schemeClr w14:val="tx1"/>
            </w14:solidFill>
          </w14:textFill>
        </w:rPr>
        <w:t>；</w:t>
      </w:r>
    </w:p>
    <w:p w14:paraId="26B9DD6E">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r>
        <w:rPr>
          <w:rFonts w:hint="eastAsia" w:ascii="宋体" w:hAnsi="宋体" w:cs="宋体"/>
          <w:color w:val="000000" w:themeColor="text1"/>
          <w:sz w:val="24"/>
          <w:highlight w:val="none"/>
          <w:lang w:eastAsia="zh-CN"/>
          <w14:textFill>
            <w14:solidFill>
              <w14:schemeClr w14:val="tx1"/>
            </w14:solidFill>
          </w14:textFill>
        </w:rPr>
        <w:t>；</w:t>
      </w:r>
    </w:p>
    <w:p w14:paraId="44183D0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r>
        <w:rPr>
          <w:rFonts w:hint="eastAsia" w:ascii="宋体" w:hAnsi="宋体" w:cs="宋体"/>
          <w:color w:val="000000" w:themeColor="text1"/>
          <w:sz w:val="24"/>
          <w:highlight w:val="none"/>
          <w:lang w:eastAsia="zh-CN"/>
          <w14:textFill>
            <w14:solidFill>
              <w14:schemeClr w14:val="tx1"/>
            </w14:solidFill>
          </w14:textFill>
        </w:rPr>
        <w:t>；</w:t>
      </w:r>
    </w:p>
    <w:p w14:paraId="362CE86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r>
        <w:rPr>
          <w:rFonts w:hint="eastAsia" w:ascii="宋体" w:hAnsi="宋体" w:cs="宋体"/>
          <w:color w:val="000000" w:themeColor="text1"/>
          <w:sz w:val="24"/>
          <w:highlight w:val="none"/>
          <w:lang w:eastAsia="zh-CN"/>
          <w14:textFill>
            <w14:solidFill>
              <w14:schemeClr w14:val="tx1"/>
            </w14:solidFill>
          </w14:textFill>
        </w:rPr>
        <w:t>；</w:t>
      </w:r>
    </w:p>
    <w:p w14:paraId="2FA7A0A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11B57C05">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9CB69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8A8F40">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lang w:eastAsia="zh-CN"/>
          <w14:textFill>
            <w14:solidFill>
              <w14:schemeClr w14:val="tx1"/>
            </w14:solidFill>
          </w14:textFill>
        </w:rPr>
        <w:t>；</w:t>
      </w:r>
    </w:p>
    <w:p w14:paraId="54D1D9B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w:t>
      </w:r>
    </w:p>
    <w:p w14:paraId="15E93032">
      <w:pPr>
        <w:pStyle w:val="25"/>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26C92C7D">
      <w:pPr>
        <w:pStyle w:val="25"/>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294A740E">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6883839B">
      <w:pPr>
        <w:pStyle w:val="21"/>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425AA991">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A5F0307">
      <w:pPr>
        <w:spacing w:line="360" w:lineRule="auto"/>
        <w:ind w:firstLine="482" w:firstLineChars="200"/>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如为联合体竞标，盖章处须加盖联合体牵头人电子签章并由联合体牵头人法定代表人签字或者盖章或者电子签名，否则响应文件按无效处理。</w:t>
      </w:r>
    </w:p>
    <w:p w14:paraId="4E4456D3">
      <w:pPr>
        <w:spacing w:line="360" w:lineRule="auto"/>
        <w:contextualSpacing/>
        <w:jc w:val="left"/>
        <w:rPr>
          <w:rFonts w:ascii="宋体" w:hAnsi="宋体" w:cs="宋体"/>
          <w:color w:val="000000" w:themeColor="text1"/>
          <w:sz w:val="24"/>
          <w:highlight w:val="none"/>
          <w14:textFill>
            <w14:solidFill>
              <w14:schemeClr w14:val="tx1"/>
            </w14:solidFill>
          </w14:textFill>
        </w:rPr>
      </w:pPr>
    </w:p>
    <w:p w14:paraId="61EBA48E">
      <w:pPr>
        <w:spacing w:line="360" w:lineRule="auto"/>
        <w:ind w:firstLine="1800" w:firstLineChars="750"/>
        <w:contextualSpacing/>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356D8EA9">
      <w:pPr>
        <w:spacing w:line="360" w:lineRule="auto"/>
        <w:ind w:firstLine="4320" w:firstLineChars="1800"/>
        <w:contextualSpacing/>
        <w:rPr>
          <w:rFonts w:ascii="宋体" w:hAnsi="宋体" w:cs="宋体"/>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供应商（电子签章）：</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7463234">
      <w:pPr>
        <w:pStyle w:val="21"/>
        <w:tabs>
          <w:tab w:val="left" w:pos="939"/>
        </w:tabs>
        <w:spacing w:line="360" w:lineRule="auto"/>
        <w:ind w:left="0" w:leftChars="0"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    月    日</w:t>
      </w:r>
    </w:p>
    <w:p w14:paraId="783F4E70">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6C72892D">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292DE92D">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A3935A9">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444AEDD1">
      <w:pPr>
        <w:snapToGrid w:val="0"/>
        <w:spacing w:beforeLines="50" w:after="50"/>
        <w:rPr>
          <w:rFonts w:ascii="宋体" w:hAnsi="宋体"/>
          <w:color w:val="000000" w:themeColor="text1"/>
          <w:sz w:val="24"/>
          <w:szCs w:val="20"/>
          <w:highlight w:val="none"/>
          <w14:textFill>
            <w14:solidFill>
              <w14:schemeClr w14:val="tx1"/>
            </w14:solidFill>
          </w14:textFill>
        </w:rPr>
      </w:pPr>
    </w:p>
    <w:p w14:paraId="6BF095EF">
      <w:pPr>
        <w:snapToGrid w:val="0"/>
        <w:spacing w:beforeLines="50" w:after="50"/>
        <w:rPr>
          <w:rFonts w:ascii="宋体" w:hAnsi="宋体"/>
          <w:color w:val="000000" w:themeColor="text1"/>
          <w:sz w:val="24"/>
          <w:szCs w:val="20"/>
          <w:highlight w:val="none"/>
          <w14:textFill>
            <w14:solidFill>
              <w14:schemeClr w14:val="tx1"/>
            </w14:solidFill>
          </w14:textFill>
        </w:rPr>
      </w:pPr>
    </w:p>
    <w:p w14:paraId="1129D702">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04D468B0">
      <w:pPr>
        <w:snapToGrid w:val="0"/>
        <w:spacing w:beforeLines="50" w:after="50"/>
        <w:rPr>
          <w:rFonts w:ascii="宋体" w:hAnsi="宋体"/>
          <w:bCs/>
          <w:color w:val="000000" w:themeColor="text1"/>
          <w:sz w:val="24"/>
          <w:szCs w:val="20"/>
          <w:highlight w:val="none"/>
          <w14:textFill>
            <w14:solidFill>
              <w14:schemeClr w14:val="tx1"/>
            </w14:solidFill>
          </w14:textFill>
        </w:rPr>
      </w:pPr>
    </w:p>
    <w:p w14:paraId="4B25335A">
      <w:pPr>
        <w:snapToGrid w:val="0"/>
        <w:spacing w:beforeLines="50" w:after="50"/>
        <w:rPr>
          <w:rFonts w:ascii="宋体" w:hAnsi="宋体"/>
          <w:bCs/>
          <w:color w:val="000000" w:themeColor="text1"/>
          <w:sz w:val="24"/>
          <w:szCs w:val="20"/>
          <w:highlight w:val="none"/>
          <w14:textFill>
            <w14:solidFill>
              <w14:schemeClr w14:val="tx1"/>
            </w14:solidFill>
          </w14:textFill>
        </w:rPr>
      </w:pPr>
    </w:p>
    <w:p w14:paraId="303CD352">
      <w:pPr>
        <w:snapToGrid w:val="0"/>
        <w:spacing w:beforeLines="50" w:after="50"/>
        <w:rPr>
          <w:rFonts w:ascii="宋体" w:hAnsi="宋体"/>
          <w:bCs/>
          <w:color w:val="000000" w:themeColor="text1"/>
          <w:sz w:val="24"/>
          <w:szCs w:val="20"/>
          <w:highlight w:val="none"/>
          <w14:textFill>
            <w14:solidFill>
              <w14:schemeClr w14:val="tx1"/>
            </w14:solidFill>
          </w14:textFill>
        </w:rPr>
      </w:pPr>
    </w:p>
    <w:p w14:paraId="4E08136B">
      <w:pPr>
        <w:snapToGrid w:val="0"/>
        <w:spacing w:beforeLines="50" w:after="50"/>
        <w:rPr>
          <w:rFonts w:ascii="宋体" w:hAnsi="宋体"/>
          <w:bCs/>
          <w:color w:val="000000" w:themeColor="text1"/>
          <w:sz w:val="24"/>
          <w:szCs w:val="20"/>
          <w:highlight w:val="none"/>
          <w14:textFill>
            <w14:solidFill>
              <w14:schemeClr w14:val="tx1"/>
            </w14:solidFill>
          </w14:textFill>
        </w:rPr>
      </w:pPr>
    </w:p>
    <w:p w14:paraId="4947E242">
      <w:pPr>
        <w:snapToGrid w:val="0"/>
        <w:spacing w:beforeLines="50" w:after="50"/>
        <w:rPr>
          <w:rFonts w:ascii="宋体" w:hAnsi="宋体"/>
          <w:bCs/>
          <w:color w:val="000000" w:themeColor="text1"/>
          <w:sz w:val="24"/>
          <w:szCs w:val="20"/>
          <w:highlight w:val="none"/>
          <w14:textFill>
            <w14:solidFill>
              <w14:schemeClr w14:val="tx1"/>
            </w14:solidFill>
          </w14:textFill>
        </w:rPr>
      </w:pPr>
    </w:p>
    <w:p w14:paraId="7BE0FC7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E7D17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BEF39B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3D4ACE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106380A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A89536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0E2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836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77A9AD8B">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C2489A6">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4D37888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D23442C">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7AAAF31">
      <w:pPr>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33D72496">
      <w:pPr>
        <w:spacing w:line="520" w:lineRule="exact"/>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09F05EDB">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竞标函及竞标函附录</w:t>
      </w:r>
    </w:p>
    <w:p w14:paraId="27ADA714">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4142F147">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（一）竞标函</w:t>
      </w:r>
    </w:p>
    <w:p w14:paraId="1EB404D9">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07FE78A0">
      <w:pPr>
        <w:spacing w:line="360" w:lineRule="auto"/>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color w:val="000000" w:themeColor="text1"/>
          <w:szCs w:val="21"/>
          <w:highlight w:val="none"/>
          <w:lang w:val="zh-CN" w:bidi="zh-CN"/>
          <w14:textFill>
            <w14:solidFill>
              <w14:schemeClr w14:val="tx1"/>
            </w14:solidFill>
          </w14:textFill>
        </w:rPr>
        <w:t>采购人</w:t>
      </w:r>
      <w:r>
        <w:rPr>
          <w:color w:val="000000" w:themeColor="text1"/>
          <w:szCs w:val="21"/>
          <w:highlight w:val="none"/>
          <w:lang w:val="zh-CN" w:bidi="zh-CN"/>
          <w14:textFill>
            <w14:solidFill>
              <w14:schemeClr w14:val="tx1"/>
            </w14:solidFill>
          </w14:textFill>
        </w:rPr>
        <w:t>名称</w:t>
      </w:r>
      <w:r>
        <w:rPr>
          <w:color w:val="000000" w:themeColor="text1"/>
          <w:szCs w:val="21"/>
          <w:highlight w:val="none"/>
          <w14:textFill>
            <w14:solidFill>
              <w14:schemeClr w14:val="tx1"/>
            </w14:solidFill>
          </w14:textFill>
        </w:rPr>
        <w:t>）：</w:t>
      </w:r>
    </w:p>
    <w:p w14:paraId="1ED6408B">
      <w:pPr>
        <w:pStyle w:val="178"/>
        <w:numPr>
          <w:ilvl w:val="0"/>
          <w:numId w:val="2"/>
        </w:numPr>
        <w:tabs>
          <w:tab w:val="left" w:pos="762"/>
          <w:tab w:val="left" w:pos="2074"/>
          <w:tab w:val="left" w:pos="3430"/>
          <w:tab w:val="left" w:pos="4687"/>
          <w:tab w:val="left" w:pos="7898"/>
        </w:tabs>
        <w:ind w:firstLine="440"/>
        <w:rPr>
          <w:rFonts w:ascii="Times New Roman" w:hAnsi="Times New Roman" w:cs="Times New Roman"/>
          <w:color w:val="000000" w:themeColor="text1"/>
          <w:szCs w:val="21"/>
          <w:highlight w:val="none"/>
          <w14:textFill>
            <w14:solidFill>
              <w14:schemeClr w14:val="tx1"/>
            </w14:solidFill>
          </w14:textFill>
        </w:rPr>
      </w:pPr>
      <w:bookmarkStart w:id="104" w:name="bookmark2065"/>
      <w:bookmarkEnd w:id="104"/>
      <w:r>
        <w:rPr>
          <w:rFonts w:ascii="Times New Roman" w:hAnsi="Times New Roman" w:cs="Times New Roman"/>
          <w:color w:val="000000" w:themeColor="text1"/>
          <w:szCs w:val="21"/>
          <w:highlight w:val="none"/>
          <w14:textFill>
            <w14:solidFill>
              <w14:schemeClr w14:val="tx1"/>
            </w14:solidFill>
          </w14:textFill>
        </w:rPr>
        <w:t>我方已仔细研究了</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（项目名称</w:t>
      </w:r>
      <w:r>
        <w:rPr>
          <w:rFonts w:hint="eastAsia" w:ascii="Times New Roman" w:hAnsi="Times New Roman" w:cs="Times New Roman"/>
          <w:color w:val="000000" w:themeColor="text1"/>
          <w:szCs w:val="21"/>
          <w:highlight w:val="none"/>
          <w:u w:val="single"/>
          <w14:textFill>
            <w14:solidFill>
              <w14:schemeClr w14:val="tx1"/>
            </w14:solidFill>
          </w14:textFill>
        </w:rPr>
        <w:t>、项目编号</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文件的全部内容，愿意以人民币（大写）</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元（¥</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）的</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标总报价，工期</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日历天，按合同约定实施和完成承包工程，修补工程中的任何缺陷，工程质量达到</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lang w:val="en-US" w:bidi="en-US"/>
          <w14:textFill>
            <w14:solidFill>
              <w14:schemeClr w14:val="tx1"/>
            </w14:solidFill>
          </w14:textFill>
        </w:rPr>
        <w:t>。</w:t>
      </w:r>
    </w:p>
    <w:p w14:paraId="1A125258">
      <w:pPr>
        <w:pStyle w:val="178"/>
        <w:numPr>
          <w:ilvl w:val="0"/>
          <w:numId w:val="2"/>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bookmarkStart w:id="105" w:name="bookmark2068"/>
      <w:bookmarkEnd w:id="105"/>
      <w:bookmarkStart w:id="106" w:name="bookmark2066"/>
      <w:bookmarkEnd w:id="106"/>
      <w:bookmarkStart w:id="107" w:name="bookmark2067"/>
      <w:bookmarkEnd w:id="107"/>
      <w:r>
        <w:rPr>
          <w:rFonts w:hint="eastAsia"/>
          <w:color w:val="000000" w:themeColor="text1"/>
          <w:highlight w:val="none"/>
          <w14:textFill>
            <w14:solidFill>
              <w14:schemeClr w14:val="tx1"/>
            </w14:solidFill>
          </w14:textFill>
        </w:rPr>
        <w:t>我方承认竞标函附录是我方竞标函的组成部分。</w:t>
      </w:r>
    </w:p>
    <w:p w14:paraId="362E501F">
      <w:pPr>
        <w:pStyle w:val="178"/>
        <w:numPr>
          <w:ilvl w:val="0"/>
          <w:numId w:val="2"/>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如我方</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w:t>
      </w:r>
    </w:p>
    <w:p w14:paraId="1D94CE18">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8" w:name="bookmark2069"/>
      <w:r>
        <w:rPr>
          <w:rFonts w:ascii="Times New Roman" w:hAnsi="Times New Roman" w:cs="Times New Roman"/>
          <w:color w:val="000000" w:themeColor="text1"/>
          <w:szCs w:val="21"/>
          <w:highlight w:val="none"/>
          <w14:textFill>
            <w14:solidFill>
              <w14:schemeClr w14:val="tx1"/>
            </w14:solidFill>
          </w14:textFill>
        </w:rPr>
        <w:t>（</w:t>
      </w:r>
      <w:bookmarkEnd w:id="108"/>
      <w:r>
        <w:rPr>
          <w:rFonts w:ascii="Times New Roman" w:hAnsi="Times New Roman" w:cs="Times New Roman"/>
          <w:color w:val="000000" w:themeColor="text1"/>
          <w:szCs w:val="21"/>
          <w:highlight w:val="none"/>
          <w14:textFill>
            <w14:solidFill>
              <w14:schemeClr w14:val="tx1"/>
            </w14:solidFill>
          </w14:textFill>
        </w:rPr>
        <w:t>1）我方承诺在收到</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通知书后，在</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通知书规定的期限内与你方签订合同。</w:t>
      </w:r>
    </w:p>
    <w:p w14:paraId="68FCC11A">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9" w:name="bookmark2070"/>
      <w:r>
        <w:rPr>
          <w:rFonts w:ascii="Times New Roman" w:hAnsi="Times New Roman" w:cs="Times New Roman"/>
          <w:color w:val="000000" w:themeColor="text1"/>
          <w:szCs w:val="21"/>
          <w:highlight w:val="none"/>
          <w14:textFill>
            <w14:solidFill>
              <w14:schemeClr w14:val="tx1"/>
            </w14:solidFill>
          </w14:textFill>
        </w:rPr>
        <w:t>（</w:t>
      </w:r>
      <w:bookmarkEnd w:id="109"/>
      <w:r>
        <w:rPr>
          <w:rFonts w:ascii="Times New Roman" w:hAnsi="Times New Roman" w:cs="Times New Roman"/>
          <w:color w:val="000000" w:themeColor="text1"/>
          <w:szCs w:val="21"/>
          <w:highlight w:val="none"/>
          <w14:textFill>
            <w14:solidFill>
              <w14:schemeClr w14:val="tx1"/>
            </w14:solidFill>
          </w14:textFill>
        </w:rPr>
        <w:t>2）</w:t>
      </w:r>
      <w:r>
        <w:rPr>
          <w:color w:val="000000" w:themeColor="text1"/>
          <w:highlight w:val="none"/>
          <w14:textFill>
            <w14:solidFill>
              <w14:schemeClr w14:val="tx1"/>
            </w14:solidFill>
          </w14:textFill>
        </w:rPr>
        <w:t>在签订合同时不向你方提出附加条件</w:t>
      </w:r>
      <w:r>
        <w:rPr>
          <w:rFonts w:ascii="Times New Roman" w:hAnsi="Times New Roman" w:cs="Times New Roman"/>
          <w:color w:val="000000" w:themeColor="text1"/>
          <w:szCs w:val="21"/>
          <w:highlight w:val="none"/>
          <w14:textFill>
            <w14:solidFill>
              <w14:schemeClr w14:val="tx1"/>
            </w14:solidFill>
          </w14:textFill>
        </w:rPr>
        <w:t>。</w:t>
      </w:r>
    </w:p>
    <w:p w14:paraId="55D79DAC">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10" w:name="bookmark2071"/>
      <w:r>
        <w:rPr>
          <w:rFonts w:ascii="Times New Roman" w:hAnsi="Times New Roman" w:cs="Times New Roman"/>
          <w:color w:val="000000" w:themeColor="text1"/>
          <w:szCs w:val="21"/>
          <w:highlight w:val="none"/>
          <w14:textFill>
            <w14:solidFill>
              <w14:schemeClr w14:val="tx1"/>
            </w14:solidFill>
          </w14:textFill>
        </w:rPr>
        <w:t>（</w:t>
      </w:r>
      <w:bookmarkEnd w:id="110"/>
      <w:r>
        <w:rPr>
          <w:rFonts w:ascii="Times New Roman" w:hAnsi="Times New Roman" w:cs="Times New Roman"/>
          <w:color w:val="000000" w:themeColor="text1"/>
          <w:szCs w:val="21"/>
          <w:highlight w:val="none"/>
          <w14:textFill>
            <w14:solidFill>
              <w14:schemeClr w14:val="tx1"/>
            </w14:solidFill>
          </w14:textFill>
        </w:rPr>
        <w:t>3）我方承诺按照</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文件规定向你方递交履约担保。</w:t>
      </w:r>
    </w:p>
    <w:p w14:paraId="1872A305">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11" w:name="bookmark2072"/>
      <w:r>
        <w:rPr>
          <w:rFonts w:ascii="Times New Roman" w:hAnsi="Times New Roman" w:cs="Times New Roman"/>
          <w:color w:val="000000" w:themeColor="text1"/>
          <w:szCs w:val="21"/>
          <w:highlight w:val="none"/>
          <w14:textFill>
            <w14:solidFill>
              <w14:schemeClr w14:val="tx1"/>
            </w14:solidFill>
          </w14:textFill>
        </w:rPr>
        <w:t>（</w:t>
      </w:r>
      <w:bookmarkEnd w:id="111"/>
      <w:r>
        <w:rPr>
          <w:rFonts w:ascii="Times New Roman" w:hAnsi="Times New Roman" w:cs="Times New Roman"/>
          <w:color w:val="000000" w:themeColor="text1"/>
          <w:szCs w:val="21"/>
          <w:highlight w:val="none"/>
          <w14:textFill>
            <w14:solidFill>
              <w14:schemeClr w14:val="tx1"/>
            </w14:solidFill>
          </w14:textFill>
        </w:rPr>
        <w:t>4）我方承诺在合同约定的期限内完成并移交全部合同工程。</w:t>
      </w:r>
    </w:p>
    <w:p w14:paraId="24BCEFF9">
      <w:pPr>
        <w:pStyle w:val="178"/>
        <w:numPr>
          <w:ilvl w:val="0"/>
          <w:numId w:val="2"/>
        </w:numPr>
        <w:tabs>
          <w:tab w:val="left" w:pos="762"/>
        </w:tabs>
        <w:ind w:firstLine="440"/>
        <w:rPr>
          <w:rFonts w:ascii="Times New Roman" w:hAnsi="Times New Roman" w:cs="Times New Roman"/>
          <w:color w:val="000000" w:themeColor="text1"/>
          <w:szCs w:val="21"/>
          <w:highlight w:val="none"/>
          <w14:textFill>
            <w14:solidFill>
              <w14:schemeClr w14:val="tx1"/>
            </w14:solidFill>
          </w14:textFill>
        </w:rPr>
      </w:pPr>
      <w:bookmarkStart w:id="112" w:name="bookmark2073"/>
      <w:bookmarkEnd w:id="112"/>
      <w:r>
        <w:rPr>
          <w:color w:val="000000" w:themeColor="text1"/>
          <w:highlight w:val="none"/>
          <w14:textFill>
            <w14:solidFill>
              <w14:schemeClr w14:val="tx1"/>
            </w14:solidFill>
          </w14:textFill>
        </w:rPr>
        <w:t>在合同协议书正式签署生效之前，本</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w:t>
      </w:r>
      <w:r>
        <w:rPr>
          <w:color w:val="000000" w:themeColor="text1"/>
          <w:highlight w:val="none"/>
          <w14:textFill>
            <w14:solidFill>
              <w14:schemeClr w14:val="tx1"/>
            </w14:solidFill>
          </w14:textFill>
        </w:rPr>
        <w:t>函连同你方的</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通知书将构成我们双方之间共同遵守的文件，对双方具有约束力</w:t>
      </w:r>
      <w:r>
        <w:rPr>
          <w:rFonts w:ascii="Times New Roman" w:hAnsi="Times New Roman" w:cs="Times New Roman"/>
          <w:color w:val="000000" w:themeColor="text1"/>
          <w:szCs w:val="21"/>
          <w:highlight w:val="none"/>
          <w14:textFill>
            <w14:solidFill>
              <w14:schemeClr w14:val="tx1"/>
            </w14:solidFill>
          </w14:textFill>
        </w:rPr>
        <w:t>。</w:t>
      </w:r>
    </w:p>
    <w:p w14:paraId="219C97D8">
      <w:pPr>
        <w:spacing w:line="360" w:lineRule="auto"/>
        <w:ind w:firstLine="420" w:firstLineChars="200"/>
        <w:rPr>
          <w:color w:val="000000" w:themeColor="text1"/>
          <w:szCs w:val="21"/>
          <w:highlight w:val="none"/>
          <w14:textFill>
            <w14:solidFill>
              <w14:schemeClr w14:val="tx1"/>
            </w14:solidFill>
          </w14:textFill>
        </w:rPr>
      </w:pPr>
      <w:bookmarkStart w:id="113" w:name="bookmark2074"/>
      <w:bookmarkEnd w:id="113"/>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（其他补充说明）。</w:t>
      </w:r>
    </w:p>
    <w:p w14:paraId="4A2ACE95">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p>
    <w:p w14:paraId="0FEC81D6">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50975BD1">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3076D3F8">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r>
        <w:rPr>
          <w:rFonts w:ascii="宋体" w:hAnsi="宋体" w:cs="方正小标宋简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（二）竞标函附录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1B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CD8466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号</w:t>
            </w:r>
          </w:p>
        </w:tc>
        <w:tc>
          <w:tcPr>
            <w:tcW w:w="1985" w:type="dxa"/>
            <w:vAlign w:val="center"/>
          </w:tcPr>
          <w:p w14:paraId="32AEFFC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条款内容</w:t>
            </w:r>
          </w:p>
        </w:tc>
        <w:tc>
          <w:tcPr>
            <w:tcW w:w="2126" w:type="dxa"/>
            <w:vAlign w:val="center"/>
          </w:tcPr>
          <w:p w14:paraId="3F5B745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合同条款号</w:t>
            </w:r>
          </w:p>
        </w:tc>
        <w:tc>
          <w:tcPr>
            <w:tcW w:w="1984" w:type="dxa"/>
            <w:vAlign w:val="center"/>
          </w:tcPr>
          <w:p w14:paraId="1C432AD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约定内容</w:t>
            </w:r>
          </w:p>
        </w:tc>
        <w:tc>
          <w:tcPr>
            <w:tcW w:w="1843" w:type="dxa"/>
            <w:vAlign w:val="center"/>
          </w:tcPr>
          <w:p w14:paraId="442020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供应商响应情况</w:t>
            </w:r>
          </w:p>
        </w:tc>
      </w:tr>
      <w:tr w14:paraId="103B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95100A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985" w:type="dxa"/>
            <w:vAlign w:val="center"/>
          </w:tcPr>
          <w:p w14:paraId="78C7B7FF">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项目经理</w:t>
            </w:r>
          </w:p>
        </w:tc>
        <w:tc>
          <w:tcPr>
            <w:tcW w:w="2126" w:type="dxa"/>
            <w:tcMar>
              <w:left w:w="170" w:type="dxa"/>
            </w:tcMar>
            <w:vAlign w:val="center"/>
          </w:tcPr>
          <w:p w14:paraId="15965E2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B2218C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r>
              <w:rPr>
                <w:color w:val="000000" w:themeColor="text1"/>
                <w:highlight w:val="none"/>
                <w:u w:val="single"/>
                <w14:textFill>
                  <w14:solidFill>
                    <w14:schemeClr w14:val="tx1"/>
                  </w14:solidFill>
                </w14:textFill>
              </w:rPr>
              <w:t xml:space="preserve">          </w:t>
            </w:r>
          </w:p>
        </w:tc>
        <w:tc>
          <w:tcPr>
            <w:tcW w:w="1843" w:type="dxa"/>
            <w:vAlign w:val="center"/>
          </w:tcPr>
          <w:p w14:paraId="478F48E0">
            <w:pPr>
              <w:jc w:val="center"/>
              <w:rPr>
                <w:color w:val="000000" w:themeColor="text1"/>
                <w:highlight w:val="none"/>
                <w14:textFill>
                  <w14:solidFill>
                    <w14:schemeClr w14:val="tx1"/>
                  </w14:solidFill>
                </w14:textFill>
              </w:rPr>
            </w:pPr>
          </w:p>
        </w:tc>
      </w:tr>
      <w:tr w14:paraId="7874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C98C12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985" w:type="dxa"/>
            <w:vAlign w:val="center"/>
          </w:tcPr>
          <w:p w14:paraId="7556F5D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竞标有效期</w:t>
            </w:r>
          </w:p>
        </w:tc>
        <w:tc>
          <w:tcPr>
            <w:tcW w:w="2126" w:type="dxa"/>
            <w:tcMar>
              <w:left w:w="170" w:type="dxa"/>
            </w:tcMar>
            <w:vAlign w:val="center"/>
          </w:tcPr>
          <w:p w14:paraId="3A0AB2CE">
            <w:pPr>
              <w:rPr>
                <w:color w:val="000000" w:themeColor="text1"/>
                <w:highlight w:val="none"/>
                <w14:textFill>
                  <w14:solidFill>
                    <w14:schemeClr w14:val="tx1"/>
                  </w14:solidFill>
                </w14:textFill>
              </w:rPr>
            </w:pPr>
          </w:p>
        </w:tc>
        <w:tc>
          <w:tcPr>
            <w:tcW w:w="1984" w:type="dxa"/>
            <w:vAlign w:val="center"/>
          </w:tcPr>
          <w:p w14:paraId="7D9163B5">
            <w:pPr>
              <w:jc w:val="center"/>
              <w:rPr>
                <w:color w:val="000000" w:themeColor="text1"/>
                <w:highlight w:val="none"/>
                <w:u w:val="single"/>
                <w14:textFill>
                  <w14:solidFill>
                    <w14:schemeClr w14:val="tx1"/>
                  </w14:solidFill>
                </w14:textFill>
              </w:rPr>
            </w:pPr>
          </w:p>
        </w:tc>
        <w:tc>
          <w:tcPr>
            <w:tcW w:w="1843" w:type="dxa"/>
            <w:vAlign w:val="center"/>
          </w:tcPr>
          <w:p w14:paraId="13AE0FFE">
            <w:pPr>
              <w:jc w:val="center"/>
              <w:rPr>
                <w:color w:val="000000" w:themeColor="text1"/>
                <w:highlight w:val="none"/>
                <w14:textFill>
                  <w14:solidFill>
                    <w14:schemeClr w14:val="tx1"/>
                  </w14:solidFill>
                </w14:textFill>
              </w:rPr>
            </w:pPr>
          </w:p>
        </w:tc>
      </w:tr>
      <w:tr w14:paraId="205A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FB68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985" w:type="dxa"/>
            <w:vAlign w:val="center"/>
          </w:tcPr>
          <w:p w14:paraId="0382D51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工期</w:t>
            </w:r>
          </w:p>
        </w:tc>
        <w:tc>
          <w:tcPr>
            <w:tcW w:w="2126" w:type="dxa"/>
            <w:tcMar>
              <w:left w:w="170" w:type="dxa"/>
            </w:tcMar>
            <w:vAlign w:val="center"/>
          </w:tcPr>
          <w:p w14:paraId="266C9D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10D30CB">
            <w:pPr>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日历天</w:t>
            </w:r>
          </w:p>
        </w:tc>
        <w:tc>
          <w:tcPr>
            <w:tcW w:w="1843" w:type="dxa"/>
            <w:vAlign w:val="center"/>
          </w:tcPr>
          <w:p w14:paraId="1C54CA3E">
            <w:pPr>
              <w:jc w:val="center"/>
              <w:rPr>
                <w:color w:val="000000" w:themeColor="text1"/>
                <w:highlight w:val="none"/>
                <w14:textFill>
                  <w14:solidFill>
                    <w14:schemeClr w14:val="tx1"/>
                  </w14:solidFill>
                </w14:textFill>
              </w:rPr>
            </w:pPr>
          </w:p>
        </w:tc>
      </w:tr>
      <w:tr w14:paraId="65D5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A91A7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985" w:type="dxa"/>
            <w:vAlign w:val="center"/>
          </w:tcPr>
          <w:p w14:paraId="046A9BF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缺陷责任期</w:t>
            </w:r>
          </w:p>
        </w:tc>
        <w:tc>
          <w:tcPr>
            <w:tcW w:w="2126" w:type="dxa"/>
            <w:tcMar>
              <w:left w:w="170" w:type="dxa"/>
            </w:tcMar>
            <w:vAlign w:val="center"/>
          </w:tcPr>
          <w:p w14:paraId="1C6E226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6ED247FF">
            <w:pPr>
              <w:jc w:val="center"/>
              <w:rPr>
                <w:color w:val="000000" w:themeColor="text1"/>
                <w:highlight w:val="none"/>
                <w14:textFill>
                  <w14:solidFill>
                    <w14:schemeClr w14:val="tx1"/>
                  </w14:solidFill>
                </w14:textFill>
              </w:rPr>
            </w:pPr>
          </w:p>
        </w:tc>
        <w:tc>
          <w:tcPr>
            <w:tcW w:w="1843" w:type="dxa"/>
            <w:vAlign w:val="center"/>
          </w:tcPr>
          <w:p w14:paraId="346E4AE4">
            <w:pPr>
              <w:jc w:val="center"/>
              <w:rPr>
                <w:color w:val="000000" w:themeColor="text1"/>
                <w:highlight w:val="none"/>
                <w14:textFill>
                  <w14:solidFill>
                    <w14:schemeClr w14:val="tx1"/>
                  </w14:solidFill>
                </w14:textFill>
              </w:rPr>
            </w:pPr>
          </w:p>
        </w:tc>
      </w:tr>
      <w:tr w14:paraId="10A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D46D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985" w:type="dxa"/>
            <w:vAlign w:val="center"/>
          </w:tcPr>
          <w:p w14:paraId="1D5C938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发包人支付担保</w:t>
            </w:r>
          </w:p>
        </w:tc>
        <w:tc>
          <w:tcPr>
            <w:tcW w:w="2126" w:type="dxa"/>
            <w:tcMar>
              <w:left w:w="170" w:type="dxa"/>
            </w:tcMar>
            <w:vAlign w:val="center"/>
          </w:tcPr>
          <w:p w14:paraId="6DA9CC1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AE7F510">
            <w:pPr>
              <w:jc w:val="center"/>
              <w:rPr>
                <w:color w:val="000000" w:themeColor="text1"/>
                <w:highlight w:val="none"/>
                <w14:textFill>
                  <w14:solidFill>
                    <w14:schemeClr w14:val="tx1"/>
                  </w14:solidFill>
                </w14:textFill>
              </w:rPr>
            </w:pPr>
          </w:p>
        </w:tc>
        <w:tc>
          <w:tcPr>
            <w:tcW w:w="1843" w:type="dxa"/>
            <w:vAlign w:val="center"/>
          </w:tcPr>
          <w:p w14:paraId="4A0755C1">
            <w:pPr>
              <w:jc w:val="center"/>
              <w:rPr>
                <w:color w:val="000000" w:themeColor="text1"/>
                <w:highlight w:val="none"/>
                <w14:textFill>
                  <w14:solidFill>
                    <w14:schemeClr w14:val="tx1"/>
                  </w14:solidFill>
                </w14:textFill>
              </w:rPr>
            </w:pPr>
          </w:p>
        </w:tc>
      </w:tr>
      <w:tr w14:paraId="502A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3FA14C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985" w:type="dxa"/>
            <w:vAlign w:val="center"/>
          </w:tcPr>
          <w:p w14:paraId="62D5255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承包人履约担保金额</w:t>
            </w:r>
          </w:p>
        </w:tc>
        <w:tc>
          <w:tcPr>
            <w:tcW w:w="2126" w:type="dxa"/>
            <w:tcMar>
              <w:left w:w="170" w:type="dxa"/>
            </w:tcMar>
            <w:vAlign w:val="center"/>
          </w:tcPr>
          <w:p w14:paraId="7BC926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85B3A78">
            <w:pPr>
              <w:jc w:val="center"/>
              <w:rPr>
                <w:color w:val="000000" w:themeColor="text1"/>
                <w:highlight w:val="none"/>
                <w14:textFill>
                  <w14:solidFill>
                    <w14:schemeClr w14:val="tx1"/>
                  </w14:solidFill>
                </w14:textFill>
              </w:rPr>
            </w:pPr>
          </w:p>
        </w:tc>
        <w:tc>
          <w:tcPr>
            <w:tcW w:w="1843" w:type="dxa"/>
            <w:vAlign w:val="center"/>
          </w:tcPr>
          <w:p w14:paraId="159D0636">
            <w:pPr>
              <w:jc w:val="center"/>
              <w:rPr>
                <w:color w:val="000000" w:themeColor="text1"/>
                <w:highlight w:val="none"/>
                <w14:textFill>
                  <w14:solidFill>
                    <w14:schemeClr w14:val="tx1"/>
                  </w14:solidFill>
                </w14:textFill>
              </w:rPr>
            </w:pPr>
          </w:p>
        </w:tc>
      </w:tr>
      <w:tr w14:paraId="7A25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70E5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985" w:type="dxa"/>
            <w:vAlign w:val="center"/>
          </w:tcPr>
          <w:p w14:paraId="26DBF496">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分包</w:t>
            </w:r>
          </w:p>
        </w:tc>
        <w:tc>
          <w:tcPr>
            <w:tcW w:w="2126" w:type="dxa"/>
            <w:tcMar>
              <w:left w:w="170" w:type="dxa"/>
            </w:tcMar>
            <w:vAlign w:val="center"/>
          </w:tcPr>
          <w:p w14:paraId="10708D0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BC7E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见分包项目情况表</w:t>
            </w:r>
          </w:p>
        </w:tc>
        <w:tc>
          <w:tcPr>
            <w:tcW w:w="1843" w:type="dxa"/>
            <w:vAlign w:val="center"/>
          </w:tcPr>
          <w:p w14:paraId="2E2B438B">
            <w:pPr>
              <w:jc w:val="center"/>
              <w:rPr>
                <w:color w:val="000000" w:themeColor="text1"/>
                <w:highlight w:val="none"/>
                <w14:textFill>
                  <w14:solidFill>
                    <w14:schemeClr w14:val="tx1"/>
                  </w14:solidFill>
                </w14:textFill>
              </w:rPr>
            </w:pPr>
          </w:p>
        </w:tc>
      </w:tr>
      <w:tr w14:paraId="599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C88C1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985" w:type="dxa"/>
            <w:vAlign w:val="center"/>
          </w:tcPr>
          <w:p w14:paraId="20E2FD1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w:t>
            </w:r>
          </w:p>
        </w:tc>
        <w:tc>
          <w:tcPr>
            <w:tcW w:w="2126" w:type="dxa"/>
            <w:tcMar>
              <w:left w:w="170" w:type="dxa"/>
            </w:tcMar>
            <w:vAlign w:val="center"/>
          </w:tcPr>
          <w:p w14:paraId="5B8536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2604FD2">
            <w:pPr>
              <w:rPr>
                <w:color w:val="000000" w:themeColor="text1"/>
                <w:highlight w:val="none"/>
                <w14:textFill>
                  <w14:solidFill>
                    <w14:schemeClr w14:val="tx1"/>
                  </w14:solidFill>
                </w14:textFill>
              </w:rPr>
            </w:pPr>
          </w:p>
        </w:tc>
        <w:tc>
          <w:tcPr>
            <w:tcW w:w="1843" w:type="dxa"/>
            <w:vAlign w:val="center"/>
          </w:tcPr>
          <w:p w14:paraId="3341DC31">
            <w:pPr>
              <w:jc w:val="center"/>
              <w:rPr>
                <w:color w:val="000000" w:themeColor="text1"/>
                <w:highlight w:val="none"/>
                <w14:textFill>
                  <w14:solidFill>
                    <w14:schemeClr w14:val="tx1"/>
                  </w14:solidFill>
                </w14:textFill>
              </w:rPr>
            </w:pPr>
          </w:p>
        </w:tc>
      </w:tr>
      <w:tr w14:paraId="2594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CE2AB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985" w:type="dxa"/>
            <w:vAlign w:val="center"/>
          </w:tcPr>
          <w:p w14:paraId="0AB2865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逾期竣工违约金最高限额</w:t>
            </w:r>
          </w:p>
        </w:tc>
        <w:tc>
          <w:tcPr>
            <w:tcW w:w="2126" w:type="dxa"/>
            <w:tcMar>
              <w:left w:w="170" w:type="dxa"/>
            </w:tcMar>
            <w:vAlign w:val="center"/>
          </w:tcPr>
          <w:p w14:paraId="03487E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6B91D7E">
            <w:pPr>
              <w:rPr>
                <w:color w:val="000000" w:themeColor="text1"/>
                <w:highlight w:val="none"/>
                <w14:textFill>
                  <w14:solidFill>
                    <w14:schemeClr w14:val="tx1"/>
                  </w14:solidFill>
                </w14:textFill>
              </w:rPr>
            </w:pPr>
          </w:p>
        </w:tc>
        <w:tc>
          <w:tcPr>
            <w:tcW w:w="1843" w:type="dxa"/>
            <w:vAlign w:val="center"/>
          </w:tcPr>
          <w:p w14:paraId="2CCC78B9">
            <w:pPr>
              <w:jc w:val="center"/>
              <w:rPr>
                <w:color w:val="000000" w:themeColor="text1"/>
                <w:highlight w:val="none"/>
                <w14:textFill>
                  <w14:solidFill>
                    <w14:schemeClr w14:val="tx1"/>
                  </w14:solidFill>
                </w14:textFill>
              </w:rPr>
            </w:pPr>
          </w:p>
        </w:tc>
      </w:tr>
      <w:tr w14:paraId="4E75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C666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85" w:type="dxa"/>
            <w:vAlign w:val="center"/>
          </w:tcPr>
          <w:p w14:paraId="7825FEA7">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质量标准</w:t>
            </w:r>
          </w:p>
        </w:tc>
        <w:tc>
          <w:tcPr>
            <w:tcW w:w="2126" w:type="dxa"/>
            <w:tcMar>
              <w:left w:w="170" w:type="dxa"/>
            </w:tcMar>
            <w:vAlign w:val="center"/>
          </w:tcPr>
          <w:p w14:paraId="6DCB349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927B806">
            <w:pPr>
              <w:jc w:val="center"/>
              <w:rPr>
                <w:color w:val="000000" w:themeColor="text1"/>
                <w:highlight w:val="none"/>
                <w14:textFill>
                  <w14:solidFill>
                    <w14:schemeClr w14:val="tx1"/>
                  </w14:solidFill>
                </w14:textFill>
              </w:rPr>
            </w:pPr>
          </w:p>
        </w:tc>
        <w:tc>
          <w:tcPr>
            <w:tcW w:w="1843" w:type="dxa"/>
            <w:vAlign w:val="center"/>
          </w:tcPr>
          <w:p w14:paraId="3C0BB9A4">
            <w:pPr>
              <w:jc w:val="center"/>
              <w:rPr>
                <w:color w:val="000000" w:themeColor="text1"/>
                <w:highlight w:val="none"/>
                <w14:textFill>
                  <w14:solidFill>
                    <w14:schemeClr w14:val="tx1"/>
                  </w14:solidFill>
                </w14:textFill>
              </w:rPr>
            </w:pPr>
          </w:p>
        </w:tc>
      </w:tr>
      <w:tr w14:paraId="692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B937C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1985" w:type="dxa"/>
            <w:vAlign w:val="center"/>
          </w:tcPr>
          <w:p w14:paraId="1BA854EE">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预付款额度</w:t>
            </w:r>
          </w:p>
        </w:tc>
        <w:tc>
          <w:tcPr>
            <w:tcW w:w="2126" w:type="dxa"/>
            <w:tcMar>
              <w:left w:w="170" w:type="dxa"/>
            </w:tcMar>
            <w:vAlign w:val="center"/>
          </w:tcPr>
          <w:p w14:paraId="2BC1FE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7F00379">
            <w:pPr>
              <w:jc w:val="center"/>
              <w:rPr>
                <w:color w:val="000000" w:themeColor="text1"/>
                <w:highlight w:val="none"/>
                <w14:textFill>
                  <w14:solidFill>
                    <w14:schemeClr w14:val="tx1"/>
                  </w14:solidFill>
                </w14:textFill>
              </w:rPr>
            </w:pPr>
          </w:p>
        </w:tc>
        <w:tc>
          <w:tcPr>
            <w:tcW w:w="1843" w:type="dxa"/>
            <w:vAlign w:val="center"/>
          </w:tcPr>
          <w:p w14:paraId="7E911696">
            <w:pPr>
              <w:jc w:val="center"/>
              <w:rPr>
                <w:color w:val="000000" w:themeColor="text1"/>
                <w:highlight w:val="none"/>
                <w14:textFill>
                  <w14:solidFill>
                    <w14:schemeClr w14:val="tx1"/>
                  </w14:solidFill>
                </w14:textFill>
              </w:rPr>
            </w:pPr>
          </w:p>
        </w:tc>
      </w:tr>
      <w:tr w14:paraId="169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D4F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1985" w:type="dxa"/>
            <w:vAlign w:val="center"/>
          </w:tcPr>
          <w:p w14:paraId="01090C8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预付款保函金额</w:t>
            </w:r>
          </w:p>
        </w:tc>
        <w:tc>
          <w:tcPr>
            <w:tcW w:w="2126" w:type="dxa"/>
            <w:tcMar>
              <w:left w:w="170" w:type="dxa"/>
            </w:tcMar>
            <w:vAlign w:val="center"/>
          </w:tcPr>
          <w:p w14:paraId="1E2C420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9BFA413">
            <w:pPr>
              <w:jc w:val="center"/>
              <w:rPr>
                <w:color w:val="000000" w:themeColor="text1"/>
                <w:highlight w:val="none"/>
                <w14:textFill>
                  <w14:solidFill>
                    <w14:schemeClr w14:val="tx1"/>
                  </w14:solidFill>
                </w14:textFill>
              </w:rPr>
            </w:pPr>
          </w:p>
        </w:tc>
        <w:tc>
          <w:tcPr>
            <w:tcW w:w="1843" w:type="dxa"/>
            <w:vAlign w:val="center"/>
          </w:tcPr>
          <w:p w14:paraId="341F0FCC">
            <w:pPr>
              <w:jc w:val="center"/>
              <w:rPr>
                <w:color w:val="000000" w:themeColor="text1"/>
                <w:highlight w:val="none"/>
                <w14:textFill>
                  <w14:solidFill>
                    <w14:schemeClr w14:val="tx1"/>
                  </w14:solidFill>
                </w14:textFill>
              </w:rPr>
            </w:pPr>
          </w:p>
        </w:tc>
      </w:tr>
      <w:tr w14:paraId="5E93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3C6475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1985" w:type="dxa"/>
            <w:vAlign w:val="center"/>
          </w:tcPr>
          <w:p w14:paraId="46C32ADC">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质量保证金额度</w:t>
            </w:r>
          </w:p>
        </w:tc>
        <w:tc>
          <w:tcPr>
            <w:tcW w:w="2126" w:type="dxa"/>
            <w:tcMar>
              <w:left w:w="170" w:type="dxa"/>
            </w:tcMar>
            <w:vAlign w:val="center"/>
          </w:tcPr>
          <w:p w14:paraId="144B1A9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4FEBEA5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结算价的</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tc>
        <w:tc>
          <w:tcPr>
            <w:tcW w:w="1843" w:type="dxa"/>
            <w:vAlign w:val="center"/>
          </w:tcPr>
          <w:p w14:paraId="7D0AACC4">
            <w:pPr>
              <w:jc w:val="center"/>
              <w:rPr>
                <w:color w:val="000000" w:themeColor="text1"/>
                <w:highlight w:val="none"/>
                <w14:textFill>
                  <w14:solidFill>
                    <w14:schemeClr w14:val="tx1"/>
                  </w14:solidFill>
                </w14:textFill>
              </w:rPr>
            </w:pPr>
          </w:p>
        </w:tc>
      </w:tr>
      <w:tr w14:paraId="7D8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1952F6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985" w:type="dxa"/>
            <w:vAlign w:val="center"/>
          </w:tcPr>
          <w:p w14:paraId="589DCB2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26" w:type="dxa"/>
            <w:tcMar>
              <w:left w:w="170" w:type="dxa"/>
            </w:tcMar>
            <w:vAlign w:val="center"/>
          </w:tcPr>
          <w:p w14:paraId="57C54B95">
            <w:pPr>
              <w:rPr>
                <w:color w:val="000000" w:themeColor="text1"/>
                <w:highlight w:val="none"/>
                <w14:textFill>
                  <w14:solidFill>
                    <w14:schemeClr w14:val="tx1"/>
                  </w14:solidFill>
                </w14:textFill>
              </w:rPr>
            </w:pPr>
          </w:p>
        </w:tc>
        <w:tc>
          <w:tcPr>
            <w:tcW w:w="1984" w:type="dxa"/>
            <w:vAlign w:val="center"/>
          </w:tcPr>
          <w:p w14:paraId="452DF66E">
            <w:pPr>
              <w:jc w:val="center"/>
              <w:rPr>
                <w:color w:val="000000" w:themeColor="text1"/>
                <w:highlight w:val="none"/>
                <w14:textFill>
                  <w14:solidFill>
                    <w14:schemeClr w14:val="tx1"/>
                  </w14:solidFill>
                </w14:textFill>
              </w:rPr>
            </w:pPr>
          </w:p>
        </w:tc>
        <w:tc>
          <w:tcPr>
            <w:tcW w:w="1843" w:type="dxa"/>
            <w:vAlign w:val="center"/>
          </w:tcPr>
          <w:p w14:paraId="058F248E">
            <w:pPr>
              <w:jc w:val="center"/>
              <w:rPr>
                <w:color w:val="000000" w:themeColor="text1"/>
                <w:highlight w:val="none"/>
                <w14:textFill>
                  <w14:solidFill>
                    <w14:schemeClr w14:val="tx1"/>
                  </w14:solidFill>
                </w14:textFill>
              </w:rPr>
            </w:pPr>
          </w:p>
        </w:tc>
      </w:tr>
      <w:tr w14:paraId="57B3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4F4A8913">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438BFE4F">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p>
    <w:p w14:paraId="479C1CFB">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51CCC49B">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4B824BA6">
      <w:pPr>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0D9D0E3">
      <w:pPr>
        <w:spacing w:line="360" w:lineRule="auto"/>
        <w:rPr>
          <w:rFonts w:ascii="宋体" w:hAnsi="宋体" w:cs="仿宋_GB2312"/>
          <w:color w:val="000000" w:themeColor="text1"/>
          <w:sz w:val="24"/>
          <w:highlight w:val="none"/>
          <w14:textFill>
            <w14:solidFill>
              <w14:schemeClr w14:val="tx1"/>
            </w14:solidFill>
          </w14:textFill>
        </w:rPr>
      </w:pPr>
    </w:p>
    <w:p w14:paraId="0E2EEA96">
      <w:pPr>
        <w:spacing w:line="360" w:lineRule="auto"/>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竞标报价表</w:t>
      </w:r>
    </w:p>
    <w:p w14:paraId="5439E838">
      <w:pPr>
        <w:spacing w:line="44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528907A4">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178AF7C">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2A3F5327">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BE592A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EE2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92BCF7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D10660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r>
              <w:rPr>
                <w:rFonts w:ascii="宋体" w:hAnsi="宋体" w:cs="仿宋_GB2312"/>
                <w:color w:val="000000" w:themeColor="text1"/>
                <w:sz w:val="24"/>
                <w:highlight w:val="none"/>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2C90A9D5">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5DCFADF9">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E07E7F0">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083F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312C4A3">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003A93FE">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vAlign w:val="center"/>
          </w:tcPr>
          <w:p w14:paraId="646ECF9F">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1项</w:t>
            </w:r>
          </w:p>
        </w:tc>
        <w:tc>
          <w:tcPr>
            <w:tcW w:w="3107" w:type="dxa"/>
            <w:tcBorders>
              <w:top w:val="single" w:color="auto" w:sz="4" w:space="0"/>
              <w:left w:val="single" w:color="auto" w:sz="4" w:space="0"/>
              <w:bottom w:val="single" w:color="auto" w:sz="4" w:space="0"/>
              <w:right w:val="single" w:color="auto" w:sz="4" w:space="0"/>
            </w:tcBorders>
          </w:tcPr>
          <w:p w14:paraId="49AF751B">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3D862958">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0FFA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01B7A512">
            <w:pPr>
              <w:pStyle w:val="17"/>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合计金额（人民币）</w:t>
            </w:r>
            <w:r>
              <w:rPr>
                <w:rFonts w:hint="eastAsia" w:ascii="宋体" w:hAnsi="宋体" w:cs="仿宋_GB2312"/>
                <w:color w:val="000000" w:themeColor="text1"/>
                <w:sz w:val="24"/>
                <w:highlight w:val="none"/>
                <w:u w:val="single"/>
                <w14:textFill>
                  <w14:solidFill>
                    <w14:schemeClr w14:val="tx1"/>
                  </w14:solidFill>
                </w14:textFill>
              </w:rPr>
              <w:t xml:space="preserve">大写：                      </w:t>
            </w:r>
            <w:r>
              <w:rPr>
                <w:rFonts w:hint="eastAsia" w:ascii="宋体" w:hAnsi="宋体" w:cs="仿宋_GB2312"/>
                <w:color w:val="000000" w:themeColor="text1"/>
                <w:sz w:val="24"/>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tc>
      </w:tr>
    </w:tbl>
    <w:p w14:paraId="485C1F65">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2DAAB329">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007102CA">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6E3E52EC">
      <w:pPr>
        <w:spacing w:line="360" w:lineRule="auto"/>
        <w:ind w:firstLine="480" w:firstLineChars="200"/>
        <w:contextualSpacing/>
        <w:jc w:val="left"/>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39802808">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2DEFBC32">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472FD62E">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644E45DB">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85D537F">
      <w:pPr>
        <w:spacing w:line="360" w:lineRule="auto"/>
        <w:contextualSpacing/>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已标价工程量清单</w:t>
      </w:r>
    </w:p>
    <w:p w14:paraId="110B8C6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已标价工程量清单应按第五章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中的相关表格及竞标报价说明填写。构成合同文件的已标价工程量清单包括第五章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有关工程量清单、竞标报价以及其他说明的内容。</w:t>
      </w:r>
    </w:p>
    <w:p w14:paraId="0ABC8658">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一般计税法建设工程已标价工程量清单表格按</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w:t>
      </w:r>
      <w:r>
        <w:rPr>
          <w:rFonts w:hint="eastAsia" w:cs="宋体"/>
          <w:color w:val="000000" w:themeColor="text1"/>
          <w:highlight w:val="none"/>
          <w14:textFill>
            <w14:solidFill>
              <w14:schemeClr w14:val="tx1"/>
            </w14:solidFill>
          </w14:textFill>
        </w:rPr>
        <w:t>要求提供，简易计税法表格按《</w:t>
      </w:r>
      <w:r>
        <w:rPr>
          <w:color w:val="000000" w:themeColor="text1"/>
          <w:highlight w:val="none"/>
          <w14:textFill>
            <w14:solidFill>
              <w14:schemeClr w14:val="tx1"/>
            </w14:solidFill>
          </w14:textFill>
        </w:rPr>
        <w:t>&lt;</w:t>
      </w:r>
      <w:r>
        <w:rPr>
          <w:rFonts w:hint="eastAsia" w:cs="宋体"/>
          <w:color w:val="000000" w:themeColor="text1"/>
          <w:highlight w:val="none"/>
          <w14:textFill>
            <w14:solidFill>
              <w14:schemeClr w14:val="tx1"/>
            </w14:solidFill>
          </w14:textFill>
        </w:rPr>
        <w:t>建设工程工程量清单计价规范</w:t>
      </w:r>
      <w:r>
        <w:rPr>
          <w:color w:val="000000" w:themeColor="text1"/>
          <w:highlight w:val="none"/>
          <w14:textFill>
            <w14:solidFill>
              <w14:schemeClr w14:val="tx1"/>
            </w14:solidFill>
          </w14:textFill>
        </w:rPr>
        <w:t>&gt;</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GB5050-2013</w:t>
      </w:r>
      <w:r>
        <w:rPr>
          <w:rFonts w:hint="eastAsia" w:cs="宋体"/>
          <w:color w:val="000000" w:themeColor="text1"/>
          <w:highlight w:val="none"/>
          <w14:textFill>
            <w14:solidFill>
              <w14:schemeClr w14:val="tx1"/>
            </w14:solidFill>
          </w14:textFill>
        </w:rPr>
        <w:t>）广西壮族自治区实施细则》要求的表格提供，但规费和税费按照</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highlight w:val="none"/>
          <w14:textFill>
            <w14:solidFill>
              <w14:schemeClr w14:val="tx1"/>
            </w14:solidFill>
          </w14:textFill>
        </w:rPr>
        <w:t>调整</w:t>
      </w:r>
      <w:r>
        <w:rPr>
          <w:rFonts w:hint="eastAsia" w:cs="宋体"/>
          <w:color w:val="000000" w:themeColor="text1"/>
          <w:highlight w:val="none"/>
          <w14:textFill>
            <w14:solidFill>
              <w14:schemeClr w14:val="tx1"/>
            </w14:solidFill>
          </w14:textFill>
        </w:rPr>
        <w:t>，具体内容包括：</w:t>
      </w:r>
    </w:p>
    <w:p w14:paraId="5CEA5B6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竞标总价（封</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6E99CA8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竞标总价（扉</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2CFE6D0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049B44D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1423482F">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单项工程竞标报价汇总表（表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330FEEC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单位工程竞标报价汇总表（表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59A1CB2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33D71547">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工程量清单综合单价分析表（表</w:t>
      </w:r>
      <w:r>
        <w:rPr>
          <w:color w:val="000000" w:themeColor="text1"/>
          <w:highlight w:val="none"/>
          <w14:textFill>
            <w14:solidFill>
              <w14:schemeClr w14:val="tx1"/>
            </w14:solidFill>
          </w14:textFill>
        </w:rPr>
        <w:t>-09</w:t>
      </w:r>
      <w:r>
        <w:rPr>
          <w:rFonts w:hint="eastAsia" w:cs="宋体"/>
          <w:color w:val="000000" w:themeColor="text1"/>
          <w:highlight w:val="none"/>
          <w14:textFill>
            <w14:solidFill>
              <w14:schemeClr w14:val="tx1"/>
            </w14:solidFill>
          </w14:textFill>
        </w:rPr>
        <w:t>）</w:t>
      </w:r>
    </w:p>
    <w:p w14:paraId="28210756">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cs="宋体"/>
          <w:color w:val="000000" w:themeColor="text1"/>
          <w:highlight w:val="none"/>
          <w14:textFill>
            <w14:solidFill>
              <w14:schemeClr w14:val="tx1"/>
            </w14:solidFill>
          </w14:textFill>
        </w:rPr>
        <w:t>）【备注：可按要求有选择的提供】</w:t>
      </w:r>
    </w:p>
    <w:p w14:paraId="56EEA87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4EA6FB72">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5D30171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31E16B0B">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321AF9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4F5E3BB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AF8CBA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08DC7F2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2F07B32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2E893AF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1.19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1842D31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1.20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1C884AD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1.21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0F7FA4C5">
      <w:pPr>
        <w:spacing w:line="360" w:lineRule="auto"/>
        <w:ind w:firstLine="630" w:firstLineChars="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本工程</w:t>
      </w:r>
      <w:r>
        <w:rPr>
          <w:rFonts w:cs="宋体"/>
          <w:color w:val="000000" w:themeColor="text1"/>
          <w:highlight w:val="none"/>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5AB73F80">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w:t>
      </w:r>
    </w:p>
    <w:p w14:paraId="746D37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）供应商在上传竞标报价文件时应上传纸质竞标总价封面的原件扫描件。报标总价封面必须经供应商盖章，并由法定代表人（或其授权人）签字（或盖章），同时由编制人签字盖专用章。</w:t>
      </w:r>
    </w:p>
    <w:p w14:paraId="5686345D">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1.8</w:t>
      </w:r>
      <w:r>
        <w:rPr>
          <w:rFonts w:hint="eastAsia" w:cs="宋体"/>
          <w:color w:val="000000" w:themeColor="text1"/>
          <w:highlight w:val="none"/>
          <w14:textFill>
            <w14:solidFill>
              <w14:schemeClr w14:val="tx1"/>
            </w14:solidFill>
          </w14:textFill>
        </w:rPr>
        <w:t>工程量清单综合单价分析表和</w:t>
      </w:r>
      <w:r>
        <w:rPr>
          <w:color w:val="000000" w:themeColor="text1"/>
          <w:highlight w:val="none"/>
          <w14:textFill>
            <w14:solidFill>
              <w14:schemeClr w14:val="tx1"/>
            </w14:solidFill>
          </w14:textFill>
        </w:rPr>
        <w:t>1.9</w:t>
      </w:r>
      <w:r>
        <w:rPr>
          <w:rFonts w:hint="eastAsia" w:cs="宋体"/>
          <w:color w:val="000000" w:themeColor="text1"/>
          <w:highlight w:val="none"/>
          <w14:textFill>
            <w14:solidFill>
              <w14:schemeClr w14:val="tx1"/>
            </w14:solidFill>
          </w14:textFill>
        </w:rPr>
        <w:t>主要清单项目工料机分析表要求附上。</w:t>
      </w:r>
    </w:p>
    <w:p w14:paraId="681D98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）已标价工程量清单表格要严格按照采购工程量清单给出的表格要求和内容填报。如本工程在合同中约定采用造价信息价差调整法，1.</w:t>
      </w: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的材料和工程设备，采购工程量清单必须提供该表格，且不能提供空白表。以下表格视工程实际需要选用，如该工程不发生如下表格相关项目和费用，采购工程量清单不应列入该部分表格，已标价工程量清单亦不包括这部分表格。</w:t>
      </w:r>
    </w:p>
    <w:p w14:paraId="15FB7B83">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5E748C9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6B6BEA7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③材料（工程设备）暂估单位及调整表（表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3E98880A">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247A8E3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7039A16F">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76E7B35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004CBFCA">
      <w:pPr>
        <w:spacing w:line="360" w:lineRule="auto"/>
        <w:ind w:firstLine="420" w:firstLineChars="200"/>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32823EBB">
      <w:pPr>
        <w:spacing w:line="360" w:lineRule="auto"/>
        <w:ind w:firstLine="420" w:firstLineChars="200"/>
        <w:contextualSpacing/>
        <w:jc w:val="left"/>
        <w:rPr>
          <w:rFonts w:hAnsi="宋体" w:cs="宋体"/>
          <w:color w:val="000000" w:themeColor="text1"/>
          <w:kern w:val="0"/>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w:t>
      </w:r>
      <w:r>
        <w:rPr>
          <w:rFonts w:hint="eastAsia" w:hAnsi="宋体" w:cs="宋体"/>
          <w:color w:val="000000" w:themeColor="text1"/>
          <w:kern w:val="0"/>
          <w:highlight w:val="none"/>
          <w14:textFill>
            <w14:solidFill>
              <w14:schemeClr w14:val="tx1"/>
            </w14:solidFill>
          </w14:textFill>
        </w:rPr>
        <w:t>因2021年《广西壮族自治区园林绿化及仿古建筑工程费用定额》采用全费用综合单价形式，故园林绿化及仿古建筑工程的已标价工程量清单</w:t>
      </w:r>
      <w:r>
        <w:rPr>
          <w:rFonts w:hint="eastAsia" w:cs="黑体"/>
          <w:color w:val="000000" w:themeColor="text1"/>
          <w:highlight w:val="none"/>
          <w14:textFill>
            <w14:solidFill>
              <w14:schemeClr w14:val="tx1"/>
            </w14:solidFill>
          </w14:textFill>
        </w:rPr>
        <w:t>采用</w:t>
      </w:r>
      <w:r>
        <w:rPr>
          <w:rFonts w:hint="eastAsia" w:hAnsi="宋体" w:cs="宋体"/>
          <w:color w:val="000000" w:themeColor="text1"/>
          <w:kern w:val="0"/>
          <w:highlight w:val="none"/>
          <w14:textFill>
            <w14:solidFill>
              <w14:schemeClr w14:val="tx1"/>
            </w14:solidFill>
          </w14:textFill>
        </w:rPr>
        <w:t>《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108B4AC9">
      <w:pPr>
        <w:spacing w:line="360" w:lineRule="auto"/>
        <w:contextualSpacing/>
        <w:jc w:val="left"/>
        <w:rPr>
          <w:color w:val="000000" w:themeColor="text1"/>
          <w:highlight w:val="none"/>
          <w14:textFill>
            <w14:solidFill>
              <w14:schemeClr w14:val="tx1"/>
            </w14:solidFill>
          </w14:textFill>
        </w:rPr>
      </w:pPr>
    </w:p>
    <w:p w14:paraId="06581E6C">
      <w:pPr>
        <w:spacing w:line="360" w:lineRule="auto"/>
        <w:ind w:firstLine="643" w:firstLineChars="200"/>
        <w:contextualSpacing/>
        <w:jc w:val="center"/>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商务技术文件格式</w:t>
      </w:r>
    </w:p>
    <w:p w14:paraId="29C56DAF">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5CD644D7">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7981FD6">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9377884">
      <w:pPr>
        <w:snapToGrid w:val="0"/>
        <w:spacing w:beforeLines="50" w:after="50"/>
        <w:rPr>
          <w:rFonts w:ascii="宋体" w:hAnsi="宋体"/>
          <w:color w:val="000000" w:themeColor="text1"/>
          <w:sz w:val="24"/>
          <w:szCs w:val="20"/>
          <w:highlight w:val="none"/>
          <w14:textFill>
            <w14:solidFill>
              <w14:schemeClr w14:val="tx1"/>
            </w14:solidFill>
          </w14:textFill>
        </w:rPr>
      </w:pPr>
    </w:p>
    <w:p w14:paraId="2B807718">
      <w:pPr>
        <w:snapToGrid w:val="0"/>
        <w:spacing w:beforeLines="50" w:after="50"/>
        <w:rPr>
          <w:rFonts w:ascii="宋体" w:hAnsi="宋体"/>
          <w:color w:val="000000" w:themeColor="text1"/>
          <w:sz w:val="24"/>
          <w:szCs w:val="20"/>
          <w:highlight w:val="none"/>
          <w14:textFill>
            <w14:solidFill>
              <w14:schemeClr w14:val="tx1"/>
            </w14:solidFill>
          </w14:textFill>
        </w:rPr>
      </w:pPr>
    </w:p>
    <w:p w14:paraId="1D32249A">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4757BF2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493308E">
      <w:pPr>
        <w:snapToGrid w:val="0"/>
        <w:spacing w:beforeLines="50" w:after="50"/>
        <w:rPr>
          <w:rFonts w:ascii="宋体" w:hAnsi="宋体"/>
          <w:bCs/>
          <w:color w:val="000000" w:themeColor="text1"/>
          <w:sz w:val="24"/>
          <w:szCs w:val="20"/>
          <w:highlight w:val="none"/>
          <w14:textFill>
            <w14:solidFill>
              <w14:schemeClr w14:val="tx1"/>
            </w14:solidFill>
          </w14:textFill>
        </w:rPr>
      </w:pPr>
    </w:p>
    <w:p w14:paraId="74EDA225">
      <w:pPr>
        <w:snapToGrid w:val="0"/>
        <w:spacing w:beforeLines="50" w:after="50"/>
        <w:rPr>
          <w:rFonts w:ascii="宋体" w:hAnsi="宋体"/>
          <w:bCs/>
          <w:color w:val="000000" w:themeColor="text1"/>
          <w:sz w:val="24"/>
          <w:szCs w:val="20"/>
          <w:highlight w:val="none"/>
          <w14:textFill>
            <w14:solidFill>
              <w14:schemeClr w14:val="tx1"/>
            </w14:solidFill>
          </w14:textFill>
        </w:rPr>
      </w:pPr>
    </w:p>
    <w:p w14:paraId="1237F5C8">
      <w:pPr>
        <w:snapToGrid w:val="0"/>
        <w:spacing w:beforeLines="50" w:after="50"/>
        <w:rPr>
          <w:rFonts w:ascii="宋体" w:hAnsi="宋体"/>
          <w:bCs/>
          <w:color w:val="000000" w:themeColor="text1"/>
          <w:sz w:val="24"/>
          <w:szCs w:val="20"/>
          <w:highlight w:val="none"/>
          <w14:textFill>
            <w14:solidFill>
              <w14:schemeClr w14:val="tx1"/>
            </w14:solidFill>
          </w14:textFill>
        </w:rPr>
      </w:pPr>
    </w:p>
    <w:p w14:paraId="51764DC4">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2A61E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A2DC8EB">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BD6ED8E">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D32004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EC2A7A6">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283BAA0">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63309B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92917E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64665BE7">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E0DA4DF">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38AB0816">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2B1E2CF0">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B7727E6">
      <w:pPr>
        <w:snapToGrid w:val="0"/>
        <w:spacing w:beforeLines="50" w:after="50" w:line="360" w:lineRule="auto"/>
        <w:ind w:right="480" w:firstLine="240" w:firstLineChars="100"/>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57D4448E">
      <w:pPr>
        <w:snapToGrid w:val="0"/>
        <w:spacing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3554E3A9">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A35BAE6">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无串通竞标行为的承诺函</w:t>
      </w:r>
    </w:p>
    <w:p w14:paraId="4AC18B11">
      <w:pPr>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3A8AB1D1">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4343E63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1.不同供应商的响应文件由同一单位或者个人编制</w:t>
      </w:r>
      <w:r>
        <w:rPr>
          <w:rFonts w:hint="eastAsia" w:ascii="宋体" w:hAnsi="宋体" w:cs="仿宋_GB2312"/>
          <w:color w:val="000000" w:themeColor="text1"/>
          <w:sz w:val="24"/>
          <w:highlight w:val="none"/>
          <w:lang w:eastAsia="zh-CN"/>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 xml:space="preserve"> </w:t>
      </w:r>
    </w:p>
    <w:p w14:paraId="2F0632FE">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r>
        <w:rPr>
          <w:rFonts w:hint="eastAsia" w:ascii="宋体" w:hAnsi="宋体" w:cs="仿宋_GB2312"/>
          <w:color w:val="000000" w:themeColor="text1"/>
          <w:sz w:val="24"/>
          <w:highlight w:val="none"/>
          <w:lang w:eastAsia="zh-CN"/>
          <w14:textFill>
            <w14:solidFill>
              <w14:schemeClr w14:val="tx1"/>
            </w14:solidFill>
          </w14:textFill>
        </w:rPr>
        <w:t>；</w:t>
      </w:r>
    </w:p>
    <w:p w14:paraId="1AF682A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r>
        <w:rPr>
          <w:rFonts w:hint="eastAsia" w:ascii="宋体" w:hAnsi="宋体" w:cs="仿宋_GB2312"/>
          <w:color w:val="000000" w:themeColor="text1"/>
          <w:sz w:val="24"/>
          <w:highlight w:val="none"/>
          <w:lang w:eastAsia="zh-CN"/>
          <w14:textFill>
            <w14:solidFill>
              <w14:schemeClr w14:val="tx1"/>
            </w14:solidFill>
          </w14:textFill>
        </w:rPr>
        <w:t>；</w:t>
      </w:r>
    </w:p>
    <w:p w14:paraId="3AF80EE7">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38BF8ABC">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r>
        <w:rPr>
          <w:rFonts w:hint="eastAsia" w:ascii="宋体" w:hAnsi="宋体" w:cs="仿宋_GB2312"/>
          <w:color w:val="000000" w:themeColor="text1"/>
          <w:sz w:val="24"/>
          <w:highlight w:val="none"/>
          <w:lang w:eastAsia="zh-CN"/>
          <w14:textFill>
            <w14:solidFill>
              <w14:schemeClr w14:val="tx1"/>
            </w14:solidFill>
          </w14:textFill>
        </w:rPr>
        <w:t>；</w:t>
      </w:r>
    </w:p>
    <w:p w14:paraId="068E186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379A9122">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1C86A08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仿宋_GB2312"/>
          <w:color w:val="000000" w:themeColor="text1"/>
          <w:sz w:val="24"/>
          <w:highlight w:val="none"/>
          <w:lang w:eastAsia="zh-CN"/>
          <w14:textFill>
            <w14:solidFill>
              <w14:schemeClr w14:val="tx1"/>
            </w14:solidFill>
          </w14:textFill>
        </w:rPr>
        <w:t>；</w:t>
      </w:r>
    </w:p>
    <w:p w14:paraId="34D94096">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r>
        <w:rPr>
          <w:rFonts w:hint="eastAsia" w:ascii="宋体" w:hAnsi="宋体" w:cs="仿宋_GB2312"/>
          <w:color w:val="000000" w:themeColor="text1"/>
          <w:sz w:val="24"/>
          <w:highlight w:val="none"/>
          <w:lang w:eastAsia="zh-CN"/>
          <w14:textFill>
            <w14:solidFill>
              <w14:schemeClr w14:val="tx1"/>
            </w14:solidFill>
          </w14:textFill>
        </w:rPr>
        <w:t>；</w:t>
      </w:r>
    </w:p>
    <w:p w14:paraId="4760E55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62C5E313">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r>
        <w:rPr>
          <w:rFonts w:hint="eastAsia" w:ascii="宋体" w:hAnsi="宋体" w:cs="仿宋_GB2312"/>
          <w:color w:val="000000" w:themeColor="text1"/>
          <w:sz w:val="24"/>
          <w:highlight w:val="none"/>
          <w:lang w:eastAsia="zh-CN"/>
          <w14:textFill>
            <w14:solidFill>
              <w14:schemeClr w14:val="tx1"/>
            </w14:solidFill>
          </w14:textFill>
        </w:rPr>
        <w:t>；</w:t>
      </w:r>
    </w:p>
    <w:p w14:paraId="61D53645">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r>
        <w:rPr>
          <w:rFonts w:hint="eastAsia" w:ascii="宋体" w:hAnsi="宋体" w:cs="仿宋_GB2312"/>
          <w:color w:val="000000" w:themeColor="text1"/>
          <w:sz w:val="24"/>
          <w:highlight w:val="none"/>
          <w:lang w:eastAsia="zh-CN"/>
          <w14:textFill>
            <w14:solidFill>
              <w14:schemeClr w14:val="tx1"/>
            </w14:solidFill>
          </w14:textFill>
        </w:rPr>
        <w:t>；</w:t>
      </w:r>
    </w:p>
    <w:p w14:paraId="3F4EC40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r>
        <w:rPr>
          <w:rFonts w:hint="eastAsia" w:ascii="宋体" w:hAnsi="宋体" w:cs="仿宋_GB2312"/>
          <w:color w:val="000000" w:themeColor="text1"/>
          <w:sz w:val="24"/>
          <w:highlight w:val="none"/>
          <w:lang w:eastAsia="zh-CN"/>
          <w14:textFill>
            <w14:solidFill>
              <w14:schemeClr w14:val="tx1"/>
            </w14:solidFill>
          </w14:textFill>
        </w:rPr>
        <w:t>；</w:t>
      </w:r>
    </w:p>
    <w:p w14:paraId="032F057B">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6D99AA10">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099959B6">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E92DC12">
      <w:pPr>
        <w:spacing w:line="360" w:lineRule="auto"/>
        <w:contextualSpacing/>
        <w:rPr>
          <w:rFonts w:ascii="宋体" w:hAnsi="宋体" w:cs="仿宋_GB2312"/>
          <w:color w:val="000000" w:themeColor="text1"/>
          <w:sz w:val="24"/>
          <w:highlight w:val="none"/>
          <w14:textFill>
            <w14:solidFill>
              <w14:schemeClr w14:val="tx1"/>
            </w14:solidFill>
          </w14:textFill>
        </w:rPr>
      </w:pPr>
    </w:p>
    <w:p w14:paraId="24C85552">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134E612F">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C170148">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法定代表人证明书</w:t>
      </w:r>
    </w:p>
    <w:p w14:paraId="3720C318">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DE1626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1805E7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4C90F876">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7E2F6F30">
      <w:pPr>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48B8C8D9">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0E8597FD">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2D7AAB8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5B54D1C8">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5B3A2757">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369C6421">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B9BA14B">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F992E8D">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0CE77AB9">
      <w:pPr>
        <w:spacing w:line="360" w:lineRule="auto"/>
        <w:ind w:left="540" w:firstLine="3000" w:firstLineChars="125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1FE2665F">
      <w:pPr>
        <w:spacing w:line="360" w:lineRule="auto"/>
        <w:ind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5F36045A">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5044510B">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674B8C00">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注：联合体竞标的只需牵头人出具。</w:t>
      </w:r>
    </w:p>
    <w:p w14:paraId="2F545572">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318E3CAE">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p>
    <w:p w14:paraId="2FD9ECD7">
      <w:pPr>
        <w:spacing w:line="520" w:lineRule="exact"/>
        <w:jc w:val="center"/>
        <w:rPr>
          <w:rFonts w:ascii="宋体" w:hAnsi="宋体" w:cs="方正小标宋简体"/>
          <w:b/>
          <w:color w:val="000000" w:themeColor="text1"/>
          <w:sz w:val="32"/>
          <w:szCs w:val="32"/>
          <w:highlight w:val="none"/>
          <w14:textFill>
            <w14:solidFill>
              <w14:schemeClr w14:val="tx1"/>
            </w14:solidFill>
          </w14:textFill>
        </w:rPr>
      </w:pPr>
      <w:bookmarkStart w:id="114" w:name="_Hlk65853643"/>
      <w:r>
        <w:rPr>
          <w:rFonts w:hint="eastAsia" w:ascii="宋体" w:hAnsi="宋体" w:cs="方正小标宋简体"/>
          <w:b/>
          <w:color w:val="000000" w:themeColor="text1"/>
          <w:sz w:val="32"/>
          <w:szCs w:val="32"/>
          <w:highlight w:val="none"/>
          <w14:textFill>
            <w14:solidFill>
              <w14:schemeClr w14:val="tx1"/>
            </w14:solidFill>
          </w14:textFill>
        </w:rPr>
        <w:t>授权委托书</w:t>
      </w:r>
    </w:p>
    <w:p w14:paraId="75657EDE">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（非联合体竞标格式）</w:t>
      </w:r>
    </w:p>
    <w:p w14:paraId="6584C3A0">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（如有委托时）</w:t>
      </w:r>
    </w:p>
    <w:p w14:paraId="4E7724E3">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C0F237D">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5D18358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5A6F096B">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0ECB543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0F9DCB9">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510F0BC0">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2C25E059">
      <w:pPr>
        <w:spacing w:line="360" w:lineRule="auto"/>
        <w:rPr>
          <w:rFonts w:ascii="宋体" w:hAnsi="宋体" w:cs="仿宋_GB2312"/>
          <w:color w:val="000000" w:themeColor="text1"/>
          <w:sz w:val="24"/>
          <w:highlight w:val="none"/>
          <w14:textFill>
            <w14:solidFill>
              <w14:schemeClr w14:val="tx1"/>
            </w14:solidFill>
          </w14:textFill>
        </w:rPr>
      </w:pPr>
    </w:p>
    <w:p w14:paraId="622C32D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49D5B4D1">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00EDBF06">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69FA3BE2">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7800054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5B4D3771">
      <w:pPr>
        <w:spacing w:line="360" w:lineRule="auto"/>
        <w:rPr>
          <w:rFonts w:ascii="宋体" w:hAnsi="宋体" w:cs="仿宋_GB2312"/>
          <w:color w:val="000000" w:themeColor="text1"/>
          <w:sz w:val="24"/>
          <w:highlight w:val="none"/>
          <w14:textFill>
            <w14:solidFill>
              <w14:schemeClr w14:val="tx1"/>
            </w14:solidFill>
          </w14:textFill>
        </w:rPr>
      </w:pPr>
    </w:p>
    <w:p w14:paraId="0302F0F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115F3CE4">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01CE04A4">
      <w:pPr>
        <w:spacing w:line="360" w:lineRule="auto"/>
        <w:contextualSpacing/>
        <w:rPr>
          <w:rFonts w:ascii="宋体" w:hAnsi="宋体" w:cs="仿宋_GB2312"/>
          <w:color w:val="000000" w:themeColor="text1"/>
          <w:sz w:val="24"/>
          <w:highlight w:val="none"/>
          <w14:textFill>
            <w14:solidFill>
              <w14:schemeClr w14:val="tx1"/>
            </w14:solidFill>
          </w14:textFill>
        </w:rPr>
      </w:pPr>
    </w:p>
    <w:bookmarkEnd w:id="114"/>
    <w:p w14:paraId="62362927">
      <w:pPr>
        <w:spacing w:line="360" w:lineRule="auto"/>
        <w:jc w:val="center"/>
        <w:rPr>
          <w:rFonts w:ascii="宋体" w:hAnsi="宋体" w:cs="方正小标宋简体"/>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建筑材料和设备节能环保要求承诺书</w:t>
      </w:r>
    </w:p>
    <w:p w14:paraId="1FD2A16A">
      <w:pPr>
        <w:spacing w:line="360" w:lineRule="auto"/>
        <w:jc w:val="center"/>
        <w:rPr>
          <w:rFonts w:ascii="宋体" w:hAnsi="宋体" w:cs="宋体"/>
          <w:color w:val="000000" w:themeColor="text1"/>
          <w:szCs w:val="21"/>
          <w:highlight w:val="none"/>
          <w14:textFill>
            <w14:solidFill>
              <w14:schemeClr w14:val="tx1"/>
            </w14:solidFill>
          </w14:textFill>
        </w:rPr>
      </w:pPr>
    </w:p>
    <w:p w14:paraId="4ACB16A0">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我方承诺，一旦成交，我方保证严格执行</w:t>
      </w:r>
      <w:r>
        <w:rPr>
          <w:rFonts w:hint="eastAsia" w:cs="宋体"/>
          <w:color w:val="000000" w:themeColor="text1"/>
          <w:sz w:val="24"/>
          <w:highlight w:val="none"/>
          <w14:textFill>
            <w14:solidFill>
              <w14:schemeClr w14:val="tx1"/>
            </w14:solidFill>
          </w14:textFill>
        </w:rPr>
        <w:t>《财政部</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发展改革委</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生态环境部</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市场监管总局关于调整优化节能产品、环境标志产品政府采购执行机制的通知》（财库〔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9</w:t>
      </w:r>
      <w:r>
        <w:rPr>
          <w:rFonts w:hint="eastAsia" w:cs="宋体"/>
          <w:color w:val="000000" w:themeColor="text1"/>
          <w:sz w:val="24"/>
          <w:highlight w:val="none"/>
          <w14:textFill>
            <w14:solidFill>
              <w14:schemeClr w14:val="tx1"/>
            </w14:solidFill>
          </w14:textFill>
        </w:rPr>
        <w:t>号）和《关于印发节能产品政府采购品目清单的通知》（财库〔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号）的规定，所有工程中涉及的建筑材料和设备如属于财库〔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号文中《节能产品政府采购品目清单》内标注“★”的产品，都使用政府强制采购的节能产品。</w:t>
      </w:r>
      <w:r>
        <w:rPr>
          <w:rFonts w:hint="eastAsia"/>
          <w:color w:val="000000" w:themeColor="text1"/>
          <w:sz w:val="24"/>
          <w:highlight w:val="none"/>
          <w14:textFill>
            <w14:solidFill>
              <w14:schemeClr w14:val="tx1"/>
            </w14:solidFill>
          </w14:textFill>
        </w:rPr>
        <w:t>如我方在该项目的承包中出现未按规定执行的情形，我方愿意按照相关规定接受采购人及有关行政主管部门的处罚，愿意承担一切后果，并不再寻求任何旨在减轻或者免除法律责任的辩解。</w:t>
      </w:r>
    </w:p>
    <w:p w14:paraId="12C7DFC0">
      <w:pPr>
        <w:spacing w:line="360" w:lineRule="auto"/>
        <w:ind w:firstLine="480" w:firstLineChars="200"/>
        <w:jc w:val="center"/>
        <w:rPr>
          <w:color w:val="000000" w:themeColor="text1"/>
          <w:sz w:val="24"/>
          <w:highlight w:val="none"/>
          <w14:textFill>
            <w14:solidFill>
              <w14:schemeClr w14:val="tx1"/>
            </w14:solidFill>
          </w14:textFill>
        </w:rPr>
      </w:pPr>
    </w:p>
    <w:p w14:paraId="53CEE00E">
      <w:pPr>
        <w:spacing w:line="360" w:lineRule="auto"/>
        <w:contextualSpacing/>
        <w:rPr>
          <w:rFonts w:ascii="宋体" w:hAnsi="宋体" w:cs="仿宋_GB2312"/>
          <w:color w:val="000000" w:themeColor="text1"/>
          <w:sz w:val="24"/>
          <w:highlight w:val="none"/>
          <w14:textFill>
            <w14:solidFill>
              <w14:schemeClr w14:val="tx1"/>
            </w14:solidFill>
          </w14:textFill>
        </w:rPr>
      </w:pPr>
    </w:p>
    <w:p w14:paraId="46094518">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26435918">
      <w:pPr>
        <w:snapToGrid w:val="0"/>
        <w:spacing w:beforeLines="50" w:after="5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25701D46">
      <w:pPr>
        <w:snapToGrid w:val="0"/>
        <w:spacing w:beforeLines="50" w:after="50"/>
        <w:jc w:val="left"/>
        <w:rPr>
          <w:rFonts w:hint="eastAsia" w:ascii="宋体" w:hAnsi="宋体" w:cs="方正小标宋简体"/>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br w:type="page"/>
      </w:r>
      <w:r>
        <w:rPr>
          <w:rFonts w:hint="eastAsia" w:ascii="宋体" w:hAnsi="宋体" w:cs="仿宋_GB2312"/>
          <w:color w:val="000000" w:themeColor="text1"/>
          <w:sz w:val="24"/>
          <w:highlight w:val="none"/>
          <w:lang w:val="en-US" w:eastAsia="zh-CN"/>
          <w14:textFill>
            <w14:solidFill>
              <w14:schemeClr w14:val="tx1"/>
            </w14:solidFill>
          </w14:textFill>
        </w:rPr>
        <w:t xml:space="preserve">                    </w:t>
      </w:r>
      <w:r>
        <w:rPr>
          <w:rFonts w:hint="eastAsia" w:ascii="宋体" w:hAnsi="宋体" w:cs="方正小标宋简体"/>
          <w:b/>
          <w:color w:val="000000" w:themeColor="text1"/>
          <w:sz w:val="32"/>
          <w:szCs w:val="32"/>
          <w:highlight w:val="none"/>
          <w14:textFill>
            <w14:solidFill>
              <w14:schemeClr w14:val="tx1"/>
            </w14:solidFill>
          </w14:textFill>
        </w:rPr>
        <w:t>技术商务要求响应表</w:t>
      </w:r>
    </w:p>
    <w:p w14:paraId="7722BF1E">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0C2EA9">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117"/>
        <w:gridCol w:w="2836"/>
        <w:gridCol w:w="2735"/>
        <w:gridCol w:w="1492"/>
      </w:tblGrid>
      <w:tr w14:paraId="342C6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40ECB4C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15" w:name="_Toc297193185"/>
            <w:bookmarkStart w:id="116" w:name="_Toc254970588"/>
            <w:bookmarkStart w:id="117" w:name="_Toc254970729"/>
            <w:bookmarkStart w:id="118" w:name="_Toc373333689"/>
            <w:bookmarkStart w:id="119" w:name="_Toc173066401"/>
            <w:bookmarkStart w:id="120" w:name="_Toc383699906"/>
            <w:bookmarkStart w:id="121" w:name="_Toc173211900"/>
            <w:bookmarkStart w:id="122" w:name="_Toc301781611"/>
            <w:bookmarkStart w:id="123" w:name="_Toc29540498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序号</w:t>
            </w:r>
            <w:bookmarkEnd w:id="115"/>
            <w:bookmarkEnd w:id="116"/>
            <w:bookmarkEnd w:id="117"/>
            <w:bookmarkEnd w:id="118"/>
            <w:bookmarkEnd w:id="119"/>
            <w:bookmarkEnd w:id="120"/>
            <w:bookmarkEnd w:id="121"/>
            <w:bookmarkEnd w:id="122"/>
            <w:bookmarkEnd w:id="123"/>
          </w:p>
        </w:tc>
        <w:tc>
          <w:tcPr>
            <w:tcW w:w="614" w:type="pct"/>
            <w:tcBorders>
              <w:right w:val="single" w:color="auto" w:sz="4" w:space="0"/>
            </w:tcBorders>
            <w:noWrap w:val="0"/>
            <w:vAlign w:val="center"/>
          </w:tcPr>
          <w:p w14:paraId="4A132473">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名称</w:t>
            </w:r>
          </w:p>
        </w:tc>
        <w:tc>
          <w:tcPr>
            <w:tcW w:w="1559" w:type="pct"/>
            <w:tcBorders>
              <w:left w:val="single" w:color="auto" w:sz="4" w:space="0"/>
            </w:tcBorders>
            <w:noWrap w:val="0"/>
            <w:vAlign w:val="center"/>
          </w:tcPr>
          <w:p w14:paraId="0A2710D4">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磋商文件要求</w:t>
            </w:r>
          </w:p>
        </w:tc>
        <w:tc>
          <w:tcPr>
            <w:tcW w:w="1503" w:type="pct"/>
            <w:noWrap w:val="0"/>
            <w:vAlign w:val="center"/>
          </w:tcPr>
          <w:p w14:paraId="7138ABB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24" w:name="_Toc383699908"/>
            <w:bookmarkStart w:id="125" w:name="_Toc297193187"/>
            <w:bookmarkStart w:id="126" w:name="_Toc173211902"/>
            <w:bookmarkStart w:id="127" w:name="_Toc254970590"/>
            <w:bookmarkStart w:id="128" w:name="_Toc373333691"/>
            <w:bookmarkStart w:id="129" w:name="_Toc173066403"/>
            <w:bookmarkStart w:id="130" w:name="_Toc295404983"/>
            <w:bookmarkStart w:id="131" w:name="_Toc301781613"/>
            <w:bookmarkStart w:id="132" w:name="_Toc25497073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竞标响应</w:t>
            </w:r>
            <w:bookmarkEnd w:id="124"/>
            <w:bookmarkEnd w:id="125"/>
            <w:bookmarkEnd w:id="126"/>
            <w:bookmarkEnd w:id="127"/>
            <w:bookmarkEnd w:id="128"/>
            <w:bookmarkEnd w:id="129"/>
            <w:bookmarkEnd w:id="130"/>
            <w:bookmarkEnd w:id="131"/>
            <w:bookmarkEnd w:id="132"/>
          </w:p>
        </w:tc>
        <w:tc>
          <w:tcPr>
            <w:tcW w:w="820" w:type="pct"/>
            <w:noWrap w:val="0"/>
            <w:vAlign w:val="center"/>
          </w:tcPr>
          <w:p w14:paraId="54DB0BD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33" w:name="_Toc301781614"/>
            <w:bookmarkStart w:id="134" w:name="_Toc373333692"/>
            <w:bookmarkStart w:id="135" w:name="_Toc173211903"/>
            <w:bookmarkStart w:id="136" w:name="_Toc173066404"/>
            <w:bookmarkStart w:id="137" w:name="_Toc383699909"/>
            <w:bookmarkStart w:id="138" w:name="_Toc254970732"/>
            <w:bookmarkStart w:id="139" w:name="_Toc295404984"/>
            <w:bookmarkStart w:id="140" w:name="_Toc297193188"/>
            <w:bookmarkStart w:id="141" w:name="_Toc25497059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偏离</w:t>
            </w:r>
            <w:bookmarkEnd w:id="133"/>
            <w:bookmarkEnd w:id="134"/>
            <w:bookmarkEnd w:id="135"/>
            <w:bookmarkEnd w:id="136"/>
            <w:bookmarkEnd w:id="137"/>
            <w:bookmarkEnd w:id="138"/>
            <w:bookmarkEnd w:id="139"/>
            <w:bookmarkEnd w:id="140"/>
            <w:bookmarkEnd w:id="141"/>
            <w:bookmarkStart w:id="142" w:name="_Toc254970733"/>
            <w:bookmarkStart w:id="143" w:name="_Toc173211904"/>
            <w:bookmarkStart w:id="144" w:name="_Toc254970592"/>
            <w:bookmarkStart w:id="145" w:name="_Toc297193189"/>
            <w:bookmarkStart w:id="146" w:name="_Toc373333693"/>
            <w:bookmarkStart w:id="147" w:name="_Toc301781615"/>
            <w:bookmarkStart w:id="148" w:name="_Toc173066405"/>
            <w:bookmarkStart w:id="149" w:name="_Toc295404985"/>
            <w:bookmarkStart w:id="150" w:name="_Toc383699910"/>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说明</w:t>
            </w:r>
            <w:bookmarkEnd w:id="142"/>
            <w:bookmarkEnd w:id="143"/>
            <w:bookmarkEnd w:id="144"/>
            <w:bookmarkEnd w:id="145"/>
            <w:bookmarkEnd w:id="146"/>
            <w:bookmarkEnd w:id="147"/>
            <w:bookmarkEnd w:id="148"/>
            <w:bookmarkEnd w:id="149"/>
            <w:bookmarkEnd w:id="150"/>
          </w:p>
        </w:tc>
      </w:tr>
      <w:tr w14:paraId="03561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1422F0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51" w:name="_Toc254970734"/>
            <w:bookmarkStart w:id="152" w:name="_Toc373333694"/>
            <w:bookmarkStart w:id="153" w:name="_Toc295404986"/>
            <w:bookmarkStart w:id="154" w:name="_Toc301781616"/>
            <w:bookmarkStart w:id="155" w:name="_Toc383699911"/>
            <w:bookmarkStart w:id="156" w:name="_Toc173211905"/>
            <w:bookmarkStart w:id="157" w:name="_Toc173066406"/>
            <w:bookmarkStart w:id="158" w:name="_Toc297193190"/>
            <w:bookmarkStart w:id="159" w:name="_Toc254970593"/>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1</w:t>
            </w:r>
            <w:bookmarkEnd w:id="151"/>
            <w:bookmarkEnd w:id="152"/>
            <w:bookmarkEnd w:id="153"/>
            <w:bookmarkEnd w:id="154"/>
            <w:bookmarkEnd w:id="155"/>
            <w:bookmarkEnd w:id="156"/>
            <w:bookmarkEnd w:id="157"/>
            <w:bookmarkEnd w:id="158"/>
            <w:bookmarkEnd w:id="159"/>
          </w:p>
        </w:tc>
        <w:tc>
          <w:tcPr>
            <w:tcW w:w="614" w:type="pct"/>
            <w:tcBorders>
              <w:right w:val="single" w:color="auto" w:sz="4" w:space="0"/>
            </w:tcBorders>
            <w:noWrap w:val="0"/>
            <w:vAlign w:val="center"/>
          </w:tcPr>
          <w:p w14:paraId="4BFD6A0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一、建设地点：</w:t>
            </w:r>
          </w:p>
        </w:tc>
        <w:tc>
          <w:tcPr>
            <w:tcW w:w="1559" w:type="pct"/>
            <w:tcBorders>
              <w:left w:val="single" w:color="auto" w:sz="4" w:space="0"/>
            </w:tcBorders>
            <w:noWrap w:val="0"/>
            <w:vAlign w:val="center"/>
          </w:tcPr>
          <w:p w14:paraId="4D3F810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7470799">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092E65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14E8C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DFCAAE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60" w:name="_Toc301781617"/>
            <w:bookmarkStart w:id="161" w:name="_Toc373333695"/>
            <w:bookmarkStart w:id="162" w:name="_Toc173066407"/>
            <w:bookmarkStart w:id="163" w:name="_Toc254970735"/>
            <w:bookmarkStart w:id="164" w:name="_Toc295404987"/>
            <w:bookmarkStart w:id="165" w:name="_Toc173211906"/>
            <w:bookmarkStart w:id="166" w:name="_Toc254970594"/>
            <w:bookmarkStart w:id="167" w:name="_Toc297193191"/>
            <w:bookmarkStart w:id="168" w:name="_Toc383699912"/>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2</w:t>
            </w:r>
            <w:bookmarkEnd w:id="160"/>
            <w:bookmarkEnd w:id="161"/>
            <w:bookmarkEnd w:id="162"/>
            <w:bookmarkEnd w:id="163"/>
            <w:bookmarkEnd w:id="164"/>
            <w:bookmarkEnd w:id="165"/>
            <w:bookmarkEnd w:id="166"/>
            <w:bookmarkEnd w:id="167"/>
            <w:bookmarkEnd w:id="168"/>
          </w:p>
        </w:tc>
        <w:tc>
          <w:tcPr>
            <w:tcW w:w="614" w:type="pct"/>
            <w:tcBorders>
              <w:right w:val="single" w:color="auto" w:sz="4" w:space="0"/>
            </w:tcBorders>
            <w:noWrap w:val="0"/>
            <w:vAlign w:val="center"/>
          </w:tcPr>
          <w:p w14:paraId="2272EAA3">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221111D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4673B60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59D9191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7CDF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F4C57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69" w:name="_Toc173211907"/>
            <w:bookmarkStart w:id="170" w:name="_Toc254970736"/>
            <w:bookmarkStart w:id="171" w:name="_Toc297193192"/>
            <w:bookmarkStart w:id="172" w:name="_Toc373333696"/>
            <w:bookmarkStart w:id="173" w:name="_Toc254970595"/>
            <w:bookmarkStart w:id="174" w:name="_Toc301781618"/>
            <w:bookmarkStart w:id="175" w:name="_Toc295404988"/>
            <w:bookmarkStart w:id="176" w:name="_Toc173066408"/>
            <w:bookmarkStart w:id="177" w:name="_Toc383699913"/>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3</w:t>
            </w:r>
            <w:bookmarkEnd w:id="169"/>
            <w:bookmarkEnd w:id="170"/>
            <w:bookmarkEnd w:id="171"/>
            <w:bookmarkEnd w:id="172"/>
            <w:bookmarkEnd w:id="173"/>
            <w:bookmarkEnd w:id="174"/>
            <w:bookmarkEnd w:id="175"/>
            <w:bookmarkEnd w:id="176"/>
            <w:bookmarkEnd w:id="177"/>
          </w:p>
        </w:tc>
        <w:tc>
          <w:tcPr>
            <w:tcW w:w="614" w:type="pct"/>
            <w:tcBorders>
              <w:right w:val="single" w:color="auto" w:sz="4" w:space="0"/>
            </w:tcBorders>
            <w:noWrap w:val="0"/>
            <w:vAlign w:val="center"/>
          </w:tcPr>
          <w:p w14:paraId="76D1CCB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67E42E1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496247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14551F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2ACA5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AE580F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78" w:name="_Toc295404989"/>
            <w:bookmarkStart w:id="179" w:name="_Toc173211908"/>
            <w:bookmarkStart w:id="180" w:name="_Toc383699914"/>
            <w:bookmarkStart w:id="181" w:name="_Toc254970596"/>
            <w:bookmarkStart w:id="182" w:name="_Toc173066409"/>
            <w:bookmarkStart w:id="183" w:name="_Toc254970737"/>
            <w:bookmarkStart w:id="184" w:name="_Toc297193193"/>
            <w:bookmarkStart w:id="185" w:name="_Toc301781619"/>
            <w:bookmarkStart w:id="186" w:name="_Toc373333697"/>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4</w:t>
            </w:r>
            <w:bookmarkEnd w:id="178"/>
            <w:bookmarkEnd w:id="179"/>
            <w:bookmarkEnd w:id="180"/>
            <w:bookmarkEnd w:id="181"/>
            <w:bookmarkEnd w:id="182"/>
            <w:bookmarkEnd w:id="183"/>
            <w:bookmarkEnd w:id="184"/>
            <w:bookmarkEnd w:id="185"/>
            <w:bookmarkEnd w:id="186"/>
          </w:p>
        </w:tc>
        <w:tc>
          <w:tcPr>
            <w:tcW w:w="614" w:type="pct"/>
            <w:tcBorders>
              <w:right w:val="single" w:color="auto" w:sz="4" w:space="0"/>
            </w:tcBorders>
            <w:noWrap w:val="0"/>
            <w:vAlign w:val="center"/>
          </w:tcPr>
          <w:p w14:paraId="26A93CF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计划工期</w:t>
            </w:r>
          </w:p>
        </w:tc>
        <w:tc>
          <w:tcPr>
            <w:tcW w:w="1559" w:type="pct"/>
            <w:tcBorders>
              <w:left w:val="single" w:color="auto" w:sz="4" w:space="0"/>
            </w:tcBorders>
            <w:noWrap w:val="0"/>
            <w:vAlign w:val="center"/>
          </w:tcPr>
          <w:p w14:paraId="58A31BD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5DF54D9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16753CD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00BFD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27C8C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87" w:name="_Toc373333698"/>
            <w:bookmarkStart w:id="188" w:name="_Toc297193194"/>
            <w:bookmarkStart w:id="189" w:name="_Toc295404990"/>
            <w:bookmarkStart w:id="190" w:name="_Toc173066410"/>
            <w:bookmarkStart w:id="191" w:name="_Toc173211909"/>
            <w:bookmarkStart w:id="192" w:name="_Toc254970597"/>
            <w:bookmarkStart w:id="193" w:name="_Toc383699915"/>
            <w:bookmarkStart w:id="194" w:name="_Toc254970738"/>
            <w:bookmarkStart w:id="195" w:name="_Toc301781620"/>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5</w:t>
            </w:r>
            <w:bookmarkEnd w:id="187"/>
            <w:bookmarkEnd w:id="188"/>
            <w:bookmarkEnd w:id="189"/>
            <w:bookmarkEnd w:id="190"/>
            <w:bookmarkEnd w:id="191"/>
            <w:bookmarkEnd w:id="192"/>
            <w:bookmarkEnd w:id="193"/>
            <w:bookmarkEnd w:id="194"/>
            <w:bookmarkEnd w:id="195"/>
          </w:p>
        </w:tc>
        <w:tc>
          <w:tcPr>
            <w:tcW w:w="614" w:type="pct"/>
            <w:tcBorders>
              <w:right w:val="single" w:color="auto" w:sz="4" w:space="0"/>
            </w:tcBorders>
            <w:noWrap w:val="0"/>
            <w:vAlign w:val="center"/>
          </w:tcPr>
          <w:p w14:paraId="6E8C12B1">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7D6021F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152D0B36">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067D346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4E1E4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4B961FB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96" w:name="_Toc295404991"/>
            <w:bookmarkStart w:id="197" w:name="_Toc297193195"/>
            <w:bookmarkStart w:id="198" w:name="_Toc301781621"/>
            <w:bookmarkStart w:id="199" w:name="_Toc254970602"/>
            <w:bookmarkStart w:id="200" w:name="_Toc173211914"/>
            <w:bookmarkStart w:id="201" w:name="_Toc173066415"/>
            <w:bookmarkStart w:id="202" w:name="_Toc254970743"/>
            <w:bookmarkStart w:id="203" w:name="_Toc383699916"/>
            <w:bookmarkStart w:id="204" w:name="_Toc37333369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bookmarkEnd w:id="196"/>
            <w:bookmarkEnd w:id="197"/>
            <w:bookmarkEnd w:id="198"/>
            <w:bookmarkEnd w:id="199"/>
            <w:bookmarkEnd w:id="200"/>
            <w:bookmarkEnd w:id="201"/>
            <w:bookmarkEnd w:id="202"/>
            <w:bookmarkEnd w:id="203"/>
            <w:bookmarkEnd w:id="204"/>
          </w:p>
        </w:tc>
        <w:tc>
          <w:tcPr>
            <w:tcW w:w="614" w:type="pct"/>
            <w:tcBorders>
              <w:right w:val="single" w:color="auto" w:sz="4" w:space="0"/>
            </w:tcBorders>
            <w:noWrap w:val="0"/>
            <w:vAlign w:val="center"/>
          </w:tcPr>
          <w:p w14:paraId="6DF736D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2DF5DB6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3745FB02">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right w:val="single" w:color="auto" w:sz="4" w:space="0"/>
            </w:tcBorders>
            <w:noWrap w:val="0"/>
            <w:vAlign w:val="center"/>
          </w:tcPr>
          <w:p w14:paraId="5987F34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bl>
    <w:p w14:paraId="07F96226">
      <w:pPr>
        <w:adjustRightInd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E902DC3">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1CADD461">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采购需求”中的所有要求逐条作出明确响应，并作出偏离说明。</w:t>
      </w:r>
    </w:p>
    <w:p w14:paraId="2FBD8A12">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11B1477">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70DCFCD8">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74BA2068">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5EC8DFA5">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6FBB82B">
      <w:pP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br w:type="page"/>
      </w:r>
    </w:p>
    <w:p w14:paraId="26AC7E6D">
      <w:pPr>
        <w:widowControl w:val="0"/>
        <w:jc w:val="center"/>
        <w:outlineLvl w:val="0"/>
        <w:rPr>
          <w:rFonts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t>建设工程项目管理承诺书</w:t>
      </w:r>
    </w:p>
    <w:p w14:paraId="0C2EBA81">
      <w:pPr>
        <w:spacing w:line="480" w:lineRule="auto"/>
        <w:jc w:val="left"/>
        <w:rPr>
          <w:color w:val="000000" w:themeColor="text1"/>
          <w:highlight w:val="none"/>
          <w14:textFill>
            <w14:solidFill>
              <w14:schemeClr w14:val="tx1"/>
            </w14:solidFill>
          </w14:textFill>
        </w:rPr>
      </w:pPr>
    </w:p>
    <w:p w14:paraId="58DA55F5">
      <w:pPr>
        <w:spacing w:line="480" w:lineRule="auto"/>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（采购人名称）：</w:t>
      </w:r>
    </w:p>
    <w:p w14:paraId="2021C040">
      <w:pPr>
        <w:spacing w:line="520" w:lineRule="exact"/>
        <w:ind w:left="-10" w:firstLine="455" w:firstLineChars="217"/>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作为参与</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（工程名称）项目的供应商，根据国家、自治区相关文件规定，我方在此向采购人承诺：</w:t>
      </w:r>
    </w:p>
    <w:p w14:paraId="6E65E000">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，我方保证按照政府相关部门的规定，</w:t>
      </w:r>
      <w:r>
        <w:rPr>
          <w:rFonts w:hint="eastAsia" w:ascii="宋体" w:hAnsi="宋体"/>
          <w:color w:val="000000" w:themeColor="text1"/>
          <w:highlight w:val="none"/>
          <w14:textFill>
            <w14:solidFill>
              <w14:schemeClr w14:val="tx1"/>
            </w14:solidFill>
          </w14:textFill>
        </w:rPr>
        <w:t>在成交后7个工作日内，按照《保障农民工工资支付条例》规定及广西壮族自治区有关规定开设农民工工资专用账户，并按要求比例将农民工工资保证金存入</w:t>
      </w:r>
      <w:r>
        <w:rPr>
          <w:rFonts w:hint="eastAsia" w:ascii="宋体" w:hAnsi="宋体"/>
          <w:color w:val="000000" w:themeColor="text1"/>
          <w:highlight w:val="none"/>
          <w:lang w:val="en-US" w:eastAsia="zh-CN"/>
          <w14:textFill>
            <w14:solidFill>
              <w14:schemeClr w14:val="tx1"/>
            </w14:solidFill>
          </w14:textFill>
        </w:rPr>
        <w:t>账</w:t>
      </w:r>
      <w:r>
        <w:rPr>
          <w:rFonts w:hint="eastAsia" w:ascii="宋体" w:hAnsi="宋体"/>
          <w:color w:val="000000" w:themeColor="text1"/>
          <w:highlight w:val="none"/>
          <w14:textFill>
            <w14:solidFill>
              <w14:schemeClr w14:val="tx1"/>
            </w14:solidFill>
          </w14:textFill>
        </w:rPr>
        <w:t>户</w:t>
      </w:r>
      <w:r>
        <w:rPr>
          <w:rFonts w:hint="eastAsia"/>
          <w:color w:val="000000" w:themeColor="text1"/>
          <w:highlight w:val="none"/>
          <w14:textFill>
            <w14:solidFill>
              <w14:schemeClr w14:val="tx1"/>
            </w14:solidFill>
          </w14:textFill>
        </w:rPr>
        <w:t>，专项用于支付本工程提供劳动的农民工被拖欠的工资。</w:t>
      </w:r>
      <w:r>
        <w:rPr>
          <w:color w:val="000000" w:themeColor="text1"/>
          <w:highlight w:val="none"/>
          <w14:textFill>
            <w14:solidFill>
              <w14:schemeClr w14:val="tx1"/>
            </w14:solidFill>
          </w14:textFill>
        </w:rPr>
        <w:t>按照与农民工依法约定的工资支付周期和具体支付日期支付工资</w:t>
      </w:r>
      <w:r>
        <w:rPr>
          <w:rFonts w:hint="eastAsia"/>
          <w:color w:val="000000" w:themeColor="text1"/>
          <w:highlight w:val="none"/>
          <w14:textFill>
            <w14:solidFill>
              <w14:schemeClr w14:val="tx1"/>
            </w14:solidFill>
          </w14:textFill>
        </w:rPr>
        <w:t>，保证</w:t>
      </w:r>
      <w:r>
        <w:rPr>
          <w:color w:val="000000" w:themeColor="text1"/>
          <w:highlight w:val="none"/>
          <w14:textFill>
            <w14:solidFill>
              <w14:schemeClr w14:val="tx1"/>
            </w14:solidFill>
          </w14:textFill>
        </w:rPr>
        <w:t>每月至少向农民工足额支付一次工资。</w:t>
      </w:r>
    </w:p>
    <w:p w14:paraId="4AE0B187">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，我方保证在施工过程中，严格执行《广西壮族自治区建筑工程安全文明施工费使用管理细则》（桂建质〔20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号）的有关规定，确保建设工程各项安全防护、文明施工措施落实到位。如我方在该项目的承包中出现未按桂建质〔20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号文附件一规定执行的情形，我方愿意按照相关规定接受建设单位及有关主管部门的处罚。</w:t>
      </w:r>
    </w:p>
    <w:p w14:paraId="55D969F9">
      <w:pPr>
        <w:spacing w:line="520" w:lineRule="exact"/>
        <w:ind w:left="-2" w:leftChars="-1" w:firstLine="449" w:firstLineChars="21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D8A7857">
      <w:pPr>
        <w:spacing w:line="520" w:lineRule="exact"/>
        <w:ind w:left="-10" w:firstLine="455" w:firstLineChars="21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4、一旦成交，我方保证在施工过程中，严格执行《关于禁止使用不符合规范要求的竹脚手架的通知》（</w:t>
      </w:r>
      <w:r>
        <w:rPr>
          <w:color w:val="000000" w:themeColor="text1"/>
          <w:highlight w:val="none"/>
          <w14:textFill>
            <w14:solidFill>
              <w14:schemeClr w14:val="tx1"/>
            </w14:solidFill>
          </w14:textFill>
        </w:rPr>
        <w:t>桂建</w:t>
      </w:r>
      <w:r>
        <w:rPr>
          <w:rFonts w:hint="eastAsia"/>
          <w:color w:val="000000" w:themeColor="text1"/>
          <w:highlight w:val="none"/>
          <w14:textFill>
            <w14:solidFill>
              <w14:schemeClr w14:val="tx1"/>
            </w14:solidFill>
          </w14:textFill>
        </w:rPr>
        <w:t>管字</w:t>
      </w:r>
      <w:r>
        <w:rPr>
          <w:color w:val="000000" w:themeColor="text1"/>
          <w:highlight w:val="none"/>
          <w14:textFill>
            <w14:solidFill>
              <w14:schemeClr w14:val="tx1"/>
            </w14:solidFill>
          </w14:textFill>
        </w:rPr>
        <w:t>〔200</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t>号</w:t>
      </w:r>
      <w:r>
        <w:rPr>
          <w:rFonts w:hint="eastAsia"/>
          <w:color w:val="000000" w:themeColor="text1"/>
          <w:highlight w:val="none"/>
          <w14:textFill>
            <w14:solidFill>
              <w14:schemeClr w14:val="tx1"/>
            </w14:solidFill>
          </w14:textFill>
        </w:rPr>
        <w:t>）的有关规定，不使用竹脚手架。如我方在该</w:t>
      </w:r>
      <w:r>
        <w:rPr>
          <w:color w:val="000000" w:themeColor="text1"/>
          <w:highlight w:val="none"/>
          <w14:textFill>
            <w14:solidFill>
              <w14:schemeClr w14:val="tx1"/>
            </w14:solidFill>
          </w14:textFill>
        </w:rPr>
        <w:t>项目的承包中出现未按规定执行的情形，我方愿意按照相关规定接受建设单位及有关主管部门的处罚。</w:t>
      </w:r>
    </w:p>
    <w:p w14:paraId="17341643">
      <w:pPr>
        <w:spacing w:line="520" w:lineRule="exact"/>
        <w:ind w:left="-10" w:firstLine="455" w:firstLineChars="217"/>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94E06E">
      <w:pPr>
        <w:spacing w:line="520" w:lineRule="exact"/>
        <w:jc w:val="left"/>
        <w:rPr>
          <w:color w:val="000000" w:themeColor="text1"/>
          <w:highlight w:val="none"/>
          <w14:textFill>
            <w14:solidFill>
              <w14:schemeClr w14:val="tx1"/>
            </w14:solidFill>
          </w14:textFill>
        </w:rPr>
      </w:pPr>
    </w:p>
    <w:p w14:paraId="5AED4C39">
      <w:pPr>
        <w:spacing w:line="360" w:lineRule="auto"/>
        <w:ind w:firstLine="4410" w:firstLineChars="2100"/>
        <w:jc w:val="left"/>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供应商：</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（电子签章）</w:t>
      </w:r>
    </w:p>
    <w:p w14:paraId="24DEE38B">
      <w:pPr>
        <w:spacing w:line="360" w:lineRule="auto"/>
        <w:ind w:firstLine="4410" w:firstLineChars="2100"/>
        <w:jc w:val="left"/>
        <w:rPr>
          <w:rFonts w:hint="eastAsia"/>
          <w:color w:val="000000" w:themeColor="text1"/>
          <w:highlight w:val="none"/>
          <w:u w:val="single"/>
          <w14:textFill>
            <w14:solidFill>
              <w14:schemeClr w14:val="tx1"/>
            </w14:solidFill>
          </w14:textFill>
        </w:rPr>
      </w:pPr>
    </w:p>
    <w:p w14:paraId="13DE13E2">
      <w:pPr>
        <w:ind w:firstLine="4410" w:firstLineChars="210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p w14:paraId="3727B756">
      <w:pP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p>
    <w:p w14:paraId="69B1053A">
      <w:pPr>
        <w:spacing w:line="360" w:lineRule="auto"/>
        <w:jc w:val="center"/>
        <w:rPr>
          <w:color w:val="000000" w:themeColor="text1"/>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广西壮族自治区建筑工程安全文明施工措施项目清单内容</w:t>
      </w:r>
    </w:p>
    <w:p w14:paraId="53230102">
      <w:pPr>
        <w:spacing w:line="360" w:lineRule="auto"/>
        <w:ind w:firstLine="600" w:firstLineChars="250"/>
        <w:jc w:val="center"/>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（桂建质〔</w:t>
      </w:r>
      <w:r>
        <w:rPr>
          <w:color w:val="000000" w:themeColor="text1"/>
          <w:sz w:val="24"/>
          <w:szCs w:val="24"/>
          <w:highlight w:val="none"/>
          <w14:textFill>
            <w14:solidFill>
              <w14:schemeClr w14:val="tx1"/>
            </w14:solidFill>
          </w14:textFill>
        </w:rPr>
        <w:t>2015</w:t>
      </w: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16</w:t>
      </w:r>
      <w:r>
        <w:rPr>
          <w:rFonts w:hint="eastAsia" w:cs="宋体"/>
          <w:color w:val="000000" w:themeColor="text1"/>
          <w:sz w:val="24"/>
          <w:szCs w:val="24"/>
          <w:highlight w:val="none"/>
          <w14:textFill>
            <w14:solidFill>
              <w14:schemeClr w14:val="tx1"/>
            </w14:solidFill>
          </w14:textFill>
        </w:rPr>
        <w:t>号文附件一）</w:t>
      </w:r>
    </w:p>
    <w:p w14:paraId="40B921CF">
      <w:pPr>
        <w:pStyle w:val="158"/>
        <w:spacing w:line="240" w:lineRule="atLeast"/>
        <w:jc w:val="center"/>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广西壮族自治区</w:t>
      </w:r>
    </w:p>
    <w:p w14:paraId="73B96F29">
      <w:pPr>
        <w:pStyle w:val="158"/>
        <w:spacing w:line="240" w:lineRule="atLeast"/>
        <w:ind w:firstLine="546"/>
        <w:jc w:val="center"/>
        <w:rPr>
          <w:b/>
          <w:bCs/>
          <w:color w:val="000000" w:themeColor="text1"/>
          <w:w w:val="90"/>
          <w:sz w:val="24"/>
          <w:szCs w:val="24"/>
          <w:highlight w:val="none"/>
          <w14:textFill>
            <w14:solidFill>
              <w14:schemeClr w14:val="tx1"/>
            </w14:solidFill>
          </w14:textFill>
        </w:rPr>
      </w:pPr>
      <w:r>
        <w:rPr>
          <w:rFonts w:hint="eastAsia" w:cs="宋体"/>
          <w:b/>
          <w:bCs/>
          <w:color w:val="000000" w:themeColor="text1"/>
          <w:w w:val="90"/>
          <w:sz w:val="24"/>
          <w:szCs w:val="24"/>
          <w:highlight w:val="none"/>
          <w14:textFill>
            <w14:solidFill>
              <w14:schemeClr w14:val="tx1"/>
            </w14:solidFill>
          </w14:textFill>
        </w:rPr>
        <w:t>建设工程安全文明施工措施项目清单内容</w:t>
      </w:r>
    </w:p>
    <w:p w14:paraId="03262194">
      <w:pPr>
        <w:pStyle w:val="158"/>
        <w:spacing w:line="240" w:lineRule="atLeast"/>
        <w:ind w:firstLine="546"/>
        <w:jc w:val="center"/>
        <w:rPr>
          <w:b/>
          <w:bCs/>
          <w:color w:val="000000" w:themeColor="text1"/>
          <w:w w:val="90"/>
          <w:sz w:val="24"/>
          <w:szCs w:val="24"/>
          <w:highlight w:val="none"/>
          <w14:textFill>
            <w14:solidFill>
              <w14:schemeClr w14:val="tx1"/>
            </w14:solidFill>
          </w14:textFill>
        </w:rPr>
      </w:pPr>
    </w:p>
    <w:tbl>
      <w:tblPr>
        <w:tblStyle w:val="4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C91C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5556DF5B">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类别</w:t>
            </w:r>
          </w:p>
        </w:tc>
        <w:tc>
          <w:tcPr>
            <w:tcW w:w="2070" w:type="dxa"/>
            <w:gridSpan w:val="2"/>
            <w:tcBorders>
              <w:top w:val="single" w:color="auto" w:sz="12" w:space="0"/>
            </w:tcBorders>
            <w:noWrap w:val="0"/>
            <w:vAlign w:val="center"/>
          </w:tcPr>
          <w:p w14:paraId="0FDD48F0">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项目名称</w:t>
            </w:r>
          </w:p>
        </w:tc>
        <w:tc>
          <w:tcPr>
            <w:tcW w:w="6645" w:type="dxa"/>
            <w:tcBorders>
              <w:top w:val="single" w:color="auto" w:sz="12" w:space="0"/>
            </w:tcBorders>
            <w:noWrap w:val="0"/>
            <w:vAlign w:val="center"/>
          </w:tcPr>
          <w:p w14:paraId="088FC85C">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主要内容和要求</w:t>
            </w:r>
          </w:p>
        </w:tc>
      </w:tr>
      <w:tr w14:paraId="4015B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AF0B145">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文明</w:t>
            </w:r>
          </w:p>
          <w:p w14:paraId="4AA7F934">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施工</w:t>
            </w:r>
          </w:p>
          <w:p w14:paraId="1B17E98C">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与</w:t>
            </w:r>
          </w:p>
          <w:p w14:paraId="336088A9">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环境</w:t>
            </w:r>
          </w:p>
          <w:p w14:paraId="664F2613">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保护</w:t>
            </w:r>
          </w:p>
        </w:tc>
        <w:tc>
          <w:tcPr>
            <w:tcW w:w="2070" w:type="dxa"/>
            <w:gridSpan w:val="2"/>
            <w:noWrap w:val="0"/>
            <w:vAlign w:val="center"/>
          </w:tcPr>
          <w:p w14:paraId="55D7FECD">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安全警示</w:t>
            </w:r>
          </w:p>
          <w:p w14:paraId="12792295">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标志牌</w:t>
            </w:r>
          </w:p>
        </w:tc>
        <w:tc>
          <w:tcPr>
            <w:tcW w:w="6645" w:type="dxa"/>
            <w:noWrap w:val="0"/>
            <w:vAlign w:val="center"/>
          </w:tcPr>
          <w:p w14:paraId="162F949A">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在易发伤亡事故（或危险）处设置明显的、符合国家标准要求的安全警示标志牌。</w:t>
            </w:r>
          </w:p>
        </w:tc>
      </w:tr>
      <w:tr w14:paraId="1C845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F40AE8">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6B159438">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现场围挡</w:t>
            </w:r>
          </w:p>
        </w:tc>
        <w:tc>
          <w:tcPr>
            <w:tcW w:w="6645" w:type="dxa"/>
            <w:noWrap w:val="0"/>
            <w:vAlign w:val="center"/>
          </w:tcPr>
          <w:p w14:paraId="4C65AE6E">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现场采用封闭围挡，高度不小于</w:t>
            </w:r>
            <w:r>
              <w:rPr>
                <w:rFonts w:ascii="方正仿宋_GBK" w:eastAsia="方正仿宋_GBK" w:cs="方正仿宋_GBK"/>
                <w:color w:val="000000" w:themeColor="text1"/>
                <w:highlight w:val="none"/>
                <w14:textFill>
                  <w14:solidFill>
                    <w14:schemeClr w14:val="tx1"/>
                  </w14:solidFill>
                </w14:textFill>
              </w:rPr>
              <w:t>1.8m</w:t>
            </w:r>
            <w:r>
              <w:rPr>
                <w:rFonts w:hint="eastAsia" w:ascii="方正仿宋_GBK" w:eastAsia="方正仿宋_GBK" w:cs="方正仿宋_GBK"/>
                <w:color w:val="000000" w:themeColor="text1"/>
                <w:highlight w:val="none"/>
                <w14:textFill>
                  <w14:solidFill>
                    <w14:schemeClr w14:val="tx1"/>
                  </w14:solidFill>
                </w14:textFill>
              </w:rPr>
              <w:t>。</w:t>
            </w:r>
          </w:p>
          <w:p w14:paraId="7F52E4E5">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围挡材料可用彩色、定型钢板，砌块等墙体。</w:t>
            </w:r>
          </w:p>
        </w:tc>
      </w:tr>
      <w:tr w14:paraId="2AFF3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66BFAC2">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23BED990">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七牌二图</w:t>
            </w:r>
          </w:p>
        </w:tc>
        <w:tc>
          <w:tcPr>
            <w:tcW w:w="6645" w:type="dxa"/>
            <w:noWrap w:val="0"/>
            <w:vAlign w:val="center"/>
          </w:tcPr>
          <w:p w14:paraId="5E961FA3">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E00D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64A66C32">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4A4EA957">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企业标志</w:t>
            </w:r>
          </w:p>
        </w:tc>
        <w:tc>
          <w:tcPr>
            <w:tcW w:w="6645" w:type="dxa"/>
            <w:noWrap w:val="0"/>
            <w:vAlign w:val="center"/>
          </w:tcPr>
          <w:p w14:paraId="2FCA171D">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现场出入的大门应设有本企业标志或企业标识。</w:t>
            </w:r>
          </w:p>
        </w:tc>
      </w:tr>
      <w:tr w14:paraId="7AB92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DD6E902">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09DAA4EC">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场容场貌</w:t>
            </w:r>
          </w:p>
        </w:tc>
        <w:tc>
          <w:tcPr>
            <w:tcW w:w="6645" w:type="dxa"/>
            <w:noWrap w:val="0"/>
            <w:vAlign w:val="center"/>
          </w:tcPr>
          <w:p w14:paraId="6B3AAC32">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道路畅通。</w:t>
            </w:r>
          </w:p>
          <w:p w14:paraId="0B3FB0FC">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排水设施齐全畅通。</w:t>
            </w:r>
          </w:p>
          <w:p w14:paraId="6ACCC079">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3. </w:t>
            </w:r>
            <w:r>
              <w:rPr>
                <w:rFonts w:hint="eastAsia" w:ascii="方正仿宋_GBK" w:eastAsia="方正仿宋_GBK" w:cs="方正仿宋_GBK"/>
                <w:color w:val="000000" w:themeColor="text1"/>
                <w:highlight w:val="none"/>
                <w14:textFill>
                  <w14:solidFill>
                    <w14:schemeClr w14:val="tx1"/>
                  </w14:solidFill>
                </w14:textFill>
              </w:rPr>
              <w:t>工地地面硬化处理（办公区、生活区、现场道路、材料堆放、混凝土搅拌、砂浆搅拌、钢筋加工等场地和外脚手架基础等）。</w:t>
            </w:r>
          </w:p>
        </w:tc>
      </w:tr>
      <w:tr w14:paraId="26432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C4546A4">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5B1ADD29">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材料堆放</w:t>
            </w:r>
          </w:p>
        </w:tc>
        <w:tc>
          <w:tcPr>
            <w:tcW w:w="6645" w:type="dxa"/>
            <w:noWrap w:val="0"/>
            <w:vAlign w:val="center"/>
          </w:tcPr>
          <w:p w14:paraId="318D75F3">
            <w:pPr>
              <w:pStyle w:val="158"/>
              <w:numPr>
                <w:ilvl w:val="0"/>
                <w:numId w:val="3"/>
              </w:numPr>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材料、构件、料具等堆放时，应有名称、品种、规格等标牌。</w:t>
            </w:r>
          </w:p>
          <w:p w14:paraId="691E1CC6">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水泥和其它易飞扬细颗粒建筑材料应封闭存放或采取覆盖等措施。</w:t>
            </w:r>
          </w:p>
          <w:p w14:paraId="23C5688F">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3. </w:t>
            </w:r>
            <w:r>
              <w:rPr>
                <w:rFonts w:hint="eastAsia" w:ascii="方正仿宋_GBK" w:eastAsia="方正仿宋_GBK" w:cs="方正仿宋_GBK"/>
                <w:color w:val="000000" w:themeColor="text1"/>
                <w:highlight w:val="none"/>
                <w14:textFill>
                  <w14:solidFill>
                    <w14:schemeClr w14:val="tx1"/>
                  </w14:solidFill>
                </w14:textFill>
              </w:rPr>
              <w:t>易燃、易爆和有毒有害物品分类存放。</w:t>
            </w:r>
          </w:p>
        </w:tc>
      </w:tr>
      <w:tr w14:paraId="4A857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7D7BAA0">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57FC6330">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现场防火</w:t>
            </w:r>
          </w:p>
        </w:tc>
        <w:tc>
          <w:tcPr>
            <w:tcW w:w="6645" w:type="dxa"/>
            <w:noWrap w:val="0"/>
            <w:vAlign w:val="center"/>
          </w:tcPr>
          <w:p w14:paraId="5A295993">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消防器材配置合理，符合消防要求。</w:t>
            </w:r>
          </w:p>
        </w:tc>
      </w:tr>
      <w:tr w14:paraId="43820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B231AF">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5695BA91">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垃圾清运</w:t>
            </w:r>
          </w:p>
        </w:tc>
        <w:tc>
          <w:tcPr>
            <w:tcW w:w="6645" w:type="dxa"/>
            <w:noWrap w:val="0"/>
            <w:vAlign w:val="center"/>
          </w:tcPr>
          <w:p w14:paraId="27A14592">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施工现场应设置密闭式垃圾站，施工垃圾、生活垃圾应分类存放。</w:t>
            </w:r>
          </w:p>
          <w:p w14:paraId="3A57CDCD">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施工垃圾必须采用相应容器或管道运输。</w:t>
            </w:r>
          </w:p>
        </w:tc>
      </w:tr>
      <w:tr w14:paraId="05703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6A84FB">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64099F37">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宣传栏、环保及不扰民措施</w:t>
            </w:r>
          </w:p>
        </w:tc>
        <w:tc>
          <w:tcPr>
            <w:tcW w:w="6645" w:type="dxa"/>
            <w:noWrap w:val="0"/>
            <w:vAlign w:val="center"/>
          </w:tcPr>
          <w:p w14:paraId="2914D002">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宣传栏、安全宣传标语等，洗车（防止污染市区道路）、粉尘、噪声控制和排污（污水、废气）措施等。</w:t>
            </w:r>
          </w:p>
        </w:tc>
      </w:tr>
      <w:tr w14:paraId="29FC5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9C197F4">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临时设施</w:t>
            </w:r>
          </w:p>
        </w:tc>
        <w:tc>
          <w:tcPr>
            <w:tcW w:w="2070" w:type="dxa"/>
            <w:gridSpan w:val="2"/>
            <w:noWrap w:val="0"/>
            <w:vAlign w:val="center"/>
          </w:tcPr>
          <w:p w14:paraId="15C871CB">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现场办公</w:t>
            </w:r>
          </w:p>
          <w:p w14:paraId="1CB68F7B">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生活设施</w:t>
            </w:r>
          </w:p>
        </w:tc>
        <w:tc>
          <w:tcPr>
            <w:tcW w:w="6645" w:type="dxa"/>
            <w:noWrap w:val="0"/>
            <w:vAlign w:val="center"/>
          </w:tcPr>
          <w:p w14:paraId="193267FA">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施工现场办公、生活区与作业区分开设置，保持安全距离。</w:t>
            </w:r>
          </w:p>
          <w:p w14:paraId="6A3A2052">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工地办公室、现场宿舍、食堂、厕所、饮水、沐浴、休息场所等符合卫生、消防安全要求。</w:t>
            </w:r>
          </w:p>
        </w:tc>
      </w:tr>
      <w:tr w14:paraId="6FCE5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EC90E17">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restart"/>
            <w:noWrap w:val="0"/>
            <w:vAlign w:val="center"/>
          </w:tcPr>
          <w:p w14:paraId="65C8CDE3">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施工现场</w:t>
            </w:r>
          </w:p>
          <w:p w14:paraId="31F81017">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临时用电</w:t>
            </w:r>
          </w:p>
        </w:tc>
        <w:tc>
          <w:tcPr>
            <w:tcW w:w="1545" w:type="dxa"/>
            <w:noWrap w:val="0"/>
            <w:vAlign w:val="center"/>
          </w:tcPr>
          <w:p w14:paraId="40289B27">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配电线路</w:t>
            </w:r>
          </w:p>
        </w:tc>
        <w:tc>
          <w:tcPr>
            <w:tcW w:w="6645" w:type="dxa"/>
            <w:noWrap w:val="0"/>
            <w:vAlign w:val="center"/>
          </w:tcPr>
          <w:p w14:paraId="439225C3">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按照</w:t>
            </w:r>
            <w:r>
              <w:rPr>
                <w:rFonts w:ascii="方正仿宋_GBK" w:eastAsia="方正仿宋_GBK" w:cs="方正仿宋_GBK"/>
                <w:color w:val="000000" w:themeColor="text1"/>
                <w:highlight w:val="none"/>
                <w14:textFill>
                  <w14:solidFill>
                    <w14:schemeClr w14:val="tx1"/>
                  </w14:solidFill>
                </w14:textFill>
              </w:rPr>
              <w:t>TN-S</w:t>
            </w:r>
            <w:r>
              <w:rPr>
                <w:rFonts w:hint="eastAsia" w:ascii="方正仿宋_GBK" w:eastAsia="方正仿宋_GBK" w:cs="方正仿宋_GBK"/>
                <w:color w:val="000000" w:themeColor="text1"/>
                <w:highlight w:val="none"/>
                <w14:textFill>
                  <w14:solidFill>
                    <w14:schemeClr w14:val="tx1"/>
                  </w14:solidFill>
                </w14:textFill>
              </w:rPr>
              <w:t>系统要求配备五芯电缆、四芯电缆和三芯电缆。</w:t>
            </w:r>
          </w:p>
          <w:p w14:paraId="408C27D6">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按要求架设临时用电线路的电杆、横担、瓷夹、瓷瓶等，或电缆埋地的地沟。</w:t>
            </w:r>
          </w:p>
          <w:p w14:paraId="195A77FD">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3. </w:t>
            </w:r>
            <w:r>
              <w:rPr>
                <w:rFonts w:hint="eastAsia" w:ascii="方正仿宋_GBK" w:eastAsia="方正仿宋_GBK" w:cs="方正仿宋_GBK"/>
                <w:color w:val="000000" w:themeColor="text1"/>
                <w:highlight w:val="none"/>
                <w14:textFill>
                  <w14:solidFill>
                    <w14:schemeClr w14:val="tx1"/>
                  </w14:solidFill>
                </w14:textFill>
              </w:rPr>
              <w:t>对靠近施工现场的外电线路，设置木质、塑料等绝缘体的防护设施。</w:t>
            </w:r>
          </w:p>
        </w:tc>
      </w:tr>
      <w:tr w14:paraId="06B59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A3529C5">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66E9070E">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0954EBA9">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配电箱</w:t>
            </w:r>
          </w:p>
          <w:p w14:paraId="34294512">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开关箱</w:t>
            </w:r>
          </w:p>
        </w:tc>
        <w:tc>
          <w:tcPr>
            <w:tcW w:w="6645" w:type="dxa"/>
            <w:noWrap w:val="0"/>
            <w:vAlign w:val="center"/>
          </w:tcPr>
          <w:p w14:paraId="1B8CF7AF">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按三级配电要求，配备总配电箱、分配电箱、开关箱三类（铁质）标准电箱，开关箱应符合“一机、一箱、一闸、一漏”，三类电箱中的各类电器应是合格品。</w:t>
            </w:r>
          </w:p>
          <w:p w14:paraId="08523CE0">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按两级保护的要求，选取符合容量要求和质量合格的总配电箱和开关箱中的漏电保护器。</w:t>
            </w:r>
          </w:p>
          <w:p w14:paraId="3EDCA98A">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3. </w:t>
            </w:r>
            <w:r>
              <w:rPr>
                <w:rFonts w:hint="eastAsia" w:ascii="方正仿宋_GBK" w:eastAsia="方正仿宋_GBK" w:cs="方正仿宋_GBK"/>
                <w:color w:val="000000" w:themeColor="text1"/>
                <w:highlight w:val="none"/>
                <w14:textFill>
                  <w14:solidFill>
                    <w14:schemeClr w14:val="tx1"/>
                  </w14:solidFill>
                </w14:textFill>
              </w:rPr>
              <w:t>对大型、落地式分配电箱、开关箱设置防护棚和通透式围挡。</w:t>
            </w:r>
          </w:p>
        </w:tc>
      </w:tr>
      <w:tr w14:paraId="0C6EE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295E4DEC">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2EA5645C">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4D6AED3A">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接地装置</w:t>
            </w:r>
          </w:p>
        </w:tc>
        <w:tc>
          <w:tcPr>
            <w:tcW w:w="6645" w:type="dxa"/>
            <w:noWrap w:val="0"/>
            <w:vAlign w:val="center"/>
          </w:tcPr>
          <w:p w14:paraId="17D0F9D5">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施工现场应设置不少于三处的重复接地装置。</w:t>
            </w:r>
          </w:p>
        </w:tc>
      </w:tr>
      <w:tr w14:paraId="59BB1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076A2F15">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04E91BCB">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193E55CA">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现场变配电装置</w:t>
            </w:r>
          </w:p>
        </w:tc>
        <w:tc>
          <w:tcPr>
            <w:tcW w:w="6645" w:type="dxa"/>
            <w:noWrap w:val="0"/>
            <w:vAlign w:val="center"/>
          </w:tcPr>
          <w:p w14:paraId="5F1DF053">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总配电房建筑材料必须达到消防防火要求，室内做硬地坪、电缆沟。</w:t>
            </w:r>
          </w:p>
        </w:tc>
      </w:tr>
      <w:tr w14:paraId="71A4C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C6C275A">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类别</w:t>
            </w:r>
          </w:p>
        </w:tc>
        <w:tc>
          <w:tcPr>
            <w:tcW w:w="2070" w:type="dxa"/>
            <w:gridSpan w:val="2"/>
            <w:noWrap w:val="0"/>
            <w:vAlign w:val="center"/>
          </w:tcPr>
          <w:p w14:paraId="71DA3121">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项目名称</w:t>
            </w:r>
          </w:p>
        </w:tc>
        <w:tc>
          <w:tcPr>
            <w:tcW w:w="6645" w:type="dxa"/>
            <w:noWrap w:val="0"/>
            <w:vAlign w:val="center"/>
          </w:tcPr>
          <w:p w14:paraId="7D93ADAA">
            <w:pPr>
              <w:pStyle w:val="158"/>
              <w:spacing w:line="300" w:lineRule="exact"/>
              <w:jc w:val="center"/>
              <w:rPr>
                <w:rFonts w:ascii="方正仿宋_GBK" w:eastAsia="方正仿宋_GBK"/>
                <w:b/>
                <w:bCs/>
                <w:color w:val="000000" w:themeColor="text1"/>
                <w:highlight w:val="none"/>
                <w14:textFill>
                  <w14:solidFill>
                    <w14:schemeClr w14:val="tx1"/>
                  </w14:solidFill>
                </w14:textFill>
              </w:rPr>
            </w:pPr>
            <w:r>
              <w:rPr>
                <w:rFonts w:hint="eastAsia" w:ascii="方正仿宋_GBK" w:eastAsia="方正仿宋_GBK" w:cs="方正仿宋_GBK"/>
                <w:b/>
                <w:bCs/>
                <w:color w:val="000000" w:themeColor="text1"/>
                <w:highlight w:val="none"/>
                <w14:textFill>
                  <w14:solidFill>
                    <w14:schemeClr w14:val="tx1"/>
                  </w14:solidFill>
                </w14:textFill>
              </w:rPr>
              <w:t>主要内容和要求</w:t>
            </w:r>
          </w:p>
        </w:tc>
      </w:tr>
      <w:tr w14:paraId="05CE9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6E3ADC4">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安全施工</w:t>
            </w:r>
          </w:p>
        </w:tc>
        <w:tc>
          <w:tcPr>
            <w:tcW w:w="525" w:type="dxa"/>
            <w:vMerge w:val="restart"/>
            <w:noWrap w:val="0"/>
            <w:vAlign w:val="center"/>
          </w:tcPr>
          <w:p w14:paraId="16772DD7">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高处作业防护</w:t>
            </w:r>
          </w:p>
        </w:tc>
        <w:tc>
          <w:tcPr>
            <w:tcW w:w="1545" w:type="dxa"/>
            <w:noWrap w:val="0"/>
            <w:vAlign w:val="center"/>
          </w:tcPr>
          <w:p w14:paraId="6A9F3A5A">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楼层、屋面、阳台等临边</w:t>
            </w:r>
          </w:p>
        </w:tc>
        <w:tc>
          <w:tcPr>
            <w:tcW w:w="6645" w:type="dxa"/>
            <w:noWrap w:val="0"/>
            <w:vAlign w:val="center"/>
          </w:tcPr>
          <w:p w14:paraId="02C6596C">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设两道防护栏杆和</w:t>
            </w:r>
            <w:r>
              <w:rPr>
                <w:rFonts w:ascii="方正仿宋_GBK" w:eastAsia="方正仿宋_GBK" w:cs="方正仿宋_GBK"/>
                <w:color w:val="000000" w:themeColor="text1"/>
                <w:highlight w:val="none"/>
                <w14:textFill>
                  <w14:solidFill>
                    <w14:schemeClr w14:val="tx1"/>
                  </w14:solidFill>
                </w14:textFill>
              </w:rPr>
              <w:t>18cm</w:t>
            </w:r>
            <w:r>
              <w:rPr>
                <w:rFonts w:hint="eastAsia" w:ascii="方正仿宋_GBK" w:eastAsia="方正仿宋_GBK" w:cs="方正仿宋_GBK"/>
                <w:color w:val="000000" w:themeColor="text1"/>
                <w:highlight w:val="none"/>
                <w14:textFill>
                  <w14:solidFill>
                    <w14:schemeClr w14:val="tx1"/>
                  </w14:solidFill>
                </w14:textFill>
              </w:rPr>
              <w:t>高的踢脚板，用密目式安全立网全封闭。</w:t>
            </w:r>
          </w:p>
        </w:tc>
      </w:tr>
      <w:tr w14:paraId="21395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FBBA39A">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7D75D163">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58CEA9B9">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通道口</w:t>
            </w:r>
          </w:p>
        </w:tc>
        <w:tc>
          <w:tcPr>
            <w:tcW w:w="6645" w:type="dxa"/>
            <w:noWrap w:val="0"/>
            <w:vAlign w:val="center"/>
          </w:tcPr>
          <w:p w14:paraId="738DB780">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设防护棚，防护棚应为不小于</w:t>
            </w:r>
            <w:r>
              <w:rPr>
                <w:rFonts w:ascii="方正仿宋_GBK" w:eastAsia="方正仿宋_GBK" w:cs="方正仿宋_GBK"/>
                <w:color w:val="000000" w:themeColor="text1"/>
                <w:highlight w:val="none"/>
                <w14:textFill>
                  <w14:solidFill>
                    <w14:schemeClr w14:val="tx1"/>
                  </w14:solidFill>
                </w14:textFill>
              </w:rPr>
              <w:t>5cm</w:t>
            </w:r>
            <w:r>
              <w:rPr>
                <w:rFonts w:hint="eastAsia" w:ascii="方正仿宋_GBK" w:eastAsia="方正仿宋_GBK" w:cs="方正仿宋_GBK"/>
                <w:color w:val="000000" w:themeColor="text1"/>
                <w:highlight w:val="none"/>
                <w14:textFill>
                  <w14:solidFill>
                    <w14:schemeClr w14:val="tx1"/>
                  </w14:solidFill>
                </w14:textFill>
              </w:rPr>
              <w:t>厚的木板或两道相距</w:t>
            </w:r>
            <w:r>
              <w:rPr>
                <w:rFonts w:ascii="方正仿宋_GBK" w:eastAsia="方正仿宋_GBK" w:cs="方正仿宋_GBK"/>
                <w:color w:val="000000" w:themeColor="text1"/>
                <w:highlight w:val="none"/>
                <w14:textFill>
                  <w14:solidFill>
                    <w14:schemeClr w14:val="tx1"/>
                  </w14:solidFill>
                </w14:textFill>
              </w:rPr>
              <w:t>50cm</w:t>
            </w:r>
            <w:r>
              <w:rPr>
                <w:rFonts w:hint="eastAsia" w:ascii="方正仿宋_GBK" w:eastAsia="方正仿宋_GBK" w:cs="方正仿宋_GBK"/>
                <w:color w:val="000000" w:themeColor="text1"/>
                <w:highlight w:val="none"/>
                <w14:textFill>
                  <w14:solidFill>
                    <w14:schemeClr w14:val="tx1"/>
                  </w14:solidFill>
                </w14:textFill>
              </w:rPr>
              <w:t>的竹笆。两侧应沿栏杆架用密目式安全网封闭。</w:t>
            </w:r>
          </w:p>
        </w:tc>
      </w:tr>
      <w:tr w14:paraId="545EF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B690CE">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3DCC8959">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0650EE99">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预留洞口</w:t>
            </w:r>
          </w:p>
        </w:tc>
        <w:tc>
          <w:tcPr>
            <w:tcW w:w="6645" w:type="dxa"/>
            <w:noWrap w:val="0"/>
            <w:vAlign w:val="center"/>
          </w:tcPr>
          <w:p w14:paraId="09A31D7C">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用硬质材料全封闭，短边超过</w:t>
            </w:r>
            <w:r>
              <w:rPr>
                <w:rFonts w:ascii="方正仿宋_GBK" w:eastAsia="方正仿宋_GBK" w:cs="方正仿宋_GBK"/>
                <w:color w:val="000000" w:themeColor="text1"/>
                <w:highlight w:val="none"/>
                <w14:textFill>
                  <w14:solidFill>
                    <w14:schemeClr w14:val="tx1"/>
                  </w14:solidFill>
                </w14:textFill>
              </w:rPr>
              <w:t>1.5m</w:t>
            </w:r>
            <w:r>
              <w:rPr>
                <w:rFonts w:hint="eastAsia" w:ascii="方正仿宋_GBK" w:eastAsia="方正仿宋_GBK" w:cs="方正仿宋_GBK"/>
                <w:color w:val="000000" w:themeColor="text1"/>
                <w:highlight w:val="none"/>
                <w14:textFill>
                  <w14:solidFill>
                    <w14:schemeClr w14:val="tx1"/>
                  </w14:solidFill>
                </w14:textFill>
              </w:rPr>
              <w:t>长的洞口，除封闭外四周还应设有防护栏杆。</w:t>
            </w:r>
          </w:p>
        </w:tc>
      </w:tr>
      <w:tr w14:paraId="26A12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4456ED6F">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0317D3CF">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745175CD">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电梯井口</w:t>
            </w:r>
          </w:p>
        </w:tc>
        <w:tc>
          <w:tcPr>
            <w:tcW w:w="6645" w:type="dxa"/>
            <w:noWrap w:val="0"/>
            <w:vAlign w:val="center"/>
          </w:tcPr>
          <w:p w14:paraId="5231D332">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设置定型化、工具化的防护门，在电梯井内每隔</w:t>
            </w:r>
            <w:r>
              <w:rPr>
                <w:rFonts w:ascii="方正仿宋_GBK" w:eastAsia="方正仿宋_GBK" w:cs="方正仿宋_GBK"/>
                <w:color w:val="000000" w:themeColor="text1"/>
                <w:highlight w:val="none"/>
                <w14:textFill>
                  <w14:solidFill>
                    <w14:schemeClr w14:val="tx1"/>
                  </w14:solidFill>
                </w14:textFill>
              </w:rPr>
              <w:t>2</w:t>
            </w:r>
            <w:r>
              <w:rPr>
                <w:rFonts w:hint="eastAsia" w:ascii="方正仿宋_GBK" w:eastAsia="方正仿宋_GBK" w:cs="方正仿宋_GBK"/>
                <w:color w:val="000000" w:themeColor="text1"/>
                <w:highlight w:val="none"/>
                <w14:textFill>
                  <w14:solidFill>
                    <w14:schemeClr w14:val="tx1"/>
                  </w14:solidFill>
                </w14:textFill>
              </w:rPr>
              <w:t>层（不大于</w:t>
            </w:r>
            <w:r>
              <w:rPr>
                <w:rFonts w:ascii="方正仿宋_GBK" w:eastAsia="方正仿宋_GBK" w:cs="方正仿宋_GBK"/>
                <w:color w:val="000000" w:themeColor="text1"/>
                <w:highlight w:val="none"/>
                <w14:textFill>
                  <w14:solidFill>
                    <w14:schemeClr w14:val="tx1"/>
                  </w14:solidFill>
                </w14:textFill>
              </w:rPr>
              <w:t>10m</w:t>
            </w:r>
            <w:r>
              <w:rPr>
                <w:rFonts w:hint="eastAsia" w:ascii="方正仿宋_GBK" w:eastAsia="方正仿宋_GBK" w:cs="方正仿宋_GBK"/>
                <w:color w:val="000000" w:themeColor="text1"/>
                <w:highlight w:val="none"/>
                <w14:textFill>
                  <w14:solidFill>
                    <w14:schemeClr w14:val="tx1"/>
                  </w14:solidFill>
                </w14:textFill>
              </w:rPr>
              <w:t>）设置一道水平防护。</w:t>
            </w:r>
          </w:p>
        </w:tc>
      </w:tr>
      <w:tr w14:paraId="0BF57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BA4FEF2">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024B15DD">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29E0F9E9">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楼梯边</w:t>
            </w:r>
          </w:p>
        </w:tc>
        <w:tc>
          <w:tcPr>
            <w:tcW w:w="6645" w:type="dxa"/>
            <w:noWrap w:val="0"/>
            <w:vAlign w:val="center"/>
          </w:tcPr>
          <w:p w14:paraId="1FEA1850">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w:t>
            </w:r>
            <w:r>
              <w:rPr>
                <w:rFonts w:ascii="方正仿宋_GBK" w:eastAsia="方正仿宋_GBK" w:cs="方正仿宋_GBK"/>
                <w:color w:val="000000" w:themeColor="text1"/>
                <w:highlight w:val="none"/>
                <w14:textFill>
                  <w14:solidFill>
                    <w14:schemeClr w14:val="tx1"/>
                  </w14:solidFill>
                </w14:textFill>
              </w:rPr>
              <w:t>1.2m</w:t>
            </w:r>
            <w:r>
              <w:rPr>
                <w:rFonts w:hint="eastAsia" w:ascii="方正仿宋_GBK" w:eastAsia="方正仿宋_GBK" w:cs="方正仿宋_GBK"/>
                <w:color w:val="000000" w:themeColor="text1"/>
                <w:highlight w:val="none"/>
                <w14:textFill>
                  <w14:solidFill>
                    <w14:schemeClr w14:val="tx1"/>
                  </w14:solidFill>
                </w14:textFill>
              </w:rPr>
              <w:t>高的定型化、工具化的防护栏，</w:t>
            </w:r>
            <w:r>
              <w:rPr>
                <w:rFonts w:ascii="方正仿宋_GBK" w:eastAsia="方正仿宋_GBK" w:cs="方正仿宋_GBK"/>
                <w:color w:val="000000" w:themeColor="text1"/>
                <w:highlight w:val="none"/>
                <w14:textFill>
                  <w14:solidFill>
                    <w14:schemeClr w14:val="tx1"/>
                  </w14:solidFill>
                </w14:textFill>
              </w:rPr>
              <w:t>18cm</w:t>
            </w:r>
            <w:r>
              <w:rPr>
                <w:rFonts w:hint="eastAsia" w:ascii="方正仿宋_GBK" w:eastAsia="方正仿宋_GBK" w:cs="方正仿宋_GBK"/>
                <w:color w:val="000000" w:themeColor="text1"/>
                <w:highlight w:val="none"/>
                <w14:textFill>
                  <w14:solidFill>
                    <w14:schemeClr w14:val="tx1"/>
                  </w14:solidFill>
                </w14:textFill>
              </w:rPr>
              <w:t>高的踢脚板。</w:t>
            </w:r>
          </w:p>
        </w:tc>
      </w:tr>
      <w:tr w14:paraId="7606A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D936B80">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519CFCD5">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054F6B0E">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垂直方向交叉作业</w:t>
            </w:r>
          </w:p>
        </w:tc>
        <w:tc>
          <w:tcPr>
            <w:tcW w:w="6645" w:type="dxa"/>
            <w:noWrap w:val="0"/>
            <w:vAlign w:val="center"/>
          </w:tcPr>
          <w:p w14:paraId="1B750F0E">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设置防护隔离棚或其它设施。</w:t>
            </w:r>
          </w:p>
        </w:tc>
      </w:tr>
      <w:tr w14:paraId="1ED03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9F90B5C">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6576A928">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5B5D775D">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高处作业</w:t>
            </w:r>
          </w:p>
        </w:tc>
        <w:tc>
          <w:tcPr>
            <w:tcW w:w="6645" w:type="dxa"/>
            <w:noWrap w:val="0"/>
            <w:vAlign w:val="center"/>
          </w:tcPr>
          <w:p w14:paraId="43E4FAFA">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有悬挂安全带的悬索或其它设施，有操作平台，有上下的梯子或其它形式的通道。</w:t>
            </w:r>
          </w:p>
        </w:tc>
      </w:tr>
      <w:tr w14:paraId="28ECE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D5026FE">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2EF81782">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3914DB2D">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基坑、物料平台</w:t>
            </w:r>
          </w:p>
        </w:tc>
        <w:tc>
          <w:tcPr>
            <w:tcW w:w="6645" w:type="dxa"/>
            <w:noWrap w:val="0"/>
            <w:vAlign w:val="center"/>
          </w:tcPr>
          <w:p w14:paraId="749801FB">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w:t>
            </w:r>
            <w:r>
              <w:rPr>
                <w:rFonts w:ascii="方正仿宋_GBK" w:eastAsia="方正仿宋_GBK" w:cs="方正仿宋_GBK"/>
                <w:color w:val="000000" w:themeColor="text1"/>
                <w:highlight w:val="none"/>
                <w14:textFill>
                  <w14:solidFill>
                    <w14:schemeClr w14:val="tx1"/>
                  </w14:solidFill>
                </w14:textFill>
              </w:rPr>
              <w:t>1.2m</w:t>
            </w:r>
            <w:r>
              <w:rPr>
                <w:rFonts w:hint="eastAsia" w:ascii="方正仿宋_GBK" w:eastAsia="方正仿宋_GBK" w:cs="方正仿宋_GBK"/>
                <w:color w:val="000000" w:themeColor="text1"/>
                <w:highlight w:val="none"/>
                <w14:textFill>
                  <w14:solidFill>
                    <w14:schemeClr w14:val="tx1"/>
                  </w14:solidFill>
                </w14:textFill>
              </w:rPr>
              <w:t>高标准化的防护栏，用密目式安全立网封闭，悬挂标识。</w:t>
            </w:r>
          </w:p>
        </w:tc>
      </w:tr>
      <w:tr w14:paraId="4B079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32ABF7A">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60C87051">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安全防护用品</w:t>
            </w:r>
          </w:p>
        </w:tc>
        <w:tc>
          <w:tcPr>
            <w:tcW w:w="6645" w:type="dxa"/>
            <w:noWrap w:val="0"/>
            <w:vAlign w:val="center"/>
          </w:tcPr>
          <w:p w14:paraId="34A2F213">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安全帽、安全带、特种作业人员（电工、焊工、架子工等）防护服装、用品等。</w:t>
            </w:r>
          </w:p>
        </w:tc>
      </w:tr>
      <w:tr w14:paraId="4123B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0B7C2C73">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其它</w:t>
            </w:r>
          </w:p>
        </w:tc>
        <w:tc>
          <w:tcPr>
            <w:tcW w:w="525" w:type="dxa"/>
            <w:vMerge w:val="restart"/>
            <w:noWrap w:val="0"/>
            <w:vAlign w:val="center"/>
          </w:tcPr>
          <w:p w14:paraId="533A5521">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机械设备防护</w:t>
            </w:r>
          </w:p>
        </w:tc>
        <w:tc>
          <w:tcPr>
            <w:tcW w:w="1545" w:type="dxa"/>
            <w:noWrap w:val="0"/>
            <w:vAlign w:val="center"/>
          </w:tcPr>
          <w:p w14:paraId="344F9519">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中小型机械</w:t>
            </w:r>
          </w:p>
        </w:tc>
        <w:tc>
          <w:tcPr>
            <w:tcW w:w="6645" w:type="dxa"/>
            <w:noWrap w:val="0"/>
            <w:vAlign w:val="center"/>
          </w:tcPr>
          <w:p w14:paraId="349DBCAF">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设防护棚（同通道口防护并有防雨措施）。</w:t>
            </w:r>
          </w:p>
        </w:tc>
      </w:tr>
      <w:tr w14:paraId="4F52D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B5F785">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525" w:type="dxa"/>
            <w:vMerge w:val="continue"/>
            <w:noWrap w:val="0"/>
            <w:vAlign w:val="center"/>
          </w:tcPr>
          <w:p w14:paraId="4F053069">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1545" w:type="dxa"/>
            <w:noWrap w:val="0"/>
            <w:vAlign w:val="center"/>
          </w:tcPr>
          <w:p w14:paraId="7A7824F2">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垂直运输设备</w:t>
            </w:r>
          </w:p>
        </w:tc>
        <w:tc>
          <w:tcPr>
            <w:tcW w:w="6645" w:type="dxa"/>
            <w:noWrap w:val="0"/>
            <w:vAlign w:val="center"/>
          </w:tcPr>
          <w:p w14:paraId="749C0ED6">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1. </w:t>
            </w:r>
            <w:r>
              <w:rPr>
                <w:rFonts w:hint="eastAsia" w:ascii="方正仿宋_GBK" w:eastAsia="方正仿宋_GBK" w:cs="方正仿宋_GBK"/>
                <w:color w:val="000000" w:themeColor="text1"/>
                <w:highlight w:val="none"/>
                <w14:textFill>
                  <w14:solidFill>
                    <w14:schemeClr w14:val="tx1"/>
                  </w14:solidFill>
                </w14:textFill>
              </w:rPr>
              <w:t>垂直运输设备检测、检验、日常维护、保养等。</w:t>
            </w:r>
          </w:p>
          <w:p w14:paraId="48DBE71F">
            <w:pPr>
              <w:pStyle w:val="158"/>
              <w:spacing w:line="300" w:lineRule="exact"/>
              <w:rPr>
                <w:rFonts w:ascii="方正仿宋_GBK" w:eastAsia="方正仿宋_GBK"/>
                <w:color w:val="000000" w:themeColor="text1"/>
                <w:highlight w:val="none"/>
                <w14:textFill>
                  <w14:solidFill>
                    <w14:schemeClr w14:val="tx1"/>
                  </w14:solidFill>
                </w14:textFill>
              </w:rPr>
            </w:pPr>
            <w:r>
              <w:rPr>
                <w:rFonts w:ascii="方正仿宋_GBK" w:eastAsia="方正仿宋_GBK" w:cs="方正仿宋_GBK"/>
                <w:color w:val="000000" w:themeColor="text1"/>
                <w:highlight w:val="none"/>
                <w14:textFill>
                  <w14:solidFill>
                    <w14:schemeClr w14:val="tx1"/>
                  </w14:solidFill>
                </w14:textFill>
              </w:rPr>
              <w:t xml:space="preserve">2. </w:t>
            </w:r>
            <w:r>
              <w:rPr>
                <w:rFonts w:hint="eastAsia" w:ascii="方正仿宋_GBK" w:eastAsia="方正仿宋_GBK" w:cs="方正仿宋_GBK"/>
                <w:color w:val="000000" w:themeColor="text1"/>
                <w:highlight w:val="none"/>
                <w14:textFill>
                  <w14:solidFill>
                    <w14:schemeClr w14:val="tx1"/>
                  </w14:solidFill>
                </w14:textFill>
              </w:rPr>
              <w:t>物料提升机、施工电梯等物料平台搭设、外侧用密目式安全立网全封闭，有安全通道、安全防护门、防护棚等。</w:t>
            </w:r>
          </w:p>
        </w:tc>
      </w:tr>
      <w:tr w14:paraId="1EF84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D33B506">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494ED1C6">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专家论证审查</w:t>
            </w:r>
          </w:p>
        </w:tc>
        <w:tc>
          <w:tcPr>
            <w:tcW w:w="6645" w:type="dxa"/>
            <w:noWrap w:val="0"/>
            <w:vAlign w:val="center"/>
          </w:tcPr>
          <w:p w14:paraId="212A2105">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超过一定规模的危险性较大分部分项工程专家论证审查。</w:t>
            </w:r>
          </w:p>
        </w:tc>
      </w:tr>
      <w:tr w14:paraId="1E059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07F9CA45">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noWrap w:val="0"/>
            <w:vAlign w:val="center"/>
          </w:tcPr>
          <w:p w14:paraId="4593C2E0">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应急救援预案</w:t>
            </w:r>
          </w:p>
        </w:tc>
        <w:tc>
          <w:tcPr>
            <w:tcW w:w="6645" w:type="dxa"/>
            <w:noWrap w:val="0"/>
            <w:vAlign w:val="center"/>
          </w:tcPr>
          <w:p w14:paraId="6D41E07D">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救援器材准备及演练等。</w:t>
            </w:r>
          </w:p>
        </w:tc>
      </w:tr>
      <w:tr w14:paraId="60F8A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551BF3EA">
            <w:pPr>
              <w:pStyle w:val="158"/>
              <w:spacing w:line="300" w:lineRule="exact"/>
              <w:jc w:val="center"/>
              <w:rPr>
                <w:rFonts w:ascii="方正仿宋_GBK" w:eastAsia="方正仿宋_GBK"/>
                <w:color w:val="000000" w:themeColor="text1"/>
                <w:highlight w:val="none"/>
                <w14:textFill>
                  <w14:solidFill>
                    <w14:schemeClr w14:val="tx1"/>
                  </w14:solidFill>
                </w14:textFill>
              </w:rPr>
            </w:pPr>
          </w:p>
        </w:tc>
        <w:tc>
          <w:tcPr>
            <w:tcW w:w="2070" w:type="dxa"/>
            <w:gridSpan w:val="2"/>
            <w:tcBorders>
              <w:bottom w:val="single" w:color="auto" w:sz="12" w:space="0"/>
            </w:tcBorders>
            <w:noWrap w:val="0"/>
            <w:vAlign w:val="center"/>
          </w:tcPr>
          <w:p w14:paraId="1E809711">
            <w:pPr>
              <w:pStyle w:val="158"/>
              <w:spacing w:line="300" w:lineRule="exact"/>
              <w:jc w:val="center"/>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非正常情况施工</w:t>
            </w:r>
          </w:p>
        </w:tc>
        <w:tc>
          <w:tcPr>
            <w:tcW w:w="6645" w:type="dxa"/>
            <w:tcBorders>
              <w:bottom w:val="single" w:color="auto" w:sz="12" w:space="0"/>
            </w:tcBorders>
            <w:noWrap w:val="0"/>
            <w:vAlign w:val="center"/>
          </w:tcPr>
          <w:p w14:paraId="23E85E6A">
            <w:pPr>
              <w:pStyle w:val="158"/>
              <w:spacing w:line="300" w:lineRule="exact"/>
              <w:rPr>
                <w:rFonts w:ascii="方正仿宋_GBK" w:eastAsia="方正仿宋_GBK"/>
                <w:color w:val="000000" w:themeColor="text1"/>
                <w:highlight w:val="none"/>
                <w14:textFill>
                  <w14:solidFill>
                    <w14:schemeClr w14:val="tx1"/>
                  </w14:solidFill>
                </w14:textFill>
              </w:rPr>
            </w:pPr>
            <w:r>
              <w:rPr>
                <w:rFonts w:hint="eastAsia" w:ascii="方正仿宋_GBK" w:eastAsia="方正仿宋_GBK" w:cs="方正仿宋_GBK"/>
                <w:color w:val="000000" w:themeColor="text1"/>
                <w:highlight w:val="none"/>
                <w14:textFill>
                  <w14:solidFill>
                    <w14:schemeClr w14:val="tx1"/>
                  </w14:solidFill>
                </w14:textFill>
              </w:rPr>
              <w:t>其它特殊情况下的防护费用，如：城市主干道、人流密集、河边等处施工及文物、古建筑、古树保护等。</w:t>
            </w:r>
          </w:p>
        </w:tc>
      </w:tr>
    </w:tbl>
    <w:p w14:paraId="7D79574E">
      <w:pPr>
        <w:pStyle w:val="158"/>
        <w:spacing w:line="240" w:lineRule="atLeast"/>
        <w:ind w:firstLine="546"/>
        <w:jc w:val="center"/>
        <w:rPr>
          <w:rFonts w:hint="eastAsia"/>
          <w:b/>
          <w:bCs/>
          <w:color w:val="000000" w:themeColor="text1"/>
          <w:w w:val="90"/>
          <w:sz w:val="24"/>
          <w:szCs w:val="24"/>
          <w:highlight w:val="none"/>
          <w14:textFill>
            <w14:solidFill>
              <w14:schemeClr w14:val="tx1"/>
            </w14:solidFill>
          </w14:textFill>
        </w:rPr>
      </w:pPr>
    </w:p>
    <w:p w14:paraId="3896023B">
      <w:pPr>
        <w:spacing w:before="120" w:beforeLines="50"/>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注：本表所列建筑工程安全文明施工费，是依据现行法律法规及标准规范确定的。如法律法规和标准规范修订，本表所列项目应按照修订后的法律法规和标准规范进行调整。</w:t>
      </w:r>
    </w:p>
    <w:p w14:paraId="3B381905">
      <w:pP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14:paraId="119C290C">
      <w:pPr>
        <w:snapToGrid w:val="0"/>
        <w:spacing w:beforeLines="50" w:after="50"/>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代理服务费承诺书</w:t>
      </w:r>
    </w:p>
    <w:p w14:paraId="62AE88A6">
      <w:pPr>
        <w:snapToGrid w:val="0"/>
        <w:spacing w:beforeLines="50" w:after="50"/>
        <w:jc w:val="center"/>
        <w:rPr>
          <w:rFonts w:ascii="宋体" w:hAnsi="宋体"/>
          <w:b/>
          <w:color w:val="000000" w:themeColor="text1"/>
          <w:sz w:val="24"/>
          <w:highlight w:val="none"/>
          <w14:textFill>
            <w14:solidFill>
              <w14:schemeClr w14:val="tx1"/>
            </w14:solidFill>
          </w14:textFill>
        </w:rPr>
      </w:pPr>
    </w:p>
    <w:p w14:paraId="37383E53">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采购代理机构名称</w:t>
      </w:r>
    </w:p>
    <w:p w14:paraId="7226E26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3338FA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7740992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25782B8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440B92ED">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113991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65CB34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6C6B7CC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0506034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742F3FD7">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5C72D9A3">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2C8DFEC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20CA2BF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8FD4309">
      <w:pPr>
        <w:spacing w:line="440" w:lineRule="exact"/>
        <w:rPr>
          <w:rFonts w:ascii="宋体" w:hAnsi="宋体"/>
          <w:color w:val="000000" w:themeColor="text1"/>
          <w:sz w:val="24"/>
          <w:highlight w:val="none"/>
          <w14:textFill>
            <w14:solidFill>
              <w14:schemeClr w14:val="tx1"/>
            </w14:solidFill>
          </w14:textFill>
        </w:rPr>
      </w:pPr>
    </w:p>
    <w:p w14:paraId="0315B8B6">
      <w:pPr>
        <w:spacing w:line="440" w:lineRule="exact"/>
        <w:rPr>
          <w:rFonts w:ascii="宋体" w:hAnsi="宋体"/>
          <w:color w:val="000000" w:themeColor="text1"/>
          <w:sz w:val="24"/>
          <w:highlight w:val="none"/>
          <w14:textFill>
            <w14:solidFill>
              <w14:schemeClr w14:val="tx1"/>
            </w14:solidFill>
          </w14:textFill>
        </w:rPr>
      </w:pPr>
    </w:p>
    <w:p w14:paraId="2647A4C0">
      <w:pPr>
        <w:spacing w:line="440" w:lineRule="exact"/>
        <w:rPr>
          <w:rFonts w:ascii="宋体" w:hAnsi="宋体"/>
          <w:color w:val="000000" w:themeColor="text1"/>
          <w:sz w:val="24"/>
          <w:highlight w:val="none"/>
          <w14:textFill>
            <w14:solidFill>
              <w14:schemeClr w14:val="tx1"/>
            </w14:solidFill>
          </w14:textFill>
        </w:rPr>
      </w:pPr>
    </w:p>
    <w:p w14:paraId="39F3BEBE">
      <w:pPr>
        <w:snapToGrid w:val="0"/>
        <w:spacing w:line="360" w:lineRule="auto"/>
        <w:ind w:left="-2" w:leftChars="-1" w:right="-817" w:rightChars="-389" w:firstLine="1920" w:firstLineChars="8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7030FDD2">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3764E108">
      <w:pPr>
        <w:spacing w:line="360" w:lineRule="auto"/>
        <w:ind w:firstLine="480" w:firstLineChars="200"/>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施工组织设计</w:t>
      </w:r>
    </w:p>
    <w:p w14:paraId="7BE402B0">
      <w:pPr>
        <w:spacing w:line="360" w:lineRule="auto"/>
        <w:ind w:firstLine="420" w:firstLineChars="200"/>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施工组织</w:t>
      </w:r>
      <w:r>
        <w:rPr>
          <w:rFonts w:hint="eastAsia"/>
          <w:color w:val="000000" w:themeColor="text1"/>
          <w:highlight w:val="none"/>
          <w14:textFill>
            <w14:solidFill>
              <w14:schemeClr w14:val="tx1"/>
            </w14:solidFill>
          </w14:textFill>
        </w:rPr>
        <w:t>设计</w:t>
      </w:r>
      <w:r>
        <w:rPr>
          <w:rFonts w:hint="eastAsia" w:ascii="宋体" w:hAnsi="宋体"/>
          <w:color w:val="000000" w:themeColor="text1"/>
          <w:highlight w:val="none"/>
          <w14:textFill>
            <w14:solidFill>
              <w14:schemeClr w14:val="tx1"/>
            </w14:solidFill>
          </w14:textFill>
        </w:rPr>
        <w:t>应</w:t>
      </w:r>
      <w:r>
        <w:rPr>
          <w:rFonts w:hint="eastAsia"/>
          <w:color w:val="000000" w:themeColor="text1"/>
          <w:highlight w:val="none"/>
          <w14:textFill>
            <w14:solidFill>
              <w14:schemeClr w14:val="tx1"/>
            </w14:solidFill>
          </w14:textFill>
        </w:rPr>
        <w:t>以下内容顺序编制，可</w:t>
      </w:r>
      <w:r>
        <w:rPr>
          <w:rFonts w:hint="eastAsia" w:ascii="宋体" w:hAnsi="宋体"/>
          <w:color w:val="000000" w:themeColor="text1"/>
          <w:highlight w:val="none"/>
          <w14:textFill>
            <w14:solidFill>
              <w14:schemeClr w14:val="tx1"/>
            </w14:solidFill>
          </w14:textFill>
        </w:rPr>
        <w:t>采用文字并结合图表形式说明施工方法，</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设计具体</w:t>
      </w:r>
      <w:r>
        <w:rPr>
          <w:color w:val="000000" w:themeColor="text1"/>
          <w:highlight w:val="none"/>
          <w14:textFill>
            <w14:solidFill>
              <w14:schemeClr w14:val="tx1"/>
            </w14:solidFill>
          </w14:textFill>
        </w:rPr>
        <w:t>内容</w:t>
      </w:r>
      <w:r>
        <w:rPr>
          <w:rFonts w:hint="eastAsia" w:cs="宋体"/>
          <w:color w:val="000000" w:themeColor="text1"/>
          <w:highlight w:val="none"/>
          <w14:textFill>
            <w14:solidFill>
              <w14:schemeClr w14:val="tx1"/>
            </w14:solidFill>
          </w14:textFill>
        </w:rPr>
        <w:t>如下：</w:t>
      </w:r>
    </w:p>
    <w:p w14:paraId="5991BF6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（1）概述</w:t>
      </w:r>
    </w:p>
    <w:p w14:paraId="50EC001A">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（2）主要施工方法；</w:t>
      </w:r>
    </w:p>
    <w:p w14:paraId="5E7B98E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（3）拟投入的主要物资计划</w:t>
      </w:r>
    </w:p>
    <w:p w14:paraId="6F4C0B8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）拟投入的主要施工机械、设备计划</w:t>
      </w:r>
    </w:p>
    <w:p w14:paraId="3CD958E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劳动力安排计划</w:t>
      </w:r>
    </w:p>
    <w:p w14:paraId="42BFF1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确保工程质量的技术组织措施</w:t>
      </w:r>
    </w:p>
    <w:p w14:paraId="119F3A8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确保安全生产的技术组织措施</w:t>
      </w:r>
    </w:p>
    <w:p w14:paraId="441051C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确保工期的技术组织措施</w:t>
      </w:r>
    </w:p>
    <w:p w14:paraId="7FFF591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确保文明施工的技术组织措施</w:t>
      </w:r>
    </w:p>
    <w:p w14:paraId="41A1FE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）工程施工的重点和难点及保证措施</w:t>
      </w:r>
    </w:p>
    <w:p w14:paraId="21D443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如有）</w:t>
      </w:r>
      <w:r>
        <w:rPr>
          <w:rFonts w:hint="eastAsia"/>
          <w:color w:val="000000" w:themeColor="text1"/>
          <w:highlight w:val="none"/>
          <w14:textFill>
            <w14:solidFill>
              <w14:schemeClr w14:val="tx1"/>
            </w14:solidFill>
          </w14:textFill>
        </w:rPr>
        <w:t>（与第四章“评审程序、评审方法和评审标准”中的评审</w:t>
      </w:r>
      <w:r>
        <w:rPr>
          <w:color w:val="000000" w:themeColor="text1"/>
          <w:highlight w:val="none"/>
          <w14:textFill>
            <w14:solidFill>
              <w14:schemeClr w14:val="tx1"/>
            </w14:solidFill>
          </w14:textFill>
        </w:rPr>
        <w:t>标准一致</w:t>
      </w:r>
      <w:r>
        <w:rPr>
          <w:rFonts w:hint="eastAsia"/>
          <w:color w:val="000000" w:themeColor="text1"/>
          <w:highlight w:val="none"/>
          <w14:textFill>
            <w14:solidFill>
              <w14:schemeClr w14:val="tx1"/>
            </w14:solidFill>
          </w14:textFill>
        </w:rPr>
        <w:t>）</w:t>
      </w:r>
    </w:p>
    <w:p w14:paraId="558CF3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技术标</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设计除采用文字表述外可附下列图表，图表及格式要求附后。</w:t>
      </w:r>
    </w:p>
    <w:p w14:paraId="4783E23A">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附表一</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劳动力计划表</w:t>
      </w:r>
    </w:p>
    <w:p w14:paraId="1D926B9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附表二</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计划开、竣工日期和施工进度计划（网络图或横道图）</w:t>
      </w:r>
    </w:p>
    <w:p w14:paraId="58757FC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施工总平面图</w:t>
      </w:r>
    </w:p>
    <w:p w14:paraId="667EDEA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附表四</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临时用地表</w:t>
      </w:r>
    </w:p>
    <w:p w14:paraId="5978138E">
      <w:pPr>
        <w:spacing w:line="360" w:lineRule="auto"/>
        <w:ind w:firstLine="420" w:firstLineChars="200"/>
        <w:rPr>
          <w:color w:val="000000" w:themeColor="text1"/>
          <w:highlight w:val="none"/>
          <w14:textFill>
            <w14:solidFill>
              <w14:schemeClr w14:val="tx1"/>
            </w14:solidFill>
          </w14:textFill>
        </w:rPr>
      </w:pPr>
    </w:p>
    <w:p w14:paraId="5DA91DD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附表一：劳动力计划表</w:t>
      </w:r>
    </w:p>
    <w:p w14:paraId="0E1E1F70">
      <w:pPr>
        <w:ind w:firstLine="7245" w:firstLineChars="345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单位：人</w:t>
      </w:r>
    </w:p>
    <w:tbl>
      <w:tblPr>
        <w:tblStyle w:val="4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53F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28BF0B">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工种</w:t>
            </w:r>
          </w:p>
        </w:tc>
        <w:tc>
          <w:tcPr>
            <w:tcW w:w="7248" w:type="dxa"/>
            <w:gridSpan w:val="6"/>
            <w:vAlign w:val="center"/>
          </w:tcPr>
          <w:p w14:paraId="0C8D10DC">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按工程施工阶段投入劳动力情况</w:t>
            </w:r>
          </w:p>
        </w:tc>
      </w:tr>
      <w:tr w14:paraId="18D4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2B35D48">
            <w:pPr>
              <w:spacing w:line="360" w:lineRule="auto"/>
              <w:jc w:val="center"/>
              <w:rPr>
                <w:color w:val="000000" w:themeColor="text1"/>
                <w:highlight w:val="none"/>
                <w14:textFill>
                  <w14:solidFill>
                    <w14:schemeClr w14:val="tx1"/>
                  </w14:solidFill>
                </w14:textFill>
              </w:rPr>
            </w:pPr>
          </w:p>
        </w:tc>
        <w:tc>
          <w:tcPr>
            <w:tcW w:w="961" w:type="dxa"/>
            <w:vAlign w:val="center"/>
          </w:tcPr>
          <w:p w14:paraId="2189B5F5">
            <w:pPr>
              <w:spacing w:line="360" w:lineRule="auto"/>
              <w:jc w:val="center"/>
              <w:rPr>
                <w:color w:val="000000" w:themeColor="text1"/>
                <w:highlight w:val="none"/>
                <w14:textFill>
                  <w14:solidFill>
                    <w14:schemeClr w14:val="tx1"/>
                  </w14:solidFill>
                </w14:textFill>
              </w:rPr>
            </w:pPr>
          </w:p>
        </w:tc>
        <w:tc>
          <w:tcPr>
            <w:tcW w:w="1257" w:type="dxa"/>
            <w:vAlign w:val="center"/>
          </w:tcPr>
          <w:p w14:paraId="5B35650F">
            <w:pPr>
              <w:spacing w:line="360" w:lineRule="auto"/>
              <w:jc w:val="center"/>
              <w:rPr>
                <w:color w:val="000000" w:themeColor="text1"/>
                <w:highlight w:val="none"/>
                <w14:textFill>
                  <w14:solidFill>
                    <w14:schemeClr w14:val="tx1"/>
                  </w14:solidFill>
                </w14:textFill>
              </w:rPr>
            </w:pPr>
          </w:p>
        </w:tc>
        <w:tc>
          <w:tcPr>
            <w:tcW w:w="1257" w:type="dxa"/>
            <w:vAlign w:val="center"/>
          </w:tcPr>
          <w:p w14:paraId="14488CEF">
            <w:pPr>
              <w:spacing w:line="360" w:lineRule="auto"/>
              <w:jc w:val="center"/>
              <w:rPr>
                <w:color w:val="000000" w:themeColor="text1"/>
                <w:highlight w:val="none"/>
                <w14:textFill>
                  <w14:solidFill>
                    <w14:schemeClr w14:val="tx1"/>
                  </w14:solidFill>
                </w14:textFill>
              </w:rPr>
            </w:pPr>
          </w:p>
        </w:tc>
        <w:tc>
          <w:tcPr>
            <w:tcW w:w="1258" w:type="dxa"/>
            <w:vAlign w:val="center"/>
          </w:tcPr>
          <w:p w14:paraId="27672FEB">
            <w:pPr>
              <w:spacing w:line="360" w:lineRule="auto"/>
              <w:jc w:val="center"/>
              <w:rPr>
                <w:color w:val="000000" w:themeColor="text1"/>
                <w:highlight w:val="none"/>
                <w14:textFill>
                  <w14:solidFill>
                    <w14:schemeClr w14:val="tx1"/>
                  </w14:solidFill>
                </w14:textFill>
              </w:rPr>
            </w:pPr>
          </w:p>
        </w:tc>
        <w:tc>
          <w:tcPr>
            <w:tcW w:w="1257" w:type="dxa"/>
            <w:vAlign w:val="center"/>
          </w:tcPr>
          <w:p w14:paraId="27D3B689">
            <w:pPr>
              <w:spacing w:line="360" w:lineRule="auto"/>
              <w:jc w:val="center"/>
              <w:rPr>
                <w:color w:val="000000" w:themeColor="text1"/>
                <w:highlight w:val="none"/>
                <w14:textFill>
                  <w14:solidFill>
                    <w14:schemeClr w14:val="tx1"/>
                  </w14:solidFill>
                </w14:textFill>
              </w:rPr>
            </w:pPr>
          </w:p>
        </w:tc>
        <w:tc>
          <w:tcPr>
            <w:tcW w:w="1258" w:type="dxa"/>
            <w:vAlign w:val="center"/>
          </w:tcPr>
          <w:p w14:paraId="2257CDA4">
            <w:pPr>
              <w:spacing w:line="360" w:lineRule="auto"/>
              <w:jc w:val="center"/>
              <w:rPr>
                <w:color w:val="000000" w:themeColor="text1"/>
                <w:highlight w:val="none"/>
                <w14:textFill>
                  <w14:solidFill>
                    <w14:schemeClr w14:val="tx1"/>
                  </w14:solidFill>
                </w14:textFill>
              </w:rPr>
            </w:pPr>
          </w:p>
        </w:tc>
      </w:tr>
      <w:tr w14:paraId="409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E503C36">
            <w:pPr>
              <w:spacing w:line="360" w:lineRule="auto"/>
              <w:jc w:val="center"/>
              <w:rPr>
                <w:color w:val="000000" w:themeColor="text1"/>
                <w:highlight w:val="none"/>
                <w14:textFill>
                  <w14:solidFill>
                    <w14:schemeClr w14:val="tx1"/>
                  </w14:solidFill>
                </w14:textFill>
              </w:rPr>
            </w:pPr>
          </w:p>
        </w:tc>
        <w:tc>
          <w:tcPr>
            <w:tcW w:w="961" w:type="dxa"/>
            <w:vAlign w:val="center"/>
          </w:tcPr>
          <w:p w14:paraId="35FAAE5E">
            <w:pPr>
              <w:spacing w:line="360" w:lineRule="auto"/>
              <w:jc w:val="center"/>
              <w:rPr>
                <w:color w:val="000000" w:themeColor="text1"/>
                <w:highlight w:val="none"/>
                <w14:textFill>
                  <w14:solidFill>
                    <w14:schemeClr w14:val="tx1"/>
                  </w14:solidFill>
                </w14:textFill>
              </w:rPr>
            </w:pPr>
          </w:p>
        </w:tc>
        <w:tc>
          <w:tcPr>
            <w:tcW w:w="1257" w:type="dxa"/>
            <w:vAlign w:val="center"/>
          </w:tcPr>
          <w:p w14:paraId="023F1585">
            <w:pPr>
              <w:spacing w:line="360" w:lineRule="auto"/>
              <w:jc w:val="center"/>
              <w:rPr>
                <w:color w:val="000000" w:themeColor="text1"/>
                <w:highlight w:val="none"/>
                <w14:textFill>
                  <w14:solidFill>
                    <w14:schemeClr w14:val="tx1"/>
                  </w14:solidFill>
                </w14:textFill>
              </w:rPr>
            </w:pPr>
          </w:p>
        </w:tc>
        <w:tc>
          <w:tcPr>
            <w:tcW w:w="1257" w:type="dxa"/>
            <w:vAlign w:val="center"/>
          </w:tcPr>
          <w:p w14:paraId="35E18B76">
            <w:pPr>
              <w:spacing w:line="360" w:lineRule="auto"/>
              <w:jc w:val="center"/>
              <w:rPr>
                <w:color w:val="000000" w:themeColor="text1"/>
                <w:highlight w:val="none"/>
                <w14:textFill>
                  <w14:solidFill>
                    <w14:schemeClr w14:val="tx1"/>
                  </w14:solidFill>
                </w14:textFill>
              </w:rPr>
            </w:pPr>
          </w:p>
        </w:tc>
        <w:tc>
          <w:tcPr>
            <w:tcW w:w="1258" w:type="dxa"/>
            <w:vAlign w:val="center"/>
          </w:tcPr>
          <w:p w14:paraId="23DE9352">
            <w:pPr>
              <w:spacing w:line="360" w:lineRule="auto"/>
              <w:jc w:val="center"/>
              <w:rPr>
                <w:color w:val="000000" w:themeColor="text1"/>
                <w:highlight w:val="none"/>
                <w14:textFill>
                  <w14:solidFill>
                    <w14:schemeClr w14:val="tx1"/>
                  </w14:solidFill>
                </w14:textFill>
              </w:rPr>
            </w:pPr>
          </w:p>
        </w:tc>
        <w:tc>
          <w:tcPr>
            <w:tcW w:w="1257" w:type="dxa"/>
            <w:vAlign w:val="center"/>
          </w:tcPr>
          <w:p w14:paraId="2AA6AF52">
            <w:pPr>
              <w:spacing w:line="360" w:lineRule="auto"/>
              <w:jc w:val="center"/>
              <w:rPr>
                <w:color w:val="000000" w:themeColor="text1"/>
                <w:highlight w:val="none"/>
                <w14:textFill>
                  <w14:solidFill>
                    <w14:schemeClr w14:val="tx1"/>
                  </w14:solidFill>
                </w14:textFill>
              </w:rPr>
            </w:pPr>
          </w:p>
        </w:tc>
        <w:tc>
          <w:tcPr>
            <w:tcW w:w="1258" w:type="dxa"/>
            <w:vAlign w:val="center"/>
          </w:tcPr>
          <w:p w14:paraId="797B8DEB">
            <w:pPr>
              <w:spacing w:line="360" w:lineRule="auto"/>
              <w:jc w:val="center"/>
              <w:rPr>
                <w:color w:val="000000" w:themeColor="text1"/>
                <w:highlight w:val="none"/>
                <w14:textFill>
                  <w14:solidFill>
                    <w14:schemeClr w14:val="tx1"/>
                  </w14:solidFill>
                </w14:textFill>
              </w:rPr>
            </w:pPr>
          </w:p>
        </w:tc>
      </w:tr>
      <w:tr w14:paraId="265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094404">
            <w:pPr>
              <w:spacing w:line="360" w:lineRule="auto"/>
              <w:jc w:val="center"/>
              <w:rPr>
                <w:color w:val="000000" w:themeColor="text1"/>
                <w:highlight w:val="none"/>
                <w14:textFill>
                  <w14:solidFill>
                    <w14:schemeClr w14:val="tx1"/>
                  </w14:solidFill>
                </w14:textFill>
              </w:rPr>
            </w:pPr>
          </w:p>
        </w:tc>
        <w:tc>
          <w:tcPr>
            <w:tcW w:w="961" w:type="dxa"/>
            <w:vAlign w:val="center"/>
          </w:tcPr>
          <w:p w14:paraId="59225384">
            <w:pPr>
              <w:spacing w:line="360" w:lineRule="auto"/>
              <w:jc w:val="center"/>
              <w:rPr>
                <w:color w:val="000000" w:themeColor="text1"/>
                <w:highlight w:val="none"/>
                <w14:textFill>
                  <w14:solidFill>
                    <w14:schemeClr w14:val="tx1"/>
                  </w14:solidFill>
                </w14:textFill>
              </w:rPr>
            </w:pPr>
          </w:p>
        </w:tc>
        <w:tc>
          <w:tcPr>
            <w:tcW w:w="1257" w:type="dxa"/>
            <w:vAlign w:val="center"/>
          </w:tcPr>
          <w:p w14:paraId="23A0A3D0">
            <w:pPr>
              <w:spacing w:line="360" w:lineRule="auto"/>
              <w:jc w:val="center"/>
              <w:rPr>
                <w:color w:val="000000" w:themeColor="text1"/>
                <w:highlight w:val="none"/>
                <w14:textFill>
                  <w14:solidFill>
                    <w14:schemeClr w14:val="tx1"/>
                  </w14:solidFill>
                </w14:textFill>
              </w:rPr>
            </w:pPr>
          </w:p>
        </w:tc>
        <w:tc>
          <w:tcPr>
            <w:tcW w:w="1257" w:type="dxa"/>
            <w:vAlign w:val="center"/>
          </w:tcPr>
          <w:p w14:paraId="11D3BAA1">
            <w:pPr>
              <w:spacing w:line="360" w:lineRule="auto"/>
              <w:jc w:val="center"/>
              <w:rPr>
                <w:color w:val="000000" w:themeColor="text1"/>
                <w:highlight w:val="none"/>
                <w14:textFill>
                  <w14:solidFill>
                    <w14:schemeClr w14:val="tx1"/>
                  </w14:solidFill>
                </w14:textFill>
              </w:rPr>
            </w:pPr>
          </w:p>
        </w:tc>
        <w:tc>
          <w:tcPr>
            <w:tcW w:w="1258" w:type="dxa"/>
            <w:vAlign w:val="center"/>
          </w:tcPr>
          <w:p w14:paraId="294A48A5">
            <w:pPr>
              <w:spacing w:line="360" w:lineRule="auto"/>
              <w:jc w:val="center"/>
              <w:rPr>
                <w:color w:val="000000" w:themeColor="text1"/>
                <w:highlight w:val="none"/>
                <w14:textFill>
                  <w14:solidFill>
                    <w14:schemeClr w14:val="tx1"/>
                  </w14:solidFill>
                </w14:textFill>
              </w:rPr>
            </w:pPr>
          </w:p>
        </w:tc>
        <w:tc>
          <w:tcPr>
            <w:tcW w:w="1257" w:type="dxa"/>
            <w:vAlign w:val="center"/>
          </w:tcPr>
          <w:p w14:paraId="2CB20123">
            <w:pPr>
              <w:spacing w:line="360" w:lineRule="auto"/>
              <w:jc w:val="center"/>
              <w:rPr>
                <w:color w:val="000000" w:themeColor="text1"/>
                <w:highlight w:val="none"/>
                <w14:textFill>
                  <w14:solidFill>
                    <w14:schemeClr w14:val="tx1"/>
                  </w14:solidFill>
                </w14:textFill>
              </w:rPr>
            </w:pPr>
          </w:p>
        </w:tc>
        <w:tc>
          <w:tcPr>
            <w:tcW w:w="1258" w:type="dxa"/>
            <w:vAlign w:val="center"/>
          </w:tcPr>
          <w:p w14:paraId="09595B7C">
            <w:pPr>
              <w:spacing w:line="360" w:lineRule="auto"/>
              <w:jc w:val="center"/>
              <w:rPr>
                <w:color w:val="000000" w:themeColor="text1"/>
                <w:highlight w:val="none"/>
                <w14:textFill>
                  <w14:solidFill>
                    <w14:schemeClr w14:val="tx1"/>
                  </w14:solidFill>
                </w14:textFill>
              </w:rPr>
            </w:pPr>
          </w:p>
        </w:tc>
      </w:tr>
      <w:tr w14:paraId="597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C797AA">
            <w:pPr>
              <w:spacing w:line="360" w:lineRule="auto"/>
              <w:jc w:val="center"/>
              <w:rPr>
                <w:color w:val="000000" w:themeColor="text1"/>
                <w:highlight w:val="none"/>
                <w14:textFill>
                  <w14:solidFill>
                    <w14:schemeClr w14:val="tx1"/>
                  </w14:solidFill>
                </w14:textFill>
              </w:rPr>
            </w:pPr>
          </w:p>
        </w:tc>
        <w:tc>
          <w:tcPr>
            <w:tcW w:w="961" w:type="dxa"/>
            <w:vAlign w:val="center"/>
          </w:tcPr>
          <w:p w14:paraId="48FDABD2">
            <w:pPr>
              <w:spacing w:line="360" w:lineRule="auto"/>
              <w:jc w:val="center"/>
              <w:rPr>
                <w:color w:val="000000" w:themeColor="text1"/>
                <w:highlight w:val="none"/>
                <w14:textFill>
                  <w14:solidFill>
                    <w14:schemeClr w14:val="tx1"/>
                  </w14:solidFill>
                </w14:textFill>
              </w:rPr>
            </w:pPr>
          </w:p>
        </w:tc>
        <w:tc>
          <w:tcPr>
            <w:tcW w:w="1257" w:type="dxa"/>
            <w:vAlign w:val="center"/>
          </w:tcPr>
          <w:p w14:paraId="0BAF3F87">
            <w:pPr>
              <w:spacing w:line="360" w:lineRule="auto"/>
              <w:jc w:val="center"/>
              <w:rPr>
                <w:color w:val="000000" w:themeColor="text1"/>
                <w:highlight w:val="none"/>
                <w14:textFill>
                  <w14:solidFill>
                    <w14:schemeClr w14:val="tx1"/>
                  </w14:solidFill>
                </w14:textFill>
              </w:rPr>
            </w:pPr>
          </w:p>
        </w:tc>
        <w:tc>
          <w:tcPr>
            <w:tcW w:w="1257" w:type="dxa"/>
            <w:vAlign w:val="center"/>
          </w:tcPr>
          <w:p w14:paraId="4082DF36">
            <w:pPr>
              <w:spacing w:line="360" w:lineRule="auto"/>
              <w:jc w:val="center"/>
              <w:rPr>
                <w:color w:val="000000" w:themeColor="text1"/>
                <w:highlight w:val="none"/>
                <w14:textFill>
                  <w14:solidFill>
                    <w14:schemeClr w14:val="tx1"/>
                  </w14:solidFill>
                </w14:textFill>
              </w:rPr>
            </w:pPr>
          </w:p>
        </w:tc>
        <w:tc>
          <w:tcPr>
            <w:tcW w:w="1258" w:type="dxa"/>
            <w:vAlign w:val="center"/>
          </w:tcPr>
          <w:p w14:paraId="7B4A871C">
            <w:pPr>
              <w:spacing w:line="360" w:lineRule="auto"/>
              <w:jc w:val="center"/>
              <w:rPr>
                <w:color w:val="000000" w:themeColor="text1"/>
                <w:highlight w:val="none"/>
                <w14:textFill>
                  <w14:solidFill>
                    <w14:schemeClr w14:val="tx1"/>
                  </w14:solidFill>
                </w14:textFill>
              </w:rPr>
            </w:pPr>
          </w:p>
        </w:tc>
        <w:tc>
          <w:tcPr>
            <w:tcW w:w="1257" w:type="dxa"/>
            <w:vAlign w:val="center"/>
          </w:tcPr>
          <w:p w14:paraId="4D7C75D7">
            <w:pPr>
              <w:spacing w:line="360" w:lineRule="auto"/>
              <w:jc w:val="center"/>
              <w:rPr>
                <w:color w:val="000000" w:themeColor="text1"/>
                <w:highlight w:val="none"/>
                <w14:textFill>
                  <w14:solidFill>
                    <w14:schemeClr w14:val="tx1"/>
                  </w14:solidFill>
                </w14:textFill>
              </w:rPr>
            </w:pPr>
          </w:p>
        </w:tc>
        <w:tc>
          <w:tcPr>
            <w:tcW w:w="1258" w:type="dxa"/>
            <w:vAlign w:val="center"/>
          </w:tcPr>
          <w:p w14:paraId="060B18E0">
            <w:pPr>
              <w:spacing w:line="360" w:lineRule="auto"/>
              <w:jc w:val="center"/>
              <w:rPr>
                <w:color w:val="000000" w:themeColor="text1"/>
                <w:highlight w:val="none"/>
                <w14:textFill>
                  <w14:solidFill>
                    <w14:schemeClr w14:val="tx1"/>
                  </w14:solidFill>
                </w14:textFill>
              </w:rPr>
            </w:pPr>
          </w:p>
        </w:tc>
      </w:tr>
      <w:tr w14:paraId="6BC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6356D62">
            <w:pPr>
              <w:spacing w:line="360" w:lineRule="auto"/>
              <w:jc w:val="center"/>
              <w:rPr>
                <w:color w:val="000000" w:themeColor="text1"/>
                <w:highlight w:val="none"/>
                <w14:textFill>
                  <w14:solidFill>
                    <w14:schemeClr w14:val="tx1"/>
                  </w14:solidFill>
                </w14:textFill>
              </w:rPr>
            </w:pPr>
          </w:p>
        </w:tc>
        <w:tc>
          <w:tcPr>
            <w:tcW w:w="961" w:type="dxa"/>
            <w:vAlign w:val="center"/>
          </w:tcPr>
          <w:p w14:paraId="72862E33">
            <w:pPr>
              <w:spacing w:line="360" w:lineRule="auto"/>
              <w:jc w:val="center"/>
              <w:rPr>
                <w:color w:val="000000" w:themeColor="text1"/>
                <w:highlight w:val="none"/>
                <w14:textFill>
                  <w14:solidFill>
                    <w14:schemeClr w14:val="tx1"/>
                  </w14:solidFill>
                </w14:textFill>
              </w:rPr>
            </w:pPr>
          </w:p>
        </w:tc>
        <w:tc>
          <w:tcPr>
            <w:tcW w:w="1257" w:type="dxa"/>
            <w:vAlign w:val="center"/>
          </w:tcPr>
          <w:p w14:paraId="4411D856">
            <w:pPr>
              <w:spacing w:line="360" w:lineRule="auto"/>
              <w:jc w:val="center"/>
              <w:rPr>
                <w:color w:val="000000" w:themeColor="text1"/>
                <w:highlight w:val="none"/>
                <w14:textFill>
                  <w14:solidFill>
                    <w14:schemeClr w14:val="tx1"/>
                  </w14:solidFill>
                </w14:textFill>
              </w:rPr>
            </w:pPr>
          </w:p>
        </w:tc>
        <w:tc>
          <w:tcPr>
            <w:tcW w:w="1257" w:type="dxa"/>
            <w:vAlign w:val="center"/>
          </w:tcPr>
          <w:p w14:paraId="5B997FA6">
            <w:pPr>
              <w:spacing w:line="360" w:lineRule="auto"/>
              <w:jc w:val="center"/>
              <w:rPr>
                <w:color w:val="000000" w:themeColor="text1"/>
                <w:highlight w:val="none"/>
                <w14:textFill>
                  <w14:solidFill>
                    <w14:schemeClr w14:val="tx1"/>
                  </w14:solidFill>
                </w14:textFill>
              </w:rPr>
            </w:pPr>
          </w:p>
        </w:tc>
        <w:tc>
          <w:tcPr>
            <w:tcW w:w="1258" w:type="dxa"/>
            <w:vAlign w:val="center"/>
          </w:tcPr>
          <w:p w14:paraId="7F791949">
            <w:pPr>
              <w:spacing w:line="360" w:lineRule="auto"/>
              <w:jc w:val="center"/>
              <w:rPr>
                <w:color w:val="000000" w:themeColor="text1"/>
                <w:highlight w:val="none"/>
                <w14:textFill>
                  <w14:solidFill>
                    <w14:schemeClr w14:val="tx1"/>
                  </w14:solidFill>
                </w14:textFill>
              </w:rPr>
            </w:pPr>
          </w:p>
        </w:tc>
        <w:tc>
          <w:tcPr>
            <w:tcW w:w="1257" w:type="dxa"/>
            <w:vAlign w:val="center"/>
          </w:tcPr>
          <w:p w14:paraId="3A200865">
            <w:pPr>
              <w:spacing w:line="360" w:lineRule="auto"/>
              <w:jc w:val="center"/>
              <w:rPr>
                <w:color w:val="000000" w:themeColor="text1"/>
                <w:highlight w:val="none"/>
                <w14:textFill>
                  <w14:solidFill>
                    <w14:schemeClr w14:val="tx1"/>
                  </w14:solidFill>
                </w14:textFill>
              </w:rPr>
            </w:pPr>
          </w:p>
        </w:tc>
        <w:tc>
          <w:tcPr>
            <w:tcW w:w="1258" w:type="dxa"/>
            <w:vAlign w:val="center"/>
          </w:tcPr>
          <w:p w14:paraId="41E5F581">
            <w:pPr>
              <w:spacing w:line="360" w:lineRule="auto"/>
              <w:jc w:val="center"/>
              <w:rPr>
                <w:color w:val="000000" w:themeColor="text1"/>
                <w:highlight w:val="none"/>
                <w14:textFill>
                  <w14:solidFill>
                    <w14:schemeClr w14:val="tx1"/>
                  </w14:solidFill>
                </w14:textFill>
              </w:rPr>
            </w:pPr>
          </w:p>
        </w:tc>
      </w:tr>
      <w:tr w14:paraId="604D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299A35A">
            <w:pPr>
              <w:spacing w:line="360" w:lineRule="auto"/>
              <w:jc w:val="center"/>
              <w:rPr>
                <w:color w:val="000000" w:themeColor="text1"/>
                <w:highlight w:val="none"/>
                <w14:textFill>
                  <w14:solidFill>
                    <w14:schemeClr w14:val="tx1"/>
                  </w14:solidFill>
                </w14:textFill>
              </w:rPr>
            </w:pPr>
          </w:p>
        </w:tc>
        <w:tc>
          <w:tcPr>
            <w:tcW w:w="961" w:type="dxa"/>
            <w:vAlign w:val="center"/>
          </w:tcPr>
          <w:p w14:paraId="30BD65F2">
            <w:pPr>
              <w:spacing w:line="360" w:lineRule="auto"/>
              <w:jc w:val="center"/>
              <w:rPr>
                <w:color w:val="000000" w:themeColor="text1"/>
                <w:highlight w:val="none"/>
                <w14:textFill>
                  <w14:solidFill>
                    <w14:schemeClr w14:val="tx1"/>
                  </w14:solidFill>
                </w14:textFill>
              </w:rPr>
            </w:pPr>
          </w:p>
        </w:tc>
        <w:tc>
          <w:tcPr>
            <w:tcW w:w="1257" w:type="dxa"/>
            <w:vAlign w:val="center"/>
          </w:tcPr>
          <w:p w14:paraId="09780CD2">
            <w:pPr>
              <w:spacing w:line="360" w:lineRule="auto"/>
              <w:jc w:val="center"/>
              <w:rPr>
                <w:color w:val="000000" w:themeColor="text1"/>
                <w:highlight w:val="none"/>
                <w14:textFill>
                  <w14:solidFill>
                    <w14:schemeClr w14:val="tx1"/>
                  </w14:solidFill>
                </w14:textFill>
              </w:rPr>
            </w:pPr>
          </w:p>
        </w:tc>
        <w:tc>
          <w:tcPr>
            <w:tcW w:w="1257" w:type="dxa"/>
            <w:vAlign w:val="center"/>
          </w:tcPr>
          <w:p w14:paraId="442D9FE7">
            <w:pPr>
              <w:spacing w:line="360" w:lineRule="auto"/>
              <w:jc w:val="center"/>
              <w:rPr>
                <w:color w:val="000000" w:themeColor="text1"/>
                <w:highlight w:val="none"/>
                <w14:textFill>
                  <w14:solidFill>
                    <w14:schemeClr w14:val="tx1"/>
                  </w14:solidFill>
                </w14:textFill>
              </w:rPr>
            </w:pPr>
          </w:p>
        </w:tc>
        <w:tc>
          <w:tcPr>
            <w:tcW w:w="1258" w:type="dxa"/>
            <w:vAlign w:val="center"/>
          </w:tcPr>
          <w:p w14:paraId="15C613B5">
            <w:pPr>
              <w:spacing w:line="360" w:lineRule="auto"/>
              <w:jc w:val="center"/>
              <w:rPr>
                <w:color w:val="000000" w:themeColor="text1"/>
                <w:highlight w:val="none"/>
                <w14:textFill>
                  <w14:solidFill>
                    <w14:schemeClr w14:val="tx1"/>
                  </w14:solidFill>
                </w14:textFill>
              </w:rPr>
            </w:pPr>
          </w:p>
        </w:tc>
        <w:tc>
          <w:tcPr>
            <w:tcW w:w="1257" w:type="dxa"/>
            <w:vAlign w:val="center"/>
          </w:tcPr>
          <w:p w14:paraId="34661173">
            <w:pPr>
              <w:spacing w:line="360" w:lineRule="auto"/>
              <w:jc w:val="center"/>
              <w:rPr>
                <w:color w:val="000000" w:themeColor="text1"/>
                <w:highlight w:val="none"/>
                <w14:textFill>
                  <w14:solidFill>
                    <w14:schemeClr w14:val="tx1"/>
                  </w14:solidFill>
                </w14:textFill>
              </w:rPr>
            </w:pPr>
          </w:p>
        </w:tc>
        <w:tc>
          <w:tcPr>
            <w:tcW w:w="1258" w:type="dxa"/>
            <w:vAlign w:val="center"/>
          </w:tcPr>
          <w:p w14:paraId="391A0DB1">
            <w:pPr>
              <w:spacing w:line="360" w:lineRule="auto"/>
              <w:jc w:val="center"/>
              <w:rPr>
                <w:color w:val="000000" w:themeColor="text1"/>
                <w:highlight w:val="none"/>
                <w14:textFill>
                  <w14:solidFill>
                    <w14:schemeClr w14:val="tx1"/>
                  </w14:solidFill>
                </w14:textFill>
              </w:rPr>
            </w:pPr>
          </w:p>
        </w:tc>
      </w:tr>
    </w:tbl>
    <w:p w14:paraId="2AA45C82">
      <w:pPr>
        <w:rPr>
          <w:color w:val="000000" w:themeColor="text1"/>
          <w:highlight w:val="none"/>
          <w14:textFill>
            <w14:solidFill>
              <w14:schemeClr w14:val="tx1"/>
            </w14:solidFill>
          </w14:textFill>
        </w:rPr>
      </w:pPr>
    </w:p>
    <w:p w14:paraId="56E358CF">
      <w:pPr>
        <w:rPr>
          <w:b/>
          <w:bCs/>
          <w:color w:val="000000" w:themeColor="text1"/>
          <w:highlight w:val="none"/>
          <w14:textFill>
            <w14:solidFill>
              <w14:schemeClr w14:val="tx1"/>
            </w14:solidFill>
          </w14:textFill>
        </w:rPr>
      </w:pPr>
    </w:p>
    <w:p w14:paraId="7474EB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附表二：计划开、竣工日期和施工进度计划（网络图或横道图）</w:t>
      </w:r>
    </w:p>
    <w:p w14:paraId="18D64B94">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42DF15CE">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施工进度计划可采用网络图（或横道图）表示，说明计划开工日期和各分项工程各阶段的完工日期和分包合同签订的日期。</w:t>
      </w:r>
    </w:p>
    <w:p w14:paraId="4A443E37">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s="宋体"/>
          <w:color w:val="000000" w:themeColor="text1"/>
          <w:highlight w:val="none"/>
          <w14:textFill>
            <w14:solidFill>
              <w14:schemeClr w14:val="tx1"/>
            </w14:solidFill>
          </w14:textFill>
        </w:rPr>
        <w:t>施工进度计划应与施工组织设计相适应。</w:t>
      </w:r>
    </w:p>
    <w:p w14:paraId="07CC02B1">
      <w:pPr>
        <w:spacing w:line="360" w:lineRule="auto"/>
        <w:ind w:left="-6" w:firstLine="420"/>
        <w:rPr>
          <w:color w:val="000000" w:themeColor="text1"/>
          <w:highlight w:val="none"/>
          <w14:textFill>
            <w14:solidFill>
              <w14:schemeClr w14:val="tx1"/>
            </w14:solidFill>
          </w14:textFill>
        </w:rPr>
      </w:pPr>
    </w:p>
    <w:p w14:paraId="5F35AD7F">
      <w:pPr>
        <w:rPr>
          <w:color w:val="000000" w:themeColor="text1"/>
          <w:highlight w:val="none"/>
          <w14:textFill>
            <w14:solidFill>
              <w14:schemeClr w14:val="tx1"/>
            </w14:solidFill>
          </w14:textFill>
        </w:rPr>
      </w:pPr>
    </w:p>
    <w:p w14:paraId="0347EE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附表三：施工总平面图</w:t>
      </w:r>
    </w:p>
    <w:p w14:paraId="04BA595F">
      <w:pPr>
        <w:spacing w:line="460" w:lineRule="exact"/>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762A99FE">
      <w:pPr>
        <w:rPr>
          <w:color w:val="000000" w:themeColor="text1"/>
          <w:highlight w:val="none"/>
          <w14:textFill>
            <w14:solidFill>
              <w14:schemeClr w14:val="tx1"/>
            </w14:solidFill>
          </w14:textFill>
        </w:rPr>
      </w:pPr>
    </w:p>
    <w:p w14:paraId="44F319ED">
      <w:pPr>
        <w:rPr>
          <w:color w:val="000000" w:themeColor="text1"/>
          <w:highlight w:val="none"/>
          <w14:textFill>
            <w14:solidFill>
              <w14:schemeClr w14:val="tx1"/>
            </w14:solidFill>
          </w14:textFill>
        </w:rPr>
      </w:pPr>
    </w:p>
    <w:p w14:paraId="13EFECC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附表四：临时用地表</w:t>
      </w:r>
    </w:p>
    <w:tbl>
      <w:tblPr>
        <w:tblStyle w:val="4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B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68845C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用途</w:t>
            </w:r>
          </w:p>
        </w:tc>
        <w:tc>
          <w:tcPr>
            <w:tcW w:w="2357" w:type="dxa"/>
            <w:vAlign w:val="center"/>
          </w:tcPr>
          <w:p w14:paraId="70E6171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面积（平方米）</w:t>
            </w:r>
          </w:p>
        </w:tc>
        <w:tc>
          <w:tcPr>
            <w:tcW w:w="2356" w:type="dxa"/>
            <w:vAlign w:val="center"/>
          </w:tcPr>
          <w:p w14:paraId="70C887D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位置</w:t>
            </w:r>
          </w:p>
        </w:tc>
        <w:tc>
          <w:tcPr>
            <w:tcW w:w="2136" w:type="dxa"/>
            <w:vAlign w:val="center"/>
          </w:tcPr>
          <w:p w14:paraId="4DBF53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需用时间</w:t>
            </w:r>
          </w:p>
        </w:tc>
      </w:tr>
      <w:tr w14:paraId="688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7B9E11F">
            <w:pPr>
              <w:rPr>
                <w:color w:val="000000" w:themeColor="text1"/>
                <w:highlight w:val="none"/>
                <w14:textFill>
                  <w14:solidFill>
                    <w14:schemeClr w14:val="tx1"/>
                  </w14:solidFill>
                </w14:textFill>
              </w:rPr>
            </w:pPr>
          </w:p>
        </w:tc>
        <w:tc>
          <w:tcPr>
            <w:tcW w:w="2357" w:type="dxa"/>
          </w:tcPr>
          <w:p w14:paraId="1EAB0649">
            <w:pPr>
              <w:rPr>
                <w:color w:val="000000" w:themeColor="text1"/>
                <w:highlight w:val="none"/>
                <w14:textFill>
                  <w14:solidFill>
                    <w14:schemeClr w14:val="tx1"/>
                  </w14:solidFill>
                </w14:textFill>
              </w:rPr>
            </w:pPr>
          </w:p>
        </w:tc>
        <w:tc>
          <w:tcPr>
            <w:tcW w:w="2356" w:type="dxa"/>
          </w:tcPr>
          <w:p w14:paraId="7847656E">
            <w:pPr>
              <w:rPr>
                <w:color w:val="000000" w:themeColor="text1"/>
                <w:highlight w:val="none"/>
                <w14:textFill>
                  <w14:solidFill>
                    <w14:schemeClr w14:val="tx1"/>
                  </w14:solidFill>
                </w14:textFill>
              </w:rPr>
            </w:pPr>
          </w:p>
        </w:tc>
        <w:tc>
          <w:tcPr>
            <w:tcW w:w="2136" w:type="dxa"/>
          </w:tcPr>
          <w:p w14:paraId="1F8CCD5A">
            <w:pPr>
              <w:rPr>
                <w:color w:val="000000" w:themeColor="text1"/>
                <w:highlight w:val="none"/>
                <w14:textFill>
                  <w14:solidFill>
                    <w14:schemeClr w14:val="tx1"/>
                  </w14:solidFill>
                </w14:textFill>
              </w:rPr>
            </w:pPr>
          </w:p>
        </w:tc>
      </w:tr>
      <w:tr w14:paraId="1D01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DAE171">
            <w:pPr>
              <w:rPr>
                <w:color w:val="000000" w:themeColor="text1"/>
                <w:highlight w:val="none"/>
                <w14:textFill>
                  <w14:solidFill>
                    <w14:schemeClr w14:val="tx1"/>
                  </w14:solidFill>
                </w14:textFill>
              </w:rPr>
            </w:pPr>
          </w:p>
        </w:tc>
        <w:tc>
          <w:tcPr>
            <w:tcW w:w="2357" w:type="dxa"/>
          </w:tcPr>
          <w:p w14:paraId="488A6504">
            <w:pPr>
              <w:rPr>
                <w:color w:val="000000" w:themeColor="text1"/>
                <w:highlight w:val="none"/>
                <w14:textFill>
                  <w14:solidFill>
                    <w14:schemeClr w14:val="tx1"/>
                  </w14:solidFill>
                </w14:textFill>
              </w:rPr>
            </w:pPr>
          </w:p>
        </w:tc>
        <w:tc>
          <w:tcPr>
            <w:tcW w:w="2356" w:type="dxa"/>
          </w:tcPr>
          <w:p w14:paraId="0481618E">
            <w:pPr>
              <w:rPr>
                <w:color w:val="000000" w:themeColor="text1"/>
                <w:highlight w:val="none"/>
                <w14:textFill>
                  <w14:solidFill>
                    <w14:schemeClr w14:val="tx1"/>
                  </w14:solidFill>
                </w14:textFill>
              </w:rPr>
            </w:pPr>
          </w:p>
        </w:tc>
        <w:tc>
          <w:tcPr>
            <w:tcW w:w="2136" w:type="dxa"/>
          </w:tcPr>
          <w:p w14:paraId="16B0D2A9">
            <w:pPr>
              <w:rPr>
                <w:color w:val="000000" w:themeColor="text1"/>
                <w:highlight w:val="none"/>
                <w14:textFill>
                  <w14:solidFill>
                    <w14:schemeClr w14:val="tx1"/>
                  </w14:solidFill>
                </w14:textFill>
              </w:rPr>
            </w:pPr>
          </w:p>
        </w:tc>
      </w:tr>
      <w:tr w14:paraId="1C8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5AA599E8">
            <w:pPr>
              <w:rPr>
                <w:color w:val="000000" w:themeColor="text1"/>
                <w:highlight w:val="none"/>
                <w14:textFill>
                  <w14:solidFill>
                    <w14:schemeClr w14:val="tx1"/>
                  </w14:solidFill>
                </w14:textFill>
              </w:rPr>
            </w:pPr>
          </w:p>
        </w:tc>
        <w:tc>
          <w:tcPr>
            <w:tcW w:w="2357" w:type="dxa"/>
          </w:tcPr>
          <w:p w14:paraId="62167DC5">
            <w:pPr>
              <w:rPr>
                <w:color w:val="000000" w:themeColor="text1"/>
                <w:highlight w:val="none"/>
                <w14:textFill>
                  <w14:solidFill>
                    <w14:schemeClr w14:val="tx1"/>
                  </w14:solidFill>
                </w14:textFill>
              </w:rPr>
            </w:pPr>
          </w:p>
        </w:tc>
        <w:tc>
          <w:tcPr>
            <w:tcW w:w="2356" w:type="dxa"/>
          </w:tcPr>
          <w:p w14:paraId="0DAB37FF">
            <w:pPr>
              <w:rPr>
                <w:color w:val="000000" w:themeColor="text1"/>
                <w:highlight w:val="none"/>
                <w14:textFill>
                  <w14:solidFill>
                    <w14:schemeClr w14:val="tx1"/>
                  </w14:solidFill>
                </w14:textFill>
              </w:rPr>
            </w:pPr>
          </w:p>
        </w:tc>
        <w:tc>
          <w:tcPr>
            <w:tcW w:w="2136" w:type="dxa"/>
          </w:tcPr>
          <w:p w14:paraId="2475CDD2">
            <w:pPr>
              <w:rPr>
                <w:color w:val="000000" w:themeColor="text1"/>
                <w:highlight w:val="none"/>
                <w14:textFill>
                  <w14:solidFill>
                    <w14:schemeClr w14:val="tx1"/>
                  </w14:solidFill>
                </w14:textFill>
              </w:rPr>
            </w:pPr>
          </w:p>
        </w:tc>
      </w:tr>
      <w:tr w14:paraId="6438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AA6EEFE">
            <w:pPr>
              <w:rPr>
                <w:color w:val="000000" w:themeColor="text1"/>
                <w:highlight w:val="none"/>
                <w14:textFill>
                  <w14:solidFill>
                    <w14:schemeClr w14:val="tx1"/>
                  </w14:solidFill>
                </w14:textFill>
              </w:rPr>
            </w:pPr>
          </w:p>
        </w:tc>
        <w:tc>
          <w:tcPr>
            <w:tcW w:w="2357" w:type="dxa"/>
          </w:tcPr>
          <w:p w14:paraId="4A606D64">
            <w:pPr>
              <w:rPr>
                <w:color w:val="000000" w:themeColor="text1"/>
                <w:highlight w:val="none"/>
                <w14:textFill>
                  <w14:solidFill>
                    <w14:schemeClr w14:val="tx1"/>
                  </w14:solidFill>
                </w14:textFill>
              </w:rPr>
            </w:pPr>
          </w:p>
        </w:tc>
        <w:tc>
          <w:tcPr>
            <w:tcW w:w="2356" w:type="dxa"/>
          </w:tcPr>
          <w:p w14:paraId="7EBD4394">
            <w:pPr>
              <w:rPr>
                <w:color w:val="000000" w:themeColor="text1"/>
                <w:highlight w:val="none"/>
                <w14:textFill>
                  <w14:solidFill>
                    <w14:schemeClr w14:val="tx1"/>
                  </w14:solidFill>
                </w14:textFill>
              </w:rPr>
            </w:pPr>
          </w:p>
        </w:tc>
        <w:tc>
          <w:tcPr>
            <w:tcW w:w="2136" w:type="dxa"/>
          </w:tcPr>
          <w:p w14:paraId="251BE939">
            <w:pPr>
              <w:rPr>
                <w:color w:val="000000" w:themeColor="text1"/>
                <w:highlight w:val="none"/>
                <w14:textFill>
                  <w14:solidFill>
                    <w14:schemeClr w14:val="tx1"/>
                  </w14:solidFill>
                </w14:textFill>
              </w:rPr>
            </w:pPr>
          </w:p>
        </w:tc>
      </w:tr>
    </w:tbl>
    <w:p w14:paraId="47693020">
      <w:pPr>
        <w:spacing w:line="360" w:lineRule="auto"/>
        <w:ind w:firstLine="880" w:firstLineChars="200"/>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AF194EE">
      <w:pPr>
        <w:spacing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063BEC5">
      <w:pPr>
        <w:spacing w:line="360" w:lineRule="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 </w:t>
      </w:r>
    </w:p>
    <w:p w14:paraId="280E288B">
      <w:pPr>
        <w:spacing w:line="360" w:lineRule="auto"/>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 </w:t>
      </w:r>
    </w:p>
    <w:p w14:paraId="5730BB89">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bookmarkStart w:id="205" w:name="OLE_LINK27"/>
      <w:bookmarkStart w:id="206" w:name="OLE_LINK28"/>
      <w:r>
        <w:rPr>
          <w:rFonts w:hint="eastAsia" w:ascii="宋体" w:hAnsi="宋体" w:cs="方正小标宋简体"/>
          <w:b/>
          <w:bCs/>
          <w:color w:val="000000" w:themeColor="text1"/>
          <w:sz w:val="32"/>
          <w:szCs w:val="32"/>
          <w:highlight w:val="none"/>
          <w14:textFill>
            <w14:solidFill>
              <w14:schemeClr w14:val="tx1"/>
            </w14:solidFill>
          </w14:textFill>
        </w:rPr>
        <w:t>项目管理机构配备情况表及主要人员简历表</w:t>
      </w:r>
      <w:bookmarkEnd w:id="205"/>
      <w:bookmarkEnd w:id="206"/>
    </w:p>
    <w:p w14:paraId="70294EC7">
      <w:pPr>
        <w:snapToGrid w:val="0"/>
        <w:spacing w:beforeLines="50" w:after="50"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（一）项目管理机构配备情况表</w:t>
      </w:r>
    </w:p>
    <w:p w14:paraId="52B91E2B">
      <w:pPr>
        <w:pStyle w:val="25"/>
        <w:spacing w:line="360" w:lineRule="auto"/>
        <w:contextualSpacing/>
        <w:rPr>
          <w:color w:val="000000" w:themeColor="text1"/>
          <w:sz w:val="24"/>
          <w:szCs w:val="24"/>
          <w:highlight w:val="none"/>
          <w14:textFill>
            <w14:solidFill>
              <w14:schemeClr w14:val="tx1"/>
            </w14:solidFill>
          </w14:textFill>
        </w:rPr>
      </w:pPr>
      <w:r>
        <w:rPr>
          <w:rFonts w:hint="eastAsia" w:hAnsi="宋体" w:cs="仿宋_GB2312"/>
          <w:color w:val="000000" w:themeColor="text1"/>
          <w:sz w:val="24"/>
          <w:highlight w:val="none"/>
          <w14:textFill>
            <w14:solidFill>
              <w14:schemeClr w14:val="tx1"/>
            </w14:solidFill>
          </w14:textFill>
        </w:rPr>
        <w:t>分标（如有）</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tbl>
      <w:tblPr>
        <w:tblStyle w:val="4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CA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2FA09016">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岗位</w:t>
            </w:r>
          </w:p>
        </w:tc>
        <w:tc>
          <w:tcPr>
            <w:tcW w:w="670" w:type="dxa"/>
            <w:vMerge w:val="restart"/>
            <w:vAlign w:val="center"/>
          </w:tcPr>
          <w:p w14:paraId="499ED81C">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829" w:type="dxa"/>
            <w:vMerge w:val="restart"/>
            <w:vAlign w:val="center"/>
          </w:tcPr>
          <w:p w14:paraId="1ED30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身份证号</w:t>
            </w:r>
          </w:p>
        </w:tc>
        <w:tc>
          <w:tcPr>
            <w:tcW w:w="816" w:type="dxa"/>
            <w:vMerge w:val="restart"/>
            <w:vAlign w:val="center"/>
          </w:tcPr>
          <w:p w14:paraId="45E57292">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职称</w:t>
            </w:r>
          </w:p>
        </w:tc>
        <w:tc>
          <w:tcPr>
            <w:tcW w:w="4188" w:type="dxa"/>
            <w:gridSpan w:val="4"/>
            <w:vAlign w:val="center"/>
          </w:tcPr>
          <w:p w14:paraId="0BD36D0A">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执业或职业资格</w:t>
            </w:r>
          </w:p>
        </w:tc>
        <w:tc>
          <w:tcPr>
            <w:tcW w:w="2443" w:type="dxa"/>
            <w:gridSpan w:val="2"/>
            <w:vAlign w:val="center"/>
          </w:tcPr>
          <w:p w14:paraId="5956BF42">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承担完工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在建工程情况</w:t>
            </w:r>
          </w:p>
        </w:tc>
      </w:tr>
      <w:tr w14:paraId="304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82C7A67">
            <w:pPr>
              <w:ind w:left="223" w:hanging="222" w:hangingChars="106"/>
              <w:jc w:val="center"/>
              <w:rPr>
                <w:color w:val="000000" w:themeColor="text1"/>
                <w:highlight w:val="none"/>
                <w14:textFill>
                  <w14:solidFill>
                    <w14:schemeClr w14:val="tx1"/>
                  </w14:solidFill>
                </w14:textFill>
              </w:rPr>
            </w:pPr>
          </w:p>
        </w:tc>
        <w:tc>
          <w:tcPr>
            <w:tcW w:w="670" w:type="dxa"/>
            <w:vMerge w:val="continue"/>
            <w:vAlign w:val="center"/>
          </w:tcPr>
          <w:p w14:paraId="0E92F55A">
            <w:pPr>
              <w:ind w:left="223" w:hanging="222" w:hangingChars="106"/>
              <w:jc w:val="center"/>
              <w:rPr>
                <w:color w:val="000000" w:themeColor="text1"/>
                <w:highlight w:val="none"/>
                <w14:textFill>
                  <w14:solidFill>
                    <w14:schemeClr w14:val="tx1"/>
                  </w14:solidFill>
                </w14:textFill>
              </w:rPr>
            </w:pPr>
          </w:p>
        </w:tc>
        <w:tc>
          <w:tcPr>
            <w:tcW w:w="829" w:type="dxa"/>
            <w:vMerge w:val="continue"/>
            <w:vAlign w:val="center"/>
          </w:tcPr>
          <w:p w14:paraId="1D376984">
            <w:pPr>
              <w:ind w:left="223" w:hanging="222" w:hangingChars="106"/>
              <w:jc w:val="center"/>
              <w:rPr>
                <w:color w:val="000000" w:themeColor="text1"/>
                <w:highlight w:val="none"/>
                <w14:textFill>
                  <w14:solidFill>
                    <w14:schemeClr w14:val="tx1"/>
                  </w14:solidFill>
                </w14:textFill>
              </w:rPr>
            </w:pPr>
          </w:p>
        </w:tc>
        <w:tc>
          <w:tcPr>
            <w:tcW w:w="816" w:type="dxa"/>
            <w:vMerge w:val="continue"/>
            <w:vAlign w:val="center"/>
          </w:tcPr>
          <w:p w14:paraId="20D733F0">
            <w:pPr>
              <w:ind w:left="223" w:hanging="222" w:hangingChars="106"/>
              <w:jc w:val="center"/>
              <w:rPr>
                <w:color w:val="000000" w:themeColor="text1"/>
                <w:highlight w:val="none"/>
                <w14:textFill>
                  <w14:solidFill>
                    <w14:schemeClr w14:val="tx1"/>
                  </w14:solidFill>
                </w14:textFill>
              </w:rPr>
            </w:pPr>
          </w:p>
        </w:tc>
        <w:tc>
          <w:tcPr>
            <w:tcW w:w="1148" w:type="dxa"/>
            <w:vAlign w:val="center"/>
          </w:tcPr>
          <w:p w14:paraId="4F997540">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证书名称</w:t>
            </w:r>
          </w:p>
        </w:tc>
        <w:tc>
          <w:tcPr>
            <w:tcW w:w="1148" w:type="dxa"/>
            <w:vAlign w:val="center"/>
          </w:tcPr>
          <w:p w14:paraId="5724E2B3">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148" w:type="dxa"/>
            <w:vAlign w:val="center"/>
          </w:tcPr>
          <w:p w14:paraId="679FB4C5">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证号</w:t>
            </w:r>
          </w:p>
        </w:tc>
        <w:tc>
          <w:tcPr>
            <w:tcW w:w="744" w:type="dxa"/>
            <w:vAlign w:val="center"/>
          </w:tcPr>
          <w:p w14:paraId="7738D034">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专业</w:t>
            </w:r>
          </w:p>
        </w:tc>
        <w:tc>
          <w:tcPr>
            <w:tcW w:w="1167" w:type="dxa"/>
            <w:vAlign w:val="center"/>
          </w:tcPr>
          <w:p w14:paraId="6F8B76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完工/在建</w:t>
            </w:r>
          </w:p>
        </w:tc>
        <w:tc>
          <w:tcPr>
            <w:tcW w:w="1276" w:type="dxa"/>
            <w:vAlign w:val="center"/>
          </w:tcPr>
          <w:p w14:paraId="534CA57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主要项目</w:t>
            </w:r>
          </w:p>
          <w:p w14:paraId="415E624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r>
      <w:tr w14:paraId="13A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395744">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1.</w:t>
            </w:r>
            <w:r>
              <w:rPr>
                <w:color w:val="000000" w:themeColor="text1"/>
                <w:sz w:val="21"/>
                <w:szCs w:val="21"/>
                <w:highlight w:val="none"/>
                <w14:textFill>
                  <w14:solidFill>
                    <w14:schemeClr w14:val="tx1"/>
                  </w14:solidFill>
                </w14:textFill>
              </w:rPr>
              <w:t>项目经理</w:t>
            </w:r>
          </w:p>
        </w:tc>
        <w:tc>
          <w:tcPr>
            <w:tcW w:w="670" w:type="dxa"/>
            <w:vAlign w:val="center"/>
          </w:tcPr>
          <w:p w14:paraId="11869C07">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A04EB3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ABC9CC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9921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C8426A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D2132D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460A67C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9098D37">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4ED7AA32">
            <w:pPr>
              <w:ind w:left="223" w:hanging="222" w:hangingChars="106"/>
              <w:jc w:val="center"/>
              <w:rPr>
                <w:color w:val="000000" w:themeColor="text1"/>
                <w:szCs w:val="21"/>
                <w:highlight w:val="none"/>
                <w14:textFill>
                  <w14:solidFill>
                    <w14:schemeClr w14:val="tx1"/>
                  </w14:solidFill>
                </w14:textFill>
              </w:rPr>
            </w:pPr>
          </w:p>
        </w:tc>
      </w:tr>
      <w:tr w14:paraId="723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2D6E8A5">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bidi="en-US"/>
                <w14:textFill>
                  <w14:solidFill>
                    <w14:schemeClr w14:val="tx1"/>
                  </w14:solidFill>
                </w14:textFill>
              </w:rPr>
              <w:t>2.</w:t>
            </w:r>
            <w:r>
              <w:rPr>
                <w:color w:val="000000" w:themeColor="text1"/>
                <w:sz w:val="21"/>
                <w:szCs w:val="21"/>
                <w:highlight w:val="none"/>
                <w14:textFill>
                  <w14:solidFill>
                    <w14:schemeClr w14:val="tx1"/>
                  </w14:solidFill>
                </w14:textFill>
              </w:rPr>
              <w:t>技术负责人</w:t>
            </w:r>
            <w:r>
              <w:rPr>
                <w:rFonts w:hint="eastAsia"/>
                <w:color w:val="000000" w:themeColor="text1"/>
                <w:sz w:val="21"/>
                <w:szCs w:val="21"/>
                <w:highlight w:val="none"/>
                <w14:textFill>
                  <w14:solidFill>
                    <w14:schemeClr w14:val="tx1"/>
                  </w14:solidFill>
                </w14:textFill>
              </w:rPr>
              <w:t>（项目总工）</w:t>
            </w:r>
          </w:p>
        </w:tc>
        <w:tc>
          <w:tcPr>
            <w:tcW w:w="670" w:type="dxa"/>
            <w:vAlign w:val="center"/>
          </w:tcPr>
          <w:p w14:paraId="71AAA064">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1BD5CD1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00E0EC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716F7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606552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0ED5605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D6C6F1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74BDF4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70D389A">
            <w:pPr>
              <w:ind w:left="223" w:hanging="222" w:hangingChars="106"/>
              <w:jc w:val="center"/>
              <w:rPr>
                <w:color w:val="000000" w:themeColor="text1"/>
                <w:szCs w:val="21"/>
                <w:highlight w:val="none"/>
                <w14:textFill>
                  <w14:solidFill>
                    <w14:schemeClr w14:val="tx1"/>
                  </w14:solidFill>
                </w14:textFill>
              </w:rPr>
            </w:pPr>
          </w:p>
        </w:tc>
      </w:tr>
      <w:tr w14:paraId="49FD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35CE9BA">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 施工员</w:t>
            </w:r>
          </w:p>
        </w:tc>
        <w:tc>
          <w:tcPr>
            <w:tcW w:w="670" w:type="dxa"/>
            <w:vAlign w:val="center"/>
          </w:tcPr>
          <w:p w14:paraId="0321EE32">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7579EBD9">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701E323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3DDD106">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3AF8D55">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3DC3B5D">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1E1EA3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50998631">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FE9EFAF">
            <w:pPr>
              <w:ind w:left="223" w:hanging="222" w:hangingChars="106"/>
              <w:jc w:val="center"/>
              <w:rPr>
                <w:color w:val="000000" w:themeColor="text1"/>
                <w:szCs w:val="21"/>
                <w:highlight w:val="none"/>
                <w14:textFill>
                  <w14:solidFill>
                    <w14:schemeClr w14:val="tx1"/>
                  </w14:solidFill>
                </w14:textFill>
              </w:rPr>
            </w:pPr>
          </w:p>
        </w:tc>
      </w:tr>
      <w:tr w14:paraId="269F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122B447">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4.</w:t>
            </w:r>
            <w:r>
              <w:rPr>
                <w:rFonts w:hint="eastAsia" w:eastAsia="宋体"/>
                <w:color w:val="000000" w:themeColor="text1"/>
                <w:sz w:val="21"/>
                <w:szCs w:val="21"/>
                <w:highlight w:val="none"/>
                <w:lang w:eastAsia="zh-CN"/>
                <w14:textFill>
                  <w14:solidFill>
                    <w14:schemeClr w14:val="tx1"/>
                  </w14:solidFill>
                </w14:textFill>
              </w:rPr>
              <w:t>专职安全生产管理人员</w:t>
            </w:r>
          </w:p>
        </w:tc>
        <w:tc>
          <w:tcPr>
            <w:tcW w:w="670" w:type="dxa"/>
            <w:vAlign w:val="center"/>
          </w:tcPr>
          <w:p w14:paraId="6C2A5AF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1831085">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1DB9A7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6AD301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9958EDB">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C8D742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3754C47E">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3D85EFC2">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0C3CF46C">
            <w:pPr>
              <w:ind w:left="223" w:hanging="222" w:hangingChars="106"/>
              <w:jc w:val="center"/>
              <w:rPr>
                <w:color w:val="000000" w:themeColor="text1"/>
                <w:szCs w:val="21"/>
                <w:highlight w:val="none"/>
                <w14:textFill>
                  <w14:solidFill>
                    <w14:schemeClr w14:val="tx1"/>
                  </w14:solidFill>
                </w14:textFill>
              </w:rPr>
            </w:pPr>
          </w:p>
        </w:tc>
      </w:tr>
      <w:tr w14:paraId="4B1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4DA0BF6">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 xml:space="preserve"> 质量员</w:t>
            </w:r>
          </w:p>
        </w:tc>
        <w:tc>
          <w:tcPr>
            <w:tcW w:w="670" w:type="dxa"/>
            <w:vAlign w:val="center"/>
          </w:tcPr>
          <w:p w14:paraId="503AA978">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79BBE08">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1FA309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2C3583A">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5269DD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D85632">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7E5487FF">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65CE3CA0">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3A772242">
            <w:pPr>
              <w:ind w:left="223" w:hanging="222" w:hangingChars="106"/>
              <w:jc w:val="center"/>
              <w:rPr>
                <w:color w:val="000000" w:themeColor="text1"/>
                <w:szCs w:val="21"/>
                <w:highlight w:val="none"/>
                <w14:textFill>
                  <w14:solidFill>
                    <w14:schemeClr w14:val="tx1"/>
                  </w14:solidFill>
                </w14:textFill>
              </w:rPr>
            </w:pPr>
          </w:p>
        </w:tc>
      </w:tr>
      <w:tr w14:paraId="675A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BDB118C">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6.材料员</w:t>
            </w:r>
          </w:p>
        </w:tc>
        <w:tc>
          <w:tcPr>
            <w:tcW w:w="670" w:type="dxa"/>
            <w:vAlign w:val="center"/>
          </w:tcPr>
          <w:p w14:paraId="27A85A8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B29A27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5435BB4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293592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3392BF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86F1D0F">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5C1F3C7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0DFA87AA">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DFE6F88">
            <w:pPr>
              <w:ind w:left="223" w:hanging="222" w:hangingChars="106"/>
              <w:jc w:val="center"/>
              <w:rPr>
                <w:color w:val="000000" w:themeColor="text1"/>
                <w:szCs w:val="21"/>
                <w:highlight w:val="none"/>
                <w14:textFill>
                  <w14:solidFill>
                    <w14:schemeClr w14:val="tx1"/>
                  </w14:solidFill>
                </w14:textFill>
              </w:rPr>
            </w:pPr>
          </w:p>
        </w:tc>
      </w:tr>
      <w:tr w14:paraId="311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AFECEC">
            <w:pPr>
              <w:ind w:left="223" w:hanging="222" w:hangingChars="106"/>
              <w:jc w:val="center"/>
              <w:rPr>
                <w:color w:val="000000" w:themeColor="text1"/>
                <w:szCs w:val="21"/>
                <w:highlight w:val="none"/>
                <w14:textFill>
                  <w14:solidFill>
                    <w14:schemeClr w14:val="tx1"/>
                  </w14:solidFill>
                </w14:textFill>
              </w:rPr>
            </w:pPr>
          </w:p>
        </w:tc>
        <w:tc>
          <w:tcPr>
            <w:tcW w:w="670" w:type="dxa"/>
            <w:vAlign w:val="center"/>
          </w:tcPr>
          <w:p w14:paraId="6116C7AB">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60F7FE0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97DF85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9DC1B3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83F503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B9CCB8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15D4AA7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241E2BA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E48328F">
            <w:pPr>
              <w:ind w:left="223" w:hanging="222" w:hangingChars="106"/>
              <w:jc w:val="center"/>
              <w:rPr>
                <w:color w:val="000000" w:themeColor="text1"/>
                <w:szCs w:val="21"/>
                <w:highlight w:val="none"/>
                <w14:textFill>
                  <w14:solidFill>
                    <w14:schemeClr w14:val="tx1"/>
                  </w14:solidFill>
                </w14:textFill>
              </w:rPr>
            </w:pPr>
          </w:p>
        </w:tc>
      </w:tr>
      <w:tr w14:paraId="06A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695FFB45">
            <w:pPr>
              <w:spacing w:line="360" w:lineRule="auto"/>
              <w:ind w:left="223" w:hanging="222" w:hangingChars="10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0516A46E">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备注：</w:t>
      </w:r>
    </w:p>
    <w:p w14:paraId="4AE20CCA">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本表所列岗位的所有管理人员的情况均应如实填写。可按以上格式扩展为多页填写。</w:t>
      </w:r>
    </w:p>
    <w:p w14:paraId="035FB088">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供应商应当在本表后附所有管理人员的身份证、职称证、执业或职业资格证书的复印件</w:t>
      </w:r>
      <w:r>
        <w:rPr>
          <w:rFonts w:hint="eastAsia"/>
          <w:color w:val="000000" w:themeColor="text1"/>
          <w:highlight w:val="none"/>
          <w14:textFill>
            <w14:solidFill>
              <w14:schemeClr w14:val="tx1"/>
            </w14:solidFill>
          </w14:textFill>
        </w:rPr>
        <w:t>或打印件</w:t>
      </w:r>
      <w:r>
        <w:rPr>
          <w:rFonts w:hint="eastAsia" w:ascii="宋体" w:hAnsi="宋体"/>
          <w:color w:val="000000" w:themeColor="text1"/>
          <w:sz w:val="24"/>
          <w:szCs w:val="20"/>
          <w:highlight w:val="none"/>
          <w14:textFill>
            <w14:solidFill>
              <w14:schemeClr w14:val="tx1"/>
            </w14:solidFill>
          </w14:textFill>
        </w:rPr>
        <w:t>并加盖供应商电子签章。</w:t>
      </w:r>
    </w:p>
    <w:p w14:paraId="291EFA7A">
      <w:pPr>
        <w:spacing w:line="360" w:lineRule="auto"/>
        <w:ind w:firstLine="480" w:firstLineChars="200"/>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0DBFA2F2">
      <w:pPr>
        <w:spacing w:line="360" w:lineRule="auto"/>
        <w:ind w:firstLine="56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3125B70B">
      <w:pPr>
        <w:spacing w:line="360" w:lineRule="auto"/>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（二）拟投入的主要人员简历表</w:t>
      </w:r>
    </w:p>
    <w:p w14:paraId="284A2FEC">
      <w:pPr>
        <w:spacing w:line="360" w:lineRule="auto"/>
        <w:ind w:firstLine="562" w:firstLineChars="200"/>
        <w:jc w:val="center"/>
        <w:rPr>
          <w:color w:val="000000" w:themeColor="text1"/>
          <w:sz w:val="28"/>
          <w:szCs w:val="28"/>
          <w:highlight w:val="none"/>
          <w:u w:val="singl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项目经理简历表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6C31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5412CD9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18" w:type="dxa"/>
            <w:gridSpan w:val="5"/>
            <w:vAlign w:val="center"/>
          </w:tcPr>
          <w:p w14:paraId="255EF565">
            <w:pPr>
              <w:jc w:val="center"/>
              <w:rPr>
                <w:color w:val="000000" w:themeColor="text1"/>
                <w:highlight w:val="none"/>
                <w14:textFill>
                  <w14:solidFill>
                    <w14:schemeClr w14:val="tx1"/>
                  </w14:solidFill>
                </w14:textFill>
              </w:rPr>
            </w:pPr>
          </w:p>
        </w:tc>
        <w:tc>
          <w:tcPr>
            <w:tcW w:w="1893" w:type="dxa"/>
            <w:gridSpan w:val="5"/>
            <w:vAlign w:val="center"/>
          </w:tcPr>
          <w:p w14:paraId="28CEB1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173B53D3">
            <w:pPr>
              <w:jc w:val="center"/>
              <w:rPr>
                <w:color w:val="000000" w:themeColor="text1"/>
                <w:highlight w:val="none"/>
                <w14:textFill>
                  <w14:solidFill>
                    <w14:schemeClr w14:val="tx1"/>
                  </w14:solidFill>
                </w14:textFill>
              </w:rPr>
            </w:pPr>
          </w:p>
        </w:tc>
        <w:tc>
          <w:tcPr>
            <w:tcW w:w="1108" w:type="dxa"/>
            <w:vAlign w:val="center"/>
          </w:tcPr>
          <w:p w14:paraId="2AAF72A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0287419E">
            <w:pPr>
              <w:jc w:val="center"/>
              <w:rPr>
                <w:color w:val="000000" w:themeColor="text1"/>
                <w:highlight w:val="none"/>
                <w14:textFill>
                  <w14:solidFill>
                    <w14:schemeClr w14:val="tx1"/>
                  </w14:solidFill>
                </w14:textFill>
              </w:rPr>
            </w:pPr>
          </w:p>
        </w:tc>
      </w:tr>
      <w:tr w14:paraId="7168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79F3C8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18" w:type="dxa"/>
            <w:gridSpan w:val="5"/>
            <w:vAlign w:val="center"/>
          </w:tcPr>
          <w:p w14:paraId="20D2C90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项目经理</w:t>
            </w:r>
          </w:p>
        </w:tc>
        <w:tc>
          <w:tcPr>
            <w:tcW w:w="1893" w:type="dxa"/>
            <w:gridSpan w:val="5"/>
            <w:vAlign w:val="center"/>
          </w:tcPr>
          <w:p w14:paraId="210DEC6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6416218F">
            <w:pPr>
              <w:jc w:val="center"/>
              <w:rPr>
                <w:color w:val="000000" w:themeColor="text1"/>
                <w:highlight w:val="none"/>
                <w14:textFill>
                  <w14:solidFill>
                    <w14:schemeClr w14:val="tx1"/>
                  </w14:solidFill>
                </w14:textFill>
              </w:rPr>
            </w:pPr>
          </w:p>
        </w:tc>
        <w:tc>
          <w:tcPr>
            <w:tcW w:w="1108" w:type="dxa"/>
            <w:vAlign w:val="center"/>
          </w:tcPr>
          <w:p w14:paraId="24D502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47914A6F">
            <w:pPr>
              <w:jc w:val="center"/>
              <w:rPr>
                <w:color w:val="000000" w:themeColor="text1"/>
                <w:highlight w:val="none"/>
                <w14:textFill>
                  <w14:solidFill>
                    <w14:schemeClr w14:val="tx1"/>
                  </w14:solidFill>
                </w14:textFill>
              </w:rPr>
            </w:pPr>
          </w:p>
        </w:tc>
      </w:tr>
      <w:tr w14:paraId="365F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48020D3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18" w:type="dxa"/>
            <w:gridSpan w:val="5"/>
            <w:vAlign w:val="center"/>
          </w:tcPr>
          <w:p w14:paraId="2A0E70ED">
            <w:pPr>
              <w:jc w:val="center"/>
              <w:rPr>
                <w:color w:val="000000" w:themeColor="text1"/>
                <w:highlight w:val="none"/>
                <w14:textFill>
                  <w14:solidFill>
                    <w14:schemeClr w14:val="tx1"/>
                  </w14:solidFill>
                </w14:textFill>
              </w:rPr>
            </w:pPr>
          </w:p>
        </w:tc>
        <w:tc>
          <w:tcPr>
            <w:tcW w:w="1893" w:type="dxa"/>
            <w:gridSpan w:val="5"/>
            <w:vAlign w:val="center"/>
          </w:tcPr>
          <w:p w14:paraId="74D1660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716738A7">
            <w:pPr>
              <w:jc w:val="center"/>
              <w:rPr>
                <w:color w:val="000000" w:themeColor="text1"/>
                <w:highlight w:val="none"/>
                <w14:textFill>
                  <w14:solidFill>
                    <w14:schemeClr w14:val="tx1"/>
                  </w14:solidFill>
                </w14:textFill>
              </w:rPr>
            </w:pPr>
          </w:p>
        </w:tc>
        <w:tc>
          <w:tcPr>
            <w:tcW w:w="1108" w:type="dxa"/>
            <w:vAlign w:val="center"/>
          </w:tcPr>
          <w:p w14:paraId="67FE8BE7">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75EEB4B1">
            <w:pPr>
              <w:jc w:val="center"/>
              <w:rPr>
                <w:color w:val="000000" w:themeColor="text1"/>
                <w:highlight w:val="none"/>
                <w14:textFill>
                  <w14:solidFill>
                    <w14:schemeClr w14:val="tx1"/>
                  </w14:solidFill>
                </w14:textFill>
              </w:rPr>
            </w:pPr>
          </w:p>
        </w:tc>
      </w:tr>
      <w:tr w14:paraId="28D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2345D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担任项目经理年限</w:t>
            </w:r>
          </w:p>
        </w:tc>
        <w:tc>
          <w:tcPr>
            <w:tcW w:w="2563" w:type="dxa"/>
            <w:gridSpan w:val="6"/>
            <w:vAlign w:val="center"/>
          </w:tcPr>
          <w:p w14:paraId="5BECC0BF">
            <w:pPr>
              <w:jc w:val="center"/>
              <w:rPr>
                <w:color w:val="000000" w:themeColor="text1"/>
                <w:highlight w:val="none"/>
                <w14:textFill>
                  <w14:solidFill>
                    <w14:schemeClr w14:val="tx1"/>
                  </w14:solidFill>
                </w14:textFill>
              </w:rPr>
            </w:pPr>
          </w:p>
        </w:tc>
        <w:tc>
          <w:tcPr>
            <w:tcW w:w="1209" w:type="dxa"/>
            <w:vAlign w:val="center"/>
          </w:tcPr>
          <w:p w14:paraId="55EB31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71C076EF">
            <w:pPr>
              <w:jc w:val="center"/>
              <w:rPr>
                <w:color w:val="000000" w:themeColor="text1"/>
                <w:highlight w:val="none"/>
                <w14:textFill>
                  <w14:solidFill>
                    <w14:schemeClr w14:val="tx1"/>
                  </w14:solidFill>
                </w14:textFill>
              </w:rPr>
            </w:pPr>
          </w:p>
        </w:tc>
      </w:tr>
      <w:tr w14:paraId="5F24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B96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vAlign w:val="center"/>
          </w:tcPr>
          <w:p w14:paraId="146D489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47ABA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05FFC4C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764195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B48E9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58A748D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776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C99437E">
            <w:pPr>
              <w:jc w:val="center"/>
              <w:rPr>
                <w:color w:val="000000" w:themeColor="text1"/>
                <w:highlight w:val="none"/>
                <w14:textFill>
                  <w14:solidFill>
                    <w14:schemeClr w14:val="tx1"/>
                  </w14:solidFill>
                </w14:textFill>
              </w:rPr>
            </w:pPr>
          </w:p>
        </w:tc>
        <w:tc>
          <w:tcPr>
            <w:tcW w:w="1275" w:type="dxa"/>
            <w:gridSpan w:val="2"/>
            <w:vAlign w:val="center"/>
          </w:tcPr>
          <w:p w14:paraId="40B287AB">
            <w:pPr>
              <w:jc w:val="center"/>
              <w:rPr>
                <w:color w:val="000000" w:themeColor="text1"/>
                <w:highlight w:val="none"/>
                <w14:textFill>
                  <w14:solidFill>
                    <w14:schemeClr w14:val="tx1"/>
                  </w14:solidFill>
                </w14:textFill>
              </w:rPr>
            </w:pPr>
          </w:p>
        </w:tc>
        <w:tc>
          <w:tcPr>
            <w:tcW w:w="1222" w:type="dxa"/>
            <w:gridSpan w:val="3"/>
            <w:vAlign w:val="center"/>
          </w:tcPr>
          <w:p w14:paraId="3B8388E5">
            <w:pPr>
              <w:jc w:val="center"/>
              <w:rPr>
                <w:rFonts w:cs="宋体"/>
                <w:color w:val="000000" w:themeColor="text1"/>
                <w:highlight w:val="none"/>
                <w14:textFill>
                  <w14:solidFill>
                    <w14:schemeClr w14:val="tx1"/>
                  </w14:solidFill>
                </w14:textFill>
              </w:rPr>
            </w:pPr>
          </w:p>
        </w:tc>
        <w:tc>
          <w:tcPr>
            <w:tcW w:w="1417" w:type="dxa"/>
            <w:gridSpan w:val="3"/>
            <w:vAlign w:val="center"/>
          </w:tcPr>
          <w:p w14:paraId="2D001141">
            <w:pPr>
              <w:jc w:val="center"/>
              <w:rPr>
                <w:color w:val="000000" w:themeColor="text1"/>
                <w:highlight w:val="none"/>
                <w14:textFill>
                  <w14:solidFill>
                    <w14:schemeClr w14:val="tx1"/>
                  </w14:solidFill>
                </w14:textFill>
              </w:rPr>
            </w:pPr>
          </w:p>
        </w:tc>
        <w:tc>
          <w:tcPr>
            <w:tcW w:w="1418" w:type="dxa"/>
            <w:gridSpan w:val="3"/>
            <w:vAlign w:val="center"/>
          </w:tcPr>
          <w:p w14:paraId="27253DF5">
            <w:pPr>
              <w:jc w:val="center"/>
              <w:rPr>
                <w:color w:val="000000" w:themeColor="text1"/>
                <w:highlight w:val="none"/>
                <w14:textFill>
                  <w14:solidFill>
                    <w14:schemeClr w14:val="tx1"/>
                  </w14:solidFill>
                </w14:textFill>
              </w:rPr>
            </w:pPr>
          </w:p>
        </w:tc>
        <w:tc>
          <w:tcPr>
            <w:tcW w:w="1632" w:type="dxa"/>
            <w:gridSpan w:val="4"/>
            <w:vAlign w:val="center"/>
          </w:tcPr>
          <w:p w14:paraId="03E559B4">
            <w:pPr>
              <w:jc w:val="center"/>
              <w:rPr>
                <w:color w:val="000000" w:themeColor="text1"/>
                <w:highlight w:val="none"/>
                <w14:textFill>
                  <w14:solidFill>
                    <w14:schemeClr w14:val="tx1"/>
                  </w14:solidFill>
                </w14:textFill>
              </w:rPr>
            </w:pPr>
          </w:p>
        </w:tc>
        <w:tc>
          <w:tcPr>
            <w:tcW w:w="1416" w:type="dxa"/>
            <w:gridSpan w:val="2"/>
            <w:vAlign w:val="center"/>
          </w:tcPr>
          <w:p w14:paraId="5BB33D9C">
            <w:pPr>
              <w:jc w:val="center"/>
              <w:rPr>
                <w:color w:val="000000" w:themeColor="text1"/>
                <w:highlight w:val="none"/>
                <w14:textFill>
                  <w14:solidFill>
                    <w14:schemeClr w14:val="tx1"/>
                  </w14:solidFill>
                </w14:textFill>
              </w:rPr>
            </w:pPr>
          </w:p>
        </w:tc>
      </w:tr>
      <w:tr w14:paraId="7735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6E9E5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vAlign w:val="center"/>
          </w:tcPr>
          <w:p w14:paraId="084592A0">
            <w:pPr>
              <w:jc w:val="center"/>
              <w:rPr>
                <w:color w:val="000000" w:themeColor="text1"/>
                <w:highlight w:val="none"/>
                <w14:textFill>
                  <w14:solidFill>
                    <w14:schemeClr w14:val="tx1"/>
                  </w14:solidFill>
                </w14:textFill>
              </w:rPr>
            </w:pPr>
          </w:p>
        </w:tc>
        <w:tc>
          <w:tcPr>
            <w:tcW w:w="1222" w:type="dxa"/>
            <w:gridSpan w:val="3"/>
            <w:vAlign w:val="center"/>
          </w:tcPr>
          <w:p w14:paraId="369CF3E1">
            <w:pPr>
              <w:jc w:val="center"/>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B类</w:t>
            </w:r>
          </w:p>
        </w:tc>
        <w:tc>
          <w:tcPr>
            <w:tcW w:w="1417" w:type="dxa"/>
            <w:gridSpan w:val="3"/>
            <w:vAlign w:val="center"/>
          </w:tcPr>
          <w:p w14:paraId="111503F5">
            <w:pPr>
              <w:jc w:val="center"/>
              <w:rPr>
                <w:color w:val="000000" w:themeColor="text1"/>
                <w:highlight w:val="none"/>
                <w14:textFill>
                  <w14:solidFill>
                    <w14:schemeClr w14:val="tx1"/>
                  </w14:solidFill>
                </w14:textFill>
              </w:rPr>
            </w:pPr>
          </w:p>
        </w:tc>
        <w:tc>
          <w:tcPr>
            <w:tcW w:w="1418" w:type="dxa"/>
            <w:gridSpan w:val="3"/>
            <w:vAlign w:val="center"/>
          </w:tcPr>
          <w:p w14:paraId="69C40288">
            <w:pPr>
              <w:jc w:val="center"/>
              <w:rPr>
                <w:color w:val="000000" w:themeColor="text1"/>
                <w:highlight w:val="none"/>
                <w14:textFill>
                  <w14:solidFill>
                    <w14:schemeClr w14:val="tx1"/>
                  </w14:solidFill>
                </w14:textFill>
              </w:rPr>
            </w:pPr>
          </w:p>
        </w:tc>
        <w:tc>
          <w:tcPr>
            <w:tcW w:w="1632" w:type="dxa"/>
            <w:gridSpan w:val="4"/>
            <w:vAlign w:val="center"/>
          </w:tcPr>
          <w:p w14:paraId="29C42C65">
            <w:pPr>
              <w:jc w:val="center"/>
              <w:rPr>
                <w:color w:val="000000" w:themeColor="text1"/>
                <w:highlight w:val="none"/>
                <w14:textFill>
                  <w14:solidFill>
                    <w14:schemeClr w14:val="tx1"/>
                  </w14:solidFill>
                </w14:textFill>
              </w:rPr>
            </w:pPr>
          </w:p>
        </w:tc>
        <w:tc>
          <w:tcPr>
            <w:tcW w:w="1416" w:type="dxa"/>
            <w:gridSpan w:val="2"/>
            <w:vAlign w:val="center"/>
          </w:tcPr>
          <w:p w14:paraId="0486B23D">
            <w:pPr>
              <w:jc w:val="center"/>
              <w:rPr>
                <w:color w:val="000000" w:themeColor="text1"/>
                <w:highlight w:val="none"/>
                <w14:textFill>
                  <w14:solidFill>
                    <w14:schemeClr w14:val="tx1"/>
                  </w14:solidFill>
                </w14:textFill>
              </w:rPr>
            </w:pPr>
          </w:p>
        </w:tc>
      </w:tr>
      <w:tr w14:paraId="7EF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41B8440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5331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D571930">
            <w:pPr>
              <w:jc w:val="center"/>
              <w:rPr>
                <w:color w:val="000000" w:themeColor="text1"/>
                <w:highlight w:val="none"/>
                <w14:textFill>
                  <w14:solidFill>
                    <w14:schemeClr w14:val="tx1"/>
                  </w14:solidFill>
                </w14:textFill>
              </w:rPr>
            </w:pPr>
          </w:p>
        </w:tc>
        <w:tc>
          <w:tcPr>
            <w:tcW w:w="1548" w:type="dxa"/>
            <w:gridSpan w:val="2"/>
            <w:vAlign w:val="center"/>
          </w:tcPr>
          <w:p w14:paraId="19DDA0A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3D10F64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64439C7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6DC778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4982FD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084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B71607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455CC4D8">
            <w:pPr>
              <w:jc w:val="center"/>
              <w:rPr>
                <w:color w:val="000000" w:themeColor="text1"/>
                <w:highlight w:val="none"/>
                <w14:textFill>
                  <w14:solidFill>
                    <w14:schemeClr w14:val="tx1"/>
                  </w14:solidFill>
                </w14:textFill>
              </w:rPr>
            </w:pPr>
          </w:p>
        </w:tc>
        <w:tc>
          <w:tcPr>
            <w:tcW w:w="1837" w:type="dxa"/>
            <w:gridSpan w:val="4"/>
            <w:vAlign w:val="center"/>
          </w:tcPr>
          <w:p w14:paraId="26EECF34">
            <w:pPr>
              <w:jc w:val="center"/>
              <w:rPr>
                <w:color w:val="000000" w:themeColor="text1"/>
                <w:highlight w:val="none"/>
                <w14:textFill>
                  <w14:solidFill>
                    <w14:schemeClr w14:val="tx1"/>
                  </w14:solidFill>
                </w14:textFill>
              </w:rPr>
            </w:pPr>
          </w:p>
        </w:tc>
        <w:tc>
          <w:tcPr>
            <w:tcW w:w="1472" w:type="dxa"/>
            <w:gridSpan w:val="3"/>
            <w:vAlign w:val="center"/>
          </w:tcPr>
          <w:p w14:paraId="0BFC61C5">
            <w:pPr>
              <w:jc w:val="center"/>
              <w:rPr>
                <w:color w:val="000000" w:themeColor="text1"/>
                <w:highlight w:val="none"/>
                <w14:textFill>
                  <w14:solidFill>
                    <w14:schemeClr w14:val="tx1"/>
                  </w14:solidFill>
                </w14:textFill>
              </w:rPr>
            </w:pPr>
          </w:p>
        </w:tc>
        <w:tc>
          <w:tcPr>
            <w:tcW w:w="1641" w:type="dxa"/>
            <w:gridSpan w:val="4"/>
            <w:vAlign w:val="center"/>
          </w:tcPr>
          <w:p w14:paraId="532235D1">
            <w:pPr>
              <w:jc w:val="center"/>
              <w:rPr>
                <w:color w:val="000000" w:themeColor="text1"/>
                <w:highlight w:val="none"/>
                <w14:textFill>
                  <w14:solidFill>
                    <w14:schemeClr w14:val="tx1"/>
                  </w14:solidFill>
                </w14:textFill>
              </w:rPr>
            </w:pPr>
          </w:p>
        </w:tc>
        <w:tc>
          <w:tcPr>
            <w:tcW w:w="1484" w:type="dxa"/>
            <w:gridSpan w:val="2"/>
            <w:vAlign w:val="center"/>
          </w:tcPr>
          <w:p w14:paraId="09C53CAC">
            <w:pPr>
              <w:jc w:val="center"/>
              <w:rPr>
                <w:color w:val="000000" w:themeColor="text1"/>
                <w:highlight w:val="none"/>
                <w14:textFill>
                  <w14:solidFill>
                    <w14:schemeClr w14:val="tx1"/>
                  </w14:solidFill>
                </w14:textFill>
              </w:rPr>
            </w:pPr>
          </w:p>
        </w:tc>
      </w:tr>
      <w:tr w14:paraId="2131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4CDD24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03C7FD8F">
            <w:pPr>
              <w:jc w:val="center"/>
              <w:rPr>
                <w:color w:val="000000" w:themeColor="text1"/>
                <w:highlight w:val="none"/>
                <w14:textFill>
                  <w14:solidFill>
                    <w14:schemeClr w14:val="tx1"/>
                  </w14:solidFill>
                </w14:textFill>
              </w:rPr>
            </w:pPr>
          </w:p>
        </w:tc>
        <w:tc>
          <w:tcPr>
            <w:tcW w:w="1837" w:type="dxa"/>
            <w:gridSpan w:val="4"/>
            <w:vAlign w:val="center"/>
          </w:tcPr>
          <w:p w14:paraId="16299E1F">
            <w:pPr>
              <w:jc w:val="center"/>
              <w:rPr>
                <w:color w:val="000000" w:themeColor="text1"/>
                <w:highlight w:val="none"/>
                <w14:textFill>
                  <w14:solidFill>
                    <w14:schemeClr w14:val="tx1"/>
                  </w14:solidFill>
                </w14:textFill>
              </w:rPr>
            </w:pPr>
          </w:p>
        </w:tc>
        <w:tc>
          <w:tcPr>
            <w:tcW w:w="1472" w:type="dxa"/>
            <w:gridSpan w:val="3"/>
            <w:vAlign w:val="center"/>
          </w:tcPr>
          <w:p w14:paraId="444641E4">
            <w:pPr>
              <w:jc w:val="center"/>
              <w:rPr>
                <w:color w:val="000000" w:themeColor="text1"/>
                <w:highlight w:val="none"/>
                <w14:textFill>
                  <w14:solidFill>
                    <w14:schemeClr w14:val="tx1"/>
                  </w14:solidFill>
                </w14:textFill>
              </w:rPr>
            </w:pPr>
          </w:p>
        </w:tc>
        <w:tc>
          <w:tcPr>
            <w:tcW w:w="1641" w:type="dxa"/>
            <w:gridSpan w:val="4"/>
            <w:vAlign w:val="center"/>
          </w:tcPr>
          <w:p w14:paraId="345377F3">
            <w:pPr>
              <w:jc w:val="center"/>
              <w:rPr>
                <w:color w:val="000000" w:themeColor="text1"/>
                <w:highlight w:val="none"/>
                <w14:textFill>
                  <w14:solidFill>
                    <w14:schemeClr w14:val="tx1"/>
                  </w14:solidFill>
                </w14:textFill>
              </w:rPr>
            </w:pPr>
          </w:p>
        </w:tc>
        <w:tc>
          <w:tcPr>
            <w:tcW w:w="1484" w:type="dxa"/>
            <w:gridSpan w:val="2"/>
            <w:vAlign w:val="center"/>
          </w:tcPr>
          <w:p w14:paraId="751D1566">
            <w:pPr>
              <w:jc w:val="center"/>
              <w:rPr>
                <w:color w:val="000000" w:themeColor="text1"/>
                <w:highlight w:val="none"/>
                <w14:textFill>
                  <w14:solidFill>
                    <w14:schemeClr w14:val="tx1"/>
                  </w14:solidFill>
                </w14:textFill>
              </w:rPr>
            </w:pPr>
          </w:p>
        </w:tc>
      </w:tr>
      <w:tr w14:paraId="2BB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AB8E47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9AC888F">
            <w:pPr>
              <w:jc w:val="center"/>
              <w:rPr>
                <w:color w:val="000000" w:themeColor="text1"/>
                <w:highlight w:val="none"/>
                <w14:textFill>
                  <w14:solidFill>
                    <w14:schemeClr w14:val="tx1"/>
                  </w14:solidFill>
                </w14:textFill>
              </w:rPr>
            </w:pPr>
          </w:p>
        </w:tc>
        <w:tc>
          <w:tcPr>
            <w:tcW w:w="1837" w:type="dxa"/>
            <w:gridSpan w:val="4"/>
            <w:vAlign w:val="center"/>
          </w:tcPr>
          <w:p w14:paraId="20DC6FAB">
            <w:pPr>
              <w:jc w:val="center"/>
              <w:rPr>
                <w:color w:val="000000" w:themeColor="text1"/>
                <w:highlight w:val="none"/>
                <w14:textFill>
                  <w14:solidFill>
                    <w14:schemeClr w14:val="tx1"/>
                  </w14:solidFill>
                </w14:textFill>
              </w:rPr>
            </w:pPr>
          </w:p>
        </w:tc>
        <w:tc>
          <w:tcPr>
            <w:tcW w:w="1472" w:type="dxa"/>
            <w:gridSpan w:val="3"/>
            <w:vAlign w:val="center"/>
          </w:tcPr>
          <w:p w14:paraId="43A440FC">
            <w:pPr>
              <w:jc w:val="center"/>
              <w:rPr>
                <w:color w:val="000000" w:themeColor="text1"/>
                <w:highlight w:val="none"/>
                <w14:textFill>
                  <w14:solidFill>
                    <w14:schemeClr w14:val="tx1"/>
                  </w14:solidFill>
                </w14:textFill>
              </w:rPr>
            </w:pPr>
          </w:p>
        </w:tc>
        <w:tc>
          <w:tcPr>
            <w:tcW w:w="1641" w:type="dxa"/>
            <w:gridSpan w:val="4"/>
            <w:vAlign w:val="center"/>
          </w:tcPr>
          <w:p w14:paraId="28625AD0">
            <w:pPr>
              <w:jc w:val="center"/>
              <w:rPr>
                <w:color w:val="000000" w:themeColor="text1"/>
                <w:highlight w:val="none"/>
                <w14:textFill>
                  <w14:solidFill>
                    <w14:schemeClr w14:val="tx1"/>
                  </w14:solidFill>
                </w14:textFill>
              </w:rPr>
            </w:pPr>
          </w:p>
        </w:tc>
        <w:tc>
          <w:tcPr>
            <w:tcW w:w="1484" w:type="dxa"/>
            <w:gridSpan w:val="2"/>
            <w:vAlign w:val="center"/>
          </w:tcPr>
          <w:p w14:paraId="62B5B0D8">
            <w:pPr>
              <w:jc w:val="center"/>
              <w:rPr>
                <w:color w:val="000000" w:themeColor="text1"/>
                <w:highlight w:val="none"/>
                <w14:textFill>
                  <w14:solidFill>
                    <w14:schemeClr w14:val="tx1"/>
                  </w14:solidFill>
                </w14:textFill>
              </w:rPr>
            </w:pPr>
          </w:p>
        </w:tc>
      </w:tr>
      <w:tr w14:paraId="5F5F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CC23314">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363EF758">
            <w:pPr>
              <w:jc w:val="center"/>
              <w:rPr>
                <w:color w:val="000000" w:themeColor="text1"/>
                <w:highlight w:val="none"/>
                <w14:textFill>
                  <w14:solidFill>
                    <w14:schemeClr w14:val="tx1"/>
                  </w14:solidFill>
                </w14:textFill>
              </w:rPr>
            </w:pPr>
          </w:p>
        </w:tc>
        <w:tc>
          <w:tcPr>
            <w:tcW w:w="1837" w:type="dxa"/>
            <w:gridSpan w:val="4"/>
            <w:vAlign w:val="center"/>
          </w:tcPr>
          <w:p w14:paraId="03359EA0">
            <w:pPr>
              <w:jc w:val="center"/>
              <w:rPr>
                <w:color w:val="000000" w:themeColor="text1"/>
                <w:highlight w:val="none"/>
                <w14:textFill>
                  <w14:solidFill>
                    <w14:schemeClr w14:val="tx1"/>
                  </w14:solidFill>
                </w14:textFill>
              </w:rPr>
            </w:pPr>
          </w:p>
        </w:tc>
        <w:tc>
          <w:tcPr>
            <w:tcW w:w="1472" w:type="dxa"/>
            <w:gridSpan w:val="3"/>
            <w:vAlign w:val="center"/>
          </w:tcPr>
          <w:p w14:paraId="3F609F39">
            <w:pPr>
              <w:jc w:val="center"/>
              <w:rPr>
                <w:color w:val="000000" w:themeColor="text1"/>
                <w:highlight w:val="none"/>
                <w14:textFill>
                  <w14:solidFill>
                    <w14:schemeClr w14:val="tx1"/>
                  </w14:solidFill>
                </w14:textFill>
              </w:rPr>
            </w:pPr>
          </w:p>
        </w:tc>
        <w:tc>
          <w:tcPr>
            <w:tcW w:w="1641" w:type="dxa"/>
            <w:gridSpan w:val="4"/>
            <w:vAlign w:val="center"/>
          </w:tcPr>
          <w:p w14:paraId="3DBF53F1">
            <w:pPr>
              <w:jc w:val="center"/>
              <w:rPr>
                <w:color w:val="000000" w:themeColor="text1"/>
                <w:highlight w:val="none"/>
                <w14:textFill>
                  <w14:solidFill>
                    <w14:schemeClr w14:val="tx1"/>
                  </w14:solidFill>
                </w14:textFill>
              </w:rPr>
            </w:pPr>
          </w:p>
        </w:tc>
        <w:tc>
          <w:tcPr>
            <w:tcW w:w="1484" w:type="dxa"/>
            <w:gridSpan w:val="2"/>
            <w:vAlign w:val="center"/>
          </w:tcPr>
          <w:p w14:paraId="42B6E6DA">
            <w:pPr>
              <w:jc w:val="center"/>
              <w:rPr>
                <w:color w:val="000000" w:themeColor="text1"/>
                <w:highlight w:val="none"/>
                <w14:textFill>
                  <w14:solidFill>
                    <w14:schemeClr w14:val="tx1"/>
                  </w14:solidFill>
                </w14:textFill>
              </w:rPr>
            </w:pPr>
          </w:p>
        </w:tc>
      </w:tr>
      <w:tr w14:paraId="7593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34AF18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1AC2CEFD">
            <w:pPr>
              <w:jc w:val="center"/>
              <w:rPr>
                <w:color w:val="000000" w:themeColor="text1"/>
                <w:highlight w:val="none"/>
                <w14:textFill>
                  <w14:solidFill>
                    <w14:schemeClr w14:val="tx1"/>
                  </w14:solidFill>
                </w14:textFill>
              </w:rPr>
            </w:pPr>
          </w:p>
        </w:tc>
        <w:tc>
          <w:tcPr>
            <w:tcW w:w="1837" w:type="dxa"/>
            <w:gridSpan w:val="4"/>
            <w:vAlign w:val="center"/>
          </w:tcPr>
          <w:p w14:paraId="40115040">
            <w:pPr>
              <w:jc w:val="center"/>
              <w:rPr>
                <w:color w:val="000000" w:themeColor="text1"/>
                <w:highlight w:val="none"/>
                <w14:textFill>
                  <w14:solidFill>
                    <w14:schemeClr w14:val="tx1"/>
                  </w14:solidFill>
                </w14:textFill>
              </w:rPr>
            </w:pPr>
          </w:p>
        </w:tc>
        <w:tc>
          <w:tcPr>
            <w:tcW w:w="1472" w:type="dxa"/>
            <w:gridSpan w:val="3"/>
            <w:vAlign w:val="center"/>
          </w:tcPr>
          <w:p w14:paraId="476EAE05">
            <w:pPr>
              <w:jc w:val="center"/>
              <w:rPr>
                <w:color w:val="000000" w:themeColor="text1"/>
                <w:highlight w:val="none"/>
                <w14:textFill>
                  <w14:solidFill>
                    <w14:schemeClr w14:val="tx1"/>
                  </w14:solidFill>
                </w14:textFill>
              </w:rPr>
            </w:pPr>
          </w:p>
        </w:tc>
        <w:tc>
          <w:tcPr>
            <w:tcW w:w="1641" w:type="dxa"/>
            <w:gridSpan w:val="4"/>
            <w:vAlign w:val="center"/>
          </w:tcPr>
          <w:p w14:paraId="105C089E">
            <w:pPr>
              <w:jc w:val="center"/>
              <w:rPr>
                <w:color w:val="000000" w:themeColor="text1"/>
                <w:highlight w:val="none"/>
                <w14:textFill>
                  <w14:solidFill>
                    <w14:schemeClr w14:val="tx1"/>
                  </w14:solidFill>
                </w14:textFill>
              </w:rPr>
            </w:pPr>
          </w:p>
        </w:tc>
        <w:tc>
          <w:tcPr>
            <w:tcW w:w="1484" w:type="dxa"/>
            <w:gridSpan w:val="2"/>
            <w:vAlign w:val="center"/>
          </w:tcPr>
          <w:p w14:paraId="3DB8F7D0">
            <w:pPr>
              <w:jc w:val="center"/>
              <w:rPr>
                <w:color w:val="000000" w:themeColor="text1"/>
                <w:highlight w:val="none"/>
                <w14:textFill>
                  <w14:solidFill>
                    <w14:schemeClr w14:val="tx1"/>
                  </w14:solidFill>
                </w14:textFill>
              </w:rPr>
            </w:pPr>
          </w:p>
        </w:tc>
      </w:tr>
      <w:tr w14:paraId="10D7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C617A5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7793C4D0">
            <w:pPr>
              <w:jc w:val="center"/>
              <w:rPr>
                <w:color w:val="000000" w:themeColor="text1"/>
                <w:highlight w:val="none"/>
                <w14:textFill>
                  <w14:solidFill>
                    <w14:schemeClr w14:val="tx1"/>
                  </w14:solidFill>
                </w14:textFill>
              </w:rPr>
            </w:pPr>
          </w:p>
        </w:tc>
        <w:tc>
          <w:tcPr>
            <w:tcW w:w="1837" w:type="dxa"/>
            <w:gridSpan w:val="4"/>
            <w:vAlign w:val="center"/>
          </w:tcPr>
          <w:p w14:paraId="20CF952A">
            <w:pPr>
              <w:jc w:val="center"/>
              <w:rPr>
                <w:color w:val="000000" w:themeColor="text1"/>
                <w:highlight w:val="none"/>
                <w14:textFill>
                  <w14:solidFill>
                    <w14:schemeClr w14:val="tx1"/>
                  </w14:solidFill>
                </w14:textFill>
              </w:rPr>
            </w:pPr>
          </w:p>
        </w:tc>
        <w:tc>
          <w:tcPr>
            <w:tcW w:w="1472" w:type="dxa"/>
            <w:gridSpan w:val="3"/>
            <w:vAlign w:val="center"/>
          </w:tcPr>
          <w:p w14:paraId="319B5651">
            <w:pPr>
              <w:jc w:val="center"/>
              <w:rPr>
                <w:color w:val="000000" w:themeColor="text1"/>
                <w:highlight w:val="none"/>
                <w14:textFill>
                  <w14:solidFill>
                    <w14:schemeClr w14:val="tx1"/>
                  </w14:solidFill>
                </w14:textFill>
              </w:rPr>
            </w:pPr>
          </w:p>
        </w:tc>
        <w:tc>
          <w:tcPr>
            <w:tcW w:w="1641" w:type="dxa"/>
            <w:gridSpan w:val="4"/>
            <w:vAlign w:val="center"/>
          </w:tcPr>
          <w:p w14:paraId="061CE39E">
            <w:pPr>
              <w:jc w:val="center"/>
              <w:rPr>
                <w:color w:val="000000" w:themeColor="text1"/>
                <w:highlight w:val="none"/>
                <w14:textFill>
                  <w14:solidFill>
                    <w14:schemeClr w14:val="tx1"/>
                  </w14:solidFill>
                </w14:textFill>
              </w:rPr>
            </w:pPr>
          </w:p>
        </w:tc>
        <w:tc>
          <w:tcPr>
            <w:tcW w:w="1484" w:type="dxa"/>
            <w:gridSpan w:val="2"/>
            <w:vAlign w:val="center"/>
          </w:tcPr>
          <w:p w14:paraId="68AA285D">
            <w:pPr>
              <w:jc w:val="center"/>
              <w:rPr>
                <w:color w:val="000000" w:themeColor="text1"/>
                <w:highlight w:val="none"/>
                <w14:textFill>
                  <w14:solidFill>
                    <w14:schemeClr w14:val="tx1"/>
                  </w14:solidFill>
                </w14:textFill>
              </w:rPr>
            </w:pPr>
          </w:p>
        </w:tc>
      </w:tr>
      <w:tr w14:paraId="69AA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CC9EDD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7ED6B9A">
            <w:pPr>
              <w:jc w:val="center"/>
              <w:rPr>
                <w:color w:val="000000" w:themeColor="text1"/>
                <w:highlight w:val="none"/>
                <w14:textFill>
                  <w14:solidFill>
                    <w14:schemeClr w14:val="tx1"/>
                  </w14:solidFill>
                </w14:textFill>
              </w:rPr>
            </w:pPr>
          </w:p>
        </w:tc>
        <w:tc>
          <w:tcPr>
            <w:tcW w:w="1837" w:type="dxa"/>
            <w:gridSpan w:val="4"/>
            <w:vAlign w:val="center"/>
          </w:tcPr>
          <w:p w14:paraId="3DB7CC8E">
            <w:pPr>
              <w:jc w:val="center"/>
              <w:rPr>
                <w:color w:val="000000" w:themeColor="text1"/>
                <w:highlight w:val="none"/>
                <w14:textFill>
                  <w14:solidFill>
                    <w14:schemeClr w14:val="tx1"/>
                  </w14:solidFill>
                </w14:textFill>
              </w:rPr>
            </w:pPr>
          </w:p>
        </w:tc>
        <w:tc>
          <w:tcPr>
            <w:tcW w:w="1472" w:type="dxa"/>
            <w:gridSpan w:val="3"/>
            <w:vAlign w:val="center"/>
          </w:tcPr>
          <w:p w14:paraId="795B68A7">
            <w:pPr>
              <w:jc w:val="center"/>
              <w:rPr>
                <w:color w:val="000000" w:themeColor="text1"/>
                <w:highlight w:val="none"/>
                <w14:textFill>
                  <w14:solidFill>
                    <w14:schemeClr w14:val="tx1"/>
                  </w14:solidFill>
                </w14:textFill>
              </w:rPr>
            </w:pPr>
          </w:p>
        </w:tc>
        <w:tc>
          <w:tcPr>
            <w:tcW w:w="1641" w:type="dxa"/>
            <w:gridSpan w:val="4"/>
            <w:vAlign w:val="center"/>
          </w:tcPr>
          <w:p w14:paraId="627137ED">
            <w:pPr>
              <w:jc w:val="center"/>
              <w:rPr>
                <w:color w:val="000000" w:themeColor="text1"/>
                <w:highlight w:val="none"/>
                <w14:textFill>
                  <w14:solidFill>
                    <w14:schemeClr w14:val="tx1"/>
                  </w14:solidFill>
                </w14:textFill>
              </w:rPr>
            </w:pPr>
          </w:p>
        </w:tc>
        <w:tc>
          <w:tcPr>
            <w:tcW w:w="1484" w:type="dxa"/>
            <w:gridSpan w:val="2"/>
            <w:vAlign w:val="center"/>
          </w:tcPr>
          <w:p w14:paraId="0F0192A5">
            <w:pPr>
              <w:jc w:val="center"/>
              <w:rPr>
                <w:color w:val="000000" w:themeColor="text1"/>
                <w:highlight w:val="none"/>
                <w14:textFill>
                  <w14:solidFill>
                    <w14:schemeClr w14:val="tx1"/>
                  </w14:solidFill>
                </w14:textFill>
              </w:rPr>
            </w:pPr>
          </w:p>
        </w:tc>
      </w:tr>
      <w:tr w14:paraId="7E0C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16C83E6">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55AC6C0B">
            <w:pPr>
              <w:jc w:val="center"/>
              <w:rPr>
                <w:color w:val="000000" w:themeColor="text1"/>
                <w:highlight w:val="none"/>
                <w14:textFill>
                  <w14:solidFill>
                    <w14:schemeClr w14:val="tx1"/>
                  </w14:solidFill>
                </w14:textFill>
              </w:rPr>
            </w:pPr>
          </w:p>
        </w:tc>
        <w:tc>
          <w:tcPr>
            <w:tcW w:w="1837" w:type="dxa"/>
            <w:gridSpan w:val="4"/>
            <w:vAlign w:val="center"/>
          </w:tcPr>
          <w:p w14:paraId="5E134580">
            <w:pPr>
              <w:jc w:val="center"/>
              <w:rPr>
                <w:color w:val="000000" w:themeColor="text1"/>
                <w:highlight w:val="none"/>
                <w14:textFill>
                  <w14:solidFill>
                    <w14:schemeClr w14:val="tx1"/>
                  </w14:solidFill>
                </w14:textFill>
              </w:rPr>
            </w:pPr>
          </w:p>
        </w:tc>
        <w:tc>
          <w:tcPr>
            <w:tcW w:w="1472" w:type="dxa"/>
            <w:gridSpan w:val="3"/>
            <w:vAlign w:val="center"/>
          </w:tcPr>
          <w:p w14:paraId="2932FB94">
            <w:pPr>
              <w:jc w:val="center"/>
              <w:rPr>
                <w:color w:val="000000" w:themeColor="text1"/>
                <w:highlight w:val="none"/>
                <w14:textFill>
                  <w14:solidFill>
                    <w14:schemeClr w14:val="tx1"/>
                  </w14:solidFill>
                </w14:textFill>
              </w:rPr>
            </w:pPr>
          </w:p>
        </w:tc>
        <w:tc>
          <w:tcPr>
            <w:tcW w:w="1641" w:type="dxa"/>
            <w:gridSpan w:val="4"/>
            <w:vAlign w:val="center"/>
          </w:tcPr>
          <w:p w14:paraId="3F7FA0D9">
            <w:pPr>
              <w:jc w:val="center"/>
              <w:rPr>
                <w:color w:val="000000" w:themeColor="text1"/>
                <w:highlight w:val="none"/>
                <w14:textFill>
                  <w14:solidFill>
                    <w14:schemeClr w14:val="tx1"/>
                  </w14:solidFill>
                </w14:textFill>
              </w:rPr>
            </w:pPr>
          </w:p>
        </w:tc>
        <w:tc>
          <w:tcPr>
            <w:tcW w:w="1484" w:type="dxa"/>
            <w:gridSpan w:val="2"/>
            <w:vAlign w:val="center"/>
          </w:tcPr>
          <w:p w14:paraId="5393E8BD">
            <w:pPr>
              <w:jc w:val="center"/>
              <w:rPr>
                <w:color w:val="000000" w:themeColor="text1"/>
                <w:highlight w:val="none"/>
                <w14:textFill>
                  <w14:solidFill>
                    <w14:schemeClr w14:val="tx1"/>
                  </w14:solidFill>
                </w14:textFill>
              </w:rPr>
            </w:pPr>
          </w:p>
        </w:tc>
      </w:tr>
      <w:tr w14:paraId="4287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B479752">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7E5B7F16">
            <w:pPr>
              <w:jc w:val="center"/>
              <w:rPr>
                <w:color w:val="000000" w:themeColor="text1"/>
                <w:highlight w:val="none"/>
                <w14:textFill>
                  <w14:solidFill>
                    <w14:schemeClr w14:val="tx1"/>
                  </w14:solidFill>
                </w14:textFill>
              </w:rPr>
            </w:pPr>
          </w:p>
        </w:tc>
        <w:tc>
          <w:tcPr>
            <w:tcW w:w="1837" w:type="dxa"/>
            <w:gridSpan w:val="4"/>
            <w:vAlign w:val="center"/>
          </w:tcPr>
          <w:p w14:paraId="57DFBBD1">
            <w:pPr>
              <w:jc w:val="center"/>
              <w:rPr>
                <w:color w:val="000000" w:themeColor="text1"/>
                <w:highlight w:val="none"/>
                <w14:textFill>
                  <w14:solidFill>
                    <w14:schemeClr w14:val="tx1"/>
                  </w14:solidFill>
                </w14:textFill>
              </w:rPr>
            </w:pPr>
          </w:p>
        </w:tc>
        <w:tc>
          <w:tcPr>
            <w:tcW w:w="1472" w:type="dxa"/>
            <w:gridSpan w:val="3"/>
            <w:vAlign w:val="center"/>
          </w:tcPr>
          <w:p w14:paraId="61F4CEF8">
            <w:pPr>
              <w:jc w:val="center"/>
              <w:rPr>
                <w:color w:val="000000" w:themeColor="text1"/>
                <w:highlight w:val="none"/>
                <w14:textFill>
                  <w14:solidFill>
                    <w14:schemeClr w14:val="tx1"/>
                  </w14:solidFill>
                </w14:textFill>
              </w:rPr>
            </w:pPr>
          </w:p>
        </w:tc>
        <w:tc>
          <w:tcPr>
            <w:tcW w:w="1641" w:type="dxa"/>
            <w:gridSpan w:val="4"/>
            <w:vAlign w:val="center"/>
          </w:tcPr>
          <w:p w14:paraId="052BD0C2">
            <w:pPr>
              <w:jc w:val="center"/>
              <w:rPr>
                <w:color w:val="000000" w:themeColor="text1"/>
                <w:highlight w:val="none"/>
                <w14:textFill>
                  <w14:solidFill>
                    <w14:schemeClr w14:val="tx1"/>
                  </w14:solidFill>
                </w14:textFill>
              </w:rPr>
            </w:pPr>
          </w:p>
        </w:tc>
        <w:tc>
          <w:tcPr>
            <w:tcW w:w="1484" w:type="dxa"/>
            <w:gridSpan w:val="2"/>
            <w:vAlign w:val="center"/>
          </w:tcPr>
          <w:p w14:paraId="59B066D9">
            <w:pPr>
              <w:jc w:val="center"/>
              <w:rPr>
                <w:color w:val="000000" w:themeColor="text1"/>
                <w:highlight w:val="none"/>
                <w14:textFill>
                  <w14:solidFill>
                    <w14:schemeClr w14:val="tx1"/>
                  </w14:solidFill>
                </w14:textFill>
              </w:rPr>
            </w:pPr>
          </w:p>
        </w:tc>
      </w:tr>
    </w:tbl>
    <w:p w14:paraId="484FE7C8">
      <w:pPr>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433781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r>
        <w:rPr>
          <w:rFonts w:hint="eastAsia" w:ascii="宋体" w:hAnsi="宋体"/>
          <w:color w:val="000000" w:themeColor="text1"/>
          <w:szCs w:val="21"/>
          <w:highlight w:val="none"/>
          <w14:textFill>
            <w14:solidFill>
              <w14:schemeClr w14:val="tx1"/>
            </w14:solidFill>
          </w14:textFill>
        </w:rPr>
        <w:t>。</w:t>
      </w:r>
    </w:p>
    <w:p w14:paraId="3E905CF0">
      <w:pPr>
        <w:pStyle w:val="17"/>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本表后附项目经理的</w:t>
      </w:r>
      <w:r>
        <w:rPr>
          <w:color w:val="000000" w:themeColor="text1"/>
          <w:highlight w:val="none"/>
          <w14:textFill>
            <w14:solidFill>
              <w14:schemeClr w14:val="tx1"/>
            </w14:solidFill>
          </w14:textFill>
        </w:rPr>
        <w:t>执业资格证书复印件（或打印件）、职称证书复印件（或打印件）</w:t>
      </w:r>
      <w:r>
        <w:rPr>
          <w:rFonts w:hint="eastAsia" w:ascii="宋体" w:hAnsi="宋体"/>
          <w:color w:val="000000" w:themeColor="text1"/>
          <w:szCs w:val="21"/>
          <w:highlight w:val="none"/>
          <w14:textFill>
            <w14:solidFill>
              <w14:schemeClr w14:val="tx1"/>
            </w14:solidFill>
          </w14:textFill>
        </w:rPr>
        <w:t>、安全生产考核合格证（B类）</w:t>
      </w:r>
      <w:r>
        <w:rPr>
          <w:color w:val="000000" w:themeColor="text1"/>
          <w:highlight w:val="none"/>
          <w14:textFill>
            <w14:solidFill>
              <w14:schemeClr w14:val="tx1"/>
            </w14:solidFill>
          </w14:textFill>
        </w:rPr>
        <w:t>复印件（或打印件）</w:t>
      </w:r>
      <w:r>
        <w:rPr>
          <w:rFonts w:hint="eastAsia" w:ascii="宋体" w:hAnsi="宋体"/>
          <w:color w:val="000000" w:themeColor="text1"/>
          <w:szCs w:val="21"/>
          <w:highlight w:val="none"/>
          <w14:textFill>
            <w14:solidFill>
              <w14:schemeClr w14:val="tx1"/>
            </w14:solidFill>
          </w14:textFill>
        </w:rPr>
        <w:t>，本表所列证书材料并加盖供应商电子签章。</w:t>
      </w:r>
    </w:p>
    <w:p w14:paraId="518D6234">
      <w:pPr>
        <w:spacing w:beforeLines="50"/>
        <w:ind w:firstLine="643" w:firstLineChars="200"/>
        <w:jc w:val="center"/>
        <w:rPr>
          <w:color w:val="000000" w:themeColor="text1"/>
          <w:sz w:val="28"/>
          <w:szCs w:val="28"/>
          <w:highlight w:val="none"/>
          <w:u w:val="single"/>
          <w14:textFill>
            <w14:solidFill>
              <w14:schemeClr w14:val="tx1"/>
            </w14:solidFill>
          </w14:textFill>
        </w:rPr>
      </w:pPr>
      <w:r>
        <w:rPr>
          <w:rFonts w:cs="宋体"/>
          <w:b/>
          <w:color w:val="000000" w:themeColor="text1"/>
          <w:sz w:val="32"/>
          <w:szCs w:val="32"/>
          <w:highlight w:val="none"/>
          <w14:textFill>
            <w14:solidFill>
              <w14:schemeClr w14:val="tx1"/>
            </w14:solidFill>
          </w14:textFill>
        </w:rPr>
        <w:br w:type="page"/>
      </w:r>
      <w:r>
        <w:rPr>
          <w:rFonts w:hint="eastAsia" w:cs="宋体"/>
          <w:b/>
          <w:color w:val="000000" w:themeColor="text1"/>
          <w:sz w:val="28"/>
          <w:szCs w:val="28"/>
          <w:highlight w:val="none"/>
          <w14:textFill>
            <w14:solidFill>
              <w14:schemeClr w14:val="tx1"/>
            </w14:solidFill>
          </w14:textFill>
        </w:rPr>
        <w:t>项目技术负责人（项目总工）简历表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592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4357EF3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vAlign w:val="center"/>
          </w:tcPr>
          <w:p w14:paraId="6CED7C10">
            <w:pPr>
              <w:jc w:val="center"/>
              <w:rPr>
                <w:color w:val="000000" w:themeColor="text1"/>
                <w:highlight w:val="none"/>
                <w14:textFill>
                  <w14:solidFill>
                    <w14:schemeClr w14:val="tx1"/>
                  </w14:solidFill>
                </w14:textFill>
              </w:rPr>
            </w:pPr>
          </w:p>
        </w:tc>
        <w:tc>
          <w:tcPr>
            <w:tcW w:w="1893" w:type="dxa"/>
            <w:gridSpan w:val="5"/>
            <w:vAlign w:val="center"/>
          </w:tcPr>
          <w:p w14:paraId="0CDEE12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3712DC69">
            <w:pPr>
              <w:jc w:val="center"/>
              <w:rPr>
                <w:color w:val="000000" w:themeColor="text1"/>
                <w:highlight w:val="none"/>
                <w14:textFill>
                  <w14:solidFill>
                    <w14:schemeClr w14:val="tx1"/>
                  </w14:solidFill>
                </w14:textFill>
              </w:rPr>
            </w:pPr>
          </w:p>
        </w:tc>
        <w:tc>
          <w:tcPr>
            <w:tcW w:w="1108" w:type="dxa"/>
            <w:vAlign w:val="center"/>
          </w:tcPr>
          <w:p w14:paraId="4EADB96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CACC9C5">
            <w:pPr>
              <w:jc w:val="center"/>
              <w:rPr>
                <w:color w:val="000000" w:themeColor="text1"/>
                <w:highlight w:val="none"/>
                <w14:textFill>
                  <w14:solidFill>
                    <w14:schemeClr w14:val="tx1"/>
                  </w14:solidFill>
                </w14:textFill>
              </w:rPr>
            </w:pPr>
          </w:p>
        </w:tc>
      </w:tr>
      <w:tr w14:paraId="1046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476A1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vAlign w:val="center"/>
          </w:tcPr>
          <w:p w14:paraId="7A01440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项目技术负责人（项目总工）</w:t>
            </w:r>
          </w:p>
        </w:tc>
        <w:tc>
          <w:tcPr>
            <w:tcW w:w="1893" w:type="dxa"/>
            <w:gridSpan w:val="5"/>
            <w:vAlign w:val="center"/>
          </w:tcPr>
          <w:p w14:paraId="027265B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008B6B4B">
            <w:pPr>
              <w:jc w:val="center"/>
              <w:rPr>
                <w:color w:val="000000" w:themeColor="text1"/>
                <w:highlight w:val="none"/>
                <w14:textFill>
                  <w14:solidFill>
                    <w14:schemeClr w14:val="tx1"/>
                  </w14:solidFill>
                </w14:textFill>
              </w:rPr>
            </w:pPr>
          </w:p>
        </w:tc>
        <w:tc>
          <w:tcPr>
            <w:tcW w:w="1108" w:type="dxa"/>
            <w:vAlign w:val="center"/>
          </w:tcPr>
          <w:p w14:paraId="647D693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5F1E918C">
            <w:pPr>
              <w:jc w:val="center"/>
              <w:rPr>
                <w:color w:val="000000" w:themeColor="text1"/>
                <w:highlight w:val="none"/>
                <w14:textFill>
                  <w14:solidFill>
                    <w14:schemeClr w14:val="tx1"/>
                  </w14:solidFill>
                </w14:textFill>
              </w:rPr>
            </w:pPr>
          </w:p>
        </w:tc>
      </w:tr>
      <w:tr w14:paraId="262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201CDB8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vAlign w:val="center"/>
          </w:tcPr>
          <w:p w14:paraId="69488F3D">
            <w:pPr>
              <w:jc w:val="center"/>
              <w:rPr>
                <w:color w:val="000000" w:themeColor="text1"/>
                <w:highlight w:val="none"/>
                <w14:textFill>
                  <w14:solidFill>
                    <w14:schemeClr w14:val="tx1"/>
                  </w14:solidFill>
                </w14:textFill>
              </w:rPr>
            </w:pPr>
          </w:p>
        </w:tc>
        <w:tc>
          <w:tcPr>
            <w:tcW w:w="1893" w:type="dxa"/>
            <w:gridSpan w:val="5"/>
            <w:vAlign w:val="center"/>
          </w:tcPr>
          <w:p w14:paraId="0D73CE1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2FD4C321">
            <w:pPr>
              <w:jc w:val="center"/>
              <w:rPr>
                <w:color w:val="000000" w:themeColor="text1"/>
                <w:highlight w:val="none"/>
                <w14:textFill>
                  <w14:solidFill>
                    <w14:schemeClr w14:val="tx1"/>
                  </w14:solidFill>
                </w14:textFill>
              </w:rPr>
            </w:pPr>
          </w:p>
        </w:tc>
        <w:tc>
          <w:tcPr>
            <w:tcW w:w="1108" w:type="dxa"/>
            <w:vAlign w:val="center"/>
          </w:tcPr>
          <w:p w14:paraId="706C434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01B6A56E">
            <w:pPr>
              <w:jc w:val="center"/>
              <w:rPr>
                <w:color w:val="000000" w:themeColor="text1"/>
                <w:highlight w:val="none"/>
                <w14:textFill>
                  <w14:solidFill>
                    <w14:schemeClr w14:val="tx1"/>
                  </w14:solidFill>
                </w14:textFill>
              </w:rPr>
            </w:pPr>
          </w:p>
        </w:tc>
      </w:tr>
      <w:tr w14:paraId="6643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66AABC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w:t>
            </w:r>
            <w:r>
              <w:rPr>
                <w:rFonts w:hint="eastAsia"/>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年限</w:t>
            </w:r>
          </w:p>
        </w:tc>
        <w:tc>
          <w:tcPr>
            <w:tcW w:w="2476" w:type="dxa"/>
            <w:gridSpan w:val="6"/>
            <w:vAlign w:val="center"/>
          </w:tcPr>
          <w:p w14:paraId="35E1CABA">
            <w:pPr>
              <w:jc w:val="center"/>
              <w:rPr>
                <w:color w:val="000000" w:themeColor="text1"/>
                <w:highlight w:val="none"/>
                <w14:textFill>
                  <w14:solidFill>
                    <w14:schemeClr w14:val="tx1"/>
                  </w14:solidFill>
                </w14:textFill>
              </w:rPr>
            </w:pPr>
          </w:p>
        </w:tc>
        <w:tc>
          <w:tcPr>
            <w:tcW w:w="1209" w:type="dxa"/>
            <w:vAlign w:val="center"/>
          </w:tcPr>
          <w:p w14:paraId="7D7FC10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04A9EB93">
            <w:pPr>
              <w:jc w:val="center"/>
              <w:rPr>
                <w:color w:val="000000" w:themeColor="text1"/>
                <w:highlight w:val="none"/>
                <w14:textFill>
                  <w14:solidFill>
                    <w14:schemeClr w14:val="tx1"/>
                  </w14:solidFill>
                </w14:textFill>
              </w:rPr>
            </w:pPr>
          </w:p>
        </w:tc>
      </w:tr>
      <w:tr w14:paraId="22F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A1EB4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188" w:type="dxa"/>
            <w:gridSpan w:val="2"/>
            <w:vAlign w:val="center"/>
          </w:tcPr>
          <w:p w14:paraId="70EF71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001235B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37268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45146A3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1CD72E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2804C77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34C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2D1D9854">
            <w:pPr>
              <w:jc w:val="center"/>
              <w:rPr>
                <w:color w:val="000000" w:themeColor="text1"/>
                <w:highlight w:val="none"/>
                <w14:textFill>
                  <w14:solidFill>
                    <w14:schemeClr w14:val="tx1"/>
                  </w14:solidFill>
                </w14:textFill>
              </w:rPr>
            </w:pPr>
          </w:p>
        </w:tc>
        <w:tc>
          <w:tcPr>
            <w:tcW w:w="1188" w:type="dxa"/>
            <w:gridSpan w:val="2"/>
            <w:vAlign w:val="center"/>
          </w:tcPr>
          <w:p w14:paraId="6D234363">
            <w:pPr>
              <w:jc w:val="center"/>
              <w:rPr>
                <w:color w:val="000000" w:themeColor="text1"/>
                <w:highlight w:val="none"/>
                <w14:textFill>
                  <w14:solidFill>
                    <w14:schemeClr w14:val="tx1"/>
                  </w14:solidFill>
                </w14:textFill>
              </w:rPr>
            </w:pPr>
          </w:p>
        </w:tc>
        <w:tc>
          <w:tcPr>
            <w:tcW w:w="1222" w:type="dxa"/>
            <w:gridSpan w:val="3"/>
            <w:vAlign w:val="center"/>
          </w:tcPr>
          <w:p w14:paraId="2BBA53D4">
            <w:pPr>
              <w:jc w:val="center"/>
              <w:rPr>
                <w:rFonts w:cs="宋体"/>
                <w:color w:val="000000" w:themeColor="text1"/>
                <w:highlight w:val="none"/>
                <w14:textFill>
                  <w14:solidFill>
                    <w14:schemeClr w14:val="tx1"/>
                  </w14:solidFill>
                </w14:textFill>
              </w:rPr>
            </w:pPr>
          </w:p>
        </w:tc>
        <w:tc>
          <w:tcPr>
            <w:tcW w:w="1417" w:type="dxa"/>
            <w:gridSpan w:val="3"/>
            <w:vAlign w:val="center"/>
          </w:tcPr>
          <w:p w14:paraId="1BC3BD0A">
            <w:pPr>
              <w:jc w:val="center"/>
              <w:rPr>
                <w:color w:val="000000" w:themeColor="text1"/>
                <w:highlight w:val="none"/>
                <w14:textFill>
                  <w14:solidFill>
                    <w14:schemeClr w14:val="tx1"/>
                  </w14:solidFill>
                </w14:textFill>
              </w:rPr>
            </w:pPr>
          </w:p>
        </w:tc>
        <w:tc>
          <w:tcPr>
            <w:tcW w:w="1418" w:type="dxa"/>
            <w:gridSpan w:val="3"/>
            <w:vAlign w:val="center"/>
          </w:tcPr>
          <w:p w14:paraId="334108A8">
            <w:pPr>
              <w:jc w:val="center"/>
              <w:rPr>
                <w:color w:val="000000" w:themeColor="text1"/>
                <w:highlight w:val="none"/>
                <w14:textFill>
                  <w14:solidFill>
                    <w14:schemeClr w14:val="tx1"/>
                  </w14:solidFill>
                </w14:textFill>
              </w:rPr>
            </w:pPr>
          </w:p>
        </w:tc>
        <w:tc>
          <w:tcPr>
            <w:tcW w:w="1632" w:type="dxa"/>
            <w:gridSpan w:val="4"/>
            <w:vAlign w:val="center"/>
          </w:tcPr>
          <w:p w14:paraId="217402DE">
            <w:pPr>
              <w:jc w:val="center"/>
              <w:rPr>
                <w:color w:val="000000" w:themeColor="text1"/>
                <w:highlight w:val="none"/>
                <w14:textFill>
                  <w14:solidFill>
                    <w14:schemeClr w14:val="tx1"/>
                  </w14:solidFill>
                </w14:textFill>
              </w:rPr>
            </w:pPr>
          </w:p>
        </w:tc>
        <w:tc>
          <w:tcPr>
            <w:tcW w:w="1416" w:type="dxa"/>
            <w:gridSpan w:val="2"/>
            <w:vAlign w:val="center"/>
          </w:tcPr>
          <w:p w14:paraId="6C05BC29">
            <w:pPr>
              <w:jc w:val="center"/>
              <w:rPr>
                <w:color w:val="000000" w:themeColor="text1"/>
                <w:highlight w:val="none"/>
                <w14:textFill>
                  <w14:solidFill>
                    <w14:schemeClr w14:val="tx1"/>
                  </w14:solidFill>
                </w14:textFill>
              </w:rPr>
            </w:pPr>
          </w:p>
        </w:tc>
      </w:tr>
      <w:tr w14:paraId="493E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7D1508A">
            <w:pPr>
              <w:jc w:val="center"/>
              <w:rPr>
                <w:color w:val="000000" w:themeColor="text1"/>
                <w:highlight w:val="none"/>
                <w14:textFill>
                  <w14:solidFill>
                    <w14:schemeClr w14:val="tx1"/>
                  </w14:solidFill>
                </w14:textFill>
              </w:rPr>
            </w:pPr>
          </w:p>
        </w:tc>
        <w:tc>
          <w:tcPr>
            <w:tcW w:w="1188" w:type="dxa"/>
            <w:gridSpan w:val="2"/>
            <w:vAlign w:val="center"/>
          </w:tcPr>
          <w:p w14:paraId="29731864">
            <w:pPr>
              <w:jc w:val="center"/>
              <w:rPr>
                <w:color w:val="000000" w:themeColor="text1"/>
                <w:highlight w:val="none"/>
                <w14:textFill>
                  <w14:solidFill>
                    <w14:schemeClr w14:val="tx1"/>
                  </w14:solidFill>
                </w14:textFill>
              </w:rPr>
            </w:pPr>
          </w:p>
        </w:tc>
        <w:tc>
          <w:tcPr>
            <w:tcW w:w="1222" w:type="dxa"/>
            <w:gridSpan w:val="3"/>
            <w:vAlign w:val="center"/>
          </w:tcPr>
          <w:p w14:paraId="0370C97E">
            <w:pPr>
              <w:jc w:val="center"/>
              <w:rPr>
                <w:rFonts w:cs="宋体"/>
                <w:color w:val="000000" w:themeColor="text1"/>
                <w:highlight w:val="none"/>
                <w14:textFill>
                  <w14:solidFill>
                    <w14:schemeClr w14:val="tx1"/>
                  </w14:solidFill>
                </w14:textFill>
              </w:rPr>
            </w:pPr>
          </w:p>
        </w:tc>
        <w:tc>
          <w:tcPr>
            <w:tcW w:w="1417" w:type="dxa"/>
            <w:gridSpan w:val="3"/>
            <w:vAlign w:val="center"/>
          </w:tcPr>
          <w:p w14:paraId="32EC9DC2">
            <w:pPr>
              <w:jc w:val="center"/>
              <w:rPr>
                <w:color w:val="000000" w:themeColor="text1"/>
                <w:highlight w:val="none"/>
                <w14:textFill>
                  <w14:solidFill>
                    <w14:schemeClr w14:val="tx1"/>
                  </w14:solidFill>
                </w14:textFill>
              </w:rPr>
            </w:pPr>
          </w:p>
        </w:tc>
        <w:tc>
          <w:tcPr>
            <w:tcW w:w="1418" w:type="dxa"/>
            <w:gridSpan w:val="3"/>
            <w:vAlign w:val="center"/>
          </w:tcPr>
          <w:p w14:paraId="051B01CF">
            <w:pPr>
              <w:jc w:val="center"/>
              <w:rPr>
                <w:color w:val="000000" w:themeColor="text1"/>
                <w:highlight w:val="none"/>
                <w14:textFill>
                  <w14:solidFill>
                    <w14:schemeClr w14:val="tx1"/>
                  </w14:solidFill>
                </w14:textFill>
              </w:rPr>
            </w:pPr>
          </w:p>
        </w:tc>
        <w:tc>
          <w:tcPr>
            <w:tcW w:w="1632" w:type="dxa"/>
            <w:gridSpan w:val="4"/>
            <w:vAlign w:val="center"/>
          </w:tcPr>
          <w:p w14:paraId="546362E9">
            <w:pPr>
              <w:jc w:val="center"/>
              <w:rPr>
                <w:color w:val="000000" w:themeColor="text1"/>
                <w:highlight w:val="none"/>
                <w14:textFill>
                  <w14:solidFill>
                    <w14:schemeClr w14:val="tx1"/>
                  </w14:solidFill>
                </w14:textFill>
              </w:rPr>
            </w:pPr>
          </w:p>
        </w:tc>
        <w:tc>
          <w:tcPr>
            <w:tcW w:w="1416" w:type="dxa"/>
            <w:gridSpan w:val="2"/>
            <w:vAlign w:val="center"/>
          </w:tcPr>
          <w:p w14:paraId="41A53F4C">
            <w:pPr>
              <w:jc w:val="center"/>
              <w:rPr>
                <w:color w:val="000000" w:themeColor="text1"/>
                <w:highlight w:val="none"/>
                <w14:textFill>
                  <w14:solidFill>
                    <w14:schemeClr w14:val="tx1"/>
                  </w14:solidFill>
                </w14:textFill>
              </w:rPr>
            </w:pPr>
          </w:p>
        </w:tc>
      </w:tr>
      <w:tr w14:paraId="358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FD1DB7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308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EFB2F2D">
            <w:pPr>
              <w:jc w:val="center"/>
              <w:rPr>
                <w:color w:val="000000" w:themeColor="text1"/>
                <w:highlight w:val="none"/>
                <w14:textFill>
                  <w14:solidFill>
                    <w14:schemeClr w14:val="tx1"/>
                  </w14:solidFill>
                </w14:textFill>
              </w:rPr>
            </w:pPr>
          </w:p>
        </w:tc>
        <w:tc>
          <w:tcPr>
            <w:tcW w:w="1548" w:type="dxa"/>
            <w:gridSpan w:val="2"/>
            <w:vAlign w:val="center"/>
          </w:tcPr>
          <w:p w14:paraId="5A51AC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154238A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371CFB4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AA4A8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5BAF390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3FA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15552A3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6A7D53FA">
            <w:pPr>
              <w:jc w:val="center"/>
              <w:rPr>
                <w:color w:val="000000" w:themeColor="text1"/>
                <w:highlight w:val="none"/>
                <w14:textFill>
                  <w14:solidFill>
                    <w14:schemeClr w14:val="tx1"/>
                  </w14:solidFill>
                </w14:textFill>
              </w:rPr>
            </w:pPr>
          </w:p>
        </w:tc>
        <w:tc>
          <w:tcPr>
            <w:tcW w:w="1837" w:type="dxa"/>
            <w:gridSpan w:val="4"/>
            <w:vAlign w:val="center"/>
          </w:tcPr>
          <w:p w14:paraId="6AD93EE2">
            <w:pPr>
              <w:jc w:val="center"/>
              <w:rPr>
                <w:color w:val="000000" w:themeColor="text1"/>
                <w:highlight w:val="none"/>
                <w14:textFill>
                  <w14:solidFill>
                    <w14:schemeClr w14:val="tx1"/>
                  </w14:solidFill>
                </w14:textFill>
              </w:rPr>
            </w:pPr>
          </w:p>
        </w:tc>
        <w:tc>
          <w:tcPr>
            <w:tcW w:w="1472" w:type="dxa"/>
            <w:gridSpan w:val="3"/>
            <w:vAlign w:val="center"/>
          </w:tcPr>
          <w:p w14:paraId="1B79CC94">
            <w:pPr>
              <w:jc w:val="center"/>
              <w:rPr>
                <w:color w:val="000000" w:themeColor="text1"/>
                <w:highlight w:val="none"/>
                <w14:textFill>
                  <w14:solidFill>
                    <w14:schemeClr w14:val="tx1"/>
                  </w14:solidFill>
                </w14:textFill>
              </w:rPr>
            </w:pPr>
          </w:p>
        </w:tc>
        <w:tc>
          <w:tcPr>
            <w:tcW w:w="1641" w:type="dxa"/>
            <w:gridSpan w:val="4"/>
            <w:vAlign w:val="center"/>
          </w:tcPr>
          <w:p w14:paraId="12D55F42">
            <w:pPr>
              <w:jc w:val="center"/>
              <w:rPr>
                <w:color w:val="000000" w:themeColor="text1"/>
                <w:highlight w:val="none"/>
                <w14:textFill>
                  <w14:solidFill>
                    <w14:schemeClr w14:val="tx1"/>
                  </w14:solidFill>
                </w14:textFill>
              </w:rPr>
            </w:pPr>
          </w:p>
        </w:tc>
        <w:tc>
          <w:tcPr>
            <w:tcW w:w="1484" w:type="dxa"/>
            <w:gridSpan w:val="2"/>
            <w:vAlign w:val="center"/>
          </w:tcPr>
          <w:p w14:paraId="6E1CF043">
            <w:pPr>
              <w:jc w:val="center"/>
              <w:rPr>
                <w:color w:val="000000" w:themeColor="text1"/>
                <w:highlight w:val="none"/>
                <w14:textFill>
                  <w14:solidFill>
                    <w14:schemeClr w14:val="tx1"/>
                  </w14:solidFill>
                </w14:textFill>
              </w:rPr>
            </w:pPr>
          </w:p>
        </w:tc>
      </w:tr>
      <w:tr w14:paraId="613E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7E000F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242224FD">
            <w:pPr>
              <w:jc w:val="center"/>
              <w:rPr>
                <w:color w:val="000000" w:themeColor="text1"/>
                <w:highlight w:val="none"/>
                <w14:textFill>
                  <w14:solidFill>
                    <w14:schemeClr w14:val="tx1"/>
                  </w14:solidFill>
                </w14:textFill>
              </w:rPr>
            </w:pPr>
          </w:p>
        </w:tc>
        <w:tc>
          <w:tcPr>
            <w:tcW w:w="1837" w:type="dxa"/>
            <w:gridSpan w:val="4"/>
            <w:vAlign w:val="center"/>
          </w:tcPr>
          <w:p w14:paraId="5A15603E">
            <w:pPr>
              <w:jc w:val="center"/>
              <w:rPr>
                <w:color w:val="000000" w:themeColor="text1"/>
                <w:highlight w:val="none"/>
                <w14:textFill>
                  <w14:solidFill>
                    <w14:schemeClr w14:val="tx1"/>
                  </w14:solidFill>
                </w14:textFill>
              </w:rPr>
            </w:pPr>
          </w:p>
        </w:tc>
        <w:tc>
          <w:tcPr>
            <w:tcW w:w="1472" w:type="dxa"/>
            <w:gridSpan w:val="3"/>
            <w:vAlign w:val="center"/>
          </w:tcPr>
          <w:p w14:paraId="48E91C6E">
            <w:pPr>
              <w:jc w:val="center"/>
              <w:rPr>
                <w:color w:val="000000" w:themeColor="text1"/>
                <w:highlight w:val="none"/>
                <w14:textFill>
                  <w14:solidFill>
                    <w14:schemeClr w14:val="tx1"/>
                  </w14:solidFill>
                </w14:textFill>
              </w:rPr>
            </w:pPr>
          </w:p>
        </w:tc>
        <w:tc>
          <w:tcPr>
            <w:tcW w:w="1641" w:type="dxa"/>
            <w:gridSpan w:val="4"/>
            <w:vAlign w:val="center"/>
          </w:tcPr>
          <w:p w14:paraId="2A80851E">
            <w:pPr>
              <w:jc w:val="center"/>
              <w:rPr>
                <w:color w:val="000000" w:themeColor="text1"/>
                <w:highlight w:val="none"/>
                <w14:textFill>
                  <w14:solidFill>
                    <w14:schemeClr w14:val="tx1"/>
                  </w14:solidFill>
                </w14:textFill>
              </w:rPr>
            </w:pPr>
          </w:p>
        </w:tc>
        <w:tc>
          <w:tcPr>
            <w:tcW w:w="1484" w:type="dxa"/>
            <w:gridSpan w:val="2"/>
            <w:vAlign w:val="center"/>
          </w:tcPr>
          <w:p w14:paraId="2AEC3DC0">
            <w:pPr>
              <w:jc w:val="center"/>
              <w:rPr>
                <w:color w:val="000000" w:themeColor="text1"/>
                <w:highlight w:val="none"/>
                <w14:textFill>
                  <w14:solidFill>
                    <w14:schemeClr w14:val="tx1"/>
                  </w14:solidFill>
                </w14:textFill>
              </w:rPr>
            </w:pPr>
          </w:p>
        </w:tc>
      </w:tr>
      <w:tr w14:paraId="2F40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7372A3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7800DEE">
            <w:pPr>
              <w:jc w:val="center"/>
              <w:rPr>
                <w:color w:val="000000" w:themeColor="text1"/>
                <w:highlight w:val="none"/>
                <w14:textFill>
                  <w14:solidFill>
                    <w14:schemeClr w14:val="tx1"/>
                  </w14:solidFill>
                </w14:textFill>
              </w:rPr>
            </w:pPr>
          </w:p>
        </w:tc>
        <w:tc>
          <w:tcPr>
            <w:tcW w:w="1837" w:type="dxa"/>
            <w:gridSpan w:val="4"/>
            <w:vAlign w:val="center"/>
          </w:tcPr>
          <w:p w14:paraId="332DB25D">
            <w:pPr>
              <w:jc w:val="center"/>
              <w:rPr>
                <w:color w:val="000000" w:themeColor="text1"/>
                <w:highlight w:val="none"/>
                <w14:textFill>
                  <w14:solidFill>
                    <w14:schemeClr w14:val="tx1"/>
                  </w14:solidFill>
                </w14:textFill>
              </w:rPr>
            </w:pPr>
          </w:p>
        </w:tc>
        <w:tc>
          <w:tcPr>
            <w:tcW w:w="1472" w:type="dxa"/>
            <w:gridSpan w:val="3"/>
            <w:vAlign w:val="center"/>
          </w:tcPr>
          <w:p w14:paraId="0F06D9F4">
            <w:pPr>
              <w:jc w:val="center"/>
              <w:rPr>
                <w:color w:val="000000" w:themeColor="text1"/>
                <w:highlight w:val="none"/>
                <w14:textFill>
                  <w14:solidFill>
                    <w14:schemeClr w14:val="tx1"/>
                  </w14:solidFill>
                </w14:textFill>
              </w:rPr>
            </w:pPr>
          </w:p>
        </w:tc>
        <w:tc>
          <w:tcPr>
            <w:tcW w:w="1641" w:type="dxa"/>
            <w:gridSpan w:val="4"/>
            <w:vAlign w:val="center"/>
          </w:tcPr>
          <w:p w14:paraId="6E608CF6">
            <w:pPr>
              <w:jc w:val="center"/>
              <w:rPr>
                <w:color w:val="000000" w:themeColor="text1"/>
                <w:highlight w:val="none"/>
                <w14:textFill>
                  <w14:solidFill>
                    <w14:schemeClr w14:val="tx1"/>
                  </w14:solidFill>
                </w14:textFill>
              </w:rPr>
            </w:pPr>
          </w:p>
        </w:tc>
        <w:tc>
          <w:tcPr>
            <w:tcW w:w="1484" w:type="dxa"/>
            <w:gridSpan w:val="2"/>
            <w:vAlign w:val="center"/>
          </w:tcPr>
          <w:p w14:paraId="39B5696E">
            <w:pPr>
              <w:jc w:val="center"/>
              <w:rPr>
                <w:color w:val="000000" w:themeColor="text1"/>
                <w:highlight w:val="none"/>
                <w14:textFill>
                  <w14:solidFill>
                    <w14:schemeClr w14:val="tx1"/>
                  </w14:solidFill>
                </w14:textFill>
              </w:rPr>
            </w:pPr>
          </w:p>
        </w:tc>
      </w:tr>
      <w:tr w14:paraId="6513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08A6147">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2227FBF3">
            <w:pPr>
              <w:jc w:val="center"/>
              <w:rPr>
                <w:color w:val="000000" w:themeColor="text1"/>
                <w:highlight w:val="none"/>
                <w14:textFill>
                  <w14:solidFill>
                    <w14:schemeClr w14:val="tx1"/>
                  </w14:solidFill>
                </w14:textFill>
              </w:rPr>
            </w:pPr>
          </w:p>
        </w:tc>
        <w:tc>
          <w:tcPr>
            <w:tcW w:w="1837" w:type="dxa"/>
            <w:gridSpan w:val="4"/>
            <w:vAlign w:val="center"/>
          </w:tcPr>
          <w:p w14:paraId="2A4068E4">
            <w:pPr>
              <w:jc w:val="center"/>
              <w:rPr>
                <w:color w:val="000000" w:themeColor="text1"/>
                <w:highlight w:val="none"/>
                <w14:textFill>
                  <w14:solidFill>
                    <w14:schemeClr w14:val="tx1"/>
                  </w14:solidFill>
                </w14:textFill>
              </w:rPr>
            </w:pPr>
          </w:p>
        </w:tc>
        <w:tc>
          <w:tcPr>
            <w:tcW w:w="1472" w:type="dxa"/>
            <w:gridSpan w:val="3"/>
            <w:vAlign w:val="center"/>
          </w:tcPr>
          <w:p w14:paraId="773D4C7F">
            <w:pPr>
              <w:jc w:val="center"/>
              <w:rPr>
                <w:color w:val="000000" w:themeColor="text1"/>
                <w:highlight w:val="none"/>
                <w14:textFill>
                  <w14:solidFill>
                    <w14:schemeClr w14:val="tx1"/>
                  </w14:solidFill>
                </w14:textFill>
              </w:rPr>
            </w:pPr>
          </w:p>
        </w:tc>
        <w:tc>
          <w:tcPr>
            <w:tcW w:w="1641" w:type="dxa"/>
            <w:gridSpan w:val="4"/>
            <w:vAlign w:val="center"/>
          </w:tcPr>
          <w:p w14:paraId="1392032D">
            <w:pPr>
              <w:jc w:val="center"/>
              <w:rPr>
                <w:color w:val="000000" w:themeColor="text1"/>
                <w:highlight w:val="none"/>
                <w14:textFill>
                  <w14:solidFill>
                    <w14:schemeClr w14:val="tx1"/>
                  </w14:solidFill>
                </w14:textFill>
              </w:rPr>
            </w:pPr>
          </w:p>
        </w:tc>
        <w:tc>
          <w:tcPr>
            <w:tcW w:w="1484" w:type="dxa"/>
            <w:gridSpan w:val="2"/>
            <w:vAlign w:val="center"/>
          </w:tcPr>
          <w:p w14:paraId="408B18C2">
            <w:pPr>
              <w:jc w:val="center"/>
              <w:rPr>
                <w:color w:val="000000" w:themeColor="text1"/>
                <w:highlight w:val="none"/>
                <w14:textFill>
                  <w14:solidFill>
                    <w14:schemeClr w14:val="tx1"/>
                  </w14:solidFill>
                </w14:textFill>
              </w:rPr>
            </w:pPr>
          </w:p>
        </w:tc>
      </w:tr>
      <w:tr w14:paraId="4693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26143B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54DE5651">
            <w:pPr>
              <w:jc w:val="center"/>
              <w:rPr>
                <w:color w:val="000000" w:themeColor="text1"/>
                <w:highlight w:val="none"/>
                <w14:textFill>
                  <w14:solidFill>
                    <w14:schemeClr w14:val="tx1"/>
                  </w14:solidFill>
                </w14:textFill>
              </w:rPr>
            </w:pPr>
          </w:p>
        </w:tc>
        <w:tc>
          <w:tcPr>
            <w:tcW w:w="1837" w:type="dxa"/>
            <w:gridSpan w:val="4"/>
            <w:vAlign w:val="center"/>
          </w:tcPr>
          <w:p w14:paraId="28FE09CE">
            <w:pPr>
              <w:jc w:val="center"/>
              <w:rPr>
                <w:color w:val="000000" w:themeColor="text1"/>
                <w:highlight w:val="none"/>
                <w14:textFill>
                  <w14:solidFill>
                    <w14:schemeClr w14:val="tx1"/>
                  </w14:solidFill>
                </w14:textFill>
              </w:rPr>
            </w:pPr>
          </w:p>
        </w:tc>
        <w:tc>
          <w:tcPr>
            <w:tcW w:w="1472" w:type="dxa"/>
            <w:gridSpan w:val="3"/>
            <w:vAlign w:val="center"/>
          </w:tcPr>
          <w:p w14:paraId="17C080A2">
            <w:pPr>
              <w:jc w:val="center"/>
              <w:rPr>
                <w:color w:val="000000" w:themeColor="text1"/>
                <w:highlight w:val="none"/>
                <w14:textFill>
                  <w14:solidFill>
                    <w14:schemeClr w14:val="tx1"/>
                  </w14:solidFill>
                </w14:textFill>
              </w:rPr>
            </w:pPr>
          </w:p>
        </w:tc>
        <w:tc>
          <w:tcPr>
            <w:tcW w:w="1641" w:type="dxa"/>
            <w:gridSpan w:val="4"/>
            <w:vAlign w:val="center"/>
          </w:tcPr>
          <w:p w14:paraId="3BD87CA5">
            <w:pPr>
              <w:jc w:val="center"/>
              <w:rPr>
                <w:color w:val="000000" w:themeColor="text1"/>
                <w:highlight w:val="none"/>
                <w14:textFill>
                  <w14:solidFill>
                    <w14:schemeClr w14:val="tx1"/>
                  </w14:solidFill>
                </w14:textFill>
              </w:rPr>
            </w:pPr>
          </w:p>
        </w:tc>
        <w:tc>
          <w:tcPr>
            <w:tcW w:w="1484" w:type="dxa"/>
            <w:gridSpan w:val="2"/>
            <w:vAlign w:val="center"/>
          </w:tcPr>
          <w:p w14:paraId="3952C3AE">
            <w:pPr>
              <w:jc w:val="center"/>
              <w:rPr>
                <w:color w:val="000000" w:themeColor="text1"/>
                <w:highlight w:val="none"/>
                <w14:textFill>
                  <w14:solidFill>
                    <w14:schemeClr w14:val="tx1"/>
                  </w14:solidFill>
                </w14:textFill>
              </w:rPr>
            </w:pPr>
          </w:p>
        </w:tc>
      </w:tr>
      <w:tr w14:paraId="3A00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9049D9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55074E5C">
            <w:pPr>
              <w:jc w:val="center"/>
              <w:rPr>
                <w:color w:val="000000" w:themeColor="text1"/>
                <w:highlight w:val="none"/>
                <w14:textFill>
                  <w14:solidFill>
                    <w14:schemeClr w14:val="tx1"/>
                  </w14:solidFill>
                </w14:textFill>
              </w:rPr>
            </w:pPr>
          </w:p>
        </w:tc>
        <w:tc>
          <w:tcPr>
            <w:tcW w:w="1837" w:type="dxa"/>
            <w:gridSpan w:val="4"/>
            <w:vAlign w:val="center"/>
          </w:tcPr>
          <w:p w14:paraId="7C868CED">
            <w:pPr>
              <w:jc w:val="center"/>
              <w:rPr>
                <w:color w:val="000000" w:themeColor="text1"/>
                <w:highlight w:val="none"/>
                <w14:textFill>
                  <w14:solidFill>
                    <w14:schemeClr w14:val="tx1"/>
                  </w14:solidFill>
                </w14:textFill>
              </w:rPr>
            </w:pPr>
          </w:p>
        </w:tc>
        <w:tc>
          <w:tcPr>
            <w:tcW w:w="1472" w:type="dxa"/>
            <w:gridSpan w:val="3"/>
            <w:vAlign w:val="center"/>
          </w:tcPr>
          <w:p w14:paraId="40E15406">
            <w:pPr>
              <w:jc w:val="center"/>
              <w:rPr>
                <w:color w:val="000000" w:themeColor="text1"/>
                <w:highlight w:val="none"/>
                <w14:textFill>
                  <w14:solidFill>
                    <w14:schemeClr w14:val="tx1"/>
                  </w14:solidFill>
                </w14:textFill>
              </w:rPr>
            </w:pPr>
          </w:p>
        </w:tc>
        <w:tc>
          <w:tcPr>
            <w:tcW w:w="1641" w:type="dxa"/>
            <w:gridSpan w:val="4"/>
            <w:vAlign w:val="center"/>
          </w:tcPr>
          <w:p w14:paraId="543CB3C4">
            <w:pPr>
              <w:jc w:val="center"/>
              <w:rPr>
                <w:color w:val="000000" w:themeColor="text1"/>
                <w:highlight w:val="none"/>
                <w14:textFill>
                  <w14:solidFill>
                    <w14:schemeClr w14:val="tx1"/>
                  </w14:solidFill>
                </w14:textFill>
              </w:rPr>
            </w:pPr>
          </w:p>
        </w:tc>
        <w:tc>
          <w:tcPr>
            <w:tcW w:w="1484" w:type="dxa"/>
            <w:gridSpan w:val="2"/>
            <w:vAlign w:val="center"/>
          </w:tcPr>
          <w:p w14:paraId="2ACE6FBD">
            <w:pPr>
              <w:jc w:val="center"/>
              <w:rPr>
                <w:color w:val="000000" w:themeColor="text1"/>
                <w:highlight w:val="none"/>
                <w14:textFill>
                  <w14:solidFill>
                    <w14:schemeClr w14:val="tx1"/>
                  </w14:solidFill>
                </w14:textFill>
              </w:rPr>
            </w:pPr>
          </w:p>
        </w:tc>
      </w:tr>
      <w:tr w14:paraId="06D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E406CA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43207D02">
            <w:pPr>
              <w:jc w:val="center"/>
              <w:rPr>
                <w:color w:val="000000" w:themeColor="text1"/>
                <w:highlight w:val="none"/>
                <w14:textFill>
                  <w14:solidFill>
                    <w14:schemeClr w14:val="tx1"/>
                  </w14:solidFill>
                </w14:textFill>
              </w:rPr>
            </w:pPr>
          </w:p>
        </w:tc>
        <w:tc>
          <w:tcPr>
            <w:tcW w:w="1837" w:type="dxa"/>
            <w:gridSpan w:val="4"/>
            <w:vAlign w:val="center"/>
          </w:tcPr>
          <w:p w14:paraId="5F9DEF91">
            <w:pPr>
              <w:jc w:val="center"/>
              <w:rPr>
                <w:color w:val="000000" w:themeColor="text1"/>
                <w:highlight w:val="none"/>
                <w14:textFill>
                  <w14:solidFill>
                    <w14:schemeClr w14:val="tx1"/>
                  </w14:solidFill>
                </w14:textFill>
              </w:rPr>
            </w:pPr>
          </w:p>
        </w:tc>
        <w:tc>
          <w:tcPr>
            <w:tcW w:w="1472" w:type="dxa"/>
            <w:gridSpan w:val="3"/>
            <w:vAlign w:val="center"/>
          </w:tcPr>
          <w:p w14:paraId="7868D41A">
            <w:pPr>
              <w:jc w:val="center"/>
              <w:rPr>
                <w:color w:val="000000" w:themeColor="text1"/>
                <w:highlight w:val="none"/>
                <w14:textFill>
                  <w14:solidFill>
                    <w14:schemeClr w14:val="tx1"/>
                  </w14:solidFill>
                </w14:textFill>
              </w:rPr>
            </w:pPr>
          </w:p>
        </w:tc>
        <w:tc>
          <w:tcPr>
            <w:tcW w:w="1641" w:type="dxa"/>
            <w:gridSpan w:val="4"/>
            <w:vAlign w:val="center"/>
          </w:tcPr>
          <w:p w14:paraId="4745BED6">
            <w:pPr>
              <w:jc w:val="center"/>
              <w:rPr>
                <w:color w:val="000000" w:themeColor="text1"/>
                <w:highlight w:val="none"/>
                <w14:textFill>
                  <w14:solidFill>
                    <w14:schemeClr w14:val="tx1"/>
                  </w14:solidFill>
                </w14:textFill>
              </w:rPr>
            </w:pPr>
          </w:p>
        </w:tc>
        <w:tc>
          <w:tcPr>
            <w:tcW w:w="1484" w:type="dxa"/>
            <w:gridSpan w:val="2"/>
            <w:vAlign w:val="center"/>
          </w:tcPr>
          <w:p w14:paraId="623A2C56">
            <w:pPr>
              <w:jc w:val="center"/>
              <w:rPr>
                <w:color w:val="000000" w:themeColor="text1"/>
                <w:highlight w:val="none"/>
                <w14:textFill>
                  <w14:solidFill>
                    <w14:schemeClr w14:val="tx1"/>
                  </w14:solidFill>
                </w14:textFill>
              </w:rPr>
            </w:pPr>
          </w:p>
        </w:tc>
      </w:tr>
      <w:tr w14:paraId="24E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D1071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31A94B72">
            <w:pPr>
              <w:jc w:val="center"/>
              <w:rPr>
                <w:color w:val="000000" w:themeColor="text1"/>
                <w:highlight w:val="none"/>
                <w14:textFill>
                  <w14:solidFill>
                    <w14:schemeClr w14:val="tx1"/>
                  </w14:solidFill>
                </w14:textFill>
              </w:rPr>
            </w:pPr>
          </w:p>
        </w:tc>
        <w:tc>
          <w:tcPr>
            <w:tcW w:w="1837" w:type="dxa"/>
            <w:gridSpan w:val="4"/>
            <w:vAlign w:val="center"/>
          </w:tcPr>
          <w:p w14:paraId="789C6556">
            <w:pPr>
              <w:jc w:val="center"/>
              <w:rPr>
                <w:color w:val="000000" w:themeColor="text1"/>
                <w:highlight w:val="none"/>
                <w14:textFill>
                  <w14:solidFill>
                    <w14:schemeClr w14:val="tx1"/>
                  </w14:solidFill>
                </w14:textFill>
              </w:rPr>
            </w:pPr>
          </w:p>
        </w:tc>
        <w:tc>
          <w:tcPr>
            <w:tcW w:w="1472" w:type="dxa"/>
            <w:gridSpan w:val="3"/>
            <w:vAlign w:val="center"/>
          </w:tcPr>
          <w:p w14:paraId="359D4468">
            <w:pPr>
              <w:jc w:val="center"/>
              <w:rPr>
                <w:color w:val="000000" w:themeColor="text1"/>
                <w:highlight w:val="none"/>
                <w14:textFill>
                  <w14:solidFill>
                    <w14:schemeClr w14:val="tx1"/>
                  </w14:solidFill>
                </w14:textFill>
              </w:rPr>
            </w:pPr>
          </w:p>
        </w:tc>
        <w:tc>
          <w:tcPr>
            <w:tcW w:w="1641" w:type="dxa"/>
            <w:gridSpan w:val="4"/>
            <w:vAlign w:val="center"/>
          </w:tcPr>
          <w:p w14:paraId="4FCE8C0B">
            <w:pPr>
              <w:jc w:val="center"/>
              <w:rPr>
                <w:color w:val="000000" w:themeColor="text1"/>
                <w:highlight w:val="none"/>
                <w14:textFill>
                  <w14:solidFill>
                    <w14:schemeClr w14:val="tx1"/>
                  </w14:solidFill>
                </w14:textFill>
              </w:rPr>
            </w:pPr>
          </w:p>
        </w:tc>
        <w:tc>
          <w:tcPr>
            <w:tcW w:w="1484" w:type="dxa"/>
            <w:gridSpan w:val="2"/>
            <w:vAlign w:val="center"/>
          </w:tcPr>
          <w:p w14:paraId="15817D4F">
            <w:pPr>
              <w:jc w:val="center"/>
              <w:rPr>
                <w:color w:val="000000" w:themeColor="text1"/>
                <w:highlight w:val="none"/>
                <w14:textFill>
                  <w14:solidFill>
                    <w14:schemeClr w14:val="tx1"/>
                  </w14:solidFill>
                </w14:textFill>
              </w:rPr>
            </w:pPr>
          </w:p>
        </w:tc>
      </w:tr>
      <w:tr w14:paraId="4E73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DEF4E0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5A308D41">
            <w:pPr>
              <w:jc w:val="center"/>
              <w:rPr>
                <w:color w:val="000000" w:themeColor="text1"/>
                <w:highlight w:val="none"/>
                <w14:textFill>
                  <w14:solidFill>
                    <w14:schemeClr w14:val="tx1"/>
                  </w14:solidFill>
                </w14:textFill>
              </w:rPr>
            </w:pPr>
          </w:p>
        </w:tc>
        <w:tc>
          <w:tcPr>
            <w:tcW w:w="1837" w:type="dxa"/>
            <w:gridSpan w:val="4"/>
            <w:vAlign w:val="center"/>
          </w:tcPr>
          <w:p w14:paraId="5CB38452">
            <w:pPr>
              <w:jc w:val="center"/>
              <w:rPr>
                <w:color w:val="000000" w:themeColor="text1"/>
                <w:highlight w:val="none"/>
                <w14:textFill>
                  <w14:solidFill>
                    <w14:schemeClr w14:val="tx1"/>
                  </w14:solidFill>
                </w14:textFill>
              </w:rPr>
            </w:pPr>
          </w:p>
        </w:tc>
        <w:tc>
          <w:tcPr>
            <w:tcW w:w="1472" w:type="dxa"/>
            <w:gridSpan w:val="3"/>
            <w:vAlign w:val="center"/>
          </w:tcPr>
          <w:p w14:paraId="3C377A3A">
            <w:pPr>
              <w:jc w:val="center"/>
              <w:rPr>
                <w:color w:val="000000" w:themeColor="text1"/>
                <w:highlight w:val="none"/>
                <w14:textFill>
                  <w14:solidFill>
                    <w14:schemeClr w14:val="tx1"/>
                  </w14:solidFill>
                </w14:textFill>
              </w:rPr>
            </w:pPr>
          </w:p>
        </w:tc>
        <w:tc>
          <w:tcPr>
            <w:tcW w:w="1641" w:type="dxa"/>
            <w:gridSpan w:val="4"/>
            <w:vAlign w:val="center"/>
          </w:tcPr>
          <w:p w14:paraId="7B7F6B16">
            <w:pPr>
              <w:jc w:val="center"/>
              <w:rPr>
                <w:color w:val="000000" w:themeColor="text1"/>
                <w:highlight w:val="none"/>
                <w14:textFill>
                  <w14:solidFill>
                    <w14:schemeClr w14:val="tx1"/>
                  </w14:solidFill>
                </w14:textFill>
              </w:rPr>
            </w:pPr>
          </w:p>
        </w:tc>
        <w:tc>
          <w:tcPr>
            <w:tcW w:w="1484" w:type="dxa"/>
            <w:gridSpan w:val="2"/>
            <w:vAlign w:val="center"/>
          </w:tcPr>
          <w:p w14:paraId="7BF3F391">
            <w:pPr>
              <w:jc w:val="center"/>
              <w:rPr>
                <w:color w:val="000000" w:themeColor="text1"/>
                <w:highlight w:val="none"/>
                <w14:textFill>
                  <w14:solidFill>
                    <w14:schemeClr w14:val="tx1"/>
                  </w14:solidFill>
                </w14:textFill>
              </w:rPr>
            </w:pPr>
          </w:p>
        </w:tc>
      </w:tr>
    </w:tbl>
    <w:p w14:paraId="4C5AFCA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1C9DF4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p>
    <w:p w14:paraId="2612302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2.本表后附项目技术负责人（项目总工）的</w:t>
      </w:r>
      <w:r>
        <w:rPr>
          <w:color w:val="000000" w:themeColor="text1"/>
          <w:highlight w:val="none"/>
          <w14:textFill>
            <w14:solidFill>
              <w14:schemeClr w14:val="tx1"/>
            </w14:solidFill>
          </w14:textFill>
        </w:rPr>
        <w:t>职称证书复印件（或打印件）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本表所列证书复印件并加盖供应商电子签章。</w:t>
      </w:r>
    </w:p>
    <w:p w14:paraId="3711C5FE">
      <w:pPr>
        <w:spacing w:line="360" w:lineRule="auto"/>
        <w:rPr>
          <w:rFonts w:eastAsia="楷体_GB2312"/>
          <w:color w:val="000000" w:themeColor="text1"/>
          <w:highlight w:val="none"/>
          <w14:textFill>
            <w14:solidFill>
              <w14:schemeClr w14:val="tx1"/>
            </w14:solidFill>
          </w14:textFill>
        </w:rPr>
      </w:pPr>
    </w:p>
    <w:p w14:paraId="51FDE450">
      <w:pPr>
        <w:pStyle w:val="157"/>
        <w:spacing w:line="360" w:lineRule="auto"/>
        <w:jc w:val="center"/>
        <w:outlineLvl w:val="0"/>
        <w:rPr>
          <w:color w:val="000000" w:themeColor="text1"/>
          <w:sz w:val="28"/>
          <w:szCs w:val="28"/>
          <w:highlight w:val="none"/>
          <w:u w:val="single"/>
          <w14:textFill>
            <w14:solidFill>
              <w14:schemeClr w14:val="tx1"/>
            </w14:solidFill>
          </w14:textFill>
        </w:rPr>
      </w:pPr>
      <w:r>
        <w:rPr>
          <w:rFonts w:cs="宋体"/>
          <w:b/>
          <w:bCs/>
          <w:color w:val="000000" w:themeColor="text1"/>
          <w:sz w:val="28"/>
          <w:szCs w:val="28"/>
          <w:highlight w:val="none"/>
          <w14:textFill>
            <w14:solidFill>
              <w14:schemeClr w14:val="tx1"/>
            </w14:solidFill>
          </w14:textFill>
        </w:rPr>
        <w:br w:type="page"/>
      </w:r>
      <w:bookmarkStart w:id="207" w:name="_Toc122424017"/>
      <w:bookmarkStart w:id="208" w:name="_Toc122424266"/>
      <w:r>
        <w:rPr>
          <w:rFonts w:hint="eastAsia" w:cs="宋体"/>
          <w:b/>
          <w:color w:val="000000" w:themeColor="text1"/>
          <w:sz w:val="28"/>
          <w:szCs w:val="28"/>
          <w:highlight w:val="none"/>
          <w14:textFill>
            <w14:solidFill>
              <w14:schemeClr w14:val="tx1"/>
            </w14:solidFill>
          </w14:textFill>
        </w:rPr>
        <w:t>专职安全生产管理人员</w:t>
      </w:r>
      <w:bookmarkEnd w:id="207"/>
      <w:bookmarkEnd w:id="208"/>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32F1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4703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vAlign w:val="center"/>
          </w:tcPr>
          <w:p w14:paraId="41DEB975">
            <w:pPr>
              <w:jc w:val="center"/>
              <w:rPr>
                <w:color w:val="000000" w:themeColor="text1"/>
                <w:highlight w:val="none"/>
                <w14:textFill>
                  <w14:solidFill>
                    <w14:schemeClr w14:val="tx1"/>
                  </w14:solidFill>
                </w14:textFill>
              </w:rPr>
            </w:pPr>
          </w:p>
        </w:tc>
        <w:tc>
          <w:tcPr>
            <w:tcW w:w="1893" w:type="dxa"/>
            <w:gridSpan w:val="5"/>
            <w:vAlign w:val="center"/>
          </w:tcPr>
          <w:p w14:paraId="2CB9692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5C15282E">
            <w:pPr>
              <w:jc w:val="center"/>
              <w:rPr>
                <w:color w:val="000000" w:themeColor="text1"/>
                <w:highlight w:val="none"/>
                <w14:textFill>
                  <w14:solidFill>
                    <w14:schemeClr w14:val="tx1"/>
                  </w14:solidFill>
                </w14:textFill>
              </w:rPr>
            </w:pPr>
          </w:p>
        </w:tc>
        <w:tc>
          <w:tcPr>
            <w:tcW w:w="1108" w:type="dxa"/>
            <w:vAlign w:val="center"/>
          </w:tcPr>
          <w:p w14:paraId="552C2C6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5B21A2B">
            <w:pPr>
              <w:jc w:val="center"/>
              <w:rPr>
                <w:color w:val="000000" w:themeColor="text1"/>
                <w:highlight w:val="none"/>
                <w14:textFill>
                  <w14:solidFill>
                    <w14:schemeClr w14:val="tx1"/>
                  </w14:solidFill>
                </w14:textFill>
              </w:rPr>
            </w:pPr>
          </w:p>
        </w:tc>
      </w:tr>
      <w:tr w14:paraId="2B3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7559F1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vAlign w:val="center"/>
          </w:tcPr>
          <w:p w14:paraId="66ADE68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专职安全生产管理人员</w:t>
            </w:r>
          </w:p>
        </w:tc>
        <w:tc>
          <w:tcPr>
            <w:tcW w:w="1893" w:type="dxa"/>
            <w:gridSpan w:val="5"/>
            <w:vAlign w:val="center"/>
          </w:tcPr>
          <w:p w14:paraId="2458C1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4D05BBE9">
            <w:pPr>
              <w:jc w:val="center"/>
              <w:rPr>
                <w:color w:val="000000" w:themeColor="text1"/>
                <w:highlight w:val="none"/>
                <w14:textFill>
                  <w14:solidFill>
                    <w14:schemeClr w14:val="tx1"/>
                  </w14:solidFill>
                </w14:textFill>
              </w:rPr>
            </w:pPr>
          </w:p>
        </w:tc>
        <w:tc>
          <w:tcPr>
            <w:tcW w:w="1108" w:type="dxa"/>
            <w:vAlign w:val="center"/>
          </w:tcPr>
          <w:p w14:paraId="176800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03F5BC32">
            <w:pPr>
              <w:jc w:val="center"/>
              <w:rPr>
                <w:color w:val="000000" w:themeColor="text1"/>
                <w:highlight w:val="none"/>
                <w14:textFill>
                  <w14:solidFill>
                    <w14:schemeClr w14:val="tx1"/>
                  </w14:solidFill>
                </w14:textFill>
              </w:rPr>
            </w:pPr>
          </w:p>
        </w:tc>
      </w:tr>
      <w:tr w14:paraId="2D3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2322E7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vAlign w:val="center"/>
          </w:tcPr>
          <w:p w14:paraId="47350F65">
            <w:pPr>
              <w:jc w:val="center"/>
              <w:rPr>
                <w:color w:val="000000" w:themeColor="text1"/>
                <w:highlight w:val="none"/>
                <w14:textFill>
                  <w14:solidFill>
                    <w14:schemeClr w14:val="tx1"/>
                  </w14:solidFill>
                </w14:textFill>
              </w:rPr>
            </w:pPr>
          </w:p>
        </w:tc>
        <w:tc>
          <w:tcPr>
            <w:tcW w:w="1893" w:type="dxa"/>
            <w:gridSpan w:val="5"/>
            <w:vAlign w:val="center"/>
          </w:tcPr>
          <w:p w14:paraId="50016A4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5D340828">
            <w:pPr>
              <w:jc w:val="center"/>
              <w:rPr>
                <w:color w:val="000000" w:themeColor="text1"/>
                <w:highlight w:val="none"/>
                <w14:textFill>
                  <w14:solidFill>
                    <w14:schemeClr w14:val="tx1"/>
                  </w14:solidFill>
                </w14:textFill>
              </w:rPr>
            </w:pPr>
          </w:p>
        </w:tc>
        <w:tc>
          <w:tcPr>
            <w:tcW w:w="1108" w:type="dxa"/>
            <w:vAlign w:val="center"/>
          </w:tcPr>
          <w:p w14:paraId="68065A6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50E58CC9">
            <w:pPr>
              <w:jc w:val="center"/>
              <w:rPr>
                <w:color w:val="000000" w:themeColor="text1"/>
                <w:highlight w:val="none"/>
                <w14:textFill>
                  <w14:solidFill>
                    <w14:schemeClr w14:val="tx1"/>
                  </w14:solidFill>
                </w14:textFill>
              </w:rPr>
            </w:pPr>
          </w:p>
        </w:tc>
      </w:tr>
      <w:tr w14:paraId="55B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6DF488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担任……年限</w:t>
            </w:r>
          </w:p>
        </w:tc>
        <w:tc>
          <w:tcPr>
            <w:tcW w:w="2563" w:type="dxa"/>
            <w:gridSpan w:val="6"/>
            <w:vAlign w:val="center"/>
          </w:tcPr>
          <w:p w14:paraId="43007A73">
            <w:pPr>
              <w:jc w:val="center"/>
              <w:rPr>
                <w:color w:val="000000" w:themeColor="text1"/>
                <w:highlight w:val="none"/>
                <w14:textFill>
                  <w14:solidFill>
                    <w14:schemeClr w14:val="tx1"/>
                  </w14:solidFill>
                </w14:textFill>
              </w:rPr>
            </w:pPr>
          </w:p>
        </w:tc>
        <w:tc>
          <w:tcPr>
            <w:tcW w:w="1209" w:type="dxa"/>
            <w:vAlign w:val="center"/>
          </w:tcPr>
          <w:p w14:paraId="16D9889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567CB921">
            <w:pPr>
              <w:jc w:val="center"/>
              <w:rPr>
                <w:color w:val="000000" w:themeColor="text1"/>
                <w:highlight w:val="none"/>
                <w14:textFill>
                  <w14:solidFill>
                    <w14:schemeClr w14:val="tx1"/>
                  </w14:solidFill>
                </w14:textFill>
              </w:rPr>
            </w:pPr>
          </w:p>
        </w:tc>
      </w:tr>
      <w:tr w14:paraId="456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7763D3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vAlign w:val="center"/>
          </w:tcPr>
          <w:p w14:paraId="4C0EE6E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6A6C36B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3C3BE2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104C490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23E26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703304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0AA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D26A5D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vAlign w:val="center"/>
          </w:tcPr>
          <w:p w14:paraId="45B92548">
            <w:pPr>
              <w:jc w:val="center"/>
              <w:rPr>
                <w:color w:val="000000" w:themeColor="text1"/>
                <w:highlight w:val="none"/>
                <w14:textFill>
                  <w14:solidFill>
                    <w14:schemeClr w14:val="tx1"/>
                  </w14:solidFill>
                </w14:textFill>
              </w:rPr>
            </w:pPr>
          </w:p>
        </w:tc>
        <w:tc>
          <w:tcPr>
            <w:tcW w:w="1222" w:type="dxa"/>
            <w:gridSpan w:val="3"/>
            <w:vAlign w:val="center"/>
          </w:tcPr>
          <w:p w14:paraId="1E4D534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C类</w:t>
            </w:r>
          </w:p>
        </w:tc>
        <w:tc>
          <w:tcPr>
            <w:tcW w:w="1417" w:type="dxa"/>
            <w:gridSpan w:val="3"/>
            <w:vAlign w:val="center"/>
          </w:tcPr>
          <w:p w14:paraId="1C01D7FA">
            <w:pPr>
              <w:jc w:val="center"/>
              <w:rPr>
                <w:color w:val="000000" w:themeColor="text1"/>
                <w:highlight w:val="none"/>
                <w14:textFill>
                  <w14:solidFill>
                    <w14:schemeClr w14:val="tx1"/>
                  </w14:solidFill>
                </w14:textFill>
              </w:rPr>
            </w:pPr>
          </w:p>
        </w:tc>
        <w:tc>
          <w:tcPr>
            <w:tcW w:w="1418" w:type="dxa"/>
            <w:gridSpan w:val="3"/>
            <w:vAlign w:val="center"/>
          </w:tcPr>
          <w:p w14:paraId="247E772F">
            <w:pPr>
              <w:jc w:val="center"/>
              <w:rPr>
                <w:color w:val="000000" w:themeColor="text1"/>
                <w:highlight w:val="none"/>
                <w14:textFill>
                  <w14:solidFill>
                    <w14:schemeClr w14:val="tx1"/>
                  </w14:solidFill>
                </w14:textFill>
              </w:rPr>
            </w:pPr>
          </w:p>
        </w:tc>
        <w:tc>
          <w:tcPr>
            <w:tcW w:w="1632" w:type="dxa"/>
            <w:gridSpan w:val="4"/>
            <w:vAlign w:val="center"/>
          </w:tcPr>
          <w:p w14:paraId="1F724664">
            <w:pPr>
              <w:jc w:val="center"/>
              <w:rPr>
                <w:color w:val="000000" w:themeColor="text1"/>
                <w:highlight w:val="none"/>
                <w14:textFill>
                  <w14:solidFill>
                    <w14:schemeClr w14:val="tx1"/>
                  </w14:solidFill>
                </w14:textFill>
              </w:rPr>
            </w:pPr>
          </w:p>
        </w:tc>
        <w:tc>
          <w:tcPr>
            <w:tcW w:w="1416" w:type="dxa"/>
            <w:gridSpan w:val="2"/>
            <w:vAlign w:val="center"/>
          </w:tcPr>
          <w:p w14:paraId="6110CBEB">
            <w:pPr>
              <w:jc w:val="center"/>
              <w:rPr>
                <w:color w:val="000000" w:themeColor="text1"/>
                <w:highlight w:val="none"/>
                <w14:textFill>
                  <w14:solidFill>
                    <w14:schemeClr w14:val="tx1"/>
                  </w14:solidFill>
                </w14:textFill>
              </w:rPr>
            </w:pPr>
          </w:p>
        </w:tc>
      </w:tr>
      <w:tr w14:paraId="693A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9AE8FE5">
            <w:pPr>
              <w:jc w:val="center"/>
              <w:rPr>
                <w:color w:val="000000" w:themeColor="text1"/>
                <w:highlight w:val="none"/>
                <w14:textFill>
                  <w14:solidFill>
                    <w14:schemeClr w14:val="tx1"/>
                  </w14:solidFill>
                </w14:textFill>
              </w:rPr>
            </w:pPr>
          </w:p>
        </w:tc>
        <w:tc>
          <w:tcPr>
            <w:tcW w:w="1275" w:type="dxa"/>
            <w:gridSpan w:val="2"/>
            <w:vAlign w:val="center"/>
          </w:tcPr>
          <w:p w14:paraId="04A64402">
            <w:pPr>
              <w:jc w:val="center"/>
              <w:rPr>
                <w:color w:val="000000" w:themeColor="text1"/>
                <w:highlight w:val="none"/>
                <w14:textFill>
                  <w14:solidFill>
                    <w14:schemeClr w14:val="tx1"/>
                  </w14:solidFill>
                </w14:textFill>
              </w:rPr>
            </w:pPr>
          </w:p>
        </w:tc>
        <w:tc>
          <w:tcPr>
            <w:tcW w:w="1222" w:type="dxa"/>
            <w:gridSpan w:val="3"/>
            <w:vAlign w:val="center"/>
          </w:tcPr>
          <w:p w14:paraId="765950B0">
            <w:pPr>
              <w:jc w:val="center"/>
              <w:rPr>
                <w:rFonts w:cs="宋体"/>
                <w:color w:val="000000" w:themeColor="text1"/>
                <w:highlight w:val="none"/>
                <w14:textFill>
                  <w14:solidFill>
                    <w14:schemeClr w14:val="tx1"/>
                  </w14:solidFill>
                </w14:textFill>
              </w:rPr>
            </w:pPr>
          </w:p>
        </w:tc>
        <w:tc>
          <w:tcPr>
            <w:tcW w:w="1417" w:type="dxa"/>
            <w:gridSpan w:val="3"/>
            <w:vAlign w:val="center"/>
          </w:tcPr>
          <w:p w14:paraId="23BF6D0D">
            <w:pPr>
              <w:jc w:val="center"/>
              <w:rPr>
                <w:color w:val="000000" w:themeColor="text1"/>
                <w:highlight w:val="none"/>
                <w14:textFill>
                  <w14:solidFill>
                    <w14:schemeClr w14:val="tx1"/>
                  </w14:solidFill>
                </w14:textFill>
              </w:rPr>
            </w:pPr>
          </w:p>
        </w:tc>
        <w:tc>
          <w:tcPr>
            <w:tcW w:w="1418" w:type="dxa"/>
            <w:gridSpan w:val="3"/>
            <w:vAlign w:val="center"/>
          </w:tcPr>
          <w:p w14:paraId="31C5A459">
            <w:pPr>
              <w:jc w:val="center"/>
              <w:rPr>
                <w:color w:val="000000" w:themeColor="text1"/>
                <w:highlight w:val="none"/>
                <w14:textFill>
                  <w14:solidFill>
                    <w14:schemeClr w14:val="tx1"/>
                  </w14:solidFill>
                </w14:textFill>
              </w:rPr>
            </w:pPr>
          </w:p>
        </w:tc>
        <w:tc>
          <w:tcPr>
            <w:tcW w:w="1632" w:type="dxa"/>
            <w:gridSpan w:val="4"/>
            <w:vAlign w:val="center"/>
          </w:tcPr>
          <w:p w14:paraId="2CC4C594">
            <w:pPr>
              <w:jc w:val="center"/>
              <w:rPr>
                <w:color w:val="000000" w:themeColor="text1"/>
                <w:highlight w:val="none"/>
                <w14:textFill>
                  <w14:solidFill>
                    <w14:schemeClr w14:val="tx1"/>
                  </w14:solidFill>
                </w14:textFill>
              </w:rPr>
            </w:pPr>
          </w:p>
        </w:tc>
        <w:tc>
          <w:tcPr>
            <w:tcW w:w="1416" w:type="dxa"/>
            <w:gridSpan w:val="2"/>
            <w:vAlign w:val="center"/>
          </w:tcPr>
          <w:p w14:paraId="243B56BC">
            <w:pPr>
              <w:jc w:val="center"/>
              <w:rPr>
                <w:color w:val="000000" w:themeColor="text1"/>
                <w:highlight w:val="none"/>
                <w14:textFill>
                  <w14:solidFill>
                    <w14:schemeClr w14:val="tx1"/>
                  </w14:solidFill>
                </w14:textFill>
              </w:rPr>
            </w:pPr>
          </w:p>
        </w:tc>
      </w:tr>
      <w:tr w14:paraId="7ADA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5C6589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B2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1D7A329">
            <w:pPr>
              <w:jc w:val="center"/>
              <w:rPr>
                <w:color w:val="000000" w:themeColor="text1"/>
                <w:highlight w:val="none"/>
                <w14:textFill>
                  <w14:solidFill>
                    <w14:schemeClr w14:val="tx1"/>
                  </w14:solidFill>
                </w14:textFill>
              </w:rPr>
            </w:pPr>
          </w:p>
        </w:tc>
        <w:tc>
          <w:tcPr>
            <w:tcW w:w="1548" w:type="dxa"/>
            <w:gridSpan w:val="2"/>
            <w:vAlign w:val="center"/>
          </w:tcPr>
          <w:p w14:paraId="36D3ED3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7EBFA2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330777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94CAEF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F5DE8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11B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3B8C8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2E83E98E">
            <w:pPr>
              <w:jc w:val="center"/>
              <w:rPr>
                <w:color w:val="000000" w:themeColor="text1"/>
                <w:highlight w:val="none"/>
                <w14:textFill>
                  <w14:solidFill>
                    <w14:schemeClr w14:val="tx1"/>
                  </w14:solidFill>
                </w14:textFill>
              </w:rPr>
            </w:pPr>
          </w:p>
        </w:tc>
        <w:tc>
          <w:tcPr>
            <w:tcW w:w="1837" w:type="dxa"/>
            <w:gridSpan w:val="4"/>
            <w:vAlign w:val="center"/>
          </w:tcPr>
          <w:p w14:paraId="63C6A50F">
            <w:pPr>
              <w:jc w:val="center"/>
              <w:rPr>
                <w:color w:val="000000" w:themeColor="text1"/>
                <w:highlight w:val="none"/>
                <w14:textFill>
                  <w14:solidFill>
                    <w14:schemeClr w14:val="tx1"/>
                  </w14:solidFill>
                </w14:textFill>
              </w:rPr>
            </w:pPr>
          </w:p>
        </w:tc>
        <w:tc>
          <w:tcPr>
            <w:tcW w:w="1472" w:type="dxa"/>
            <w:gridSpan w:val="3"/>
            <w:vAlign w:val="center"/>
          </w:tcPr>
          <w:p w14:paraId="48E6305E">
            <w:pPr>
              <w:jc w:val="center"/>
              <w:rPr>
                <w:color w:val="000000" w:themeColor="text1"/>
                <w:highlight w:val="none"/>
                <w14:textFill>
                  <w14:solidFill>
                    <w14:schemeClr w14:val="tx1"/>
                  </w14:solidFill>
                </w14:textFill>
              </w:rPr>
            </w:pPr>
          </w:p>
        </w:tc>
        <w:tc>
          <w:tcPr>
            <w:tcW w:w="1641" w:type="dxa"/>
            <w:gridSpan w:val="4"/>
            <w:vAlign w:val="center"/>
          </w:tcPr>
          <w:p w14:paraId="7ED01204">
            <w:pPr>
              <w:jc w:val="center"/>
              <w:rPr>
                <w:color w:val="000000" w:themeColor="text1"/>
                <w:highlight w:val="none"/>
                <w14:textFill>
                  <w14:solidFill>
                    <w14:schemeClr w14:val="tx1"/>
                  </w14:solidFill>
                </w14:textFill>
              </w:rPr>
            </w:pPr>
          </w:p>
        </w:tc>
        <w:tc>
          <w:tcPr>
            <w:tcW w:w="1484" w:type="dxa"/>
            <w:gridSpan w:val="2"/>
            <w:vAlign w:val="center"/>
          </w:tcPr>
          <w:p w14:paraId="3DFE0421">
            <w:pPr>
              <w:jc w:val="center"/>
              <w:rPr>
                <w:color w:val="000000" w:themeColor="text1"/>
                <w:highlight w:val="none"/>
                <w14:textFill>
                  <w14:solidFill>
                    <w14:schemeClr w14:val="tx1"/>
                  </w14:solidFill>
                </w14:textFill>
              </w:rPr>
            </w:pPr>
          </w:p>
        </w:tc>
      </w:tr>
      <w:tr w14:paraId="175F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8BB9D6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172B88FD">
            <w:pPr>
              <w:jc w:val="center"/>
              <w:rPr>
                <w:color w:val="000000" w:themeColor="text1"/>
                <w:highlight w:val="none"/>
                <w14:textFill>
                  <w14:solidFill>
                    <w14:schemeClr w14:val="tx1"/>
                  </w14:solidFill>
                </w14:textFill>
              </w:rPr>
            </w:pPr>
          </w:p>
        </w:tc>
        <w:tc>
          <w:tcPr>
            <w:tcW w:w="1837" w:type="dxa"/>
            <w:gridSpan w:val="4"/>
            <w:vAlign w:val="center"/>
          </w:tcPr>
          <w:p w14:paraId="30898BD2">
            <w:pPr>
              <w:jc w:val="center"/>
              <w:rPr>
                <w:color w:val="000000" w:themeColor="text1"/>
                <w:highlight w:val="none"/>
                <w14:textFill>
                  <w14:solidFill>
                    <w14:schemeClr w14:val="tx1"/>
                  </w14:solidFill>
                </w14:textFill>
              </w:rPr>
            </w:pPr>
          </w:p>
        </w:tc>
        <w:tc>
          <w:tcPr>
            <w:tcW w:w="1472" w:type="dxa"/>
            <w:gridSpan w:val="3"/>
            <w:vAlign w:val="center"/>
          </w:tcPr>
          <w:p w14:paraId="5CDF7897">
            <w:pPr>
              <w:jc w:val="center"/>
              <w:rPr>
                <w:color w:val="000000" w:themeColor="text1"/>
                <w:highlight w:val="none"/>
                <w14:textFill>
                  <w14:solidFill>
                    <w14:schemeClr w14:val="tx1"/>
                  </w14:solidFill>
                </w14:textFill>
              </w:rPr>
            </w:pPr>
          </w:p>
        </w:tc>
        <w:tc>
          <w:tcPr>
            <w:tcW w:w="1641" w:type="dxa"/>
            <w:gridSpan w:val="4"/>
            <w:vAlign w:val="center"/>
          </w:tcPr>
          <w:p w14:paraId="738C7E48">
            <w:pPr>
              <w:jc w:val="center"/>
              <w:rPr>
                <w:color w:val="000000" w:themeColor="text1"/>
                <w:highlight w:val="none"/>
                <w14:textFill>
                  <w14:solidFill>
                    <w14:schemeClr w14:val="tx1"/>
                  </w14:solidFill>
                </w14:textFill>
              </w:rPr>
            </w:pPr>
          </w:p>
        </w:tc>
        <w:tc>
          <w:tcPr>
            <w:tcW w:w="1484" w:type="dxa"/>
            <w:gridSpan w:val="2"/>
            <w:vAlign w:val="center"/>
          </w:tcPr>
          <w:p w14:paraId="6887B7AE">
            <w:pPr>
              <w:jc w:val="center"/>
              <w:rPr>
                <w:color w:val="000000" w:themeColor="text1"/>
                <w:highlight w:val="none"/>
                <w14:textFill>
                  <w14:solidFill>
                    <w14:schemeClr w14:val="tx1"/>
                  </w14:solidFill>
                </w14:textFill>
              </w:rPr>
            </w:pPr>
          </w:p>
        </w:tc>
      </w:tr>
      <w:tr w14:paraId="4552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118615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4FCF48B4">
            <w:pPr>
              <w:jc w:val="center"/>
              <w:rPr>
                <w:color w:val="000000" w:themeColor="text1"/>
                <w:highlight w:val="none"/>
                <w14:textFill>
                  <w14:solidFill>
                    <w14:schemeClr w14:val="tx1"/>
                  </w14:solidFill>
                </w14:textFill>
              </w:rPr>
            </w:pPr>
          </w:p>
        </w:tc>
        <w:tc>
          <w:tcPr>
            <w:tcW w:w="1837" w:type="dxa"/>
            <w:gridSpan w:val="4"/>
            <w:vAlign w:val="center"/>
          </w:tcPr>
          <w:p w14:paraId="1AD00E88">
            <w:pPr>
              <w:jc w:val="center"/>
              <w:rPr>
                <w:color w:val="000000" w:themeColor="text1"/>
                <w:highlight w:val="none"/>
                <w14:textFill>
                  <w14:solidFill>
                    <w14:schemeClr w14:val="tx1"/>
                  </w14:solidFill>
                </w14:textFill>
              </w:rPr>
            </w:pPr>
          </w:p>
        </w:tc>
        <w:tc>
          <w:tcPr>
            <w:tcW w:w="1472" w:type="dxa"/>
            <w:gridSpan w:val="3"/>
            <w:vAlign w:val="center"/>
          </w:tcPr>
          <w:p w14:paraId="6083A957">
            <w:pPr>
              <w:jc w:val="center"/>
              <w:rPr>
                <w:color w:val="000000" w:themeColor="text1"/>
                <w:highlight w:val="none"/>
                <w14:textFill>
                  <w14:solidFill>
                    <w14:schemeClr w14:val="tx1"/>
                  </w14:solidFill>
                </w14:textFill>
              </w:rPr>
            </w:pPr>
          </w:p>
        </w:tc>
        <w:tc>
          <w:tcPr>
            <w:tcW w:w="1641" w:type="dxa"/>
            <w:gridSpan w:val="4"/>
            <w:vAlign w:val="center"/>
          </w:tcPr>
          <w:p w14:paraId="620B8C3A">
            <w:pPr>
              <w:jc w:val="center"/>
              <w:rPr>
                <w:color w:val="000000" w:themeColor="text1"/>
                <w:highlight w:val="none"/>
                <w14:textFill>
                  <w14:solidFill>
                    <w14:schemeClr w14:val="tx1"/>
                  </w14:solidFill>
                </w14:textFill>
              </w:rPr>
            </w:pPr>
          </w:p>
        </w:tc>
        <w:tc>
          <w:tcPr>
            <w:tcW w:w="1484" w:type="dxa"/>
            <w:gridSpan w:val="2"/>
            <w:vAlign w:val="center"/>
          </w:tcPr>
          <w:p w14:paraId="1E8F64DD">
            <w:pPr>
              <w:jc w:val="center"/>
              <w:rPr>
                <w:color w:val="000000" w:themeColor="text1"/>
                <w:highlight w:val="none"/>
                <w14:textFill>
                  <w14:solidFill>
                    <w14:schemeClr w14:val="tx1"/>
                  </w14:solidFill>
                </w14:textFill>
              </w:rPr>
            </w:pPr>
          </w:p>
        </w:tc>
      </w:tr>
      <w:tr w14:paraId="424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2F72B38">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17395958">
            <w:pPr>
              <w:jc w:val="center"/>
              <w:rPr>
                <w:color w:val="000000" w:themeColor="text1"/>
                <w:highlight w:val="none"/>
                <w14:textFill>
                  <w14:solidFill>
                    <w14:schemeClr w14:val="tx1"/>
                  </w14:solidFill>
                </w14:textFill>
              </w:rPr>
            </w:pPr>
          </w:p>
        </w:tc>
        <w:tc>
          <w:tcPr>
            <w:tcW w:w="1837" w:type="dxa"/>
            <w:gridSpan w:val="4"/>
            <w:vAlign w:val="center"/>
          </w:tcPr>
          <w:p w14:paraId="2052C90E">
            <w:pPr>
              <w:jc w:val="center"/>
              <w:rPr>
                <w:color w:val="000000" w:themeColor="text1"/>
                <w:highlight w:val="none"/>
                <w14:textFill>
                  <w14:solidFill>
                    <w14:schemeClr w14:val="tx1"/>
                  </w14:solidFill>
                </w14:textFill>
              </w:rPr>
            </w:pPr>
          </w:p>
        </w:tc>
        <w:tc>
          <w:tcPr>
            <w:tcW w:w="1472" w:type="dxa"/>
            <w:gridSpan w:val="3"/>
            <w:vAlign w:val="center"/>
          </w:tcPr>
          <w:p w14:paraId="1778C4BA">
            <w:pPr>
              <w:jc w:val="center"/>
              <w:rPr>
                <w:color w:val="000000" w:themeColor="text1"/>
                <w:highlight w:val="none"/>
                <w14:textFill>
                  <w14:solidFill>
                    <w14:schemeClr w14:val="tx1"/>
                  </w14:solidFill>
                </w14:textFill>
              </w:rPr>
            </w:pPr>
          </w:p>
        </w:tc>
        <w:tc>
          <w:tcPr>
            <w:tcW w:w="1641" w:type="dxa"/>
            <w:gridSpan w:val="4"/>
            <w:vAlign w:val="center"/>
          </w:tcPr>
          <w:p w14:paraId="465F9BDB">
            <w:pPr>
              <w:jc w:val="center"/>
              <w:rPr>
                <w:color w:val="000000" w:themeColor="text1"/>
                <w:highlight w:val="none"/>
                <w14:textFill>
                  <w14:solidFill>
                    <w14:schemeClr w14:val="tx1"/>
                  </w14:solidFill>
                </w14:textFill>
              </w:rPr>
            </w:pPr>
          </w:p>
        </w:tc>
        <w:tc>
          <w:tcPr>
            <w:tcW w:w="1484" w:type="dxa"/>
            <w:gridSpan w:val="2"/>
            <w:vAlign w:val="center"/>
          </w:tcPr>
          <w:p w14:paraId="0B794344">
            <w:pPr>
              <w:jc w:val="center"/>
              <w:rPr>
                <w:color w:val="000000" w:themeColor="text1"/>
                <w:highlight w:val="none"/>
                <w14:textFill>
                  <w14:solidFill>
                    <w14:schemeClr w14:val="tx1"/>
                  </w14:solidFill>
                </w14:textFill>
              </w:rPr>
            </w:pPr>
          </w:p>
        </w:tc>
      </w:tr>
      <w:tr w14:paraId="55A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3617ED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7B98CB2B">
            <w:pPr>
              <w:jc w:val="center"/>
              <w:rPr>
                <w:color w:val="000000" w:themeColor="text1"/>
                <w:highlight w:val="none"/>
                <w14:textFill>
                  <w14:solidFill>
                    <w14:schemeClr w14:val="tx1"/>
                  </w14:solidFill>
                </w14:textFill>
              </w:rPr>
            </w:pPr>
          </w:p>
        </w:tc>
        <w:tc>
          <w:tcPr>
            <w:tcW w:w="1837" w:type="dxa"/>
            <w:gridSpan w:val="4"/>
            <w:vAlign w:val="center"/>
          </w:tcPr>
          <w:p w14:paraId="5DF467DA">
            <w:pPr>
              <w:jc w:val="center"/>
              <w:rPr>
                <w:color w:val="000000" w:themeColor="text1"/>
                <w:highlight w:val="none"/>
                <w14:textFill>
                  <w14:solidFill>
                    <w14:schemeClr w14:val="tx1"/>
                  </w14:solidFill>
                </w14:textFill>
              </w:rPr>
            </w:pPr>
          </w:p>
        </w:tc>
        <w:tc>
          <w:tcPr>
            <w:tcW w:w="1472" w:type="dxa"/>
            <w:gridSpan w:val="3"/>
            <w:vAlign w:val="center"/>
          </w:tcPr>
          <w:p w14:paraId="1F27EC1C">
            <w:pPr>
              <w:jc w:val="center"/>
              <w:rPr>
                <w:color w:val="000000" w:themeColor="text1"/>
                <w:highlight w:val="none"/>
                <w14:textFill>
                  <w14:solidFill>
                    <w14:schemeClr w14:val="tx1"/>
                  </w14:solidFill>
                </w14:textFill>
              </w:rPr>
            </w:pPr>
          </w:p>
        </w:tc>
        <w:tc>
          <w:tcPr>
            <w:tcW w:w="1641" w:type="dxa"/>
            <w:gridSpan w:val="4"/>
            <w:vAlign w:val="center"/>
          </w:tcPr>
          <w:p w14:paraId="67BB24A1">
            <w:pPr>
              <w:jc w:val="center"/>
              <w:rPr>
                <w:color w:val="000000" w:themeColor="text1"/>
                <w:highlight w:val="none"/>
                <w14:textFill>
                  <w14:solidFill>
                    <w14:schemeClr w14:val="tx1"/>
                  </w14:solidFill>
                </w14:textFill>
              </w:rPr>
            </w:pPr>
          </w:p>
        </w:tc>
        <w:tc>
          <w:tcPr>
            <w:tcW w:w="1484" w:type="dxa"/>
            <w:gridSpan w:val="2"/>
            <w:vAlign w:val="center"/>
          </w:tcPr>
          <w:p w14:paraId="3FC7DF3D">
            <w:pPr>
              <w:jc w:val="center"/>
              <w:rPr>
                <w:color w:val="000000" w:themeColor="text1"/>
                <w:highlight w:val="none"/>
                <w14:textFill>
                  <w14:solidFill>
                    <w14:schemeClr w14:val="tx1"/>
                  </w14:solidFill>
                </w14:textFill>
              </w:rPr>
            </w:pPr>
          </w:p>
        </w:tc>
      </w:tr>
      <w:tr w14:paraId="55E0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B31302A">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0B0A08C9">
            <w:pPr>
              <w:jc w:val="center"/>
              <w:rPr>
                <w:color w:val="000000" w:themeColor="text1"/>
                <w:highlight w:val="none"/>
                <w14:textFill>
                  <w14:solidFill>
                    <w14:schemeClr w14:val="tx1"/>
                  </w14:solidFill>
                </w14:textFill>
              </w:rPr>
            </w:pPr>
          </w:p>
        </w:tc>
        <w:tc>
          <w:tcPr>
            <w:tcW w:w="1837" w:type="dxa"/>
            <w:gridSpan w:val="4"/>
            <w:vAlign w:val="center"/>
          </w:tcPr>
          <w:p w14:paraId="5A8B7E24">
            <w:pPr>
              <w:jc w:val="center"/>
              <w:rPr>
                <w:color w:val="000000" w:themeColor="text1"/>
                <w:highlight w:val="none"/>
                <w14:textFill>
                  <w14:solidFill>
                    <w14:schemeClr w14:val="tx1"/>
                  </w14:solidFill>
                </w14:textFill>
              </w:rPr>
            </w:pPr>
          </w:p>
        </w:tc>
        <w:tc>
          <w:tcPr>
            <w:tcW w:w="1472" w:type="dxa"/>
            <w:gridSpan w:val="3"/>
            <w:vAlign w:val="center"/>
          </w:tcPr>
          <w:p w14:paraId="7E5C9519">
            <w:pPr>
              <w:jc w:val="center"/>
              <w:rPr>
                <w:color w:val="000000" w:themeColor="text1"/>
                <w:highlight w:val="none"/>
                <w14:textFill>
                  <w14:solidFill>
                    <w14:schemeClr w14:val="tx1"/>
                  </w14:solidFill>
                </w14:textFill>
              </w:rPr>
            </w:pPr>
          </w:p>
        </w:tc>
        <w:tc>
          <w:tcPr>
            <w:tcW w:w="1641" w:type="dxa"/>
            <w:gridSpan w:val="4"/>
            <w:vAlign w:val="center"/>
          </w:tcPr>
          <w:p w14:paraId="1E605EFF">
            <w:pPr>
              <w:jc w:val="center"/>
              <w:rPr>
                <w:color w:val="000000" w:themeColor="text1"/>
                <w:highlight w:val="none"/>
                <w14:textFill>
                  <w14:solidFill>
                    <w14:schemeClr w14:val="tx1"/>
                  </w14:solidFill>
                </w14:textFill>
              </w:rPr>
            </w:pPr>
          </w:p>
        </w:tc>
        <w:tc>
          <w:tcPr>
            <w:tcW w:w="1484" w:type="dxa"/>
            <w:gridSpan w:val="2"/>
            <w:vAlign w:val="center"/>
          </w:tcPr>
          <w:p w14:paraId="554754F7">
            <w:pPr>
              <w:jc w:val="center"/>
              <w:rPr>
                <w:color w:val="000000" w:themeColor="text1"/>
                <w:highlight w:val="none"/>
                <w14:textFill>
                  <w14:solidFill>
                    <w14:schemeClr w14:val="tx1"/>
                  </w14:solidFill>
                </w14:textFill>
              </w:rPr>
            </w:pPr>
          </w:p>
        </w:tc>
      </w:tr>
      <w:tr w14:paraId="33A4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88D78F">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5571A5A">
            <w:pPr>
              <w:jc w:val="center"/>
              <w:rPr>
                <w:color w:val="000000" w:themeColor="text1"/>
                <w:highlight w:val="none"/>
                <w14:textFill>
                  <w14:solidFill>
                    <w14:schemeClr w14:val="tx1"/>
                  </w14:solidFill>
                </w14:textFill>
              </w:rPr>
            </w:pPr>
          </w:p>
        </w:tc>
        <w:tc>
          <w:tcPr>
            <w:tcW w:w="1837" w:type="dxa"/>
            <w:gridSpan w:val="4"/>
            <w:vAlign w:val="center"/>
          </w:tcPr>
          <w:p w14:paraId="559323B2">
            <w:pPr>
              <w:jc w:val="center"/>
              <w:rPr>
                <w:color w:val="000000" w:themeColor="text1"/>
                <w:highlight w:val="none"/>
                <w14:textFill>
                  <w14:solidFill>
                    <w14:schemeClr w14:val="tx1"/>
                  </w14:solidFill>
                </w14:textFill>
              </w:rPr>
            </w:pPr>
          </w:p>
        </w:tc>
        <w:tc>
          <w:tcPr>
            <w:tcW w:w="1472" w:type="dxa"/>
            <w:gridSpan w:val="3"/>
            <w:vAlign w:val="center"/>
          </w:tcPr>
          <w:p w14:paraId="3DB6EF2E">
            <w:pPr>
              <w:jc w:val="center"/>
              <w:rPr>
                <w:color w:val="000000" w:themeColor="text1"/>
                <w:highlight w:val="none"/>
                <w14:textFill>
                  <w14:solidFill>
                    <w14:schemeClr w14:val="tx1"/>
                  </w14:solidFill>
                </w14:textFill>
              </w:rPr>
            </w:pPr>
          </w:p>
        </w:tc>
        <w:tc>
          <w:tcPr>
            <w:tcW w:w="1641" w:type="dxa"/>
            <w:gridSpan w:val="4"/>
            <w:vAlign w:val="center"/>
          </w:tcPr>
          <w:p w14:paraId="1EE86C82">
            <w:pPr>
              <w:jc w:val="center"/>
              <w:rPr>
                <w:color w:val="000000" w:themeColor="text1"/>
                <w:highlight w:val="none"/>
                <w14:textFill>
                  <w14:solidFill>
                    <w14:schemeClr w14:val="tx1"/>
                  </w14:solidFill>
                </w14:textFill>
              </w:rPr>
            </w:pPr>
          </w:p>
        </w:tc>
        <w:tc>
          <w:tcPr>
            <w:tcW w:w="1484" w:type="dxa"/>
            <w:gridSpan w:val="2"/>
            <w:vAlign w:val="center"/>
          </w:tcPr>
          <w:p w14:paraId="6937FE8B">
            <w:pPr>
              <w:jc w:val="center"/>
              <w:rPr>
                <w:color w:val="000000" w:themeColor="text1"/>
                <w:highlight w:val="none"/>
                <w14:textFill>
                  <w14:solidFill>
                    <w14:schemeClr w14:val="tx1"/>
                  </w14:solidFill>
                </w14:textFill>
              </w:rPr>
            </w:pPr>
          </w:p>
        </w:tc>
      </w:tr>
      <w:tr w14:paraId="1725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F843734">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400B8A21">
            <w:pPr>
              <w:jc w:val="center"/>
              <w:rPr>
                <w:color w:val="000000" w:themeColor="text1"/>
                <w:highlight w:val="none"/>
                <w14:textFill>
                  <w14:solidFill>
                    <w14:schemeClr w14:val="tx1"/>
                  </w14:solidFill>
                </w14:textFill>
              </w:rPr>
            </w:pPr>
          </w:p>
        </w:tc>
        <w:tc>
          <w:tcPr>
            <w:tcW w:w="1837" w:type="dxa"/>
            <w:gridSpan w:val="4"/>
            <w:vAlign w:val="center"/>
          </w:tcPr>
          <w:p w14:paraId="633D2C89">
            <w:pPr>
              <w:jc w:val="center"/>
              <w:rPr>
                <w:color w:val="000000" w:themeColor="text1"/>
                <w:highlight w:val="none"/>
                <w14:textFill>
                  <w14:solidFill>
                    <w14:schemeClr w14:val="tx1"/>
                  </w14:solidFill>
                </w14:textFill>
              </w:rPr>
            </w:pPr>
          </w:p>
        </w:tc>
        <w:tc>
          <w:tcPr>
            <w:tcW w:w="1472" w:type="dxa"/>
            <w:gridSpan w:val="3"/>
            <w:vAlign w:val="center"/>
          </w:tcPr>
          <w:p w14:paraId="1056D80C">
            <w:pPr>
              <w:jc w:val="center"/>
              <w:rPr>
                <w:color w:val="000000" w:themeColor="text1"/>
                <w:highlight w:val="none"/>
                <w14:textFill>
                  <w14:solidFill>
                    <w14:schemeClr w14:val="tx1"/>
                  </w14:solidFill>
                </w14:textFill>
              </w:rPr>
            </w:pPr>
          </w:p>
        </w:tc>
        <w:tc>
          <w:tcPr>
            <w:tcW w:w="1641" w:type="dxa"/>
            <w:gridSpan w:val="4"/>
            <w:vAlign w:val="center"/>
          </w:tcPr>
          <w:p w14:paraId="3659F73F">
            <w:pPr>
              <w:jc w:val="center"/>
              <w:rPr>
                <w:color w:val="000000" w:themeColor="text1"/>
                <w:highlight w:val="none"/>
                <w14:textFill>
                  <w14:solidFill>
                    <w14:schemeClr w14:val="tx1"/>
                  </w14:solidFill>
                </w14:textFill>
              </w:rPr>
            </w:pPr>
          </w:p>
        </w:tc>
        <w:tc>
          <w:tcPr>
            <w:tcW w:w="1484" w:type="dxa"/>
            <w:gridSpan w:val="2"/>
            <w:vAlign w:val="center"/>
          </w:tcPr>
          <w:p w14:paraId="6E92B78D">
            <w:pPr>
              <w:jc w:val="center"/>
              <w:rPr>
                <w:color w:val="000000" w:themeColor="text1"/>
                <w:highlight w:val="none"/>
                <w14:textFill>
                  <w14:solidFill>
                    <w14:schemeClr w14:val="tx1"/>
                  </w14:solidFill>
                </w14:textFill>
              </w:rPr>
            </w:pPr>
          </w:p>
        </w:tc>
      </w:tr>
      <w:tr w14:paraId="1721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EC626B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466B0C12">
            <w:pPr>
              <w:jc w:val="center"/>
              <w:rPr>
                <w:color w:val="000000" w:themeColor="text1"/>
                <w:highlight w:val="none"/>
                <w14:textFill>
                  <w14:solidFill>
                    <w14:schemeClr w14:val="tx1"/>
                  </w14:solidFill>
                </w14:textFill>
              </w:rPr>
            </w:pPr>
          </w:p>
        </w:tc>
        <w:tc>
          <w:tcPr>
            <w:tcW w:w="1837" w:type="dxa"/>
            <w:gridSpan w:val="4"/>
            <w:vAlign w:val="center"/>
          </w:tcPr>
          <w:p w14:paraId="5EF1E3C9">
            <w:pPr>
              <w:jc w:val="center"/>
              <w:rPr>
                <w:color w:val="000000" w:themeColor="text1"/>
                <w:highlight w:val="none"/>
                <w14:textFill>
                  <w14:solidFill>
                    <w14:schemeClr w14:val="tx1"/>
                  </w14:solidFill>
                </w14:textFill>
              </w:rPr>
            </w:pPr>
          </w:p>
        </w:tc>
        <w:tc>
          <w:tcPr>
            <w:tcW w:w="1472" w:type="dxa"/>
            <w:gridSpan w:val="3"/>
            <w:vAlign w:val="center"/>
          </w:tcPr>
          <w:p w14:paraId="6100FCB2">
            <w:pPr>
              <w:jc w:val="center"/>
              <w:rPr>
                <w:color w:val="000000" w:themeColor="text1"/>
                <w:highlight w:val="none"/>
                <w14:textFill>
                  <w14:solidFill>
                    <w14:schemeClr w14:val="tx1"/>
                  </w14:solidFill>
                </w14:textFill>
              </w:rPr>
            </w:pPr>
          </w:p>
        </w:tc>
        <w:tc>
          <w:tcPr>
            <w:tcW w:w="1641" w:type="dxa"/>
            <w:gridSpan w:val="4"/>
            <w:vAlign w:val="center"/>
          </w:tcPr>
          <w:p w14:paraId="0D456E10">
            <w:pPr>
              <w:jc w:val="center"/>
              <w:rPr>
                <w:color w:val="000000" w:themeColor="text1"/>
                <w:highlight w:val="none"/>
                <w14:textFill>
                  <w14:solidFill>
                    <w14:schemeClr w14:val="tx1"/>
                  </w14:solidFill>
                </w14:textFill>
              </w:rPr>
            </w:pPr>
          </w:p>
        </w:tc>
        <w:tc>
          <w:tcPr>
            <w:tcW w:w="1484" w:type="dxa"/>
            <w:gridSpan w:val="2"/>
            <w:vAlign w:val="center"/>
          </w:tcPr>
          <w:p w14:paraId="55524BA1">
            <w:pPr>
              <w:jc w:val="center"/>
              <w:rPr>
                <w:color w:val="000000" w:themeColor="text1"/>
                <w:highlight w:val="none"/>
                <w14:textFill>
                  <w14:solidFill>
                    <w14:schemeClr w14:val="tx1"/>
                  </w14:solidFill>
                </w14:textFill>
              </w:rPr>
            </w:pPr>
          </w:p>
        </w:tc>
      </w:tr>
    </w:tbl>
    <w:p w14:paraId="1078FFDB">
      <w:pPr>
        <w:spacing w:line="360" w:lineRule="auto"/>
        <w:rPr>
          <w:rFonts w:ascii="宋体" w:hAnsi="宋体"/>
          <w:color w:val="000000" w:themeColor="text1"/>
          <w:highlight w:val="none"/>
          <w14:textFill>
            <w14:solidFill>
              <w14:schemeClr w14:val="tx1"/>
            </w14:solidFill>
          </w14:textFill>
        </w:rPr>
      </w:pPr>
      <w:r>
        <w:rPr>
          <w:rFonts w:hint="eastAsia" w:ascii="宋体" w:hAnsi="宋体" w:cs="楷体_GB2312"/>
          <w:color w:val="000000" w:themeColor="text1"/>
          <w:highlight w:val="none"/>
          <w14:textFill>
            <w14:solidFill>
              <w14:schemeClr w14:val="tx1"/>
            </w14:solidFill>
          </w14:textFill>
        </w:rPr>
        <w:t>备注：</w:t>
      </w:r>
    </w:p>
    <w:p w14:paraId="39B91FE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1.供应商可以根据项目情况增减表格内容，项目数可以根据需要增加。</w:t>
      </w:r>
    </w:p>
    <w:p w14:paraId="172A325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本表后附专职安全生产管理人员的安全生产考核合格证（C类）、本表所列证书复印件或打印件并加盖供应商电子签章。</w:t>
      </w:r>
    </w:p>
    <w:p w14:paraId="06B6069A">
      <w:pPr>
        <w:spacing w:line="360" w:lineRule="auto"/>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w:t>
      </w:r>
    </w:p>
    <w:p w14:paraId="069CB89E">
      <w:pPr>
        <w:spacing w:line="360" w:lineRule="auto"/>
        <w:rPr>
          <w:rFonts w:ascii="宋体" w:hAnsi="宋体"/>
          <w:color w:val="000000" w:themeColor="text1"/>
          <w:szCs w:val="21"/>
          <w:highlight w:val="none"/>
          <w14:textFill>
            <w14:solidFill>
              <w14:schemeClr w14:val="tx1"/>
            </w14:solidFill>
          </w14:textFill>
        </w:rPr>
      </w:pPr>
    </w:p>
    <w:p w14:paraId="71FE1630">
      <w:pPr>
        <w:jc w:val="center"/>
        <w:rPr>
          <w:rFonts w:ascii="宋体" w:hAnsi="宋体" w:cs="方正小标宋简体"/>
          <w:b/>
          <w:color w:val="000000" w:themeColor="text1"/>
          <w:sz w:val="32"/>
          <w:szCs w:val="32"/>
          <w:highlight w:val="none"/>
          <w14:textFill>
            <w14:solidFill>
              <w14:schemeClr w14:val="tx1"/>
            </w14:solidFill>
          </w14:textFill>
        </w:rPr>
      </w:pPr>
      <w:bookmarkStart w:id="209" w:name="_Toc71365926"/>
      <w:r>
        <w:rPr>
          <w:rFonts w:hint="eastAsia" w:ascii="宋体" w:hAnsi="宋体" w:cs="方正小标宋简体"/>
          <w:b/>
          <w:color w:val="000000" w:themeColor="text1"/>
          <w:sz w:val="32"/>
          <w:szCs w:val="32"/>
          <w:highlight w:val="none"/>
          <w14:textFill>
            <w14:solidFill>
              <w14:schemeClr w14:val="tx1"/>
            </w14:solidFill>
          </w14:textFill>
        </w:rPr>
        <w:t>中小企业声明函（工程）</w:t>
      </w:r>
      <w:bookmarkEnd w:id="209"/>
    </w:p>
    <w:p w14:paraId="71786B3C">
      <w:pPr>
        <w:pStyle w:val="19"/>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5B35C3EA">
      <w:pPr>
        <w:tabs>
          <w:tab w:val="left" w:pos="1384"/>
          <w:tab w:val="left" w:pos="4562"/>
          <w:tab w:val="left" w:pos="6803"/>
        </w:tabs>
        <w:spacing w:before="13" w:line="500" w:lineRule="exact"/>
        <w:ind w:right="142" w:firstLine="772" w:firstLineChars="322"/>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402AB3B8">
      <w:pPr>
        <w:tabs>
          <w:tab w:val="left" w:pos="1065"/>
          <w:tab w:val="left" w:pos="4262"/>
          <w:tab w:val="left" w:pos="6477"/>
        </w:tabs>
        <w:spacing w:before="20" w:line="500" w:lineRule="exact"/>
        <w:ind w:right="84" w:firstLine="772" w:firstLineChars="322"/>
        <w:rPr>
          <w:rFonts w:hint="eastAsia" w:ascii="宋体" w:hAnsi="宋体" w:eastAsia="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04AC098A">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AF49CF6">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0272E69">
      <w:pPr>
        <w:pStyle w:val="19"/>
        <w:spacing w:before="25"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4317E9C3">
      <w:pPr>
        <w:pStyle w:val="19"/>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4B3E75A1">
      <w:pPr>
        <w:pStyle w:val="19"/>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3EBD86A9">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注：1.对于联合体中由中小企业承担的部分，或者分包给中小企业的部分，供应商应当在声明函“项目名称”部分标明联合体中中小企业承担的具体内容或者中小企业的具体分包内容。</w:t>
      </w:r>
    </w:p>
    <w:p w14:paraId="5AECC603">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D4D46E">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残疾人福利性单位声明函</w:t>
      </w:r>
    </w:p>
    <w:p w14:paraId="1410A5EE">
      <w:pPr>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15B4AC35">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BE88C1C">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1FCC740F">
      <w:pPr>
        <w:spacing w:line="360" w:lineRule="auto"/>
        <w:contextualSpacing/>
        <w:rPr>
          <w:rFonts w:ascii="宋体" w:hAnsi="宋体" w:cs="仿宋_GB2312"/>
          <w:color w:val="000000" w:themeColor="text1"/>
          <w:sz w:val="24"/>
          <w:highlight w:val="none"/>
          <w14:textFill>
            <w14:solidFill>
              <w14:schemeClr w14:val="tx1"/>
            </w14:solidFill>
          </w14:textFill>
        </w:rPr>
      </w:pPr>
    </w:p>
    <w:p w14:paraId="1AA45633">
      <w:pPr>
        <w:spacing w:line="360" w:lineRule="auto"/>
        <w:contextualSpacing/>
        <w:rPr>
          <w:rFonts w:ascii="宋体" w:hAnsi="宋体" w:cs="仿宋_GB2312"/>
          <w:color w:val="000000" w:themeColor="text1"/>
          <w:sz w:val="24"/>
          <w:highlight w:val="none"/>
          <w14:textFill>
            <w14:solidFill>
              <w14:schemeClr w14:val="tx1"/>
            </w14:solidFill>
          </w14:textFill>
        </w:rPr>
      </w:pPr>
    </w:p>
    <w:p w14:paraId="7EA6FB7E">
      <w:pPr>
        <w:spacing w:line="360" w:lineRule="auto"/>
        <w:contextualSpacing/>
        <w:rPr>
          <w:rFonts w:ascii="宋体" w:hAnsi="宋体" w:cs="仿宋_GB2312"/>
          <w:color w:val="000000" w:themeColor="text1"/>
          <w:sz w:val="24"/>
          <w:highlight w:val="none"/>
          <w14:textFill>
            <w14:solidFill>
              <w14:schemeClr w14:val="tx1"/>
            </w14:solidFill>
          </w14:textFill>
        </w:rPr>
      </w:pPr>
    </w:p>
    <w:p w14:paraId="4149DEEF">
      <w:pPr>
        <w:spacing w:line="360" w:lineRule="auto"/>
        <w:ind w:firstLine="2400" w:firstLineChars="10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0A790FC0">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3F9DB753">
      <w:pPr>
        <w:spacing w:line="360" w:lineRule="auto"/>
        <w:contextualSpacing/>
        <w:rPr>
          <w:rFonts w:ascii="宋体" w:hAnsi="宋体" w:cs="仿宋_GB2312"/>
          <w:color w:val="000000" w:themeColor="text1"/>
          <w:sz w:val="24"/>
          <w:highlight w:val="none"/>
          <w14:textFill>
            <w14:solidFill>
              <w14:schemeClr w14:val="tx1"/>
            </w14:solidFill>
          </w14:textFill>
        </w:rPr>
      </w:pPr>
    </w:p>
    <w:p w14:paraId="6B357585">
      <w:pPr>
        <w:spacing w:line="360" w:lineRule="auto"/>
        <w:contextualSpacing/>
        <w:rPr>
          <w:rFonts w:ascii="宋体" w:hAnsi="宋体" w:cs="仿宋_GB2312"/>
          <w:color w:val="000000" w:themeColor="text1"/>
          <w:sz w:val="24"/>
          <w:highlight w:val="none"/>
          <w14:textFill>
            <w14:solidFill>
              <w14:schemeClr w14:val="tx1"/>
            </w14:solidFill>
          </w14:textFill>
        </w:rPr>
      </w:pPr>
    </w:p>
    <w:p w14:paraId="663E4F2F">
      <w:pPr>
        <w:spacing w:line="360" w:lineRule="auto"/>
        <w:contextualSpacing/>
        <w:rPr>
          <w:rFonts w:ascii="宋体" w:hAnsi="宋体" w:cs="仿宋_GB2312"/>
          <w:color w:val="000000" w:themeColor="text1"/>
          <w:sz w:val="24"/>
          <w:highlight w:val="none"/>
          <w14:textFill>
            <w14:solidFill>
              <w14:schemeClr w14:val="tx1"/>
            </w14:solidFill>
          </w14:textFill>
        </w:rPr>
      </w:pPr>
    </w:p>
    <w:p w14:paraId="00FC3F58">
      <w:pPr>
        <w:spacing w:line="360" w:lineRule="auto"/>
        <w:ind w:firstLine="420" w:firstLineChars="200"/>
        <w:contextualSpacing/>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注：请根据自己的真实情况出具《残疾人福利性单位声明函》。依法享受中小企业优惠政策的，采购人或者采购代理机构在公告</w:t>
      </w:r>
      <w:r>
        <w:rPr>
          <w:rFonts w:hint="eastAsia" w:ascii="宋体" w:hAnsi="宋体" w:cs="仿宋_GB2312"/>
          <w:color w:val="000000" w:themeColor="text1"/>
          <w:szCs w:val="21"/>
          <w:highlight w:val="none"/>
          <w:lang w:val="en-US" w:eastAsia="zh-CN"/>
          <w14:textFill>
            <w14:solidFill>
              <w14:schemeClr w14:val="tx1"/>
            </w14:solidFill>
          </w14:textFill>
        </w:rPr>
        <w:t>成交</w:t>
      </w:r>
      <w:r>
        <w:rPr>
          <w:rFonts w:hint="eastAsia" w:ascii="宋体" w:hAnsi="宋体" w:cs="仿宋_GB2312"/>
          <w:color w:val="000000" w:themeColor="text1"/>
          <w:szCs w:val="21"/>
          <w:highlight w:val="none"/>
          <w14:textFill>
            <w14:solidFill>
              <w14:schemeClr w14:val="tx1"/>
            </w14:solidFill>
          </w14:textFill>
        </w:rPr>
        <w:t>结果时，同时公告其《残疾人福利性单位声明函》，接受社会监督。</w:t>
      </w:r>
    </w:p>
    <w:p w14:paraId="5646ACC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7C44C93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75D21E7">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909694C">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34A6707">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F68B999">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114449C4">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0955590">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86A71D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5697852F">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54763F2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EC88388">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6E5B80A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43B2B3E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BA8BA0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608501B2">
      <w:pPr>
        <w:pStyle w:val="25"/>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0CC0B910">
      <w:pPr>
        <w:pStyle w:val="25"/>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0077DA8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1C89EE95">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4C76CFA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A28154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1A91288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5725F137">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222A2D2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DC92991">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5DFFC06B">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A0FC876">
      <w:pPr>
        <w:pStyle w:val="25"/>
        <w:spacing w:line="360" w:lineRule="auto"/>
        <w:ind w:firstLine="480" w:firstLineChars="200"/>
        <w:contextualSpacing/>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F52C3C2">
      <w:pPr>
        <w:pStyle w:val="25"/>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4A30566">
      <w:pPr>
        <w:pStyle w:val="25"/>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03E41E3D">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0C373A">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9A129D4">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7B478261">
      <w:pPr>
        <w:pStyle w:val="25"/>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77EFD6AE">
      <w:pPr>
        <w:pStyle w:val="25"/>
        <w:snapToGrid w:val="0"/>
        <w:rPr>
          <w:b/>
          <w:color w:val="000000" w:themeColor="text1"/>
          <w:sz w:val="24"/>
          <w:szCs w:val="24"/>
          <w:highlight w:val="none"/>
          <w14:textFill>
            <w14:solidFill>
              <w14:schemeClr w14:val="tx1"/>
            </w14:solidFill>
          </w14:textFill>
        </w:rPr>
      </w:pPr>
    </w:p>
    <w:p w14:paraId="3C92FF0C">
      <w:pPr>
        <w:rPr>
          <w:color w:val="000000" w:themeColor="text1"/>
          <w:sz w:val="32"/>
          <w:szCs w:val="40"/>
          <w:highlight w:val="none"/>
          <w14:textFill>
            <w14:solidFill>
              <w14:schemeClr w14:val="tx1"/>
            </w14:solidFill>
          </w14:textFill>
        </w:rPr>
      </w:pPr>
    </w:p>
    <w:p w14:paraId="11D3D02E">
      <w:pPr>
        <w:rPr>
          <w:color w:val="000000" w:themeColor="text1"/>
          <w:sz w:val="32"/>
          <w:szCs w:val="40"/>
          <w:highlight w:val="none"/>
          <w14:textFill>
            <w14:solidFill>
              <w14:schemeClr w14:val="tx1"/>
            </w14:solidFill>
          </w14:textFill>
        </w:rPr>
      </w:pPr>
    </w:p>
    <w:p w14:paraId="4AE9AD0D">
      <w:pPr>
        <w:rPr>
          <w:color w:val="000000" w:themeColor="text1"/>
          <w:sz w:val="32"/>
          <w:szCs w:val="40"/>
          <w:highlight w:val="none"/>
          <w14:textFill>
            <w14:solidFill>
              <w14:schemeClr w14:val="tx1"/>
            </w14:solidFill>
          </w14:textFill>
        </w:rPr>
      </w:pPr>
    </w:p>
    <w:p w14:paraId="7C2BE011">
      <w:pPr>
        <w:rPr>
          <w:color w:val="000000" w:themeColor="text1"/>
          <w:sz w:val="32"/>
          <w:szCs w:val="40"/>
          <w:highlight w:val="none"/>
          <w14:textFill>
            <w14:solidFill>
              <w14:schemeClr w14:val="tx1"/>
            </w14:solidFill>
          </w14:textFill>
        </w:rPr>
      </w:pPr>
    </w:p>
    <w:p w14:paraId="42ABF246">
      <w:pPr>
        <w:rPr>
          <w:color w:val="000000" w:themeColor="text1"/>
          <w:sz w:val="32"/>
          <w:szCs w:val="40"/>
          <w:highlight w:val="none"/>
          <w14:textFill>
            <w14:solidFill>
              <w14:schemeClr w14:val="tx1"/>
            </w14:solidFill>
          </w14:textFill>
        </w:rPr>
      </w:pPr>
    </w:p>
    <w:p w14:paraId="732B352D">
      <w:pPr>
        <w:rPr>
          <w:color w:val="000000" w:themeColor="text1"/>
          <w:sz w:val="32"/>
          <w:szCs w:val="40"/>
          <w:highlight w:val="none"/>
          <w14:textFill>
            <w14:solidFill>
              <w14:schemeClr w14:val="tx1"/>
            </w14:solidFill>
          </w14:textFill>
        </w:rPr>
      </w:pPr>
    </w:p>
    <w:p w14:paraId="77CA4BB7">
      <w:pPr>
        <w:rPr>
          <w:color w:val="000000" w:themeColor="text1"/>
          <w:sz w:val="32"/>
          <w:szCs w:val="40"/>
          <w:highlight w:val="none"/>
          <w14:textFill>
            <w14:solidFill>
              <w14:schemeClr w14:val="tx1"/>
            </w14:solidFill>
          </w14:textFill>
        </w:rPr>
      </w:pPr>
    </w:p>
    <w:p w14:paraId="691B3A11">
      <w:pPr>
        <w:rPr>
          <w:color w:val="000000" w:themeColor="text1"/>
          <w:sz w:val="32"/>
          <w:szCs w:val="40"/>
          <w:highlight w:val="none"/>
          <w14:textFill>
            <w14:solidFill>
              <w14:schemeClr w14:val="tx1"/>
            </w14:solidFill>
          </w14:textFill>
        </w:rPr>
      </w:pPr>
    </w:p>
    <w:p w14:paraId="3D8A5937">
      <w:pPr>
        <w:rPr>
          <w:color w:val="000000" w:themeColor="text1"/>
          <w:sz w:val="32"/>
          <w:szCs w:val="40"/>
          <w:highlight w:val="none"/>
          <w14:textFill>
            <w14:solidFill>
              <w14:schemeClr w14:val="tx1"/>
            </w14:solidFill>
          </w14:textFill>
        </w:rPr>
      </w:pPr>
    </w:p>
    <w:p w14:paraId="489C81D1">
      <w:pPr>
        <w:rPr>
          <w:color w:val="000000" w:themeColor="text1"/>
          <w:sz w:val="32"/>
          <w:szCs w:val="40"/>
          <w:highlight w:val="none"/>
          <w14:textFill>
            <w14:solidFill>
              <w14:schemeClr w14:val="tx1"/>
            </w14:solidFill>
          </w14:textFill>
        </w:rPr>
      </w:pPr>
    </w:p>
    <w:p w14:paraId="2D95BB95">
      <w:pPr>
        <w:rPr>
          <w:color w:val="000000" w:themeColor="text1"/>
          <w:sz w:val="32"/>
          <w:szCs w:val="40"/>
          <w:highlight w:val="none"/>
          <w14:textFill>
            <w14:solidFill>
              <w14:schemeClr w14:val="tx1"/>
            </w14:solidFill>
          </w14:textFill>
        </w:rPr>
      </w:pPr>
    </w:p>
    <w:p w14:paraId="64DC9B62">
      <w:pPr>
        <w:rPr>
          <w:color w:val="000000" w:themeColor="text1"/>
          <w:sz w:val="32"/>
          <w:szCs w:val="40"/>
          <w:highlight w:val="none"/>
          <w14:textFill>
            <w14:solidFill>
              <w14:schemeClr w14:val="tx1"/>
            </w14:solidFill>
          </w14:textFill>
        </w:rPr>
      </w:pPr>
    </w:p>
    <w:p w14:paraId="12326663">
      <w:pPr>
        <w:rPr>
          <w:color w:val="000000" w:themeColor="text1"/>
          <w:sz w:val="32"/>
          <w:szCs w:val="40"/>
          <w:highlight w:val="none"/>
          <w14:textFill>
            <w14:solidFill>
              <w14:schemeClr w14:val="tx1"/>
            </w14:solidFill>
          </w14:textFill>
        </w:rPr>
      </w:pPr>
    </w:p>
    <w:p w14:paraId="61018D20">
      <w:pPr>
        <w:rPr>
          <w:color w:val="000000" w:themeColor="text1"/>
          <w:sz w:val="32"/>
          <w:szCs w:val="40"/>
          <w:highlight w:val="none"/>
          <w14:textFill>
            <w14:solidFill>
              <w14:schemeClr w14:val="tx1"/>
            </w14:solidFill>
          </w14:textFill>
        </w:rPr>
      </w:pPr>
    </w:p>
    <w:p w14:paraId="5CD6BFB8">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1F259BFE">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3BE8521B">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F83B95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A3344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66E1411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51DCFB4">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9594C29">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27F1BDD">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4389800">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6499D87A">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3A7E16D3">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C77D2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B63D66B">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62ED458C">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05AD38F">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6D596F63">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9A8367F">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CAA9810">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068E423">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BD31D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8E3D71A">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70F7EDAF">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299982F2">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62F07CB">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49ACB24">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30696F7F">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675CF22E">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9737399">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0B1BD42">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3B55E339">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7502017C">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5B36211F">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BD98C66">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0BD8C5B0">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426DB72">
      <w:pPr>
        <w:pStyle w:val="25"/>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E9E19F7">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181FA36D">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E0F385C">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7C1AAC0">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0F6B98A">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6211FB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2A33DFD">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18D4739B">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CE66A2E">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75EBFB39">
      <w:pPr>
        <w:pStyle w:val="25"/>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2AEE083">
      <w:pPr>
        <w:pStyle w:val="25"/>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5B78658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F39449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D8678C1">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4D74508C">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438EAEB5">
      <w:pPr>
        <w:pStyle w:val="25"/>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01A99FA9">
      <w:pPr>
        <w:pStyle w:val="2"/>
        <w:jc w:val="center"/>
        <w:rPr>
          <w:color w:val="000000" w:themeColor="text1"/>
          <w:highlight w:val="none"/>
          <w14:textFill>
            <w14:solidFill>
              <w14:schemeClr w14:val="tx1"/>
            </w14:solidFill>
          </w14:textFill>
        </w:rPr>
      </w:pPr>
    </w:p>
    <w:p w14:paraId="1F017E11">
      <w:pPr>
        <w:pStyle w:val="2"/>
        <w:jc w:val="center"/>
        <w:rPr>
          <w:color w:val="000000" w:themeColor="text1"/>
          <w:highlight w:val="none"/>
          <w14:textFill>
            <w14:solidFill>
              <w14:schemeClr w14:val="tx1"/>
            </w14:solidFill>
          </w14:textFill>
        </w:rPr>
      </w:pPr>
    </w:p>
    <w:p w14:paraId="7FA820F1">
      <w:pPr>
        <w:pStyle w:val="2"/>
        <w:jc w:val="center"/>
        <w:rPr>
          <w:color w:val="000000" w:themeColor="text1"/>
          <w:highlight w:val="none"/>
          <w14:textFill>
            <w14:solidFill>
              <w14:schemeClr w14:val="tx1"/>
            </w14:solidFill>
          </w14:textFill>
        </w:rPr>
      </w:pPr>
    </w:p>
    <w:p w14:paraId="7B9A7264">
      <w:pPr>
        <w:pStyle w:val="2"/>
        <w:jc w:val="center"/>
        <w:rPr>
          <w:color w:val="000000" w:themeColor="text1"/>
          <w:highlight w:val="none"/>
          <w14:textFill>
            <w14:solidFill>
              <w14:schemeClr w14:val="tx1"/>
            </w14:solidFill>
          </w14:textFill>
        </w:rPr>
      </w:pPr>
    </w:p>
    <w:p w14:paraId="60DA91D0">
      <w:pPr>
        <w:pStyle w:val="2"/>
        <w:jc w:val="center"/>
        <w:rPr>
          <w:color w:val="000000" w:themeColor="text1"/>
          <w:highlight w:val="none"/>
          <w14:textFill>
            <w14:solidFill>
              <w14:schemeClr w14:val="tx1"/>
            </w14:solidFill>
          </w14:textFill>
        </w:rPr>
      </w:pPr>
    </w:p>
    <w:p w14:paraId="69E1D3DD">
      <w:pPr>
        <w:pStyle w:val="2"/>
        <w:jc w:val="center"/>
        <w:rPr>
          <w:color w:val="000000" w:themeColor="text1"/>
          <w:highlight w:val="none"/>
          <w14:textFill>
            <w14:solidFill>
              <w14:schemeClr w14:val="tx1"/>
            </w14:solidFill>
          </w14:textFill>
        </w:rPr>
      </w:pPr>
      <w:bookmarkStart w:id="210" w:name="_Toc122424267"/>
      <w:r>
        <w:rPr>
          <w:rFonts w:hint="eastAsia"/>
          <w:color w:val="000000" w:themeColor="text1"/>
          <w:highlight w:val="none"/>
          <w14:textFill>
            <w14:solidFill>
              <w14:schemeClr w14:val="tx1"/>
            </w14:solidFill>
          </w14:textFill>
        </w:rPr>
        <w:t>第七章 合同文本</w:t>
      </w:r>
      <w:bookmarkEnd w:id="210"/>
    </w:p>
    <w:p w14:paraId="21D90218">
      <w:pPr>
        <w:spacing w:line="520" w:lineRule="exact"/>
        <w:rPr>
          <w:rFonts w:ascii="宋体" w:hAnsi="宋体" w:cs="Courier New"/>
          <w:b/>
          <w:color w:val="000000" w:themeColor="text1"/>
          <w:sz w:val="32"/>
          <w:szCs w:val="32"/>
          <w:highlight w:val="none"/>
          <w14:textFill>
            <w14:solidFill>
              <w14:schemeClr w14:val="tx1"/>
            </w14:solidFill>
          </w14:textFill>
        </w:rPr>
      </w:pPr>
    </w:p>
    <w:p w14:paraId="618D1A07">
      <w:pPr>
        <w:widowControl/>
        <w:rPr>
          <w:rFonts w:ascii="宋体" w:hAnsi="宋体" w:cs="宋体"/>
          <w:b/>
          <w:color w:val="000000" w:themeColor="text1"/>
          <w:sz w:val="44"/>
          <w:szCs w:val="44"/>
          <w:highlight w:val="none"/>
          <w14:textFill>
            <w14:solidFill>
              <w14:schemeClr w14:val="tx1"/>
            </w14:solidFill>
          </w14:textFill>
        </w:rPr>
      </w:pPr>
    </w:p>
    <w:p w14:paraId="2B7434EC">
      <w:pPr>
        <w:pStyle w:val="2"/>
        <w:jc w:val="center"/>
        <w:rPr>
          <w:color w:val="000000" w:themeColor="text1"/>
          <w:highlight w:val="none"/>
          <w14:textFill>
            <w14:solidFill>
              <w14:schemeClr w14:val="tx1"/>
            </w14:solidFill>
          </w14:textFill>
        </w:rPr>
      </w:pPr>
      <w:bookmarkStart w:id="211" w:name="_Toc1756478213"/>
      <w:bookmarkStart w:id="212" w:name="_Toc351203480"/>
      <w:bookmarkStart w:id="213" w:name="_Toc296503025"/>
      <w:bookmarkStart w:id="214" w:name="_Toc724920571"/>
      <w:bookmarkStart w:id="215" w:name="_Toc296890982"/>
      <w:bookmarkStart w:id="216" w:name="_Toc373227552"/>
      <w:bookmarkStart w:id="217" w:name="_Toc407135191"/>
      <w:bookmarkStart w:id="218" w:name="_Toc373478199"/>
      <w:bookmarkStart w:id="219" w:name="_Toc389065255"/>
      <w:bookmarkStart w:id="220" w:name="_Toc78449777"/>
      <w:r>
        <w:rPr>
          <w:rFonts w:cs="黑体"/>
          <w:color w:val="000000" w:themeColor="text1"/>
          <w:highlight w:val="none"/>
          <w14:textFill>
            <w14:solidFill>
              <w14:schemeClr w14:val="tx1"/>
            </w14:solidFill>
          </w14:textFill>
        </w:rPr>
        <w:br w:type="page"/>
      </w:r>
      <w:bookmarkStart w:id="221" w:name="_Toc122424019"/>
      <w:bookmarkStart w:id="222" w:name="_Toc122424268"/>
      <w:r>
        <w:rPr>
          <w:rFonts w:hint="eastAsia" w:cs="黑体"/>
          <w:color w:val="000000" w:themeColor="text1"/>
          <w:highlight w:val="none"/>
          <w14:textFill>
            <w14:solidFill>
              <w14:schemeClr w14:val="tx1"/>
            </w14:solidFill>
          </w14:textFill>
        </w:rPr>
        <w:t>第一部分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合同协议书</w:t>
      </w:r>
      <w:bookmarkEnd w:id="211"/>
      <w:bookmarkEnd w:id="212"/>
      <w:bookmarkEnd w:id="213"/>
      <w:bookmarkEnd w:id="214"/>
      <w:bookmarkEnd w:id="215"/>
      <w:bookmarkEnd w:id="216"/>
      <w:bookmarkEnd w:id="217"/>
      <w:bookmarkEnd w:id="218"/>
      <w:bookmarkEnd w:id="219"/>
      <w:bookmarkEnd w:id="220"/>
      <w:bookmarkEnd w:id="221"/>
      <w:bookmarkEnd w:id="222"/>
    </w:p>
    <w:p w14:paraId="1E59482F">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r>
        <w:rPr>
          <w:rFonts w:hAnsi="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钦州市钦北区鸿亭街道小江社区卫生服务中心</w:t>
      </w:r>
      <w:r>
        <w:rPr>
          <w:rFonts w:hAnsi="宋体"/>
          <w:color w:val="000000" w:themeColor="text1"/>
          <w:highlight w:val="none"/>
          <w:u w:val="single"/>
          <w14:textFill>
            <w14:solidFill>
              <w14:schemeClr w14:val="tx1"/>
            </w14:solidFill>
          </w14:textFill>
        </w:rPr>
        <w:t xml:space="preserve">    </w:t>
      </w:r>
    </w:p>
    <w:p w14:paraId="2DA3D422">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r>
        <w:rPr>
          <w:rFonts w:hAnsi="宋体"/>
          <w:color w:val="000000" w:themeColor="text1"/>
          <w:highlight w:val="none"/>
          <w:u w:val="single"/>
          <w14:textFill>
            <w14:solidFill>
              <w14:schemeClr w14:val="tx1"/>
            </w14:solidFill>
          </w14:textFill>
        </w:rPr>
        <w:t xml:space="preserve">                              </w:t>
      </w:r>
    </w:p>
    <w:p w14:paraId="58C990B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根据《中华人民共和国民法典》、《中华人民共和国建筑法》及有关法律规定，遵循平等、自愿、公平和诚实信用的原则，双方就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钦州市钦北区鸿亭街道小江社区卫生服务中心业务用房、医疗污水处理建设项目一至三层消防安装及消防水池建设工程</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工程施工及有关事项协商一致，共同达成如下协议：</w:t>
      </w:r>
      <w:bookmarkStart w:id="223" w:name="_Toc351203481"/>
    </w:p>
    <w:p w14:paraId="55F58FF6">
      <w:pPr>
        <w:spacing w:line="360" w:lineRule="auto"/>
        <w:ind w:firstLine="422" w:firstLineChars="200"/>
        <w:outlineLvl w:val="0"/>
        <w:rPr>
          <w:b/>
          <w:bCs/>
          <w:color w:val="000000" w:themeColor="text1"/>
          <w:highlight w:val="none"/>
          <w14:textFill>
            <w14:solidFill>
              <w14:schemeClr w14:val="tx1"/>
            </w14:solidFill>
          </w14:textFill>
        </w:rPr>
      </w:pPr>
      <w:bookmarkStart w:id="224" w:name="_Toc122424269"/>
      <w:bookmarkStart w:id="225" w:name="_Toc122424020"/>
      <w:r>
        <w:rPr>
          <w:rFonts w:hint="eastAsia" w:hAnsi="宋体" w:cs="宋体"/>
          <w:b/>
          <w:bCs/>
          <w:color w:val="000000" w:themeColor="text1"/>
          <w:highlight w:val="none"/>
          <w14:textFill>
            <w14:solidFill>
              <w14:schemeClr w14:val="tx1"/>
            </w14:solidFill>
          </w14:textFill>
        </w:rPr>
        <w:t>一、工程概况</w:t>
      </w:r>
      <w:bookmarkEnd w:id="223"/>
      <w:bookmarkEnd w:id="224"/>
      <w:bookmarkEnd w:id="225"/>
    </w:p>
    <w:p w14:paraId="17A80F37">
      <w:pPr>
        <w:spacing w:line="360" w:lineRule="auto"/>
        <w:ind w:firstLine="411" w:firstLineChars="196"/>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工程名称：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钦州市钦北区鸿亭街道小江社区卫生服务中心业务用房、医疗污水处理建设项目一至三层消防安装及消防水池建设工程</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826A121">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工程地点：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F8FA0E0">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工程立项批准文号：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D087E1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资金来源：</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财政资金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03459594">
      <w:pPr>
        <w:spacing w:line="360" w:lineRule="auto"/>
        <w:ind w:firstLine="411" w:firstLineChars="196"/>
        <w:rPr>
          <w:color w:val="000000" w:themeColor="text1"/>
          <w:highlight w:val="none"/>
          <w14:textFill>
            <w14:solidFill>
              <w14:schemeClr w14:val="tx1"/>
            </w14:solidFill>
          </w14:textFill>
        </w:rPr>
      </w:pPr>
      <w:bookmarkStart w:id="226" w:name="_Toc122424021"/>
      <w:bookmarkStart w:id="227" w:name="_Toc351203482"/>
      <w:bookmarkStart w:id="228" w:name="_Toc122424270"/>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工程内容：</w:t>
      </w:r>
      <w:r>
        <w:rPr>
          <w:rFonts w:hint="eastAsia" w:hAnsi="宋体" w:cs="宋体"/>
          <w:color w:val="000000" w:themeColor="text1"/>
          <w:highlight w:val="none"/>
          <w:u w:val="single"/>
          <w14:textFill>
            <w14:solidFill>
              <w14:schemeClr w14:val="tx1"/>
            </w14:solidFill>
          </w14:textFill>
        </w:rPr>
        <w:t>详见工程量清单</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2F03F83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工程承包范围：</w:t>
      </w:r>
      <w:r>
        <w:rPr>
          <w:rFonts w:hint="eastAsia" w:hAnsi="宋体" w:cs="宋体"/>
          <w:color w:val="000000" w:themeColor="text1"/>
          <w:highlight w:val="none"/>
          <w:u w:val="single"/>
          <w14:textFill>
            <w14:solidFill>
              <w14:schemeClr w14:val="tx1"/>
            </w14:solidFill>
          </w14:textFill>
        </w:rPr>
        <w:t>详见施工图纸、工程量清单，以及经发包人基建管理部门同意变更的事项。</w:t>
      </w:r>
    </w:p>
    <w:p w14:paraId="01045EDE">
      <w:pPr>
        <w:spacing w:line="360" w:lineRule="auto"/>
        <w:ind w:firstLine="407" w:firstLineChars="193"/>
        <w:outlineLvl w:val="0"/>
        <w:rPr>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二、合同工期</w:t>
      </w:r>
      <w:bookmarkEnd w:id="226"/>
      <w:bookmarkEnd w:id="227"/>
      <w:bookmarkEnd w:id="228"/>
    </w:p>
    <w:p w14:paraId="3CDEFE50">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计划开工日期：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（具体以发包人书面通知为准）</w:t>
      </w:r>
    </w:p>
    <w:p w14:paraId="7C351464">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计划竣工日期：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w:t>
      </w:r>
    </w:p>
    <w:p w14:paraId="218E46D9">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工期总日历天数：</w:t>
      </w:r>
      <w:r>
        <w:rPr>
          <w:rFonts w:hint="eastAsia" w:hAnsi="宋体" w:cs="宋体"/>
          <w:color w:val="000000" w:themeColor="text1"/>
          <w:highlight w:val="none"/>
          <w:u w:val="single"/>
          <w14:textFill>
            <w14:solidFill>
              <w14:schemeClr w14:val="tx1"/>
            </w14:solidFill>
          </w14:textFill>
        </w:rPr>
        <w:t xml:space="preserve">   天</w:t>
      </w:r>
      <w:r>
        <w:rPr>
          <w:rFonts w:hint="eastAsia" w:hAnsi="宋体" w:cs="宋体"/>
          <w:color w:val="000000" w:themeColor="text1"/>
          <w:highlight w:val="none"/>
          <w14:textFill>
            <w14:solidFill>
              <w14:schemeClr w14:val="tx1"/>
            </w14:solidFill>
          </w14:textFill>
        </w:rPr>
        <w:t>工期总日历天数与根据前述计划开竣工日期计算的工期天数不一致的，以工期总日历天数为准。</w:t>
      </w:r>
    </w:p>
    <w:p w14:paraId="2F2AEC2B">
      <w:pPr>
        <w:spacing w:line="360" w:lineRule="auto"/>
        <w:ind w:firstLine="459"/>
        <w:outlineLvl w:val="0"/>
        <w:rPr>
          <w:b/>
          <w:bCs/>
          <w:color w:val="000000" w:themeColor="text1"/>
          <w:highlight w:val="none"/>
          <w14:textFill>
            <w14:solidFill>
              <w14:schemeClr w14:val="tx1"/>
            </w14:solidFill>
          </w14:textFill>
        </w:rPr>
      </w:pPr>
      <w:bookmarkStart w:id="229" w:name="_Toc122424022"/>
      <w:bookmarkStart w:id="230" w:name="_Toc122424271"/>
      <w:bookmarkStart w:id="231" w:name="_Toc351203483"/>
      <w:r>
        <w:rPr>
          <w:rFonts w:hint="eastAsia" w:hAnsi="宋体" w:cs="宋体"/>
          <w:b/>
          <w:bCs/>
          <w:color w:val="000000" w:themeColor="text1"/>
          <w:highlight w:val="none"/>
          <w14:textFill>
            <w14:solidFill>
              <w14:schemeClr w14:val="tx1"/>
            </w14:solidFill>
          </w14:textFill>
        </w:rPr>
        <w:t>三、质量标准</w:t>
      </w:r>
      <w:bookmarkEnd w:id="229"/>
      <w:bookmarkEnd w:id="230"/>
      <w:bookmarkEnd w:id="231"/>
    </w:p>
    <w:p w14:paraId="54F2812C">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工程质量符合</w:t>
      </w:r>
      <w:r>
        <w:rPr>
          <w:rFonts w:eastAsia="仿宋_GB2312"/>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达到国家施工验收规范合格</w:t>
      </w:r>
      <w:r>
        <w:rPr>
          <w:rFonts w:eastAsia="仿宋_GB2312"/>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标准。</w:t>
      </w:r>
    </w:p>
    <w:p w14:paraId="69388A55">
      <w:pPr>
        <w:spacing w:line="360" w:lineRule="auto"/>
        <w:ind w:firstLine="459"/>
        <w:outlineLvl w:val="0"/>
        <w:rPr>
          <w:rFonts w:hAnsi="宋体"/>
          <w:b/>
          <w:bCs/>
          <w:color w:val="000000" w:themeColor="text1"/>
          <w:highlight w:val="none"/>
          <w14:textFill>
            <w14:solidFill>
              <w14:schemeClr w14:val="tx1"/>
            </w14:solidFill>
          </w14:textFill>
        </w:rPr>
      </w:pPr>
      <w:bookmarkStart w:id="232" w:name="_Toc122424272"/>
      <w:bookmarkStart w:id="233" w:name="_Toc351203484"/>
      <w:bookmarkStart w:id="234" w:name="_Toc122424023"/>
      <w:r>
        <w:rPr>
          <w:rFonts w:hint="eastAsia" w:hAnsi="宋体" w:cs="宋体"/>
          <w:b/>
          <w:bCs/>
          <w:color w:val="000000" w:themeColor="text1"/>
          <w:highlight w:val="none"/>
          <w14:textFill>
            <w14:solidFill>
              <w14:schemeClr w14:val="tx1"/>
            </w14:solidFill>
          </w14:textFill>
        </w:rPr>
        <w:t>四、签约合同价与合同价格形式</w:t>
      </w:r>
      <w:bookmarkEnd w:id="232"/>
      <w:bookmarkEnd w:id="233"/>
      <w:bookmarkEnd w:id="234"/>
    </w:p>
    <w:p w14:paraId="0821F2FB">
      <w:pPr>
        <w:spacing w:line="360" w:lineRule="auto"/>
        <w:ind w:firstLine="45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签约合同价为：</w:t>
      </w:r>
    </w:p>
    <w:p w14:paraId="61FB5FFA">
      <w:pPr>
        <w:spacing w:line="360" w:lineRule="auto"/>
        <w:ind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D81C7E2">
      <w:pPr>
        <w:spacing w:line="360" w:lineRule="auto"/>
        <w:ind w:firstLine="525" w:firstLineChars="2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其中：</w:t>
      </w:r>
    </w:p>
    <w:p w14:paraId="7F8353A5">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）安全文明施工费：</w:t>
      </w:r>
    </w:p>
    <w:p w14:paraId="223322B5">
      <w:pPr>
        <w:spacing w:line="360" w:lineRule="auto"/>
        <w:ind w:left="420" w:leftChars="200"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221C5690">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）材料和工程设备暂估价金额：</w:t>
      </w:r>
    </w:p>
    <w:p w14:paraId="5824A348">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00F51EA3">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）专业工程暂估价金额：</w:t>
      </w:r>
    </w:p>
    <w:p w14:paraId="1CB7D14E">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C35863E">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）暂列金额：</w:t>
      </w:r>
    </w:p>
    <w:p w14:paraId="02261D48">
      <w:pPr>
        <w:spacing w:line="360" w:lineRule="auto"/>
        <w:ind w:firstLine="945" w:firstLineChars="4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015CB619">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合同价格形式：</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F6F8B56">
      <w:pPr>
        <w:spacing w:line="360" w:lineRule="auto"/>
        <w:ind w:firstLine="422" w:firstLineChars="200"/>
        <w:outlineLvl w:val="0"/>
        <w:rPr>
          <w:b/>
          <w:bCs/>
          <w:color w:val="000000" w:themeColor="text1"/>
          <w:highlight w:val="none"/>
          <w14:textFill>
            <w14:solidFill>
              <w14:schemeClr w14:val="tx1"/>
            </w14:solidFill>
          </w14:textFill>
        </w:rPr>
      </w:pPr>
      <w:bookmarkStart w:id="235" w:name="_Toc351203485"/>
      <w:bookmarkStart w:id="236" w:name="_Toc122424273"/>
      <w:bookmarkStart w:id="237" w:name="_Toc122424024"/>
      <w:r>
        <w:rPr>
          <w:rFonts w:hint="eastAsia" w:hAnsi="宋体" w:cs="宋体"/>
          <w:b/>
          <w:bCs/>
          <w:color w:val="000000" w:themeColor="text1"/>
          <w:highlight w:val="none"/>
          <w14:textFill>
            <w14:solidFill>
              <w14:schemeClr w14:val="tx1"/>
            </w14:solidFill>
          </w14:textFill>
        </w:rPr>
        <w:t>五、</w:t>
      </w:r>
      <w:bookmarkEnd w:id="235"/>
      <w:r>
        <w:rPr>
          <w:rFonts w:hint="eastAsia" w:hAnsi="宋体" w:cs="宋体"/>
          <w:b/>
          <w:bCs/>
          <w:color w:val="000000" w:themeColor="text1"/>
          <w:highlight w:val="none"/>
          <w14:textFill>
            <w14:solidFill>
              <w14:schemeClr w14:val="tx1"/>
            </w14:solidFill>
          </w14:textFill>
        </w:rPr>
        <w:t>项目经理</w:t>
      </w:r>
      <w:bookmarkEnd w:id="236"/>
      <w:bookmarkEnd w:id="237"/>
    </w:p>
    <w:p w14:paraId="1FF66E7E">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承包人项目经理：</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5EA7469E">
      <w:pPr>
        <w:spacing w:line="360" w:lineRule="auto"/>
        <w:ind w:firstLine="422" w:firstLineChars="200"/>
        <w:outlineLvl w:val="0"/>
        <w:rPr>
          <w:b/>
          <w:bCs/>
          <w:color w:val="000000" w:themeColor="text1"/>
          <w:highlight w:val="none"/>
          <w14:textFill>
            <w14:solidFill>
              <w14:schemeClr w14:val="tx1"/>
            </w14:solidFill>
          </w14:textFill>
        </w:rPr>
      </w:pPr>
      <w:bookmarkStart w:id="238" w:name="_Toc351203486"/>
      <w:bookmarkStart w:id="239" w:name="_Toc122424025"/>
      <w:bookmarkStart w:id="240" w:name="_Toc122424274"/>
      <w:r>
        <w:rPr>
          <w:rFonts w:hint="eastAsia" w:hAnsi="宋体" w:cs="宋体"/>
          <w:b/>
          <w:bCs/>
          <w:color w:val="000000" w:themeColor="text1"/>
          <w:highlight w:val="none"/>
          <w14:textFill>
            <w14:solidFill>
              <w14:schemeClr w14:val="tx1"/>
            </w14:solidFill>
          </w14:textFill>
        </w:rPr>
        <w:t>六、合同文件构成</w:t>
      </w:r>
      <w:bookmarkEnd w:id="238"/>
      <w:bookmarkEnd w:id="239"/>
      <w:bookmarkEnd w:id="240"/>
    </w:p>
    <w:p w14:paraId="21ED133C">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本协议书与下列文件一起构成合同文件：</w:t>
      </w:r>
    </w:p>
    <w:p w14:paraId="35DAB258">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）成交通知书（如有）</w:t>
      </w:r>
      <w:r>
        <w:rPr>
          <w:rFonts w:hint="eastAsia" w:hAnsi="宋体" w:cs="宋体"/>
          <w:color w:val="000000" w:themeColor="text1"/>
          <w:highlight w:val="none"/>
          <w:lang w:eastAsia="zh-CN"/>
          <w14:textFill>
            <w14:solidFill>
              <w14:schemeClr w14:val="tx1"/>
            </w14:solidFill>
          </w14:textFill>
        </w:rPr>
        <w:t>；</w:t>
      </w:r>
    </w:p>
    <w:p w14:paraId="0A297E4C">
      <w:pPr>
        <w:autoSpaceDE w:val="0"/>
        <w:autoSpaceDN w:val="0"/>
        <w:adjustRightInd w:val="0"/>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）竞标函及其附录（如有）</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5F97E2D5">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）专用合同条款及其附件</w:t>
      </w:r>
      <w:r>
        <w:rPr>
          <w:rFonts w:hint="eastAsia" w:hAnsi="宋体" w:cs="宋体"/>
          <w:color w:val="000000" w:themeColor="text1"/>
          <w:highlight w:val="none"/>
          <w:lang w:eastAsia="zh-CN"/>
          <w14:textFill>
            <w14:solidFill>
              <w14:schemeClr w14:val="tx1"/>
            </w14:solidFill>
          </w14:textFill>
        </w:rPr>
        <w:t>；</w:t>
      </w:r>
    </w:p>
    <w:p w14:paraId="2290076F">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）通用合同条款</w:t>
      </w:r>
      <w:r>
        <w:rPr>
          <w:rFonts w:hint="eastAsia" w:hAnsi="宋体" w:cs="宋体"/>
          <w:color w:val="000000" w:themeColor="text1"/>
          <w:highlight w:val="none"/>
          <w:lang w:eastAsia="zh-CN"/>
          <w14:textFill>
            <w14:solidFill>
              <w14:schemeClr w14:val="tx1"/>
            </w14:solidFill>
          </w14:textFill>
        </w:rPr>
        <w:t>；</w:t>
      </w:r>
    </w:p>
    <w:p w14:paraId="213B8582">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）技术标准和要求</w:t>
      </w:r>
      <w:r>
        <w:rPr>
          <w:rFonts w:hint="eastAsia" w:hAnsi="宋体" w:cs="宋体"/>
          <w:color w:val="000000" w:themeColor="text1"/>
          <w:szCs w:val="21"/>
          <w:highlight w:val="none"/>
          <w:lang w:eastAsia="zh-CN"/>
          <w14:textFill>
            <w14:solidFill>
              <w14:schemeClr w14:val="tx1"/>
            </w14:solidFill>
          </w14:textFill>
        </w:rPr>
        <w:t>；</w:t>
      </w:r>
    </w:p>
    <w:p w14:paraId="15312F25">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）已标价工程量清单</w:t>
      </w:r>
      <w:r>
        <w:rPr>
          <w:rFonts w:hint="eastAsia" w:hAnsi="宋体" w:cs="宋体"/>
          <w:color w:val="000000" w:themeColor="text1"/>
          <w:szCs w:val="21"/>
          <w:highlight w:val="none"/>
          <w:lang w:eastAsia="zh-CN"/>
          <w14:textFill>
            <w14:solidFill>
              <w14:schemeClr w14:val="tx1"/>
            </w14:solidFill>
          </w14:textFill>
        </w:rPr>
        <w:t>；</w:t>
      </w:r>
    </w:p>
    <w:p w14:paraId="5E9058AE">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）图纸</w:t>
      </w:r>
      <w:r>
        <w:rPr>
          <w:rFonts w:hint="eastAsia" w:hAnsi="宋体" w:cs="宋体"/>
          <w:color w:val="000000" w:themeColor="text1"/>
          <w:szCs w:val="21"/>
          <w:highlight w:val="none"/>
          <w:lang w:eastAsia="zh-CN"/>
          <w14:textFill>
            <w14:solidFill>
              <w14:schemeClr w14:val="tx1"/>
            </w14:solidFill>
          </w14:textFill>
        </w:rPr>
        <w:t>；</w:t>
      </w:r>
    </w:p>
    <w:p w14:paraId="2B21B1C3">
      <w:pPr>
        <w:autoSpaceDE w:val="0"/>
        <w:autoSpaceDN w:val="0"/>
        <w:adjustRightIn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）其他合同文件：</w:t>
      </w:r>
    </w:p>
    <w:p w14:paraId="14D0D5A6">
      <w:pPr>
        <w:autoSpaceDE w:val="0"/>
        <w:autoSpaceDN w:val="0"/>
        <w:adjustRightInd w:val="0"/>
        <w:spacing w:line="360" w:lineRule="auto"/>
        <w:ind w:firstLine="420" w:firstLineChars="200"/>
        <w:jc w:val="left"/>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9</w:t>
      </w:r>
      <w:r>
        <w:rPr>
          <w:rFonts w:hint="eastAsia" w:hAnsi="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竞争性磋商文件及响应文件</w:t>
      </w:r>
      <w:r>
        <w:rPr>
          <w:rFonts w:hint="eastAsia" w:hAnsi="宋体" w:cs="宋体"/>
          <w:color w:val="000000" w:themeColor="text1"/>
          <w:szCs w:val="21"/>
          <w:highlight w:val="none"/>
          <w:lang w:eastAsia="zh-CN"/>
          <w14:textFill>
            <w14:solidFill>
              <w14:schemeClr w14:val="tx1"/>
            </w14:solidFill>
          </w14:textFill>
        </w:rPr>
        <w:t>；</w:t>
      </w:r>
    </w:p>
    <w:p w14:paraId="151B4CA9">
      <w:pPr>
        <w:autoSpaceDE w:val="0"/>
        <w:autoSpaceDN w:val="0"/>
        <w:adjustRightInd w:val="0"/>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上述各项合同文件包括合同当事人就该项合同文件所作出的补充和修改，属于同一类内容的文件，应以最新签署的为准（违反磋商文件</w:t>
      </w:r>
      <w:r>
        <w:rPr>
          <w:rFonts w:hAnsi="宋体" w:cs="宋体"/>
          <w:color w:val="000000" w:themeColor="text1"/>
          <w:highlight w:val="none"/>
          <w14:textFill>
            <w14:solidFill>
              <w14:schemeClr w14:val="tx1"/>
            </w14:solidFill>
          </w14:textFill>
        </w:rPr>
        <w:t>实质性内容的约定除外</w:t>
      </w:r>
      <w:r>
        <w:rPr>
          <w:rFonts w:hint="eastAsia" w:hAnsi="宋体" w:cs="宋体"/>
          <w:color w:val="000000" w:themeColor="text1"/>
          <w:highlight w:val="none"/>
          <w14:textFill>
            <w14:solidFill>
              <w14:schemeClr w14:val="tx1"/>
            </w14:solidFill>
          </w14:textFill>
        </w:rPr>
        <w:t>）。专用合同条款及其附件须经合同当事人签字或盖章。</w:t>
      </w:r>
    </w:p>
    <w:p w14:paraId="49AE9D09">
      <w:pPr>
        <w:autoSpaceDE w:val="0"/>
        <w:autoSpaceDN w:val="0"/>
        <w:adjustRightInd w:val="0"/>
        <w:spacing w:line="360" w:lineRule="auto"/>
        <w:ind w:firstLine="422" w:firstLineChars="200"/>
        <w:jc w:val="left"/>
        <w:outlineLvl w:val="0"/>
        <w:rPr>
          <w:b/>
          <w:bCs/>
          <w:color w:val="000000" w:themeColor="text1"/>
          <w:highlight w:val="none"/>
          <w14:textFill>
            <w14:solidFill>
              <w14:schemeClr w14:val="tx1"/>
            </w14:solidFill>
          </w14:textFill>
        </w:rPr>
      </w:pPr>
      <w:bookmarkStart w:id="241" w:name="_Toc122424026"/>
      <w:bookmarkStart w:id="242" w:name="_Toc122424275"/>
      <w:bookmarkStart w:id="243" w:name="_Toc351203487"/>
      <w:r>
        <w:rPr>
          <w:rFonts w:hint="eastAsia" w:hAnsi="宋体" w:cs="宋体"/>
          <w:b/>
          <w:bCs/>
          <w:color w:val="000000" w:themeColor="text1"/>
          <w:highlight w:val="none"/>
          <w14:textFill>
            <w14:solidFill>
              <w14:schemeClr w14:val="tx1"/>
            </w14:solidFill>
          </w14:textFill>
        </w:rPr>
        <w:t>七、承诺</w:t>
      </w:r>
      <w:bookmarkEnd w:id="241"/>
      <w:bookmarkEnd w:id="242"/>
      <w:bookmarkEnd w:id="243"/>
    </w:p>
    <w:p w14:paraId="04A3EC9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发包人承诺按照法律规定履行项目审批手续、筹集工程建设资金并按照合同约定的期限和方式支付合同价款。</w:t>
      </w:r>
    </w:p>
    <w:p w14:paraId="361A8D8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p>
    <w:p w14:paraId="7F2AEB73">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发包人和承包人通过政府采购形式签订合同的，双方理解并承诺不再就同一工程另行签订与合同实质性内容相背离的协议。</w:t>
      </w:r>
      <w:bookmarkStart w:id="244" w:name="_Toc351203488"/>
    </w:p>
    <w:p w14:paraId="364BAF5C">
      <w:pPr>
        <w:spacing w:line="360" w:lineRule="auto"/>
        <w:ind w:firstLine="422" w:firstLineChars="200"/>
        <w:outlineLvl w:val="0"/>
        <w:rPr>
          <w:b/>
          <w:bCs/>
          <w:color w:val="000000" w:themeColor="text1"/>
          <w:highlight w:val="none"/>
          <w14:textFill>
            <w14:solidFill>
              <w14:schemeClr w14:val="tx1"/>
            </w14:solidFill>
          </w14:textFill>
        </w:rPr>
      </w:pPr>
      <w:bookmarkStart w:id="245" w:name="_Toc122424027"/>
      <w:bookmarkStart w:id="246" w:name="_Toc122424276"/>
      <w:r>
        <w:rPr>
          <w:rFonts w:hint="eastAsia" w:hAnsi="宋体" w:cs="宋体"/>
          <w:b/>
          <w:bCs/>
          <w:color w:val="000000" w:themeColor="text1"/>
          <w:highlight w:val="none"/>
          <w14:textFill>
            <w14:solidFill>
              <w14:schemeClr w14:val="tx1"/>
            </w14:solidFill>
          </w14:textFill>
        </w:rPr>
        <w:t>八、词语含义</w:t>
      </w:r>
      <w:bookmarkEnd w:id="244"/>
      <w:bookmarkEnd w:id="245"/>
      <w:bookmarkEnd w:id="246"/>
    </w:p>
    <w:p w14:paraId="34FB7D20">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本协议书中词语含义与第二部分通用合同条款中赋予的含义相同。</w:t>
      </w:r>
    </w:p>
    <w:p w14:paraId="172B87CF">
      <w:pPr>
        <w:spacing w:line="360" w:lineRule="auto"/>
        <w:ind w:firstLine="422" w:firstLineChars="200"/>
        <w:outlineLvl w:val="0"/>
        <w:rPr>
          <w:b/>
          <w:bCs/>
          <w:color w:val="000000" w:themeColor="text1"/>
          <w:highlight w:val="none"/>
          <w14:textFill>
            <w14:solidFill>
              <w14:schemeClr w14:val="tx1"/>
            </w14:solidFill>
          </w14:textFill>
        </w:rPr>
      </w:pPr>
      <w:bookmarkStart w:id="247" w:name="_Toc351203489"/>
      <w:bookmarkStart w:id="248" w:name="_Toc122424277"/>
      <w:bookmarkStart w:id="249" w:name="_Toc122424028"/>
      <w:r>
        <w:rPr>
          <w:rFonts w:hint="eastAsia" w:hAnsi="宋体" w:cs="宋体"/>
          <w:b/>
          <w:bCs/>
          <w:color w:val="000000" w:themeColor="text1"/>
          <w:highlight w:val="none"/>
          <w14:textFill>
            <w14:solidFill>
              <w14:schemeClr w14:val="tx1"/>
            </w14:solidFill>
          </w14:textFill>
        </w:rPr>
        <w:t>九、签订时间</w:t>
      </w:r>
      <w:bookmarkEnd w:id="247"/>
      <w:bookmarkEnd w:id="248"/>
      <w:bookmarkEnd w:id="249"/>
    </w:p>
    <w:p w14:paraId="1324C6D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w:t>
      </w:r>
    </w:p>
    <w:p w14:paraId="37D2BAA6">
      <w:pPr>
        <w:spacing w:line="360" w:lineRule="auto"/>
        <w:ind w:firstLine="422" w:firstLineChars="200"/>
        <w:outlineLvl w:val="0"/>
        <w:rPr>
          <w:b/>
          <w:bCs/>
          <w:color w:val="000000" w:themeColor="text1"/>
          <w:highlight w:val="none"/>
          <w14:textFill>
            <w14:solidFill>
              <w14:schemeClr w14:val="tx1"/>
            </w14:solidFill>
          </w14:textFill>
        </w:rPr>
      </w:pPr>
      <w:bookmarkStart w:id="250" w:name="_Toc351203490"/>
      <w:bookmarkStart w:id="251" w:name="_Toc122424029"/>
      <w:bookmarkStart w:id="252" w:name="_Toc122424278"/>
      <w:r>
        <w:rPr>
          <w:rFonts w:hint="eastAsia" w:hAnsi="宋体" w:cs="宋体"/>
          <w:b/>
          <w:bCs/>
          <w:color w:val="000000" w:themeColor="text1"/>
          <w:highlight w:val="none"/>
          <w14:textFill>
            <w14:solidFill>
              <w14:schemeClr w14:val="tx1"/>
            </w14:solidFill>
          </w14:textFill>
        </w:rPr>
        <w:t>十、签订地点</w:t>
      </w:r>
      <w:bookmarkEnd w:id="250"/>
      <w:bookmarkEnd w:id="251"/>
      <w:bookmarkEnd w:id="252"/>
    </w:p>
    <w:p w14:paraId="6800D981">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本合同在</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签订。</w:t>
      </w:r>
    </w:p>
    <w:p w14:paraId="0E759340">
      <w:pPr>
        <w:spacing w:line="360" w:lineRule="auto"/>
        <w:ind w:firstLine="422" w:firstLineChars="200"/>
        <w:outlineLvl w:val="0"/>
        <w:rPr>
          <w:b/>
          <w:bCs/>
          <w:color w:val="000000" w:themeColor="text1"/>
          <w:highlight w:val="none"/>
          <w14:textFill>
            <w14:solidFill>
              <w14:schemeClr w14:val="tx1"/>
            </w14:solidFill>
          </w14:textFill>
        </w:rPr>
      </w:pPr>
      <w:bookmarkStart w:id="253" w:name="_Toc122424030"/>
      <w:bookmarkStart w:id="254" w:name="_Toc122424279"/>
      <w:bookmarkStart w:id="255" w:name="_Toc351203491"/>
      <w:r>
        <w:rPr>
          <w:rFonts w:hint="eastAsia" w:hAnsi="宋体" w:cs="宋体"/>
          <w:b/>
          <w:bCs/>
          <w:color w:val="000000" w:themeColor="text1"/>
          <w:highlight w:val="none"/>
          <w14:textFill>
            <w14:solidFill>
              <w14:schemeClr w14:val="tx1"/>
            </w14:solidFill>
          </w14:textFill>
        </w:rPr>
        <w:t>十一、补充协议</w:t>
      </w:r>
      <w:bookmarkEnd w:id="253"/>
      <w:bookmarkEnd w:id="254"/>
      <w:bookmarkEnd w:id="255"/>
    </w:p>
    <w:p w14:paraId="5E8CEC1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合同未尽事宜，合同当事人另行签订补充协议，补充协议是合同的组成部分。</w:t>
      </w:r>
    </w:p>
    <w:p w14:paraId="7B220262">
      <w:pPr>
        <w:spacing w:line="360" w:lineRule="auto"/>
        <w:ind w:firstLine="422" w:firstLineChars="200"/>
        <w:outlineLvl w:val="0"/>
        <w:rPr>
          <w:b/>
          <w:bCs/>
          <w:color w:val="000000" w:themeColor="text1"/>
          <w:highlight w:val="none"/>
          <w14:textFill>
            <w14:solidFill>
              <w14:schemeClr w14:val="tx1"/>
            </w14:solidFill>
          </w14:textFill>
        </w:rPr>
      </w:pPr>
      <w:bookmarkStart w:id="256" w:name="_Toc122424280"/>
      <w:bookmarkStart w:id="257" w:name="_Toc122424031"/>
      <w:bookmarkStart w:id="258" w:name="_Toc351203492"/>
      <w:r>
        <w:rPr>
          <w:rFonts w:hint="eastAsia" w:hAnsi="宋体" w:cs="宋体"/>
          <w:b/>
          <w:bCs/>
          <w:color w:val="000000" w:themeColor="text1"/>
          <w:highlight w:val="none"/>
          <w14:textFill>
            <w14:solidFill>
              <w14:schemeClr w14:val="tx1"/>
            </w14:solidFill>
          </w14:textFill>
        </w:rPr>
        <w:t>十二、合同生效</w:t>
      </w:r>
      <w:bookmarkEnd w:id="256"/>
      <w:bookmarkEnd w:id="257"/>
      <w:bookmarkEnd w:id="258"/>
    </w:p>
    <w:p w14:paraId="5DD7BBE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本合同自</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生效。</w:t>
      </w:r>
    </w:p>
    <w:p w14:paraId="36A263E3">
      <w:pPr>
        <w:spacing w:line="360" w:lineRule="auto"/>
        <w:ind w:firstLine="422" w:firstLineChars="200"/>
        <w:outlineLvl w:val="0"/>
        <w:rPr>
          <w:b/>
          <w:bCs/>
          <w:color w:val="000000" w:themeColor="text1"/>
          <w:highlight w:val="none"/>
          <w14:textFill>
            <w14:solidFill>
              <w14:schemeClr w14:val="tx1"/>
            </w14:solidFill>
          </w14:textFill>
        </w:rPr>
      </w:pPr>
      <w:bookmarkStart w:id="259" w:name="_Toc122424032"/>
      <w:bookmarkStart w:id="260" w:name="_Toc122424281"/>
      <w:bookmarkStart w:id="261" w:name="_Toc351203493"/>
      <w:r>
        <w:rPr>
          <w:rFonts w:hint="eastAsia" w:hAnsi="宋体" w:cs="宋体"/>
          <w:b/>
          <w:bCs/>
          <w:color w:val="000000" w:themeColor="text1"/>
          <w:highlight w:val="none"/>
          <w14:textFill>
            <w14:solidFill>
              <w14:schemeClr w14:val="tx1"/>
            </w14:solidFill>
          </w14:textFill>
        </w:rPr>
        <w:t>十三、合同份数</w:t>
      </w:r>
      <w:bookmarkEnd w:id="259"/>
      <w:bookmarkEnd w:id="260"/>
      <w:bookmarkEnd w:id="261"/>
    </w:p>
    <w:p w14:paraId="554F151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本合同一式伍份，均具有同等法律效力，发包人执叁 份，承包人执 贰份。</w:t>
      </w:r>
    </w:p>
    <w:p w14:paraId="65ED422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p>
    <w:p w14:paraId="7C8595B4">
      <w:pPr>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55520E2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法定代表人或其委托代理人：</w:t>
      </w:r>
    </w:p>
    <w:p w14:paraId="3734AB4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（签字）</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（签字）</w:t>
      </w:r>
    </w:p>
    <w:p w14:paraId="548002FD">
      <w:pPr>
        <w:spacing w:line="360" w:lineRule="auto"/>
        <w:rPr>
          <w:color w:val="000000" w:themeColor="text1"/>
          <w:highlight w:val="none"/>
          <w:u w:val="single"/>
          <w14:textFill>
            <w14:solidFill>
              <w14:schemeClr w14:val="tx1"/>
            </w14:solidFill>
          </w14:textFill>
        </w:rPr>
      </w:pPr>
    </w:p>
    <w:p w14:paraId="7F92A31C">
      <w:pPr>
        <w:tabs>
          <w:tab w:val="left" w:pos="4410"/>
        </w:tabs>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统一</w:t>
      </w:r>
      <w:r>
        <w:rPr>
          <w:rFonts w:hint="eastAsia" w:hAnsi="宋体" w:cs="宋体"/>
          <w:color w:val="000000" w:themeColor="text1"/>
          <w:highlight w:val="none"/>
          <w14:textFill>
            <w14:solidFill>
              <w14:schemeClr w14:val="tx1"/>
            </w14:solidFill>
          </w14:textFill>
        </w:rPr>
        <w:t>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00A3CE1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74B5145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BE2F872">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4F2EF3E7">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30F70F21">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7197C30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E65DAA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10529C7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5D1F562">
      <w:pPr>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08F0661E">
      <w:pPr>
        <w:pStyle w:val="2"/>
        <w:jc w:val="center"/>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bookmarkStart w:id="262" w:name="_Toc407135192"/>
      <w:bookmarkStart w:id="263" w:name="_Toc78449778"/>
      <w:bookmarkStart w:id="264" w:name="_Toc389065256"/>
      <w:bookmarkStart w:id="265" w:name="_Toc122424282"/>
      <w:bookmarkStart w:id="266" w:name="_Toc86847323"/>
      <w:bookmarkStart w:id="267" w:name="_Toc1714491818"/>
      <w:bookmarkStart w:id="268" w:name="_Toc122424033"/>
      <w:bookmarkStart w:id="269" w:name="_Toc373478338"/>
      <w:bookmarkStart w:id="270" w:name="_Toc351203632"/>
      <w:bookmarkStart w:id="271" w:name="_Toc373227691"/>
      <w:r>
        <w:rPr>
          <w:rFonts w:hint="eastAsia" w:cs="黑体"/>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通用合同条款</w:t>
      </w:r>
      <w:bookmarkEnd w:id="262"/>
      <w:bookmarkEnd w:id="263"/>
      <w:bookmarkEnd w:id="264"/>
      <w:bookmarkEnd w:id="265"/>
      <w:bookmarkEnd w:id="266"/>
      <w:bookmarkEnd w:id="267"/>
      <w:bookmarkEnd w:id="268"/>
    </w:p>
    <w:p w14:paraId="59DEAA16">
      <w:pPr>
        <w:spacing w:line="360" w:lineRule="auto"/>
        <w:ind w:firstLine="420" w:firstLineChars="200"/>
        <w:rPr>
          <w:rFonts w:hAnsi="宋体"/>
          <w:color w:val="000000" w:themeColor="text1"/>
          <w:kern w:val="0"/>
          <w:highlight w:val="none"/>
          <w14:textFill>
            <w14:solidFill>
              <w14:schemeClr w14:val="tx1"/>
            </w14:solidFill>
          </w14:textFill>
        </w:rPr>
      </w:pPr>
    </w:p>
    <w:p w14:paraId="26721A4F">
      <w:pPr>
        <w:spacing w:line="360" w:lineRule="auto"/>
        <w:ind w:firstLine="422" w:firstLineChars="200"/>
        <w:rPr>
          <w:rFonts w:hAnsi="宋体"/>
          <w:b/>
          <w:bCs/>
          <w:color w:val="000000" w:themeColor="text1"/>
          <w:kern w:val="0"/>
          <w:highlight w:val="none"/>
          <w14:textFill>
            <w14:solidFill>
              <w14:schemeClr w14:val="tx1"/>
            </w14:solidFill>
          </w14:textFill>
        </w:rPr>
      </w:pPr>
      <w:r>
        <w:rPr>
          <w:rFonts w:hint="eastAsia" w:hAnsi="宋体" w:cs="宋体"/>
          <w:b/>
          <w:bCs/>
          <w:color w:val="000000" w:themeColor="text1"/>
          <w:kern w:val="0"/>
          <w:highlight w:val="none"/>
          <w14:textFill>
            <w14:solidFill>
              <w14:schemeClr w14:val="tx1"/>
            </w14:solidFill>
          </w14:textFill>
        </w:rPr>
        <w:t>采用《建设工程施工合同（示范文本）》（</w:t>
      </w:r>
      <w:r>
        <w:rPr>
          <w:rFonts w:hAnsi="宋体"/>
          <w:b/>
          <w:bCs/>
          <w:color w:val="000000" w:themeColor="text1"/>
          <w:kern w:val="0"/>
          <w:highlight w:val="none"/>
          <w14:textFill>
            <w14:solidFill>
              <w14:schemeClr w14:val="tx1"/>
            </w14:solidFill>
          </w14:textFill>
        </w:rPr>
        <w:t>GF</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201</w:t>
      </w:r>
      <w:r>
        <w:rPr>
          <w:rFonts w:hint="eastAsia" w:hAnsi="宋体"/>
          <w:b/>
          <w:bCs/>
          <w:color w:val="000000" w:themeColor="text1"/>
          <w:kern w:val="0"/>
          <w:highlight w:val="none"/>
          <w14:textFill>
            <w14:solidFill>
              <w14:schemeClr w14:val="tx1"/>
            </w14:solidFill>
          </w14:textFill>
        </w:rPr>
        <w:t>7</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0201</w:t>
      </w:r>
      <w:r>
        <w:rPr>
          <w:rFonts w:hint="eastAsia" w:hAnsi="宋体" w:cs="宋体"/>
          <w:b/>
          <w:bCs/>
          <w:color w:val="000000" w:themeColor="text1"/>
          <w:kern w:val="0"/>
          <w:highlight w:val="none"/>
          <w14:textFill>
            <w14:solidFill>
              <w14:schemeClr w14:val="tx1"/>
            </w14:solidFill>
          </w14:textFill>
        </w:rPr>
        <w:t>）。</w:t>
      </w:r>
    </w:p>
    <w:p w14:paraId="5C318C21">
      <w:pPr>
        <w:pStyle w:val="2"/>
        <w:keepNext w:val="0"/>
        <w:keepLines w:val="0"/>
        <w:jc w:val="center"/>
        <w:rPr>
          <w:rFonts w:hAnsi="宋体"/>
          <w:color w:val="000000" w:themeColor="text1"/>
          <w:sz w:val="30"/>
          <w:szCs w:val="30"/>
          <w:highlight w:val="none"/>
          <w14:textFill>
            <w14:solidFill>
              <w14:schemeClr w14:val="tx1"/>
            </w14:solidFill>
          </w14:textFill>
        </w:rPr>
      </w:pPr>
      <w:bookmarkStart w:id="272" w:name="_Toc122424283"/>
      <w:bookmarkStart w:id="273" w:name="_Toc78449779"/>
      <w:bookmarkStart w:id="274" w:name="_Toc704444909"/>
      <w:bookmarkStart w:id="275" w:name="_Toc407135193"/>
      <w:bookmarkStart w:id="276" w:name="_Toc1204138598"/>
      <w:bookmarkStart w:id="277" w:name="_Toc122424034"/>
      <w:bookmarkStart w:id="278" w:name="_Toc389065257"/>
      <w:r>
        <w:rPr>
          <w:rFonts w:hint="eastAsia" w:hAnsi="宋体" w:cs="黑体"/>
          <w:color w:val="000000" w:themeColor="text1"/>
          <w:sz w:val="30"/>
          <w:szCs w:val="30"/>
          <w:highlight w:val="none"/>
          <w14:textFill>
            <w14:solidFill>
              <w14:schemeClr w14:val="tx1"/>
            </w14:solidFill>
          </w14:textFill>
        </w:rPr>
        <w:t>第三部分</w:t>
      </w:r>
      <w:r>
        <w:rPr>
          <w:color w:val="000000" w:themeColor="text1"/>
          <w:sz w:val="30"/>
          <w:szCs w:val="30"/>
          <w:highlight w:val="none"/>
          <w14:textFill>
            <w14:solidFill>
              <w14:schemeClr w14:val="tx1"/>
            </w14:solidFill>
          </w14:textFill>
        </w:rPr>
        <w:t xml:space="preserve"> </w:t>
      </w:r>
      <w:r>
        <w:rPr>
          <w:rFonts w:hint="eastAsia" w:hAnsi="宋体" w:cs="黑体"/>
          <w:color w:val="000000" w:themeColor="text1"/>
          <w:sz w:val="30"/>
          <w:szCs w:val="30"/>
          <w:highlight w:val="none"/>
          <w14:textFill>
            <w14:solidFill>
              <w14:schemeClr w14:val="tx1"/>
            </w14:solidFill>
          </w14:textFill>
        </w:rPr>
        <w:t>专用合同条款</w:t>
      </w:r>
      <w:bookmarkEnd w:id="269"/>
      <w:bookmarkEnd w:id="270"/>
      <w:bookmarkEnd w:id="271"/>
      <w:bookmarkEnd w:id="272"/>
      <w:bookmarkEnd w:id="273"/>
      <w:bookmarkEnd w:id="274"/>
      <w:bookmarkEnd w:id="275"/>
      <w:bookmarkEnd w:id="276"/>
      <w:bookmarkEnd w:id="277"/>
      <w:bookmarkEnd w:id="278"/>
    </w:p>
    <w:p w14:paraId="17A360AC">
      <w:pPr>
        <w:keepNext/>
        <w:keepLines/>
        <w:widowControl/>
        <w:spacing w:before="120" w:after="120" w:line="440" w:lineRule="exact"/>
        <w:ind w:firstLine="413" w:firstLineChars="196"/>
        <w:outlineLvl w:val="3"/>
        <w:rPr>
          <w:rFonts w:ascii="宋体" w:hAnsi="宋体" w:eastAsia="黑体"/>
          <w:b/>
          <w:color w:val="000000" w:themeColor="text1"/>
          <w:kern w:val="0"/>
          <w:sz w:val="28"/>
          <w:szCs w:val="21"/>
          <w:highlight w:val="none"/>
          <w14:textFill>
            <w14:solidFill>
              <w14:schemeClr w14:val="tx1"/>
            </w14:solidFill>
          </w14:textFill>
        </w:rPr>
      </w:pPr>
      <w:bookmarkStart w:id="279" w:name="_Toc351203633"/>
      <w:r>
        <w:rPr>
          <w:rFonts w:ascii="宋体" w:hAnsi="宋体"/>
          <w:b/>
          <w:color w:val="000000" w:themeColor="text1"/>
          <w:kern w:val="0"/>
          <w:szCs w:val="21"/>
          <w:highlight w:val="none"/>
          <w14:textFill>
            <w14:solidFill>
              <w14:schemeClr w14:val="tx1"/>
            </w14:solidFill>
          </w14:textFill>
        </w:rPr>
        <w:t>1</w:t>
      </w:r>
      <w:bookmarkStart w:id="280" w:name="_Toc296890984"/>
      <w:bookmarkStart w:id="281" w:name="_Toc296347155"/>
      <w:bookmarkStart w:id="282" w:name="_Toc292559866"/>
      <w:bookmarkStart w:id="283" w:name="_Toc296891196"/>
      <w:bookmarkStart w:id="284" w:name="_Toc296346657"/>
      <w:bookmarkStart w:id="285" w:name="_Toc297048342"/>
      <w:bookmarkStart w:id="286" w:name="_Toc292559361"/>
      <w:bookmarkStart w:id="287" w:name="_Toc296944495"/>
      <w:bookmarkStart w:id="288" w:name="_Toc296503156"/>
      <w:bookmarkStart w:id="289" w:name="_Toc297120456"/>
      <w:r>
        <w:rPr>
          <w:rFonts w:ascii="宋体" w:hAnsi="宋体"/>
          <w:b/>
          <w:color w:val="000000" w:themeColor="text1"/>
          <w:kern w:val="0"/>
          <w:szCs w:val="21"/>
          <w:highlight w:val="none"/>
          <w14:textFill>
            <w14:solidFill>
              <w14:schemeClr w14:val="tx1"/>
            </w14:solidFill>
          </w14:textFill>
        </w:rPr>
        <w:t>. 一般约定</w:t>
      </w:r>
      <w:bookmarkEnd w:id="279"/>
      <w:bookmarkEnd w:id="280"/>
      <w:bookmarkEnd w:id="281"/>
      <w:bookmarkEnd w:id="282"/>
      <w:bookmarkEnd w:id="283"/>
      <w:bookmarkEnd w:id="284"/>
      <w:bookmarkEnd w:id="285"/>
      <w:bookmarkEnd w:id="286"/>
      <w:bookmarkEnd w:id="287"/>
      <w:bookmarkEnd w:id="288"/>
      <w:bookmarkEnd w:id="289"/>
    </w:p>
    <w:p w14:paraId="428B73A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 词语定义</w:t>
      </w:r>
    </w:p>
    <w:p w14:paraId="739C0B4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1.1.1合同</w:t>
      </w:r>
    </w:p>
    <w:p w14:paraId="51C8EEF3">
      <w:pPr>
        <w:spacing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其他合同文件包括：</w:t>
      </w:r>
      <w:r>
        <w:rPr>
          <w:rFonts w:hint="eastAsia" w:ascii="宋体" w:hAnsi="宋体"/>
          <w:color w:val="000000" w:themeColor="text1"/>
          <w:kern w:val="0"/>
          <w:szCs w:val="21"/>
          <w:highlight w:val="none"/>
          <w:u w:val="single"/>
          <w14:textFill>
            <w14:solidFill>
              <w14:schemeClr w14:val="tx1"/>
            </w14:solidFill>
          </w14:textFill>
        </w:rPr>
        <w:t>指合同书、成交通知书、竞标函及竞标函附录、专用合同条款、通用合同条款、规范、技术标准和要求、图纸、已标价工程量清单及工程量清单使用说明，以及双方共同确认的其他合同文件(包括但不限于在履行本合同过程中双方书面确认的会议纪要、签证、设计变更等资料)</w:t>
      </w:r>
      <w:r>
        <w:rPr>
          <w:rFonts w:ascii="宋体" w:hAnsi="宋体"/>
          <w:color w:val="000000" w:themeColor="text1"/>
          <w:szCs w:val="21"/>
          <w:highlight w:val="none"/>
          <w:u w:val="single"/>
          <w14:textFill>
            <w14:solidFill>
              <w14:schemeClr w14:val="tx1"/>
            </w14:solidFill>
          </w14:textFill>
        </w:rPr>
        <w:t>。</w:t>
      </w:r>
    </w:p>
    <w:p w14:paraId="1A6B3BE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 合同当事人及其他相关方</w:t>
      </w:r>
    </w:p>
    <w:p w14:paraId="117945D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监理人：</w:t>
      </w:r>
    </w:p>
    <w:p w14:paraId="673D752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1751243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6C84331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648758A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2BCD86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74FDDB3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设计人：</w:t>
      </w:r>
    </w:p>
    <w:p w14:paraId="2BFDDD9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2BDE60D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25FA933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476CF3B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33B10AD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59100F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 工程和设备</w:t>
      </w:r>
    </w:p>
    <w:p w14:paraId="01FA783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作为施工现场组成部分的其他场所包括：</w:t>
      </w:r>
      <w:r>
        <w:rPr>
          <w:rFonts w:hint="eastAsia" w:hAnsi="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5ABC66B">
      <w:pPr>
        <w:spacing w:line="400" w:lineRule="exact"/>
        <w:ind w:firstLine="424" w:firstLineChars="202"/>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1.1.3.9  永久占地包括：</w:t>
      </w:r>
      <w:r>
        <w:rPr>
          <w:rFonts w:hint="eastAsia" w:ascii="宋体" w:hAnsi="宋体"/>
          <w:color w:val="000000" w:themeColor="text1"/>
          <w:szCs w:val="21"/>
          <w:highlight w:val="none"/>
          <w:u w:val="single"/>
          <w14:textFill>
            <w14:solidFill>
              <w14:schemeClr w14:val="tx1"/>
            </w14:solidFill>
          </w14:textFill>
        </w:rPr>
        <w:t>实施工程需永久占用的土地</w:t>
      </w:r>
      <w:r>
        <w:rPr>
          <w:rFonts w:hint="eastAsia" w:ascii="宋体" w:hAnsi="宋体"/>
          <w:color w:val="000000" w:themeColor="text1"/>
          <w:kern w:val="0"/>
          <w:szCs w:val="21"/>
          <w:highlight w:val="none"/>
          <w14:textFill>
            <w14:solidFill>
              <w14:schemeClr w14:val="tx1"/>
            </w14:solidFill>
          </w14:textFill>
        </w:rPr>
        <w:t>。</w:t>
      </w:r>
    </w:p>
    <w:p w14:paraId="7F8B6D89">
      <w:pPr>
        <w:spacing w:line="400" w:lineRule="exact"/>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1.1.3.10 临时占地包括：</w:t>
      </w:r>
      <w:r>
        <w:rPr>
          <w:rFonts w:hint="eastAsia" w:ascii="宋体" w:hAnsi="宋体"/>
          <w:color w:val="000000" w:themeColor="text1"/>
          <w:szCs w:val="21"/>
          <w:highlight w:val="none"/>
          <w:u w:val="single"/>
          <w14:textFill>
            <w14:solidFill>
              <w14:schemeClr w14:val="tx1"/>
            </w14:solidFill>
          </w14:textFill>
        </w:rPr>
        <w:t>实施工程需要临时占用的土地</w:t>
      </w:r>
      <w:r>
        <w:rPr>
          <w:rFonts w:hint="eastAsia" w:ascii="宋体" w:hAnsi="宋体"/>
          <w:color w:val="000000" w:themeColor="text1"/>
          <w:kern w:val="0"/>
          <w:szCs w:val="21"/>
          <w:highlight w:val="none"/>
          <w14:textFill>
            <w14:solidFill>
              <w14:schemeClr w14:val="tx1"/>
            </w14:solidFill>
          </w14:textFill>
        </w:rPr>
        <w:t>。</w:t>
      </w:r>
    </w:p>
    <w:p w14:paraId="547B26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1.3法律 </w:t>
      </w:r>
    </w:p>
    <w:p w14:paraId="34D94FC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适用于合同的其他规范性文件：</w:t>
      </w:r>
      <w:r>
        <w:rPr>
          <w:rFonts w:hint="eastAsia" w:ascii="宋体" w:hAnsi="宋体"/>
          <w:color w:val="000000" w:themeColor="text1"/>
          <w:szCs w:val="21"/>
          <w:highlight w:val="none"/>
          <w:u w:val="single"/>
          <w14:textFill>
            <w14:solidFill>
              <w14:schemeClr w14:val="tx1"/>
            </w14:solidFill>
          </w14:textFill>
        </w:rPr>
        <w:t>中华人民共和国现行的法律、行政法规及规章</w:t>
      </w:r>
      <w:r>
        <w:rPr>
          <w:rFonts w:hAnsi="宋体"/>
          <w:color w:val="000000" w:themeColor="text1"/>
          <w:szCs w:val="21"/>
          <w:highlight w:val="none"/>
          <w14:textFill>
            <w14:solidFill>
              <w14:schemeClr w14:val="tx1"/>
            </w14:solidFill>
          </w14:textFill>
        </w:rPr>
        <w:t>。</w:t>
      </w:r>
    </w:p>
    <w:p w14:paraId="2670C5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90" w:name="_Toc465114856"/>
      <w:bookmarkStart w:id="291" w:name="_Toc373227695"/>
      <w:bookmarkStart w:id="292" w:name="_Toc389065261"/>
      <w:bookmarkStart w:id="293" w:name="_Toc373478342"/>
      <w:r>
        <w:rPr>
          <w:rFonts w:ascii="宋体" w:hAnsi="宋体"/>
          <w:b/>
          <w:bCs/>
          <w:color w:val="000000" w:themeColor="text1"/>
          <w:kern w:val="0"/>
          <w:sz w:val="24"/>
          <w:szCs w:val="32"/>
          <w:highlight w:val="none"/>
          <w14:textFill>
            <w14:solidFill>
              <w14:schemeClr w14:val="tx1"/>
            </w14:solidFill>
          </w14:textFill>
        </w:rPr>
        <w:t>1.4 标准和规范</w:t>
      </w:r>
      <w:bookmarkEnd w:id="290"/>
      <w:bookmarkEnd w:id="291"/>
      <w:bookmarkEnd w:id="292"/>
      <w:bookmarkEnd w:id="293"/>
    </w:p>
    <w:p w14:paraId="4F62008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Ansi="宋体"/>
          <w:color w:val="000000" w:themeColor="text1"/>
          <w:szCs w:val="21"/>
          <w:highlight w:val="none"/>
          <w14:textFill>
            <w14:solidFill>
              <w14:schemeClr w14:val="tx1"/>
            </w14:solidFill>
          </w14:textFill>
        </w:rPr>
        <w:t>适用于工程的标准规范包括：</w:t>
      </w:r>
      <w:r>
        <w:rPr>
          <w:rFonts w:hint="eastAsia" w:ascii="宋体" w:hAnsi="宋体"/>
          <w:color w:val="000000" w:themeColor="text1"/>
          <w:szCs w:val="21"/>
          <w:highlight w:val="none"/>
          <w:u w:val="single"/>
          <w14:textFill>
            <w14:solidFill>
              <w14:schemeClr w14:val="tx1"/>
            </w14:solidFill>
          </w14:textFill>
        </w:rPr>
        <w:t>国家现行的行业标准及相关规范。</w:t>
      </w:r>
    </w:p>
    <w:p w14:paraId="5C9856DB">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1.4.2 </w:t>
      </w:r>
      <w:r>
        <w:rPr>
          <w:rFonts w:hAnsi="宋体"/>
          <w:color w:val="000000" w:themeColor="text1"/>
          <w:kern w:val="0"/>
          <w:szCs w:val="21"/>
          <w:highlight w:val="none"/>
          <w14:textFill>
            <w14:solidFill>
              <w14:schemeClr w14:val="tx1"/>
            </w14:solidFill>
          </w14:textFill>
        </w:rPr>
        <w:t>发包人提供国外标准、规范的名称：</w:t>
      </w:r>
      <w:r>
        <w:rPr>
          <w:rFonts w:hAnsi="宋体"/>
          <w:color w:val="000000" w:themeColor="text1"/>
          <w:szCs w:val="21"/>
          <w:highlight w:val="none"/>
          <w:u w:val="single"/>
          <w14:textFill>
            <w14:solidFill>
              <w14:schemeClr w14:val="tx1"/>
            </w14:solidFill>
          </w14:textFill>
        </w:rPr>
        <w:t>无。</w:t>
      </w:r>
    </w:p>
    <w:p w14:paraId="4A3CB6D8">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发包人提供国外标准、规范的份数：</w:t>
      </w:r>
      <w:r>
        <w:rPr>
          <w:color w:val="000000" w:themeColor="text1"/>
          <w:kern w:val="0"/>
          <w:szCs w:val="21"/>
          <w:highlight w:val="none"/>
          <w:u w:val="single"/>
          <w14:textFill>
            <w14:solidFill>
              <w14:schemeClr w14:val="tx1"/>
            </w14:solidFill>
          </w14:textFill>
        </w:rPr>
        <w:t xml:space="preserve">    无     </w:t>
      </w:r>
      <w:r>
        <w:rPr>
          <w:rFonts w:hint="eastAsia" w:hAnsi="宋体"/>
          <w:color w:val="000000" w:themeColor="text1"/>
          <w:kern w:val="0"/>
          <w:szCs w:val="21"/>
          <w:highlight w:val="none"/>
          <w:lang w:eastAsia="zh-CN"/>
          <w14:textFill>
            <w14:solidFill>
              <w14:schemeClr w14:val="tx1"/>
            </w14:solidFill>
          </w14:textFill>
        </w:rPr>
        <w:t>；</w:t>
      </w:r>
    </w:p>
    <w:p w14:paraId="7CB4070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发包人提供国外标准、规范的名称：</w:t>
      </w:r>
      <w:r>
        <w:rPr>
          <w:color w:val="000000" w:themeColor="text1"/>
          <w:kern w:val="0"/>
          <w:szCs w:val="21"/>
          <w:highlight w:val="none"/>
          <w:u w:val="single"/>
          <w14:textFill>
            <w14:solidFill>
              <w14:schemeClr w14:val="tx1"/>
            </w14:solidFill>
          </w14:textFill>
        </w:rPr>
        <w:t xml:space="preserve">   无      </w:t>
      </w:r>
      <w:r>
        <w:rPr>
          <w:rFonts w:hAnsi="宋体"/>
          <w:color w:val="000000" w:themeColor="text1"/>
          <w:kern w:val="0"/>
          <w:szCs w:val="21"/>
          <w:highlight w:val="none"/>
          <w14:textFill>
            <w14:solidFill>
              <w14:schemeClr w14:val="tx1"/>
            </w14:solidFill>
          </w14:textFill>
        </w:rPr>
        <w:t>。</w:t>
      </w:r>
    </w:p>
    <w:p w14:paraId="54164497">
      <w:pPr>
        <w:spacing w:line="400" w:lineRule="exact"/>
        <w:ind w:left="479" w:leftChars="228"/>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1.4.3</w:t>
      </w:r>
      <w:r>
        <w:rPr>
          <w:rFonts w:hAnsi="宋体"/>
          <w:color w:val="000000" w:themeColor="text1"/>
          <w:szCs w:val="21"/>
          <w:highlight w:val="none"/>
          <w14:textFill>
            <w14:solidFill>
              <w14:schemeClr w14:val="tx1"/>
            </w14:solidFill>
          </w14:textFill>
        </w:rPr>
        <w:t>发包人对工程的技术标准和功能要求的特殊要求：</w:t>
      </w:r>
      <w:r>
        <w:rPr>
          <w:rFonts w:hint="eastAsia" w:ascii="宋体" w:hAnsi="宋体"/>
          <w:color w:val="000000" w:themeColor="text1"/>
          <w:szCs w:val="21"/>
          <w:highlight w:val="none"/>
          <w:u w:val="single"/>
          <w14:textFill>
            <w14:solidFill>
              <w14:schemeClr w14:val="tx1"/>
            </w14:solidFill>
          </w14:textFill>
        </w:rPr>
        <w:t>按中华人民共和国现行的标准、行业标准或地方标准执行</w:t>
      </w:r>
      <w:r>
        <w:rPr>
          <w:rFonts w:hint="eastAsia" w:ascii="宋体" w:hAnsi="宋体"/>
          <w:color w:val="000000" w:themeColor="text1"/>
          <w:szCs w:val="21"/>
          <w:highlight w:val="none"/>
          <w14:textFill>
            <w14:solidFill>
              <w14:schemeClr w14:val="tx1"/>
            </w14:solidFill>
          </w14:textFill>
        </w:rPr>
        <w:t>。</w:t>
      </w:r>
    </w:p>
    <w:p w14:paraId="5C3F8E8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94" w:name="_Toc373478343"/>
      <w:bookmarkStart w:id="295" w:name="_Toc465114857"/>
      <w:bookmarkStart w:id="296" w:name="_Toc389065262"/>
      <w:bookmarkStart w:id="297" w:name="_Toc373227696"/>
      <w:r>
        <w:rPr>
          <w:rFonts w:ascii="宋体" w:hAnsi="宋体"/>
          <w:b/>
          <w:bCs/>
          <w:color w:val="000000" w:themeColor="text1"/>
          <w:kern w:val="0"/>
          <w:sz w:val="24"/>
          <w:szCs w:val="32"/>
          <w:highlight w:val="none"/>
          <w14:textFill>
            <w14:solidFill>
              <w14:schemeClr w14:val="tx1"/>
            </w14:solidFill>
          </w14:textFill>
        </w:rPr>
        <w:t>1.5 合同文件的优先顺序</w:t>
      </w:r>
      <w:bookmarkEnd w:id="294"/>
      <w:bookmarkEnd w:id="295"/>
      <w:bookmarkEnd w:id="296"/>
      <w:bookmarkEnd w:id="297"/>
    </w:p>
    <w:p w14:paraId="08075AA1">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合同文件组成及优先顺序为：</w:t>
      </w:r>
    </w:p>
    <w:p w14:paraId="452FCE4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（1）合同协议书</w:t>
      </w:r>
      <w:r>
        <w:rPr>
          <w:rFonts w:hint="eastAsia" w:ascii="宋体" w:hAnsi="宋体"/>
          <w:color w:val="000000" w:themeColor="text1"/>
          <w:szCs w:val="21"/>
          <w:highlight w:val="none"/>
          <w:lang w:eastAsia="zh-CN"/>
          <w14:textFill>
            <w14:solidFill>
              <w14:schemeClr w14:val="tx1"/>
            </w14:solidFill>
          </w14:textFill>
        </w:rPr>
        <w:t>；</w:t>
      </w:r>
    </w:p>
    <w:p w14:paraId="1F3FCDB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通知书</w:t>
      </w:r>
      <w:r>
        <w:rPr>
          <w:rFonts w:hint="eastAsia" w:ascii="宋体" w:hAnsi="宋体"/>
          <w:color w:val="000000" w:themeColor="text1"/>
          <w:szCs w:val="21"/>
          <w:highlight w:val="none"/>
          <w:lang w:eastAsia="zh-CN"/>
          <w14:textFill>
            <w14:solidFill>
              <w14:schemeClr w14:val="tx1"/>
            </w14:solidFill>
          </w14:textFill>
        </w:rPr>
        <w:t>；</w:t>
      </w:r>
    </w:p>
    <w:p w14:paraId="3CBD9D2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（3）竞标函及其附录</w:t>
      </w:r>
      <w:r>
        <w:rPr>
          <w:rFonts w:hint="eastAsia" w:ascii="宋体" w:hAnsi="宋体"/>
          <w:color w:val="000000" w:themeColor="text1"/>
          <w:szCs w:val="21"/>
          <w:highlight w:val="none"/>
          <w:lang w:eastAsia="zh-CN"/>
          <w14:textFill>
            <w14:solidFill>
              <w14:schemeClr w14:val="tx1"/>
            </w14:solidFill>
          </w14:textFill>
        </w:rPr>
        <w:t>；</w:t>
      </w:r>
    </w:p>
    <w:p w14:paraId="4723417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（4）专用合同条款及其附件</w:t>
      </w:r>
      <w:r>
        <w:rPr>
          <w:rFonts w:hint="eastAsia" w:ascii="宋体" w:hAnsi="宋体"/>
          <w:color w:val="000000" w:themeColor="text1"/>
          <w:szCs w:val="21"/>
          <w:highlight w:val="none"/>
          <w:lang w:eastAsia="zh-CN"/>
          <w14:textFill>
            <w14:solidFill>
              <w14:schemeClr w14:val="tx1"/>
            </w14:solidFill>
          </w14:textFill>
        </w:rPr>
        <w:t>；</w:t>
      </w:r>
    </w:p>
    <w:p w14:paraId="685F8A48">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（5）通用合同条款</w:t>
      </w:r>
      <w:r>
        <w:rPr>
          <w:rFonts w:hint="eastAsia" w:ascii="宋体" w:hAnsi="宋体"/>
          <w:color w:val="000000" w:themeColor="text1"/>
          <w:szCs w:val="21"/>
          <w:highlight w:val="none"/>
          <w:lang w:eastAsia="zh-CN"/>
          <w14:textFill>
            <w14:solidFill>
              <w14:schemeClr w14:val="tx1"/>
            </w14:solidFill>
          </w14:textFill>
        </w:rPr>
        <w:t>；</w:t>
      </w:r>
    </w:p>
    <w:p w14:paraId="0163461D">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（6）技术标准和要求</w:t>
      </w:r>
      <w:r>
        <w:rPr>
          <w:rFonts w:hint="eastAsia" w:ascii="宋体" w:hAnsi="宋体"/>
          <w:color w:val="000000" w:themeColor="text1"/>
          <w:szCs w:val="21"/>
          <w:highlight w:val="none"/>
          <w:lang w:eastAsia="zh-CN"/>
          <w14:textFill>
            <w14:solidFill>
              <w14:schemeClr w14:val="tx1"/>
            </w14:solidFill>
          </w14:textFill>
        </w:rPr>
        <w:t>；</w:t>
      </w:r>
    </w:p>
    <w:p w14:paraId="462706A4">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（7）图纸</w:t>
      </w:r>
      <w:r>
        <w:rPr>
          <w:rFonts w:hint="eastAsia" w:ascii="宋体" w:hAnsi="宋体"/>
          <w:color w:val="000000" w:themeColor="text1"/>
          <w:szCs w:val="21"/>
          <w:highlight w:val="none"/>
          <w:lang w:eastAsia="zh-CN"/>
          <w14:textFill>
            <w14:solidFill>
              <w14:schemeClr w14:val="tx1"/>
            </w14:solidFill>
          </w14:textFill>
        </w:rPr>
        <w:t>；</w:t>
      </w:r>
    </w:p>
    <w:p w14:paraId="463F5B90">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（8）已标价工程量清单</w:t>
      </w:r>
      <w:r>
        <w:rPr>
          <w:rFonts w:hint="eastAsia" w:ascii="宋体" w:hAnsi="宋体"/>
          <w:color w:val="000000" w:themeColor="text1"/>
          <w:szCs w:val="21"/>
          <w:highlight w:val="none"/>
          <w:lang w:eastAsia="zh-CN"/>
          <w14:textFill>
            <w14:solidFill>
              <w14:schemeClr w14:val="tx1"/>
            </w14:solidFill>
          </w14:textFill>
        </w:rPr>
        <w:t>；</w:t>
      </w:r>
    </w:p>
    <w:p w14:paraId="707A46AE">
      <w:pPr>
        <w:autoSpaceDE w:val="0"/>
        <w:autoSpaceDN w:val="0"/>
        <w:adjustRightIn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r>
        <w:rPr>
          <w:color w:val="000000" w:themeColor="text1"/>
          <w:highlight w:val="none"/>
          <w14:textFill>
            <w14:solidFill>
              <w14:schemeClr w14:val="tx1"/>
            </w14:solidFill>
          </w14:textFill>
        </w:rPr>
        <w:t>竞争性磋商文件及响应文件</w:t>
      </w:r>
      <w:r>
        <w:rPr>
          <w:rFonts w:hint="eastAsia" w:ascii="宋体" w:hAnsi="宋体"/>
          <w:color w:val="000000" w:themeColor="text1"/>
          <w:szCs w:val="21"/>
          <w:highlight w:val="none"/>
          <w:lang w:eastAsia="zh-CN"/>
          <w14:textFill>
            <w14:solidFill>
              <w14:schemeClr w14:val="tx1"/>
            </w14:solidFill>
          </w14:textFill>
        </w:rPr>
        <w:t>；</w:t>
      </w:r>
    </w:p>
    <w:p w14:paraId="4F573C02">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（10）《</w:t>
      </w:r>
      <w:r>
        <w:rPr>
          <w:rFonts w:hAnsi="宋体"/>
          <w:color w:val="000000" w:themeColor="text1"/>
          <w:kern w:val="0"/>
          <w:szCs w:val="21"/>
          <w:highlight w:val="none"/>
          <w14:textFill>
            <w14:solidFill>
              <w14:schemeClr w14:val="tx1"/>
            </w14:solidFill>
          </w14:textFill>
        </w:rPr>
        <w:t>建设工程工程量清单计价规范（GB5050-2013）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及《关于建筑业实施营业税改征增值税后广西壮族自治区建设工程计价依据调整的通知》（桂建标〔2016〕17号）、《</w:t>
      </w:r>
      <w:r>
        <w:rPr>
          <w:rFonts w:hAnsi="宋体"/>
          <w:color w:val="000000" w:themeColor="text1"/>
          <w:kern w:val="0"/>
          <w:szCs w:val="21"/>
          <w:highlight w:val="none"/>
          <w14:textFill>
            <w14:solidFill>
              <w14:schemeClr w14:val="tx1"/>
            </w14:solidFill>
          </w14:textFill>
        </w:rPr>
        <w:t>建设工程工程量清单计</w:t>
      </w:r>
      <w:r>
        <w:rPr>
          <w:rFonts w:hint="eastAsia" w:hAnsi="宋体"/>
          <w:color w:val="000000" w:themeColor="text1"/>
          <w:kern w:val="0"/>
          <w:szCs w:val="21"/>
          <w:highlight w:val="none"/>
          <w14:textFill>
            <w14:solidFill>
              <w14:schemeClr w14:val="tx1"/>
            </w14:solidFill>
          </w14:textFill>
        </w:rPr>
        <w:t>算</w:t>
      </w:r>
      <w:r>
        <w:rPr>
          <w:rFonts w:hAnsi="宋体"/>
          <w:color w:val="000000" w:themeColor="text1"/>
          <w:kern w:val="0"/>
          <w:szCs w:val="21"/>
          <w:highlight w:val="none"/>
          <w14:textFill>
            <w14:solidFill>
              <w14:schemeClr w14:val="tx1"/>
            </w14:solidFill>
          </w14:textFill>
        </w:rPr>
        <w:t>规范（GB5</w:t>
      </w:r>
      <w:r>
        <w:rPr>
          <w:rFonts w:hint="eastAsia" w:hAnsi="宋体"/>
          <w:color w:val="000000" w:themeColor="text1"/>
          <w:kern w:val="0"/>
          <w:szCs w:val="21"/>
          <w:highlight w:val="none"/>
          <w14:textFill>
            <w14:solidFill>
              <w14:schemeClr w14:val="tx1"/>
            </w14:solidFill>
          </w14:textFill>
        </w:rPr>
        <w:t>854~50862</w:t>
      </w:r>
      <w:r>
        <w:rPr>
          <w:rFonts w:hAnsi="宋体"/>
          <w:color w:val="000000" w:themeColor="text1"/>
          <w:kern w:val="0"/>
          <w:szCs w:val="21"/>
          <w:highlight w:val="none"/>
          <w14:textFill>
            <w14:solidFill>
              <w14:schemeClr w14:val="tx1"/>
            </w14:solidFill>
          </w14:textFill>
        </w:rPr>
        <w:t>-2013）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（修订本）</w:t>
      </w:r>
      <w:r>
        <w:rPr>
          <w:rFonts w:hAnsi="宋体"/>
          <w:color w:val="000000" w:themeColor="text1"/>
          <w:kern w:val="0"/>
          <w:szCs w:val="21"/>
          <w:highlight w:val="none"/>
          <w14:textFill>
            <w14:solidFill>
              <w14:schemeClr w14:val="tx1"/>
            </w14:solidFill>
          </w14:textFill>
        </w:rPr>
        <w:t>。</w:t>
      </w:r>
    </w:p>
    <w:p w14:paraId="29FED881">
      <w:pPr>
        <w:spacing w:line="400" w:lineRule="exact"/>
        <w:ind w:firstLine="447" w:firstLineChars="213"/>
        <w:rPr>
          <w:rFonts w:ascii="宋体" w:hAnsi="宋体"/>
          <w:color w:val="000000" w:themeColor="text1"/>
          <w:szCs w:val="21"/>
          <w:highlight w:val="none"/>
          <w14:textFill>
            <w14:solidFill>
              <w14:schemeClr w14:val="tx1"/>
            </w14:solidFill>
          </w14:textFill>
        </w:rPr>
      </w:pPr>
      <w:bookmarkStart w:id="298" w:name="_Toc373227697"/>
      <w:bookmarkStart w:id="299" w:name="_Toc389065263"/>
      <w:bookmarkStart w:id="300" w:name="_Toc465114858"/>
      <w:bookmarkStart w:id="301" w:name="_Toc373478344"/>
      <w:r>
        <w:rPr>
          <w:rFonts w:hint="eastAsia" w:ascii="宋体" w:hAns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w:t>
      </w:r>
    </w:p>
    <w:p w14:paraId="2F7AA7C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在合同订立及履行过程中形成的与合同有关的文件均构成合同文件组成部分，并根据其性质确定优先解释顺序。</w:t>
      </w:r>
    </w:p>
    <w:p w14:paraId="7F2F1D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1.6 图纸和承包人文件</w:t>
      </w:r>
      <w:bookmarkEnd w:id="298"/>
      <w:bookmarkEnd w:id="299"/>
      <w:bookmarkEnd w:id="300"/>
      <w:bookmarkEnd w:id="301"/>
      <w:r>
        <w:rPr>
          <w:rFonts w:ascii="宋体" w:hAnsi="宋体"/>
          <w:b/>
          <w:bCs/>
          <w:color w:val="000000" w:themeColor="text1"/>
          <w:kern w:val="0"/>
          <w:sz w:val="24"/>
          <w:szCs w:val="32"/>
          <w:highlight w:val="none"/>
          <w14:textFill>
            <w14:solidFill>
              <w14:schemeClr w14:val="tx1"/>
            </w14:solidFill>
          </w14:textFill>
        </w:rPr>
        <w:tab/>
      </w:r>
    </w:p>
    <w:p w14:paraId="75E754F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 </w:t>
      </w:r>
      <w:r>
        <w:rPr>
          <w:rFonts w:hAnsi="宋体"/>
          <w:color w:val="000000" w:themeColor="text1"/>
          <w:szCs w:val="21"/>
          <w:highlight w:val="none"/>
          <w14:textFill>
            <w14:solidFill>
              <w14:schemeClr w14:val="tx1"/>
            </w14:solidFill>
          </w14:textFill>
        </w:rPr>
        <w:t>图纸的提供</w:t>
      </w:r>
    </w:p>
    <w:p w14:paraId="45E52AE1">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发包人向承包人提供图纸的期限：</w:t>
      </w:r>
      <w:r>
        <w:rPr>
          <w:rFonts w:hAnsi="宋体"/>
          <w:color w:val="000000" w:themeColor="text1"/>
          <w:szCs w:val="21"/>
          <w:highlight w:val="none"/>
          <w:u w:val="single"/>
          <w14:textFill>
            <w14:solidFill>
              <w14:schemeClr w14:val="tx1"/>
            </w14:solidFill>
          </w14:textFill>
        </w:rPr>
        <w:t>签订合同后</w:t>
      </w:r>
      <w:r>
        <w:rPr>
          <w:rFonts w:hint="eastAsia" w:hAnsi="宋体"/>
          <w:color w:val="000000" w:themeColor="text1"/>
          <w:szCs w:val="21"/>
          <w:highlight w:val="none"/>
          <w:u w:val="single"/>
          <w14:textFill>
            <w14:solidFill>
              <w14:schemeClr w14:val="tx1"/>
            </w14:solidFill>
          </w14:textFill>
        </w:rPr>
        <w:t>5</w:t>
      </w:r>
      <w:r>
        <w:rPr>
          <w:rFonts w:hAnsi="宋体"/>
          <w:color w:val="000000" w:themeColor="text1"/>
          <w:szCs w:val="21"/>
          <w:highlight w:val="none"/>
          <w:u w:val="single"/>
          <w14:textFill>
            <w14:solidFill>
              <w14:schemeClr w14:val="tx1"/>
            </w14:solidFill>
          </w14:textFill>
        </w:rPr>
        <w:t>天内。</w:t>
      </w:r>
    </w:p>
    <w:p w14:paraId="112DC3D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发包人向承包人提供图纸的数量：</w:t>
      </w:r>
      <w:r>
        <w:rPr>
          <w:rFonts w:hint="eastAsia" w:ascii="宋体" w:hAnsi="宋体"/>
          <w:color w:val="000000" w:themeColor="text1"/>
          <w:szCs w:val="21"/>
          <w:highlight w:val="none"/>
          <w:u w:val="single"/>
          <w14:textFill>
            <w14:solidFill>
              <w14:schemeClr w14:val="tx1"/>
            </w14:solidFill>
          </w14:textFill>
        </w:rPr>
        <w:t>壹套施工图纸（承包人需要更多份数时，应自费复制）</w:t>
      </w:r>
      <w:r>
        <w:rPr>
          <w:rFonts w:hint="eastAsia" w:hAnsi="宋体"/>
          <w:color w:val="000000" w:themeColor="text1"/>
          <w:szCs w:val="21"/>
          <w:highlight w:val="none"/>
          <w:u w:val="single"/>
          <w:lang w:eastAsia="zh-CN"/>
          <w14:textFill>
            <w14:solidFill>
              <w14:schemeClr w14:val="tx1"/>
            </w14:solidFill>
          </w14:textFill>
        </w:rPr>
        <w:t>；</w:t>
      </w:r>
    </w:p>
    <w:p w14:paraId="6B77AE4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发包人向承包人提供图纸的内容：</w:t>
      </w:r>
      <w:r>
        <w:rPr>
          <w:rFonts w:hint="eastAsia" w:ascii="宋体" w:hAnsi="宋体"/>
          <w:color w:val="000000" w:themeColor="text1"/>
          <w:szCs w:val="21"/>
          <w:highlight w:val="none"/>
          <w:u w:val="single"/>
          <w14:textFill>
            <w14:solidFill>
              <w14:schemeClr w14:val="tx1"/>
            </w14:solidFill>
          </w14:textFill>
        </w:rPr>
        <w:t>详见施工图纸(全套)</w:t>
      </w:r>
      <w:r>
        <w:rPr>
          <w:rFonts w:hAnsi="宋体"/>
          <w:color w:val="000000" w:themeColor="text1"/>
          <w:szCs w:val="21"/>
          <w:highlight w:val="none"/>
          <w14:textFill>
            <w14:solidFill>
              <w14:schemeClr w14:val="tx1"/>
            </w14:solidFill>
          </w14:textFill>
        </w:rPr>
        <w:t>。</w:t>
      </w:r>
    </w:p>
    <w:p w14:paraId="181B4DC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1.6.4 </w:t>
      </w:r>
      <w:r>
        <w:rPr>
          <w:rFonts w:hAnsi="宋体"/>
          <w:color w:val="000000" w:themeColor="text1"/>
          <w:szCs w:val="21"/>
          <w:highlight w:val="none"/>
          <w14:textFill>
            <w14:solidFill>
              <w14:schemeClr w14:val="tx1"/>
            </w14:solidFill>
          </w14:textFill>
        </w:rPr>
        <w:t>承包人文件</w:t>
      </w:r>
    </w:p>
    <w:p w14:paraId="0501B724">
      <w:pPr>
        <w:spacing w:line="360" w:lineRule="auto"/>
        <w:ind w:firstLine="420" w:firstLineChars="200"/>
        <w:jc w:val="left"/>
        <w:rPr>
          <w:rFonts w:hint="eastAsia" w:eastAsia="宋体"/>
          <w:color w:val="000000" w:themeColor="text1"/>
          <w:szCs w:val="21"/>
          <w:highlight w:val="none"/>
          <w:u w:val="singl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需要由承包人提供的文件，包括：</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263D4EC5">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承包人提供的文件的期限为：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72CCA75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承包人提供的文件的数量为：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6665DB9F">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承包人提供的文件的形式为：</w:t>
      </w:r>
      <w:r>
        <w:rPr>
          <w:rFonts w:hint="eastAsia" w:hAnsi="宋体"/>
          <w:color w:val="000000" w:themeColor="text1"/>
          <w:szCs w:val="21"/>
          <w:highlight w:val="none"/>
          <w:u w:val="single"/>
          <w14:textFill>
            <w14:solidFill>
              <w14:schemeClr w14:val="tx1"/>
            </w14:solidFill>
          </w14:textFill>
        </w:rPr>
        <w:t>书面文件</w:t>
      </w:r>
      <w:r>
        <w:rPr>
          <w:rFonts w:hint="eastAsia" w:hAnsi="宋体"/>
          <w:color w:val="000000" w:themeColor="text1"/>
          <w:szCs w:val="21"/>
          <w:highlight w:val="none"/>
          <w:lang w:eastAsia="zh-CN"/>
          <w14:textFill>
            <w14:solidFill>
              <w14:schemeClr w14:val="tx1"/>
            </w14:solidFill>
          </w14:textFill>
        </w:rPr>
        <w:t>；</w:t>
      </w:r>
    </w:p>
    <w:p w14:paraId="40D0B6A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发包人审批承包人文件的期限：</w:t>
      </w:r>
      <w:r>
        <w:rPr>
          <w:rFonts w:hint="eastAsia" w:hAnsi="宋体"/>
          <w:color w:val="000000" w:themeColor="text1"/>
          <w:szCs w:val="21"/>
          <w:highlight w:val="none"/>
          <w:u w:val="single"/>
          <w14:textFill>
            <w14:solidFill>
              <w14:schemeClr w14:val="tx1"/>
            </w14:solidFill>
          </w14:textFill>
        </w:rPr>
        <w:t xml:space="preserve"> 10个工作日</w:t>
      </w:r>
      <w:r>
        <w:rPr>
          <w:rFonts w:hAnsi="宋体"/>
          <w:color w:val="000000" w:themeColor="text1"/>
          <w:szCs w:val="21"/>
          <w:highlight w:val="none"/>
          <w14:textFill>
            <w14:solidFill>
              <w14:schemeClr w14:val="tx1"/>
            </w14:solidFill>
          </w14:textFill>
        </w:rPr>
        <w:t>。</w:t>
      </w:r>
    </w:p>
    <w:p w14:paraId="5280BAA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1.6.5 </w:t>
      </w:r>
      <w:r>
        <w:rPr>
          <w:rFonts w:hAnsi="宋体"/>
          <w:color w:val="000000" w:themeColor="text1"/>
          <w:szCs w:val="21"/>
          <w:highlight w:val="none"/>
          <w14:textFill>
            <w14:solidFill>
              <w14:schemeClr w14:val="tx1"/>
            </w14:solidFill>
          </w14:textFill>
        </w:rPr>
        <w:t>现场图纸准备</w:t>
      </w:r>
    </w:p>
    <w:p w14:paraId="5327872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关于现场图纸准备的约定：</w:t>
      </w:r>
      <w:r>
        <w:rPr>
          <w:rFonts w:hint="eastAsia" w:ascii="宋体" w:hAnsi="宋体"/>
          <w:color w:val="000000" w:themeColor="text1"/>
          <w:szCs w:val="21"/>
          <w:highlight w:val="none"/>
          <w:u w:val="single"/>
          <w14:textFill>
            <w14:solidFill>
              <w14:schemeClr w14:val="tx1"/>
            </w14:solidFill>
          </w14:textFill>
        </w:rPr>
        <w:t>按《通用合同条款》执行</w:t>
      </w:r>
      <w:r>
        <w:rPr>
          <w:rFonts w:hAnsi="宋体"/>
          <w:color w:val="000000" w:themeColor="text1"/>
          <w:szCs w:val="21"/>
          <w:highlight w:val="none"/>
          <w14:textFill>
            <w14:solidFill>
              <w14:schemeClr w14:val="tx1"/>
            </w14:solidFill>
          </w14:textFill>
        </w:rPr>
        <w:t>。</w:t>
      </w:r>
    </w:p>
    <w:p w14:paraId="195841D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 联络</w:t>
      </w:r>
    </w:p>
    <w:p w14:paraId="6C4842C9">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1.7.1发包人和承包人应当在</w:t>
      </w: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Cs w:val="21"/>
          <w:highlight w:val="none"/>
          <w14:textFill>
            <w14:solidFill>
              <w14:schemeClr w14:val="tx1"/>
            </w14:solidFill>
          </w14:textFill>
        </w:rPr>
        <w:t>。</w:t>
      </w:r>
    </w:p>
    <w:p w14:paraId="6E1E6C62">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1.7.2 发包人接收文件的地点：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45CC4230">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发包人指定的接收人为：。</w:t>
      </w:r>
    </w:p>
    <w:p w14:paraId="640F888D">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01913A4E">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承包人指定的接收人为：。</w:t>
      </w:r>
    </w:p>
    <w:p w14:paraId="5D6ABE11">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7AE68D6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监理人指定的接收人为：。</w:t>
      </w:r>
    </w:p>
    <w:p w14:paraId="32D593E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交通运输</w:t>
      </w:r>
    </w:p>
    <w:p w14:paraId="41F1B2E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302" w:name="_Toc312677986"/>
      <w:bookmarkStart w:id="303" w:name="_Toc303539100"/>
      <w:bookmarkStart w:id="304" w:name="_Toc300934943"/>
      <w:bookmarkStart w:id="305" w:name="_Toc304295521"/>
      <w:bookmarkStart w:id="306" w:name="_Toc318581155"/>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.1 出入现场的权利</w:t>
      </w:r>
    </w:p>
    <w:p w14:paraId="1AC49A5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关于出入现场的权利的约定：</w:t>
      </w:r>
      <w:r>
        <w:rPr>
          <w:rFonts w:hint="eastAsia" w:ascii="宋体" w:hAnsi="宋体"/>
          <w:bCs/>
          <w:color w:val="000000" w:themeColor="text1"/>
          <w:szCs w:val="21"/>
          <w:highlight w:val="none"/>
          <w:u w:val="single"/>
          <w14:textFill>
            <w14:solidFill>
              <w14:schemeClr w14:val="tx1"/>
            </w14:solidFill>
          </w14:textFill>
        </w:rPr>
        <w:t>发包人应根据施工需要，负责取得出入施工现场所需的批准手续和全部权利，以及取得因施工所需修建道路及其他基础设施的权利，并承担相关手续费用和建设费用。承包人应协助发包人办理修建场内外道路及其他基础设施的手续。</w:t>
      </w:r>
    </w:p>
    <w:bookmarkEnd w:id="302"/>
    <w:bookmarkEnd w:id="303"/>
    <w:bookmarkEnd w:id="304"/>
    <w:bookmarkEnd w:id="305"/>
    <w:bookmarkEnd w:id="306"/>
    <w:p w14:paraId="7B3BE00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307" w:name="_Toc312677987"/>
      <w:bookmarkStart w:id="308" w:name="_Toc300934944"/>
      <w:bookmarkStart w:id="309" w:name="_Toc318581156"/>
      <w:bookmarkStart w:id="310" w:name="_Toc303539101"/>
      <w:bookmarkStart w:id="311" w:name="_Toc304295522"/>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场内交通</w:t>
      </w:r>
    </w:p>
    <w:p w14:paraId="6C500471">
      <w:pPr>
        <w:spacing w:line="400" w:lineRule="exact"/>
        <w:ind w:firstLine="424" w:firstLineChars="202"/>
        <w:jc w:val="left"/>
        <w:rPr>
          <w:rFonts w:ascii="宋体" w:hAnsi="宋体"/>
          <w:bCs/>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bCs/>
          <w:color w:val="000000" w:themeColor="text1"/>
          <w:szCs w:val="21"/>
          <w:highlight w:val="none"/>
          <w:u w:val="single"/>
          <w14:textFill>
            <w14:solidFill>
              <w14:schemeClr w14:val="tx1"/>
            </w14:solidFill>
          </w14:textFill>
        </w:rPr>
        <w:t>建筑征地红线范围内的为场内交通，建筑征地红线范围外的为场外交通。</w:t>
      </w:r>
    </w:p>
    <w:p w14:paraId="2EB52F0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bookmarkEnd w:id="307"/>
      <w:bookmarkEnd w:id="308"/>
      <w:bookmarkEnd w:id="309"/>
      <w:bookmarkEnd w:id="310"/>
      <w:bookmarkEnd w:id="311"/>
      <w:bookmarkStart w:id="312" w:name="_Toc318581157"/>
    </w:p>
    <w:p w14:paraId="213F4A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超大件和超重件的运输</w:t>
      </w:r>
    </w:p>
    <w:p w14:paraId="02B62D9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运输超大件或超重件所需的道路和桥梁临时加固改造费用和其他有关费用由承担。</w:t>
      </w:r>
    </w:p>
    <w:bookmarkEnd w:id="312"/>
    <w:p w14:paraId="60008302">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 xml:space="preserve"> 知识产权</w:t>
      </w:r>
    </w:p>
    <w:p w14:paraId="762EB3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50FFEE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关于发包人提供的上述文件的使用限制的要求：。</w:t>
      </w:r>
    </w:p>
    <w:p w14:paraId="5D88F9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.2 关于承包人为实施工程所编制文件的著作权的归属：</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B2D17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关于承包人提供的上述文件的使用限制的要求：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0BEFB7EF">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.4 承包人在施工过程中所采用的专利、专有技术、技术秘密的使用费的承担方式：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kern w:val="0"/>
          <w:szCs w:val="21"/>
          <w:highlight w:val="none"/>
          <w14:textFill>
            <w14:solidFill>
              <w14:schemeClr w14:val="tx1"/>
            </w14:solidFill>
          </w14:textFill>
        </w:rPr>
        <w:t>。</w:t>
      </w:r>
    </w:p>
    <w:p w14:paraId="63C3F20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工程量清单错误的修正</w:t>
      </w:r>
    </w:p>
    <w:p w14:paraId="37DE30A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出现工程量清单错误时，是否调整合同价格：</w:t>
      </w:r>
      <w:r>
        <w:rPr>
          <w:rFonts w:hint="eastAsia" w:ascii="宋体" w:hAnsi="宋体"/>
          <w:color w:val="000000" w:themeColor="text1"/>
          <w:szCs w:val="21"/>
          <w:highlight w:val="none"/>
          <w:u w:val="single"/>
          <w14:textFill>
            <w14:solidFill>
              <w14:schemeClr w14:val="tx1"/>
            </w14:solidFill>
          </w14:textFill>
        </w:rPr>
        <w:t xml:space="preserve">  是</w:t>
      </w:r>
      <w:r>
        <w:rPr>
          <w:rFonts w:ascii="宋体" w:hAnsi="宋体"/>
          <w:color w:val="000000" w:themeColor="text1"/>
          <w:kern w:val="0"/>
          <w:szCs w:val="21"/>
          <w:highlight w:val="none"/>
          <w14:textFill>
            <w14:solidFill>
              <w14:schemeClr w14:val="tx1"/>
            </w14:solidFill>
          </w14:textFill>
        </w:rPr>
        <w:t>。</w:t>
      </w:r>
    </w:p>
    <w:p w14:paraId="5FEC70C1">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允许调整合同价格的工程量偏差范围：</w:t>
      </w:r>
      <w:r>
        <w:rPr>
          <w:rFonts w:hint="eastAsia" w:ascii="宋体" w:hAnsi="宋体"/>
          <w:color w:val="000000" w:themeColor="text1"/>
          <w:szCs w:val="21"/>
          <w:highlight w:val="none"/>
          <w14:textFill>
            <w14:solidFill>
              <w14:schemeClr w14:val="tx1"/>
            </w14:solidFill>
          </w14:textFill>
        </w:rPr>
        <w:t>。</w:t>
      </w:r>
    </w:p>
    <w:p w14:paraId="05968309">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313" w:name="_Toc351203634"/>
      <w:r>
        <w:rPr>
          <w:rFonts w:ascii="宋体" w:hAnsi="宋体" w:eastAsia="黑体"/>
          <w:b/>
          <w:color w:val="000000" w:themeColor="text1"/>
          <w:kern w:val="0"/>
          <w:sz w:val="28"/>
          <w:szCs w:val="21"/>
          <w:highlight w:val="none"/>
          <w14:textFill>
            <w14:solidFill>
              <w14:schemeClr w14:val="tx1"/>
            </w14:solidFill>
          </w14:textFill>
        </w:rPr>
        <w:t>2</w:t>
      </w:r>
      <w:bookmarkStart w:id="314" w:name="_Toc296503157"/>
      <w:bookmarkStart w:id="315" w:name="_Toc296347156"/>
      <w:bookmarkStart w:id="316" w:name="_Toc296944496"/>
      <w:bookmarkStart w:id="317" w:name="_Toc297120457"/>
      <w:bookmarkStart w:id="318" w:name="_Toc296346658"/>
      <w:bookmarkStart w:id="319" w:name="_Toc292559867"/>
      <w:bookmarkStart w:id="320" w:name="_Toc292559362"/>
      <w:bookmarkStart w:id="321" w:name="_Toc297048343"/>
      <w:bookmarkStart w:id="322" w:name="_Toc296890985"/>
      <w:bookmarkStart w:id="323" w:name="_Toc296891197"/>
      <w:r>
        <w:rPr>
          <w:rFonts w:ascii="宋体" w:hAnsi="宋体" w:eastAsia="黑体"/>
          <w:b/>
          <w:color w:val="000000" w:themeColor="text1"/>
          <w:kern w:val="0"/>
          <w:sz w:val="28"/>
          <w:szCs w:val="21"/>
          <w:highlight w:val="none"/>
          <w14:textFill>
            <w14:solidFill>
              <w14:schemeClr w14:val="tx1"/>
            </w14:solidFill>
          </w14:textFill>
        </w:rPr>
        <w:t>. 发包人</w:t>
      </w:r>
      <w:bookmarkEnd w:id="313"/>
    </w:p>
    <w:bookmarkEnd w:id="314"/>
    <w:bookmarkEnd w:id="315"/>
    <w:bookmarkEnd w:id="316"/>
    <w:bookmarkEnd w:id="317"/>
    <w:bookmarkEnd w:id="318"/>
    <w:bookmarkEnd w:id="319"/>
    <w:bookmarkEnd w:id="320"/>
    <w:bookmarkEnd w:id="321"/>
    <w:bookmarkEnd w:id="322"/>
    <w:bookmarkEnd w:id="323"/>
    <w:p w14:paraId="71EEADA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发包人代表</w:t>
      </w:r>
    </w:p>
    <w:p w14:paraId="1F1570B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发包人代表：</w:t>
      </w:r>
    </w:p>
    <w:p w14:paraId="3E7A7B82">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7D519E59">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78DA6CA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47A41E83">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415087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7A6049F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6E3213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发包人对发包人代表的授权范围如下：</w:t>
      </w:r>
    </w:p>
    <w:p w14:paraId="30A3BC2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（1）负责工程施工现场的管理</w:t>
      </w:r>
      <w:r>
        <w:rPr>
          <w:rFonts w:hint="eastAsia" w:hAnsi="宋体"/>
          <w:color w:val="000000" w:themeColor="text1"/>
          <w:szCs w:val="21"/>
          <w:highlight w:val="none"/>
          <w:u w:val="single"/>
          <w:lang w:eastAsia="zh-CN"/>
          <w14:textFill>
            <w14:solidFill>
              <w14:schemeClr w14:val="tx1"/>
            </w14:solidFill>
          </w14:textFill>
        </w:rPr>
        <w:t>；</w:t>
      </w:r>
    </w:p>
    <w:p w14:paraId="6C91D8D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（2）负责协调与工程项目有关的事项</w:t>
      </w:r>
      <w:r>
        <w:rPr>
          <w:rFonts w:hint="eastAsia" w:hAnsi="宋体"/>
          <w:color w:val="000000" w:themeColor="text1"/>
          <w:szCs w:val="21"/>
          <w:highlight w:val="none"/>
          <w:u w:val="single"/>
          <w:lang w:eastAsia="zh-CN"/>
          <w14:textFill>
            <w14:solidFill>
              <w14:schemeClr w14:val="tx1"/>
            </w14:solidFill>
          </w14:textFill>
        </w:rPr>
        <w:t>；</w:t>
      </w:r>
    </w:p>
    <w:p w14:paraId="6ECE767C">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（3）工程量确认</w:t>
      </w:r>
      <w:r>
        <w:rPr>
          <w:rFonts w:hint="eastAsia" w:hAnsi="宋体"/>
          <w:color w:val="000000" w:themeColor="text1"/>
          <w:szCs w:val="21"/>
          <w:highlight w:val="none"/>
          <w:u w:val="single"/>
          <w:lang w:eastAsia="zh-CN"/>
          <w14:textFill>
            <w14:solidFill>
              <w14:schemeClr w14:val="tx1"/>
            </w14:solidFill>
          </w14:textFill>
        </w:rPr>
        <w:t>；</w:t>
      </w:r>
    </w:p>
    <w:p w14:paraId="243FE64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（4）同意监理工程师发布开工令、停工令及复工令</w:t>
      </w:r>
      <w:r>
        <w:rPr>
          <w:rFonts w:hint="eastAsia" w:hAnsi="宋体"/>
          <w:color w:val="000000" w:themeColor="text1"/>
          <w:szCs w:val="21"/>
          <w:highlight w:val="none"/>
          <w:u w:val="single"/>
          <w:lang w:eastAsia="zh-CN"/>
          <w14:textFill>
            <w14:solidFill>
              <w14:schemeClr w14:val="tx1"/>
            </w14:solidFill>
          </w14:textFill>
        </w:rPr>
        <w:t>；</w:t>
      </w:r>
    </w:p>
    <w:p w14:paraId="07EE7E3E">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（5）确认或修改承包人的施工组织设计和工程进度计划</w:t>
      </w:r>
      <w:r>
        <w:rPr>
          <w:rFonts w:hint="eastAsia" w:hAnsi="宋体"/>
          <w:color w:val="000000" w:themeColor="text1"/>
          <w:szCs w:val="21"/>
          <w:highlight w:val="none"/>
          <w:u w:val="single"/>
          <w:lang w:eastAsia="zh-CN"/>
          <w14:textFill>
            <w14:solidFill>
              <w14:schemeClr w14:val="tx1"/>
            </w14:solidFill>
          </w14:textFill>
        </w:rPr>
        <w:t>；</w:t>
      </w:r>
    </w:p>
    <w:p w14:paraId="5CD83A73">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（6）对进度的检查、监督和提出改进措施</w:t>
      </w:r>
      <w:r>
        <w:rPr>
          <w:rFonts w:hint="eastAsia" w:hAnsi="宋体"/>
          <w:color w:val="000000" w:themeColor="text1"/>
          <w:szCs w:val="21"/>
          <w:highlight w:val="none"/>
          <w:u w:val="single"/>
          <w:lang w:eastAsia="zh-CN"/>
          <w14:textFill>
            <w14:solidFill>
              <w14:schemeClr w14:val="tx1"/>
            </w14:solidFill>
          </w14:textFill>
        </w:rPr>
        <w:t>；</w:t>
      </w:r>
    </w:p>
    <w:p w14:paraId="2ED4198A">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（7）对承包人延期开工要求进行答复</w:t>
      </w:r>
      <w:r>
        <w:rPr>
          <w:rFonts w:hint="eastAsia" w:hAnsi="宋体"/>
          <w:color w:val="000000" w:themeColor="text1"/>
          <w:szCs w:val="21"/>
          <w:highlight w:val="none"/>
          <w:u w:val="single"/>
          <w:lang w:eastAsia="zh-CN"/>
          <w14:textFill>
            <w14:solidFill>
              <w14:schemeClr w14:val="tx1"/>
            </w14:solidFill>
          </w14:textFill>
        </w:rPr>
        <w:t>；</w:t>
      </w:r>
    </w:p>
    <w:p w14:paraId="31F1E30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（8）以通知方式推迟开工日期</w:t>
      </w:r>
      <w:r>
        <w:rPr>
          <w:rFonts w:hint="eastAsia" w:hAnsi="宋体"/>
          <w:color w:val="000000" w:themeColor="text1"/>
          <w:szCs w:val="21"/>
          <w:highlight w:val="none"/>
          <w:u w:val="single"/>
          <w:lang w:eastAsia="zh-CN"/>
          <w14:textFill>
            <w14:solidFill>
              <w14:schemeClr w14:val="tx1"/>
            </w14:solidFill>
          </w14:textFill>
        </w:rPr>
        <w:t>；</w:t>
      </w:r>
    </w:p>
    <w:p w14:paraId="40F029F4">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（9）暂停施工并提出处理意见，对承包人复工要求进行答复</w:t>
      </w:r>
      <w:r>
        <w:rPr>
          <w:rFonts w:hint="eastAsia" w:hAnsi="宋体"/>
          <w:color w:val="000000" w:themeColor="text1"/>
          <w:szCs w:val="21"/>
          <w:highlight w:val="none"/>
          <w:u w:val="single"/>
          <w:lang w:eastAsia="zh-CN"/>
          <w14:textFill>
            <w14:solidFill>
              <w14:schemeClr w14:val="tx1"/>
            </w14:solidFill>
          </w14:textFill>
        </w:rPr>
        <w:t>；</w:t>
      </w:r>
    </w:p>
    <w:p w14:paraId="3C19A73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（10）确认工期顺延</w:t>
      </w:r>
      <w:r>
        <w:rPr>
          <w:rFonts w:hint="eastAsia" w:hAnsi="宋体"/>
          <w:color w:val="000000" w:themeColor="text1"/>
          <w:szCs w:val="21"/>
          <w:highlight w:val="none"/>
          <w:u w:val="single"/>
          <w:lang w:eastAsia="zh-CN"/>
          <w14:textFill>
            <w14:solidFill>
              <w14:schemeClr w14:val="tx1"/>
            </w14:solidFill>
          </w14:textFill>
        </w:rPr>
        <w:t>；</w:t>
      </w:r>
    </w:p>
    <w:p w14:paraId="407FECD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（11）对承包人工程质量检查检验</w:t>
      </w:r>
      <w:r>
        <w:rPr>
          <w:rFonts w:hint="eastAsia" w:hAnsi="宋体"/>
          <w:color w:val="000000" w:themeColor="text1"/>
          <w:szCs w:val="21"/>
          <w:highlight w:val="none"/>
          <w:u w:val="single"/>
          <w:lang w:eastAsia="zh-CN"/>
          <w14:textFill>
            <w14:solidFill>
              <w14:schemeClr w14:val="tx1"/>
            </w14:solidFill>
          </w14:textFill>
        </w:rPr>
        <w:t>；</w:t>
      </w:r>
    </w:p>
    <w:p w14:paraId="035EFCA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（12）工程质量达不到约定标准的部分，要求承包人拆除和重新施工。</w:t>
      </w:r>
    </w:p>
    <w:p w14:paraId="73C1E0A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（13）隐蔽工程验收</w:t>
      </w:r>
      <w:r>
        <w:rPr>
          <w:rFonts w:hint="eastAsia" w:hAnsi="宋体"/>
          <w:color w:val="000000" w:themeColor="text1"/>
          <w:szCs w:val="21"/>
          <w:highlight w:val="none"/>
          <w:u w:val="single"/>
          <w:lang w:eastAsia="zh-CN"/>
          <w14:textFill>
            <w14:solidFill>
              <w14:schemeClr w14:val="tx1"/>
            </w14:solidFill>
          </w14:textFill>
        </w:rPr>
        <w:t>；</w:t>
      </w:r>
    </w:p>
    <w:p w14:paraId="3F8407E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（14）隐蔽工程重新检验</w:t>
      </w:r>
      <w:r>
        <w:rPr>
          <w:rFonts w:hint="eastAsia" w:hAnsi="宋体"/>
          <w:color w:val="000000" w:themeColor="text1"/>
          <w:szCs w:val="21"/>
          <w:highlight w:val="none"/>
          <w:u w:val="single"/>
          <w:lang w:eastAsia="zh-CN"/>
          <w14:textFill>
            <w14:solidFill>
              <w14:schemeClr w14:val="tx1"/>
            </w14:solidFill>
          </w14:textFill>
        </w:rPr>
        <w:t>；</w:t>
      </w:r>
    </w:p>
    <w:p w14:paraId="5CE3C14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（15）根据本款（17）项确认或修改承包人提出的调整金额</w:t>
      </w:r>
      <w:r>
        <w:rPr>
          <w:rFonts w:hint="eastAsia" w:hAnsi="宋体"/>
          <w:color w:val="000000" w:themeColor="text1"/>
          <w:szCs w:val="21"/>
          <w:highlight w:val="none"/>
          <w:u w:val="single"/>
          <w:lang w:eastAsia="zh-CN"/>
          <w14:textFill>
            <w14:solidFill>
              <w14:schemeClr w14:val="tx1"/>
            </w14:solidFill>
          </w14:textFill>
        </w:rPr>
        <w:t>；</w:t>
      </w:r>
    </w:p>
    <w:p w14:paraId="138980A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（16）核实承包人已完工程量</w:t>
      </w:r>
      <w:r>
        <w:rPr>
          <w:rFonts w:hint="eastAsia" w:hAnsi="宋体"/>
          <w:color w:val="000000" w:themeColor="text1"/>
          <w:szCs w:val="21"/>
          <w:highlight w:val="none"/>
          <w:u w:val="single"/>
          <w:lang w:eastAsia="zh-CN"/>
          <w14:textFill>
            <w14:solidFill>
              <w14:schemeClr w14:val="tx1"/>
            </w14:solidFill>
          </w14:textFill>
        </w:rPr>
        <w:t>；</w:t>
      </w:r>
    </w:p>
    <w:p w14:paraId="6CD7CFA6">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（17）要求更换承包人采购的不符合要求的材料设备</w:t>
      </w:r>
      <w:r>
        <w:rPr>
          <w:rFonts w:hint="eastAsia" w:hAnsi="宋体"/>
          <w:color w:val="000000" w:themeColor="text1"/>
          <w:szCs w:val="21"/>
          <w:highlight w:val="none"/>
          <w:u w:val="single"/>
          <w:lang w:eastAsia="zh-CN"/>
          <w14:textFill>
            <w14:solidFill>
              <w14:schemeClr w14:val="tx1"/>
            </w14:solidFill>
          </w14:textFill>
        </w:rPr>
        <w:t>；</w:t>
      </w:r>
    </w:p>
    <w:p w14:paraId="44992400">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（18）要求承包人对采购的材料设备在使用前进行检验或试验</w:t>
      </w:r>
      <w:r>
        <w:rPr>
          <w:rFonts w:hint="eastAsia" w:hAnsi="宋体"/>
          <w:color w:val="000000" w:themeColor="text1"/>
          <w:szCs w:val="21"/>
          <w:highlight w:val="none"/>
          <w:u w:val="single"/>
          <w:lang w:eastAsia="zh-CN"/>
          <w14:textFill>
            <w14:solidFill>
              <w14:schemeClr w14:val="tx1"/>
            </w14:solidFill>
          </w14:textFill>
        </w:rPr>
        <w:t>；</w:t>
      </w:r>
    </w:p>
    <w:p w14:paraId="62FA96E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（19）批准承包人使用替代材料</w:t>
      </w:r>
      <w:r>
        <w:rPr>
          <w:rFonts w:hint="eastAsia" w:hAnsi="宋体"/>
          <w:color w:val="000000" w:themeColor="text1"/>
          <w:szCs w:val="21"/>
          <w:highlight w:val="none"/>
          <w:u w:val="single"/>
          <w:lang w:eastAsia="zh-CN"/>
          <w14:textFill>
            <w14:solidFill>
              <w14:schemeClr w14:val="tx1"/>
            </w14:solidFill>
          </w14:textFill>
        </w:rPr>
        <w:t>；</w:t>
      </w:r>
    </w:p>
    <w:p w14:paraId="41F462B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（20）同意承包人提出的合理化建议</w:t>
      </w:r>
      <w:r>
        <w:rPr>
          <w:rFonts w:hint="eastAsia" w:hAnsi="宋体"/>
          <w:color w:val="000000" w:themeColor="text1"/>
          <w:szCs w:val="21"/>
          <w:highlight w:val="none"/>
          <w:u w:val="single"/>
          <w:lang w:eastAsia="zh-CN"/>
          <w14:textFill>
            <w14:solidFill>
              <w14:schemeClr w14:val="tx1"/>
            </w14:solidFill>
          </w14:textFill>
        </w:rPr>
        <w:t>；</w:t>
      </w:r>
    </w:p>
    <w:p w14:paraId="693BAC15">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（21）确认变更价款</w:t>
      </w:r>
      <w:r>
        <w:rPr>
          <w:rFonts w:hint="eastAsia" w:hAnsi="宋体"/>
          <w:color w:val="000000" w:themeColor="text1"/>
          <w:szCs w:val="21"/>
          <w:highlight w:val="none"/>
          <w:u w:val="single"/>
          <w:lang w:eastAsia="zh-CN"/>
          <w14:textFill>
            <w14:solidFill>
              <w14:schemeClr w14:val="tx1"/>
            </w14:solidFill>
          </w14:textFill>
        </w:rPr>
        <w:t>；</w:t>
      </w:r>
    </w:p>
    <w:p w14:paraId="1BDEEBFE">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（22）答复索赔。</w:t>
      </w:r>
    </w:p>
    <w:p w14:paraId="449247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施工现场、施工条件和基础资料的提供</w:t>
      </w:r>
    </w:p>
    <w:p w14:paraId="6CFCE9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 提供施工现场</w:t>
      </w:r>
    </w:p>
    <w:p w14:paraId="3188AC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关于发包人移交施工现场的期限要求：</w:t>
      </w:r>
      <w:r>
        <w:rPr>
          <w:rFonts w:hint="eastAsia" w:ascii="宋体" w:hAnsi="宋体"/>
          <w:color w:val="000000" w:themeColor="text1"/>
          <w:szCs w:val="21"/>
          <w:highlight w:val="none"/>
          <w:u w:val="single"/>
          <w14:textFill>
            <w14:solidFill>
              <w14:schemeClr w14:val="tx1"/>
            </w14:solidFill>
          </w14:textFill>
        </w:rPr>
        <w:t>计划开工日前3天</w:t>
      </w:r>
      <w:r>
        <w:rPr>
          <w:rFonts w:ascii="宋体" w:hAnsi="宋体"/>
          <w:color w:val="000000" w:themeColor="text1"/>
          <w:szCs w:val="21"/>
          <w:highlight w:val="none"/>
          <w14:textFill>
            <w14:solidFill>
              <w14:schemeClr w14:val="tx1"/>
            </w14:solidFill>
          </w14:textFill>
        </w:rPr>
        <w:t>。</w:t>
      </w:r>
    </w:p>
    <w:p w14:paraId="32BEA28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提供施工条件</w:t>
      </w:r>
    </w:p>
    <w:p w14:paraId="5A1EEA6D">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关于发包人应负责提供施工</w:t>
      </w:r>
      <w:r>
        <w:rPr>
          <w:rFonts w:hint="eastAsia" w:ascii="宋体" w:hAnsi="宋体"/>
          <w:color w:val="000000" w:themeColor="text1"/>
          <w:szCs w:val="21"/>
          <w:highlight w:val="none"/>
          <w14:textFill>
            <w14:solidFill>
              <w14:schemeClr w14:val="tx1"/>
            </w14:solidFill>
          </w14:textFill>
        </w:rPr>
        <w:t>所需要的条件，</w:t>
      </w:r>
      <w:r>
        <w:rPr>
          <w:rFonts w:ascii="宋体" w:hAnsi="宋体"/>
          <w:color w:val="000000" w:themeColor="text1"/>
          <w:szCs w:val="21"/>
          <w:highlight w:val="none"/>
          <w14:textFill>
            <w14:solidFill>
              <w14:schemeClr w14:val="tx1"/>
            </w14:solidFill>
          </w14:textFill>
        </w:rPr>
        <w:t>包括：。</w:t>
      </w:r>
    </w:p>
    <w:p w14:paraId="558822B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资金来源证明及支付担保</w:t>
      </w:r>
    </w:p>
    <w:p w14:paraId="6E2068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发包人提供资金来源证明的期限要求：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66AB05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发包人是否提供支付担保：</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649F1C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发包人提供支付担保的形式：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50876FF2">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324" w:name="_Toc351203635"/>
      <w:r>
        <w:rPr>
          <w:rFonts w:ascii="宋体" w:hAnsi="宋体" w:eastAsia="黑体"/>
          <w:b/>
          <w:color w:val="000000" w:themeColor="text1"/>
          <w:kern w:val="0"/>
          <w:sz w:val="28"/>
          <w:szCs w:val="21"/>
          <w:highlight w:val="none"/>
          <w14:textFill>
            <w14:solidFill>
              <w14:schemeClr w14:val="tx1"/>
            </w14:solidFill>
          </w14:textFill>
        </w:rPr>
        <w:t>3</w:t>
      </w:r>
      <w:bookmarkStart w:id="325" w:name="_Toc292559363"/>
      <w:bookmarkStart w:id="326" w:name="_Toc296891198"/>
      <w:bookmarkStart w:id="327" w:name="_Toc297120458"/>
      <w:bookmarkStart w:id="328" w:name="_Toc297048344"/>
      <w:bookmarkStart w:id="329" w:name="_Toc292559868"/>
      <w:bookmarkStart w:id="330" w:name="_Toc296347157"/>
      <w:bookmarkStart w:id="331" w:name="_Toc296503158"/>
      <w:bookmarkStart w:id="332" w:name="_Toc296346659"/>
      <w:bookmarkStart w:id="333" w:name="_Toc296890986"/>
      <w:bookmarkStart w:id="334" w:name="_Toc296944497"/>
      <w:r>
        <w:rPr>
          <w:rFonts w:ascii="宋体" w:hAnsi="宋体" w:eastAsia="黑体"/>
          <w:b/>
          <w:color w:val="000000" w:themeColor="text1"/>
          <w:kern w:val="0"/>
          <w:sz w:val="28"/>
          <w:szCs w:val="21"/>
          <w:highlight w:val="none"/>
          <w14:textFill>
            <w14:solidFill>
              <w14:schemeClr w14:val="tx1"/>
            </w14:solidFill>
          </w14:textFill>
        </w:rPr>
        <w:t>. 承包人</w:t>
      </w:r>
      <w:bookmarkEnd w:id="324"/>
    </w:p>
    <w:bookmarkEnd w:id="325"/>
    <w:bookmarkEnd w:id="326"/>
    <w:bookmarkEnd w:id="327"/>
    <w:bookmarkEnd w:id="328"/>
    <w:bookmarkEnd w:id="329"/>
    <w:bookmarkEnd w:id="330"/>
    <w:bookmarkEnd w:id="331"/>
    <w:bookmarkEnd w:id="332"/>
    <w:bookmarkEnd w:id="333"/>
    <w:bookmarkEnd w:id="334"/>
    <w:p w14:paraId="3D6CAAD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 承包人的一般义务</w:t>
      </w:r>
    </w:p>
    <w:p w14:paraId="4494D12B">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承包人提交的竣工资料的内容：。</w:t>
      </w:r>
    </w:p>
    <w:p w14:paraId="667D8DC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承包人需要提交的竣工资料套数：。</w:t>
      </w:r>
    </w:p>
    <w:p w14:paraId="25D843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承包人提交的竣工资料的费用承担：。</w:t>
      </w:r>
    </w:p>
    <w:p w14:paraId="10E2C8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承包人提交的竣工资料移交时间：。</w:t>
      </w:r>
    </w:p>
    <w:p w14:paraId="42FF82A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承包人提交的竣工资料形式要求：。</w:t>
      </w:r>
    </w:p>
    <w:p w14:paraId="7108552F">
      <w:pPr>
        <w:spacing w:line="440" w:lineRule="exact"/>
        <w:ind w:firstLine="420" w:firstLineChars="200"/>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（6）承包人应履行的其他义务：</w:t>
      </w:r>
      <w:r>
        <w:rPr>
          <w:rFonts w:hint="eastAsia" w:ascii="宋体" w:hAnsi="宋体"/>
          <w:b/>
          <w:color w:val="000000" w:themeColor="text1"/>
          <w:szCs w:val="21"/>
          <w:highlight w:val="none"/>
          <w:u w:val="single"/>
          <w14:textFill>
            <w14:solidFill>
              <w14:schemeClr w14:val="tx1"/>
            </w14:solidFill>
          </w14:textFill>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6F8DA6E">
      <w:pPr>
        <w:spacing w:line="440" w:lineRule="exact"/>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②取土场及弃土场由承包人自行解决，但不得违反相关管理规定，并承担相关费用。</w:t>
      </w:r>
    </w:p>
    <w:p w14:paraId="64617C5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 项目经理</w:t>
      </w:r>
    </w:p>
    <w:p w14:paraId="5C8008D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3.2.1 </w:t>
      </w:r>
      <w:r>
        <w:rPr>
          <w:rFonts w:ascii="宋体" w:hAnsi="宋体"/>
          <w:color w:val="000000" w:themeColor="text1"/>
          <w:szCs w:val="21"/>
          <w:highlight w:val="none"/>
          <w14:textFill>
            <w14:solidFill>
              <w14:schemeClr w14:val="tx1"/>
            </w14:solidFill>
          </w14:textFill>
        </w:rPr>
        <w:t>项目经理：</w:t>
      </w:r>
    </w:p>
    <w:p w14:paraId="1565AD0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EA386A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19C15D0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建造师执业资格等级：</w:t>
      </w:r>
      <w:r>
        <w:rPr>
          <w:rFonts w:hint="eastAsia" w:ascii="宋体" w:hAnsi="宋体"/>
          <w:color w:val="000000" w:themeColor="text1"/>
          <w:szCs w:val="21"/>
          <w:highlight w:val="none"/>
          <w:lang w:eastAsia="zh-CN"/>
          <w14:textFill>
            <w14:solidFill>
              <w14:schemeClr w14:val="tx1"/>
            </w14:solidFill>
          </w14:textFill>
        </w:rPr>
        <w:t>；</w:t>
      </w:r>
    </w:p>
    <w:p w14:paraId="54487C6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建造师注册证书号：</w:t>
      </w:r>
      <w:r>
        <w:rPr>
          <w:rFonts w:hint="eastAsia" w:ascii="宋体" w:hAnsi="宋体"/>
          <w:color w:val="000000" w:themeColor="text1"/>
          <w:szCs w:val="21"/>
          <w:highlight w:val="none"/>
          <w:lang w:eastAsia="zh-CN"/>
          <w14:textFill>
            <w14:solidFill>
              <w14:schemeClr w14:val="tx1"/>
            </w14:solidFill>
          </w14:textFill>
        </w:rPr>
        <w:t>；</w:t>
      </w:r>
    </w:p>
    <w:p w14:paraId="0C40065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建造师执业印章号：</w:t>
      </w:r>
      <w:r>
        <w:rPr>
          <w:rFonts w:hint="eastAsia" w:ascii="宋体" w:hAnsi="宋体"/>
          <w:color w:val="000000" w:themeColor="text1"/>
          <w:szCs w:val="21"/>
          <w:highlight w:val="none"/>
          <w:lang w:eastAsia="zh-CN"/>
          <w14:textFill>
            <w14:solidFill>
              <w14:schemeClr w14:val="tx1"/>
            </w14:solidFill>
          </w14:textFill>
        </w:rPr>
        <w:t>；</w:t>
      </w:r>
    </w:p>
    <w:p w14:paraId="4AE4BA4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安全生产考核合格证书号：</w:t>
      </w:r>
      <w:r>
        <w:rPr>
          <w:rFonts w:hint="eastAsia" w:ascii="宋体" w:hAnsi="宋体"/>
          <w:color w:val="000000" w:themeColor="text1"/>
          <w:szCs w:val="21"/>
          <w:highlight w:val="none"/>
          <w:lang w:eastAsia="zh-CN"/>
          <w14:textFill>
            <w14:solidFill>
              <w14:schemeClr w14:val="tx1"/>
            </w14:solidFill>
          </w14:textFill>
        </w:rPr>
        <w:t>；</w:t>
      </w:r>
    </w:p>
    <w:p w14:paraId="6FC8761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12C1262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3874B3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D875DD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承包人对项目经理的授权范围如下：</w:t>
      </w:r>
      <w:r>
        <w:rPr>
          <w:rFonts w:hint="eastAsia" w:ascii="宋体" w:hAnsi="宋体"/>
          <w:color w:val="000000" w:themeColor="text1"/>
          <w:szCs w:val="21"/>
          <w:highlight w:val="none"/>
          <w:u w:val="single"/>
          <w14:textFill>
            <w14:solidFill>
              <w14:schemeClr w14:val="tx1"/>
            </w14:solidFill>
          </w14:textFill>
        </w:rPr>
        <w:t>负责组织合同工程内容的施工</w:t>
      </w:r>
      <w:r>
        <w:rPr>
          <w:rFonts w:ascii="宋体" w:hAnsi="宋体"/>
          <w:color w:val="000000" w:themeColor="text1"/>
          <w:szCs w:val="21"/>
          <w:highlight w:val="none"/>
          <w14:textFill>
            <w14:solidFill>
              <w14:schemeClr w14:val="tx1"/>
            </w14:solidFill>
          </w14:textFill>
        </w:rPr>
        <w:t>。</w:t>
      </w:r>
    </w:p>
    <w:p w14:paraId="30BAA3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关于项目经理每月在施工现场的时间要求：</w:t>
      </w:r>
      <w:r>
        <w:rPr>
          <w:rFonts w:hint="eastAsia" w:ascii="宋体" w:hAnsi="宋体" w:cs="宋体"/>
          <w:color w:val="000000" w:themeColor="text1"/>
          <w:szCs w:val="21"/>
          <w:highlight w:val="none"/>
          <w:u w:val="single"/>
          <w14:textFill>
            <w14:solidFill>
              <w14:schemeClr w14:val="tx1"/>
            </w14:solidFill>
          </w14:textFill>
        </w:rPr>
        <w:t xml:space="preserve">     不少于5天且符合国家相关规定要求    </w:t>
      </w:r>
      <w:r>
        <w:rPr>
          <w:rFonts w:ascii="宋体" w:hAnsi="宋体"/>
          <w:color w:val="000000" w:themeColor="text1"/>
          <w:szCs w:val="21"/>
          <w:highlight w:val="none"/>
          <w14:textFill>
            <w14:solidFill>
              <w14:schemeClr w14:val="tx1"/>
            </w14:solidFill>
          </w14:textFill>
        </w:rPr>
        <w:t>。</w:t>
      </w:r>
    </w:p>
    <w:p w14:paraId="1B81EF8A">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ascii="宋体" w:hAnsi="宋体"/>
          <w:color w:val="000000" w:themeColor="text1"/>
          <w:kern w:val="0"/>
          <w:szCs w:val="21"/>
          <w:highlight w:val="none"/>
          <w:u w:val="single"/>
          <w14:textFill>
            <w14:solidFill>
              <w14:schemeClr w14:val="tx1"/>
            </w14:solidFill>
          </w14:textFill>
        </w:rPr>
        <w:t>承包人支付违约金10000元，并责令限期提交劳动合同并补缴社会保险。如承包人未在规定期限内提交项目经理劳动合同和缴交社会保险证明材料的，则发包人可致函承包人要求更换项目经理，且承包人按1000元/天标准向发包人支付违约金直至承包人更换新的项目经理。如在更换项目经理期间造成发包人损失的，承包人须另行赔偿发包人损失。</w:t>
      </w:r>
    </w:p>
    <w:p w14:paraId="71E2D8D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项目经理未经批准，擅自离开施工现场的违约责任：</w:t>
      </w:r>
      <w:r>
        <w:rPr>
          <w:rFonts w:hint="eastAsia" w:ascii="宋体" w:hAnsi="宋体"/>
          <w:color w:val="000000" w:themeColor="text1"/>
          <w:kern w:val="0"/>
          <w:szCs w:val="21"/>
          <w:highlight w:val="none"/>
          <w:u w:val="single"/>
          <w14:textFill>
            <w14:solidFill>
              <w14:schemeClr w14:val="tx1"/>
            </w14:solidFill>
          </w14:textFill>
        </w:rPr>
        <w:t>未经发包人同意，项目经理擅自离岗的，视为承包人违约，承包人向发包人支付违约金人民币1000元/人•次</w:t>
      </w:r>
      <w:r>
        <w:rPr>
          <w:rFonts w:ascii="宋体" w:hAnsi="宋体"/>
          <w:color w:val="000000" w:themeColor="text1"/>
          <w:szCs w:val="21"/>
          <w:highlight w:val="none"/>
          <w:u w:val="single"/>
          <w14:textFill>
            <w14:solidFill>
              <w14:schemeClr w14:val="tx1"/>
            </w14:solidFill>
          </w14:textFill>
        </w:rPr>
        <w:t>。</w:t>
      </w:r>
    </w:p>
    <w:p w14:paraId="321E673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承包人擅自更换项目经理的违约责任：</w:t>
      </w:r>
      <w:r>
        <w:rPr>
          <w:rFonts w:hint="eastAsia" w:ascii="宋体" w:hAnsi="宋体"/>
          <w:color w:val="000000" w:themeColor="text1"/>
          <w:szCs w:val="21"/>
          <w:highlight w:val="none"/>
          <w:u w:val="single"/>
          <w14:textFill>
            <w14:solidFill>
              <w14:schemeClr w14:val="tx1"/>
            </w14:solidFill>
          </w14:textFill>
        </w:rPr>
        <w:t>承包人项目经理必须与承包人竞标时所承诺的人员一致，并在项目开工日期前到任。在监理人向承包人颁发（竣工证明材料名称）前，项目经理不得同时兼任其他任何项目的项目经理。未经发包人书面同意，承包人擅自更换项目经理的视为违约，违约金为人民币15000元/人•次。如发现承包人的项目经理同时兼任其他项目的，发包人视承包人违约，违约金为人民币20000元，同时报住建监管部门。</w:t>
      </w:r>
    </w:p>
    <w:p w14:paraId="61E3CB2C">
      <w:pPr>
        <w:spacing w:line="440" w:lineRule="exac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承包人无正当理由拒绝更换项目经理的违约责任：</w:t>
      </w:r>
      <w:r>
        <w:rPr>
          <w:rFonts w:hint="eastAsia" w:ascii="宋体" w:hAnsi="宋体"/>
          <w:color w:val="000000" w:themeColor="text1"/>
          <w:szCs w:val="21"/>
          <w:highlight w:val="none"/>
          <w:u w:val="single"/>
          <w14:textFill>
            <w14:solidFill>
              <w14:schemeClr w14:val="tx1"/>
            </w14:solidFill>
          </w14:textFill>
        </w:rPr>
        <w:t>承包人项目经理因不称职，在收到发包人调换通知后7日内未调换的，视为承包人违约，必须向发包人支付违约金人民币10000元/人•次</w:t>
      </w:r>
      <w:r>
        <w:rPr>
          <w:rFonts w:ascii="宋体" w:hAnsi="宋体"/>
          <w:color w:val="000000" w:themeColor="text1"/>
          <w:szCs w:val="21"/>
          <w:highlight w:val="none"/>
          <w:u w:val="single"/>
          <w14:textFill>
            <w14:solidFill>
              <w14:schemeClr w14:val="tx1"/>
            </w14:solidFill>
          </w14:textFill>
        </w:rPr>
        <w:t>。</w:t>
      </w:r>
    </w:p>
    <w:p w14:paraId="126DA52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 承包人人员</w:t>
      </w:r>
    </w:p>
    <w:p w14:paraId="769D36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3.3.1 承包人提交项目管理机构及施工现场管理人员安排报告的期限：</w:t>
      </w:r>
      <w:r>
        <w:rPr>
          <w:rFonts w:hint="eastAsia" w:ascii="宋体" w:hAnsi="宋体"/>
          <w:color w:val="000000" w:themeColor="text1"/>
          <w:szCs w:val="21"/>
          <w:highlight w:val="none"/>
          <w:u w:val="single"/>
          <w14:textFill>
            <w14:solidFill>
              <w14:schemeClr w14:val="tx1"/>
            </w14:solidFill>
          </w14:textFill>
        </w:rPr>
        <w:t>开工前7天</w:t>
      </w:r>
      <w:r>
        <w:rPr>
          <w:rFonts w:ascii="宋体" w:hAnsi="宋体"/>
          <w:color w:val="000000" w:themeColor="text1"/>
          <w:szCs w:val="21"/>
          <w:highlight w:val="none"/>
          <w14:textFill>
            <w14:solidFill>
              <w14:schemeClr w14:val="tx1"/>
            </w14:solidFill>
          </w14:textFill>
        </w:rPr>
        <w:t>。</w:t>
      </w:r>
    </w:p>
    <w:p w14:paraId="54357BB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承包人无正当理由拒绝撤换主要施工管理人员的违约责任：</w:t>
      </w:r>
      <w:r>
        <w:rPr>
          <w:rFonts w:hint="eastAsia" w:ascii="宋体" w:hAnsi="宋体"/>
          <w:color w:val="000000" w:themeColor="text1"/>
          <w:szCs w:val="21"/>
          <w:highlight w:val="none"/>
          <w:u w:val="single"/>
          <w14:textFill>
            <w14:solidFill>
              <w14:schemeClr w14:val="tx1"/>
            </w14:solidFill>
          </w14:textFill>
        </w:rPr>
        <w:t>承包人主要施工管理人员因不称职，在收到发包人调换通知后7日内未调换的，视为承包人违约，必须向发包人承担违约责任并支付违约金，违约金按：技术负责人人民币10000元/人•次</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专业工程师人民币5000元/人•次进行支付。</w:t>
      </w:r>
    </w:p>
    <w:p w14:paraId="3244D15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承包人主要施工管理人员离开施工现场的批准要求：</w:t>
      </w:r>
      <w:r>
        <w:rPr>
          <w:rFonts w:hint="eastAsia" w:ascii="宋体" w:hAnsi="宋体"/>
          <w:color w:val="000000" w:themeColor="text1"/>
          <w:szCs w:val="21"/>
          <w:highlight w:val="none"/>
          <w:u w:val="single"/>
          <w14:textFill>
            <w14:solidFill>
              <w14:schemeClr w14:val="tx1"/>
            </w14:solidFill>
          </w14:textFill>
        </w:rPr>
        <w:t>须经发包人或监理人书面同意。</w:t>
      </w:r>
    </w:p>
    <w:p w14:paraId="7D335C4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承包人擅自更换主要施工管理人员的违约责任：</w:t>
      </w:r>
      <w:r>
        <w:rPr>
          <w:rFonts w:hint="eastAsia" w:ascii="宋体" w:hAnsi="宋体"/>
          <w:color w:val="000000" w:themeColor="text1"/>
          <w:szCs w:val="21"/>
          <w:highlight w:val="none"/>
          <w:u w:val="single"/>
          <w14:textFill>
            <w14:solidFill>
              <w14:schemeClr w14:val="tx1"/>
            </w14:solidFill>
          </w14:textFill>
        </w:rPr>
        <w:t>技术负责人、专业工程师未经发包人书面同意不准擅自更换，擅自更换技术负责人的按人民币100000元/人•次违约金进行支付</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擅自更换专业工程师（施工员、</w:t>
      </w:r>
      <w:r>
        <w:rPr>
          <w:rFonts w:hint="eastAsia" w:ascii="宋体" w:hAnsi="宋体"/>
          <w:color w:val="000000" w:themeColor="text1"/>
          <w:szCs w:val="21"/>
          <w:highlight w:val="none"/>
          <w:u w:val="single"/>
          <w:lang w:eastAsia="zh-CN"/>
          <w14:textFill>
            <w14:solidFill>
              <w14:schemeClr w14:val="tx1"/>
            </w14:solidFill>
          </w14:textFill>
        </w:rPr>
        <w:t>专职安全生产管理人员</w:t>
      </w:r>
      <w:r>
        <w:rPr>
          <w:rFonts w:hint="eastAsia" w:ascii="宋体" w:hAnsi="宋体"/>
          <w:color w:val="000000" w:themeColor="text1"/>
          <w:szCs w:val="21"/>
          <w:highlight w:val="none"/>
          <w:u w:val="single"/>
          <w14:textFill>
            <w14:solidFill>
              <w14:schemeClr w14:val="tx1"/>
            </w14:solidFill>
          </w14:textFill>
        </w:rPr>
        <w:t>、资料员）处人民币20000元/人•次违约金。项目管理人员出现身故、重伤、重病、离职及被发包人主动更换五者之一情况而无法履职的，承包人在出具相关证明后变更管理人员的，可免于向发包人支付违约金。如承包人需要调换施工现场管理人员时，需经发包人同意后生效。新调换施工管理人员应与被调换管理人员有相同或更优秀的资历（专业、职称、职业资格），否则，发包人有权拒绝。</w:t>
      </w:r>
    </w:p>
    <w:p w14:paraId="5FD26F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承包人主要施工管理人员擅自离开施工现场的违约责任：</w:t>
      </w:r>
      <w:r>
        <w:rPr>
          <w:rFonts w:hint="eastAsia" w:ascii="宋体" w:hAnsi="宋体"/>
          <w:color w:val="000000" w:themeColor="text1"/>
          <w:szCs w:val="21"/>
          <w:highlight w:val="none"/>
          <w:u w:val="single"/>
          <w14:textFill>
            <w14:solidFill>
              <w14:schemeClr w14:val="tx1"/>
            </w14:solidFill>
          </w14:textFill>
        </w:rPr>
        <w:t>未经发包人同意，技术负责人擅自离岗或者不到位的，视为承包人违约，承包人按人民币1000元/人•次（天）向发包人支付违约金</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未经发包人同意，专业工程师（施工员、</w:t>
      </w:r>
      <w:r>
        <w:rPr>
          <w:rFonts w:hint="eastAsia" w:ascii="宋体" w:hAnsi="宋体"/>
          <w:color w:val="000000" w:themeColor="text1"/>
          <w:szCs w:val="21"/>
          <w:highlight w:val="none"/>
          <w:u w:val="single"/>
          <w:lang w:eastAsia="zh-CN"/>
          <w14:textFill>
            <w14:solidFill>
              <w14:schemeClr w14:val="tx1"/>
            </w14:solidFill>
          </w14:textFill>
        </w:rPr>
        <w:t>专职安全生产管理人员</w:t>
      </w:r>
      <w:r>
        <w:rPr>
          <w:rFonts w:hint="eastAsia" w:ascii="宋体" w:hAnsi="宋体"/>
          <w:color w:val="000000" w:themeColor="text1"/>
          <w:szCs w:val="21"/>
          <w:highlight w:val="none"/>
          <w:u w:val="single"/>
          <w14:textFill>
            <w14:solidFill>
              <w14:schemeClr w14:val="tx1"/>
            </w14:solidFill>
          </w14:textFill>
        </w:rPr>
        <w:t>、资料员）擅自离岗或者不到位的，视为承包人违约，承包人按人民币500 元/人•次（天）向发包人支付违约金</w:t>
      </w:r>
      <w:r>
        <w:rPr>
          <w:rFonts w:ascii="宋体" w:hAnsi="宋体"/>
          <w:color w:val="000000" w:themeColor="text1"/>
          <w:szCs w:val="21"/>
          <w:highlight w:val="none"/>
          <w:u w:val="single"/>
          <w14:textFill>
            <w14:solidFill>
              <w14:schemeClr w14:val="tx1"/>
            </w14:solidFill>
          </w14:textFill>
        </w:rPr>
        <w:t>。</w:t>
      </w:r>
    </w:p>
    <w:p w14:paraId="656DF5E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35" w:name="_Toc303539102"/>
      <w:bookmarkStart w:id="336" w:name="_Toc296944498"/>
      <w:bookmarkStart w:id="337" w:name="_Toc300934945"/>
      <w:bookmarkStart w:id="338" w:name="_Toc297048345"/>
      <w:bookmarkStart w:id="339" w:name="_Toc296347158"/>
      <w:bookmarkStart w:id="340" w:name="_Toc297216151"/>
      <w:bookmarkStart w:id="341" w:name="_Toc292559364"/>
      <w:bookmarkStart w:id="342" w:name="_Toc297120459"/>
      <w:bookmarkStart w:id="343" w:name="_Toc312677988"/>
      <w:bookmarkStart w:id="344" w:name="_Toc304295523"/>
      <w:bookmarkStart w:id="345" w:name="_Toc292559869"/>
      <w:bookmarkStart w:id="346" w:name="_Toc296503159"/>
      <w:bookmarkStart w:id="347" w:name="_Toc297123492"/>
      <w:bookmarkStart w:id="348" w:name="_Toc296346660"/>
      <w:bookmarkStart w:id="349" w:name="_Toc296890987"/>
      <w:bookmarkStart w:id="350" w:name="_Toc296891199"/>
      <w:r>
        <w:rPr>
          <w:rFonts w:ascii="宋体" w:hAnsi="宋体"/>
          <w:color w:val="000000" w:themeColor="text1"/>
          <w:szCs w:val="21"/>
          <w:highlight w:val="none"/>
          <w14:textFill>
            <w14:solidFill>
              <w14:schemeClr w14:val="tx1"/>
            </w14:solidFill>
          </w14:textFill>
        </w:rPr>
        <w:t>.5 分包</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3CA0173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51" w:name="_Toc296347159"/>
      <w:bookmarkStart w:id="352" w:name="_Toc296346661"/>
      <w:bookmarkStart w:id="353" w:name="_Toc296503160"/>
      <w:bookmarkStart w:id="354" w:name="_Toc296890988"/>
      <w:bookmarkStart w:id="355" w:name="_Toc297120460"/>
      <w:bookmarkStart w:id="356" w:name="_Toc292559870"/>
      <w:bookmarkStart w:id="357" w:name="_Toc304295524"/>
      <w:bookmarkStart w:id="358" w:name="_Toc296944499"/>
      <w:bookmarkStart w:id="359" w:name="_Toc297123493"/>
      <w:bookmarkStart w:id="360" w:name="_Toc296891200"/>
      <w:bookmarkStart w:id="361" w:name="_Toc292559365"/>
      <w:bookmarkStart w:id="362" w:name="_Toc297216152"/>
      <w:bookmarkStart w:id="363" w:name="_Toc300934946"/>
      <w:bookmarkStart w:id="364" w:name="_Toc297048346"/>
      <w:bookmarkStart w:id="365" w:name="_Toc303539103"/>
      <w:bookmarkStart w:id="366" w:name="_Toc312677989"/>
      <w:bookmarkStart w:id="367" w:name="_Toc318581158"/>
      <w:r>
        <w:rPr>
          <w:rFonts w:ascii="宋体" w:hAnsi="宋体"/>
          <w:color w:val="000000" w:themeColor="text1"/>
          <w:szCs w:val="21"/>
          <w:highlight w:val="none"/>
          <w14:textFill>
            <w14:solidFill>
              <w14:schemeClr w14:val="tx1"/>
            </w14:solidFill>
          </w14:textFill>
        </w:rPr>
        <w:t>.5.1 分包的一般约定</w:t>
      </w:r>
    </w:p>
    <w:p w14:paraId="65BDDE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禁止分包的工程包括：</w:t>
      </w:r>
      <w:r>
        <w:rPr>
          <w:rFonts w:hint="eastAsia" w:ascii="宋体" w:hAnsi="宋体"/>
          <w:color w:val="000000" w:themeColor="text1"/>
          <w:szCs w:val="21"/>
          <w:highlight w:val="non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1B2FF0D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主体结构、关键性工作的范围：</w:t>
      </w: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8" w:name="_Toc297048347"/>
      <w:bookmarkStart w:id="369" w:name="_Toc296891201"/>
      <w:bookmarkStart w:id="370" w:name="_Toc296890989"/>
      <w:bookmarkStart w:id="371" w:name="_Toc304295525"/>
      <w:bookmarkStart w:id="372" w:name="_Toc296944500"/>
      <w:bookmarkStart w:id="373" w:name="_Toc297120461"/>
      <w:bookmarkStart w:id="374" w:name="_Toc303539104"/>
      <w:bookmarkStart w:id="375" w:name="_Toc296347160"/>
      <w:bookmarkStart w:id="376" w:name="_Toc296346662"/>
      <w:bookmarkStart w:id="377" w:name="_Toc297216153"/>
      <w:bookmarkStart w:id="378" w:name="_Toc296503161"/>
      <w:bookmarkStart w:id="379" w:name="_Toc297123494"/>
      <w:bookmarkStart w:id="380" w:name="_Toc300934947"/>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6D642E45">
      <w:pPr>
        <w:spacing w:line="4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w:t>
      </w:r>
      <w:bookmarkStart w:id="381" w:name="_Toc318581159"/>
      <w:bookmarkStart w:id="382" w:name="_Toc312677990"/>
      <w:r>
        <w:rPr>
          <w:rFonts w:ascii="宋体" w:hAnsi="宋体"/>
          <w:color w:val="000000" w:themeColor="text1"/>
          <w:szCs w:val="21"/>
          <w:highlight w:val="none"/>
          <w14:textFill>
            <w14:solidFill>
              <w14:schemeClr w14:val="tx1"/>
            </w14:solidFill>
          </w14:textFill>
        </w:rPr>
        <w:t>.5.2分包的确定</w:t>
      </w:r>
    </w:p>
    <w:p w14:paraId="5B48C39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允许分包的专业工程包括</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21B436E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其他关于分包的约定：。</w:t>
      </w:r>
    </w:p>
    <w:p w14:paraId="37AC627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分包合同价款</w:t>
      </w:r>
    </w:p>
    <w:p w14:paraId="3815570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关于分包合同价款支付的约定：</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bookmarkEnd w:id="381"/>
    <w:bookmarkEnd w:id="382"/>
    <w:p w14:paraId="2B81416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3.6 工程照管与成品、半成品保护</w:t>
      </w:r>
    </w:p>
    <w:p w14:paraId="2C21BCCC">
      <w:pPr>
        <w:spacing w:before="120" w:after="120"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承包人负责照管工程及工程相关的材料、工程设备的起始时间：。</w:t>
      </w:r>
    </w:p>
    <w:p w14:paraId="7E192F7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3.7 履约担保</w:t>
      </w:r>
    </w:p>
    <w:p w14:paraId="48923F1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383" w:name="_Toc351203636"/>
      <w:r>
        <w:rPr>
          <w:rFonts w:hint="eastAsia" w:ascii="宋体" w:hAnsi="宋体"/>
          <w:color w:val="000000" w:themeColor="text1"/>
          <w:szCs w:val="21"/>
          <w:highlight w:val="none"/>
          <w14:textFill>
            <w14:solidFill>
              <w14:schemeClr w14:val="tx1"/>
            </w14:solidFill>
          </w14:textFill>
        </w:rPr>
        <w:t>承包人是否提供履约担保：</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6B0E714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承包人提供履约担保的形式</w:t>
      </w:r>
      <w:r>
        <w:rPr>
          <w:rFonts w:hint="eastAsia" w:ascii="宋体" w:hAnsi="宋体"/>
          <w:color w:val="000000" w:themeColor="text1"/>
          <w:szCs w:val="21"/>
          <w:highlight w:val="none"/>
          <w14:textFill>
            <w14:solidFill>
              <w14:schemeClr w14:val="tx1"/>
            </w14:solidFill>
          </w14:textFill>
        </w:rPr>
        <w:t>、金额及期限的</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CA73C9D">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4</w:t>
      </w:r>
      <w:bookmarkStart w:id="384" w:name="_Toc267251413"/>
      <w:bookmarkStart w:id="385" w:name="_Toc296346663"/>
      <w:bookmarkStart w:id="386" w:name="_Toc296347161"/>
      <w:bookmarkStart w:id="387" w:name="_Toc296891202"/>
      <w:bookmarkStart w:id="388" w:name="_Toc292559366"/>
      <w:bookmarkStart w:id="389" w:name="_Toc292559871"/>
      <w:bookmarkStart w:id="390" w:name="_Toc296890990"/>
      <w:bookmarkStart w:id="391" w:name="_Toc297048348"/>
      <w:bookmarkStart w:id="392" w:name="_Toc296503162"/>
      <w:bookmarkStart w:id="393" w:name="_Toc297120462"/>
      <w:bookmarkStart w:id="394" w:name="_Toc296944501"/>
      <w:r>
        <w:rPr>
          <w:rFonts w:ascii="宋体" w:hAnsi="宋体" w:eastAsia="黑体"/>
          <w:b/>
          <w:color w:val="000000" w:themeColor="text1"/>
          <w:kern w:val="0"/>
          <w:sz w:val="28"/>
          <w:szCs w:val="21"/>
          <w:highlight w:val="none"/>
          <w14:textFill>
            <w14:solidFill>
              <w14:schemeClr w14:val="tx1"/>
            </w14:solidFill>
          </w14:textFill>
        </w:rPr>
        <w:t>. 监</w:t>
      </w:r>
      <w:bookmarkEnd w:id="384"/>
      <w:bookmarkEnd w:id="385"/>
      <w:bookmarkEnd w:id="386"/>
      <w:bookmarkEnd w:id="387"/>
      <w:bookmarkEnd w:id="388"/>
      <w:bookmarkEnd w:id="389"/>
      <w:bookmarkEnd w:id="390"/>
      <w:bookmarkEnd w:id="391"/>
      <w:bookmarkEnd w:id="392"/>
      <w:bookmarkEnd w:id="393"/>
      <w:bookmarkEnd w:id="394"/>
      <w:r>
        <w:rPr>
          <w:rFonts w:ascii="宋体" w:hAnsi="宋体" w:eastAsia="黑体"/>
          <w:b/>
          <w:color w:val="000000" w:themeColor="text1"/>
          <w:kern w:val="0"/>
          <w:sz w:val="28"/>
          <w:szCs w:val="21"/>
          <w:highlight w:val="none"/>
          <w14:textFill>
            <w14:solidFill>
              <w14:schemeClr w14:val="tx1"/>
            </w14:solidFill>
          </w14:textFill>
        </w:rPr>
        <w:t>理人</w:t>
      </w:r>
      <w:bookmarkEnd w:id="383"/>
    </w:p>
    <w:p w14:paraId="4268DC4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4.1监理人的一般规定</w:t>
      </w:r>
    </w:p>
    <w:p w14:paraId="74A5C84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关于监理人的监理内容：。</w:t>
      </w:r>
    </w:p>
    <w:p w14:paraId="752CC51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关于监理人的监理权限：。 </w:t>
      </w:r>
    </w:p>
    <w:p w14:paraId="1BB2658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关于监理人在施工现场的办公场所、生活场所的提供和费用承担的约定：。</w:t>
      </w:r>
    </w:p>
    <w:p w14:paraId="5189241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 监理人员</w:t>
      </w:r>
    </w:p>
    <w:p w14:paraId="06B18E9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总监理工程师：</w:t>
      </w:r>
    </w:p>
    <w:p w14:paraId="673B81A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00C10E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1AC7B9E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监理工程师执业资格证书号：</w:t>
      </w:r>
      <w:r>
        <w:rPr>
          <w:rFonts w:hint="eastAsia" w:ascii="宋体" w:hAnsi="宋体"/>
          <w:color w:val="000000" w:themeColor="text1"/>
          <w:szCs w:val="21"/>
          <w:highlight w:val="none"/>
          <w:lang w:eastAsia="zh-CN"/>
          <w14:textFill>
            <w14:solidFill>
              <w14:schemeClr w14:val="tx1"/>
            </w14:solidFill>
          </w14:textFill>
        </w:rPr>
        <w:t>；</w:t>
      </w:r>
    </w:p>
    <w:p w14:paraId="05F82FD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399C67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684AB81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315B9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关于监理人的其他约定：。</w:t>
      </w:r>
    </w:p>
    <w:p w14:paraId="790CADB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商定或确定</w:t>
      </w:r>
    </w:p>
    <w:p w14:paraId="59361211">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395" w:name="_Toc267251418"/>
      <w:r>
        <w:rPr>
          <w:rFonts w:ascii="宋体" w:hAnsi="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1FD40DC4">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p>
    <w:p w14:paraId="42CF5FF9">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p>
    <w:p w14:paraId="66C8220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p>
    <w:p w14:paraId="1F95252E">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396" w:name="_Toc351203637"/>
      <w:r>
        <w:rPr>
          <w:rFonts w:ascii="宋体" w:hAnsi="宋体" w:eastAsia="黑体"/>
          <w:b/>
          <w:color w:val="000000" w:themeColor="text1"/>
          <w:kern w:val="0"/>
          <w:sz w:val="28"/>
          <w:szCs w:val="21"/>
          <w:highlight w:val="none"/>
          <w14:textFill>
            <w14:solidFill>
              <w14:schemeClr w14:val="tx1"/>
            </w14:solidFill>
          </w14:textFill>
        </w:rPr>
        <w:t>5</w:t>
      </w:r>
      <w:bookmarkEnd w:id="395"/>
      <w:bookmarkStart w:id="397" w:name="_Toc297048349"/>
      <w:bookmarkStart w:id="398" w:name="_Toc296944502"/>
      <w:bookmarkStart w:id="399" w:name="_Toc297120463"/>
      <w:bookmarkStart w:id="400" w:name="_Toc296890991"/>
      <w:bookmarkStart w:id="401" w:name="_Toc296347162"/>
      <w:bookmarkStart w:id="402" w:name="_Toc296346664"/>
      <w:bookmarkStart w:id="403" w:name="_Toc296503163"/>
      <w:bookmarkStart w:id="404" w:name="_Toc296891203"/>
      <w:bookmarkStart w:id="405" w:name="_Toc292559872"/>
      <w:bookmarkStart w:id="406" w:name="_Toc292559367"/>
      <w:r>
        <w:rPr>
          <w:rFonts w:ascii="宋体" w:hAnsi="宋体" w:eastAsia="黑体"/>
          <w:b/>
          <w:color w:val="000000" w:themeColor="text1"/>
          <w:kern w:val="0"/>
          <w:sz w:val="28"/>
          <w:szCs w:val="21"/>
          <w:highlight w:val="none"/>
          <w14:textFill>
            <w14:solidFill>
              <w14:schemeClr w14:val="tx1"/>
            </w14:solidFill>
          </w14:textFill>
        </w:rPr>
        <w:t>. 工程质量</w:t>
      </w:r>
      <w:bookmarkEnd w:id="396"/>
    </w:p>
    <w:p w14:paraId="23A31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 质量要求</w:t>
      </w:r>
    </w:p>
    <w:p w14:paraId="0DC58FD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bookmarkStart w:id="407" w:name="_Toc318581164"/>
      <w:bookmarkStart w:id="408" w:name="_Toc304295527"/>
      <w:bookmarkStart w:id="409" w:name="_Toc312677997"/>
      <w:bookmarkStart w:id="410" w:name="_Toc297216155"/>
      <w:bookmarkStart w:id="411" w:name="_Toc300934949"/>
      <w:bookmarkStart w:id="412" w:name="_Toc297123496"/>
      <w:bookmarkStart w:id="413" w:name="_Toc303539106"/>
      <w:r>
        <w:rPr>
          <w:rFonts w:ascii="宋体" w:hAnsi="宋体"/>
          <w:color w:val="000000" w:themeColor="text1"/>
          <w:szCs w:val="21"/>
          <w:highlight w:val="none"/>
          <w14:textFill>
            <w14:solidFill>
              <w14:schemeClr w14:val="tx1"/>
            </w14:solidFill>
          </w14:textFill>
        </w:rPr>
        <w:t>.1.1 特殊质量标准和要求：。</w:t>
      </w:r>
    </w:p>
    <w:p w14:paraId="0E7BF0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关于工程奖项的约定：。</w:t>
      </w:r>
    </w:p>
    <w:p w14:paraId="57A4469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 隐蔽工程检查</w:t>
      </w:r>
    </w:p>
    <w:p w14:paraId="3CC2CA8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5.3.2承包人提前通知监理人隐蔽工程检查的期限的约定：</w:t>
      </w:r>
      <w:r>
        <w:rPr>
          <w:rFonts w:hint="eastAsia" w:ascii="宋体" w:hAnsi="宋体"/>
          <w:b/>
          <w:bCs/>
          <w:color w:val="000000" w:themeColor="text1"/>
          <w:szCs w:val="21"/>
          <w:highlight w:val="none"/>
          <w:u w:val="single"/>
          <w14:textFill>
            <w14:solidFill>
              <w14:schemeClr w14:val="tx1"/>
            </w14:solidFill>
          </w14:textFill>
        </w:rPr>
        <w:t>工程隐蔽或中间验收前24小时以书面形式通知发包人和监理工程师验收的内容、时间、地点，承包人准备验收记录单（最好是印制的表格）由双方签证。验收合格，承包人可进行隐蔽和继续施工</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验收不合格，双方商</w:t>
      </w:r>
      <w:r>
        <w:rPr>
          <w:rFonts w:hint="eastAsia" w:ascii="宋体" w:hAnsi="宋体"/>
          <w:b/>
          <w:bCs/>
          <w:color w:val="000000" w:themeColor="text1"/>
          <w:szCs w:val="21"/>
          <w:highlight w:val="none"/>
          <w:u w:val="single"/>
          <w:lang w:val="en-US" w:eastAsia="zh-CN"/>
          <w14:textFill>
            <w14:solidFill>
              <w14:schemeClr w14:val="tx1"/>
            </w14:solidFill>
          </w14:textFill>
        </w:rPr>
        <w:t>定</w:t>
      </w:r>
      <w:r>
        <w:rPr>
          <w:rFonts w:hint="eastAsia" w:ascii="宋体" w:hAnsi="宋体"/>
          <w:b/>
          <w:bCs/>
          <w:color w:val="000000" w:themeColor="text1"/>
          <w:szCs w:val="21"/>
          <w:highlight w:val="none"/>
          <w:u w:val="single"/>
          <w14:textFill>
            <w14:solidFill>
              <w14:schemeClr w14:val="tx1"/>
            </w14:solidFill>
          </w14:textFill>
        </w:rPr>
        <w:t>时限内修改后按上述循序重新验收。</w:t>
      </w:r>
    </w:p>
    <w:p w14:paraId="38D88F7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监理人不能按时进行检查时，应提前</w:t>
      </w: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小时提交书面延期要求。</w:t>
      </w:r>
    </w:p>
    <w:p w14:paraId="481B41D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w:t>
      </w:r>
      <w:r>
        <w:rPr>
          <w:rFonts w:hint="eastAsia" w:ascii="宋体" w:hAnsi="宋体"/>
          <w:color w:val="000000" w:themeColor="text1"/>
          <w:szCs w:val="21"/>
          <w:highlight w:val="none"/>
          <w14:textFill>
            <w14:solidFill>
              <w14:schemeClr w14:val="tx1"/>
            </w14:solidFill>
          </w14:textFill>
        </w:rPr>
        <w:t>12</w:t>
      </w:r>
      <w:r>
        <w:rPr>
          <w:rFonts w:ascii="宋体" w:hAnsi="宋体"/>
          <w:color w:val="000000" w:themeColor="text1"/>
          <w:szCs w:val="21"/>
          <w:highlight w:val="none"/>
          <w14:textFill>
            <w14:solidFill>
              <w14:schemeClr w14:val="tx1"/>
            </w14:solidFill>
          </w14:textFill>
        </w:rPr>
        <w:t>小时。</w:t>
      </w:r>
    </w:p>
    <w:p w14:paraId="47ABC650">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14" w:name="_Toc351203638"/>
      <w:r>
        <w:rPr>
          <w:rFonts w:ascii="宋体" w:hAnsi="宋体" w:eastAsia="黑体"/>
          <w:b/>
          <w:color w:val="000000" w:themeColor="text1"/>
          <w:kern w:val="0"/>
          <w:sz w:val="28"/>
          <w:szCs w:val="21"/>
          <w:highlight w:val="none"/>
          <w14:textFill>
            <w14:solidFill>
              <w14:schemeClr w14:val="tx1"/>
            </w14:solidFill>
          </w14:textFill>
        </w:rPr>
        <w:t>6. 安全文明施工与环境保护</w:t>
      </w:r>
      <w:bookmarkEnd w:id="414"/>
    </w:p>
    <w:p w14:paraId="544D2E7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6.1安全文明施工</w:t>
      </w:r>
    </w:p>
    <w:p w14:paraId="7B8E4C9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6.1.1 项目安全生产的达标目标及相应事项的约定：。</w:t>
      </w:r>
    </w:p>
    <w:p w14:paraId="5CF48B0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关于治安保卫的特别约定：</w:t>
      </w:r>
      <w:r>
        <w:rPr>
          <w:rFonts w:hint="eastAsia" w:ascii="宋体" w:hAnsi="宋体"/>
          <w:b/>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承包人生活设施及施工场应自费配备消防设备，防止火灾发生。</w:t>
      </w:r>
    </w:p>
    <w:p w14:paraId="2D8F59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关于编制施工场地治安管理计划的约定：</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3A38AF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6.1.3 文明施工</w:t>
      </w:r>
    </w:p>
    <w:p w14:paraId="65EA0BF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对文明施工的要求：承包人应按住建主管部门有关规定做好工程质量和安全管理、环境保护和文明施工的工作，建立完善的工程质量和安全管理、环境保护和文明施工体系，严格遵照实施，并接受发包人及相关职能部门的监督检查。</w:t>
      </w:r>
    </w:p>
    <w:p w14:paraId="0F58169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关于安全文明施工费支付比例和支付期限的约定：</w:t>
      </w:r>
    </w:p>
    <w:p w14:paraId="4FBE0759">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本合同价款已包含安全文明施工费</w:t>
      </w:r>
    </w:p>
    <w:p w14:paraId="6A6FDA5A">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使用要求：专款专用。具体按《广西壮族自治区建设工程安全文明施工费使用管理细则》（桂建质【2015】16号及其相关规定执行）</w:t>
      </w:r>
      <w:r>
        <w:rPr>
          <w:rFonts w:ascii="宋体" w:hAnsi="宋体"/>
          <w:color w:val="000000" w:themeColor="text1"/>
          <w:szCs w:val="21"/>
          <w:highlight w:val="none"/>
          <w14:textFill>
            <w14:solidFill>
              <w14:schemeClr w14:val="tx1"/>
            </w14:solidFill>
          </w14:textFill>
        </w:rPr>
        <w:t>。</w:t>
      </w:r>
    </w:p>
    <w:p w14:paraId="7828199C">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支付约定：限额内专款专用，实报实销。</w:t>
      </w:r>
    </w:p>
    <w:p w14:paraId="661BC76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6.2环境保护:</w:t>
      </w:r>
      <w:r>
        <w:rPr>
          <w:rFonts w:hint="eastAsia" w:ascii="宋体" w:hAnsi="宋体"/>
          <w:b/>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经过城市道路的施工车辆，必须按交警、城管、运输等部门相关规定执行。由于施工车辆造成的道路、环境等污染，其责任和费用均由承包人承担。</w:t>
      </w:r>
    </w:p>
    <w:bookmarkEnd w:id="407"/>
    <w:bookmarkEnd w:id="408"/>
    <w:bookmarkEnd w:id="409"/>
    <w:bookmarkEnd w:id="410"/>
    <w:bookmarkEnd w:id="411"/>
    <w:bookmarkEnd w:id="412"/>
    <w:bookmarkEnd w:id="413"/>
    <w:p w14:paraId="74C601D5">
      <w:pPr>
        <w:keepNext/>
        <w:keepLines/>
        <w:widowControl/>
        <w:spacing w:before="120" w:after="120" w:line="440" w:lineRule="exact"/>
        <w:ind w:firstLine="141" w:firstLineChars="50"/>
        <w:outlineLvl w:val="3"/>
        <w:rPr>
          <w:rFonts w:ascii="宋体" w:hAnsi="宋体" w:eastAsia="黑体"/>
          <w:b/>
          <w:color w:val="000000" w:themeColor="text1"/>
          <w:kern w:val="0"/>
          <w:sz w:val="28"/>
          <w:szCs w:val="21"/>
          <w:highlight w:val="none"/>
          <w14:textFill>
            <w14:solidFill>
              <w14:schemeClr w14:val="tx1"/>
            </w14:solidFill>
          </w14:textFill>
        </w:rPr>
      </w:pPr>
      <w:bookmarkStart w:id="415" w:name="_Toc351203639"/>
      <w:r>
        <w:rPr>
          <w:rFonts w:ascii="宋体" w:hAnsi="宋体" w:eastAsia="黑体"/>
          <w:b/>
          <w:color w:val="000000" w:themeColor="text1"/>
          <w:kern w:val="0"/>
          <w:sz w:val="28"/>
          <w:szCs w:val="21"/>
          <w:highlight w:val="none"/>
          <w14:textFill>
            <w14:solidFill>
              <w14:schemeClr w14:val="tx1"/>
            </w14:solidFill>
          </w14:textFill>
        </w:rPr>
        <w:t>7. 工期和进度</w:t>
      </w:r>
      <w:bookmarkEnd w:id="415"/>
    </w:p>
    <w:p w14:paraId="6AEFEFC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 施工组织设计</w:t>
      </w:r>
    </w:p>
    <w:p w14:paraId="03060624">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1 合</w:t>
      </w:r>
      <w:r>
        <w:rPr>
          <w:rFonts w:hint="eastAsia" w:ascii="宋体" w:hAnsi="宋体"/>
          <w:color w:val="000000" w:themeColor="text1"/>
          <w:kern w:val="0"/>
          <w:szCs w:val="21"/>
          <w:highlight w:val="none"/>
          <w14:textFill>
            <w14:solidFill>
              <w14:schemeClr w14:val="tx1"/>
            </w14:solidFill>
          </w14:textFill>
        </w:rPr>
        <w:t>同当事人约定的</w:t>
      </w:r>
      <w:r>
        <w:rPr>
          <w:rFonts w:ascii="宋体" w:hAnsi="宋体"/>
          <w:color w:val="000000" w:themeColor="text1"/>
          <w:kern w:val="0"/>
          <w:szCs w:val="21"/>
          <w:highlight w:val="none"/>
          <w14:textFill>
            <w14:solidFill>
              <w14:schemeClr w14:val="tx1"/>
            </w14:solidFill>
          </w14:textFill>
        </w:rPr>
        <w:t>施工组织设计</w:t>
      </w:r>
      <w:r>
        <w:rPr>
          <w:rFonts w:hint="eastAsia" w:ascii="宋体" w:hAnsi="宋体"/>
          <w:color w:val="000000" w:themeColor="text1"/>
          <w:kern w:val="0"/>
          <w:szCs w:val="21"/>
          <w:highlight w:val="none"/>
          <w14:textFill>
            <w14:solidFill>
              <w14:schemeClr w14:val="tx1"/>
            </w14:solidFill>
          </w14:textFill>
        </w:rPr>
        <w:t>应包括的其他内容</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5A8087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7.1.2</w:t>
      </w:r>
      <w:r>
        <w:rPr>
          <w:rFonts w:ascii="宋体" w:hAnsi="宋体"/>
          <w:color w:val="000000" w:themeColor="text1"/>
          <w:kern w:val="0"/>
          <w:szCs w:val="21"/>
          <w:highlight w:val="none"/>
          <w14:textFill>
            <w14:solidFill>
              <w14:schemeClr w14:val="tx1"/>
            </w14:solidFill>
          </w14:textFill>
        </w:rPr>
        <w:t>施工组织设计的提交和修改</w:t>
      </w:r>
    </w:p>
    <w:p w14:paraId="29032B81">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承包人提交详细施工组织设计的期限的约定：</w:t>
      </w:r>
      <w:r>
        <w:rPr>
          <w:rFonts w:ascii="宋体" w:hAnsi="宋体"/>
          <w:color w:val="000000" w:themeColor="text1"/>
          <w:szCs w:val="21"/>
          <w:highlight w:val="none"/>
          <w14:textFill>
            <w14:solidFill>
              <w14:schemeClr w14:val="tx1"/>
            </w14:solidFill>
          </w14:textFill>
        </w:rPr>
        <w:t>。</w:t>
      </w:r>
    </w:p>
    <w:p w14:paraId="3B38A7A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w:t>
      </w:r>
      <w:r>
        <w:rPr>
          <w:rFonts w:hint="eastAsia" w:ascii="宋体" w:hAnsi="宋体"/>
          <w:color w:val="000000" w:themeColor="text1"/>
          <w:szCs w:val="21"/>
          <w:highlight w:val="none"/>
          <w14:textFill>
            <w14:solidFill>
              <w14:schemeClr w14:val="tx1"/>
            </w14:solidFill>
          </w14:textFill>
        </w:rPr>
        <w:t>详细的施工组织设计</w:t>
      </w:r>
      <w:r>
        <w:rPr>
          <w:rFonts w:ascii="宋体" w:hAnsi="宋体"/>
          <w:color w:val="000000" w:themeColor="text1"/>
          <w:szCs w:val="21"/>
          <w:highlight w:val="none"/>
          <w14:textFill>
            <w14:solidFill>
              <w14:schemeClr w14:val="tx1"/>
            </w14:solidFill>
          </w14:textFill>
        </w:rPr>
        <w:t>后确认或提出修改意见的期限：。</w:t>
      </w:r>
    </w:p>
    <w:p w14:paraId="2C833DE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16" w:name="_Toc297216173"/>
      <w:bookmarkStart w:id="417" w:name="_Toc304295541"/>
      <w:bookmarkStart w:id="418" w:name="_Toc303539123"/>
      <w:bookmarkStart w:id="419" w:name="_Toc312677479"/>
      <w:bookmarkStart w:id="420" w:name="_Toc312678005"/>
      <w:bookmarkStart w:id="421" w:name="_Toc297123514"/>
      <w:bookmarkStart w:id="422" w:name="_Toc300934966"/>
      <w:r>
        <w:rPr>
          <w:rFonts w:ascii="宋体" w:hAnsi="宋体"/>
          <w:color w:val="000000" w:themeColor="text1"/>
          <w:szCs w:val="21"/>
          <w:highlight w:val="none"/>
          <w14:textFill>
            <w14:solidFill>
              <w14:schemeClr w14:val="tx1"/>
            </w14:solidFill>
          </w14:textFill>
        </w:rPr>
        <w:t>.2 施工进度计划</w:t>
      </w:r>
    </w:p>
    <w:p w14:paraId="5166FEF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施工进度计划的修订</w:t>
      </w:r>
    </w:p>
    <w:p w14:paraId="7043855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发包人和监理人在收到修订的施工进度计划后确认或提出修改意见的期限：。</w:t>
      </w:r>
    </w:p>
    <w:p w14:paraId="2789EC3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 开工</w:t>
      </w:r>
    </w:p>
    <w:p w14:paraId="7D3C119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7.3.1 开工准备</w:t>
      </w:r>
    </w:p>
    <w:p w14:paraId="42D95EEE">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关于承包人提交</w:t>
      </w:r>
      <w:r>
        <w:rPr>
          <w:rFonts w:ascii="宋体" w:hAnsi="宋体"/>
          <w:color w:val="000000" w:themeColor="text1"/>
          <w:kern w:val="0"/>
          <w:szCs w:val="21"/>
          <w:highlight w:val="none"/>
          <w14:textFill>
            <w14:solidFill>
              <w14:schemeClr w14:val="tx1"/>
            </w14:solidFill>
          </w14:textFill>
        </w:rPr>
        <w:t>工程开工报审表的期限：</w:t>
      </w:r>
      <w:r>
        <w:rPr>
          <w:rFonts w:ascii="宋体" w:hAnsi="宋体"/>
          <w:color w:val="000000" w:themeColor="text1"/>
          <w:szCs w:val="21"/>
          <w:highlight w:val="none"/>
          <w14:textFill>
            <w14:solidFill>
              <w14:schemeClr w14:val="tx1"/>
            </w14:solidFill>
          </w14:textFill>
        </w:rPr>
        <w:t>。</w:t>
      </w:r>
    </w:p>
    <w:p w14:paraId="4A40EDB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关于发包人应完成的其他开工准备工作及期限：。</w:t>
      </w:r>
    </w:p>
    <w:p w14:paraId="2CFA7E9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关于承包人应完成的其他开工准备工作及期限：。</w:t>
      </w:r>
    </w:p>
    <w:p w14:paraId="14EF979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7.3.2开工通知</w:t>
      </w:r>
    </w:p>
    <w:p w14:paraId="2D6BA58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因发包人原因造成监理人未能在计划开工日期之日起天内发出开工通知的，承包人有权提出价格调整要求，或者解除合同。</w:t>
      </w:r>
    </w:p>
    <w:bookmarkEnd w:id="416"/>
    <w:bookmarkEnd w:id="417"/>
    <w:bookmarkEnd w:id="418"/>
    <w:bookmarkEnd w:id="419"/>
    <w:bookmarkEnd w:id="420"/>
    <w:bookmarkEnd w:id="421"/>
    <w:bookmarkEnd w:id="422"/>
    <w:p w14:paraId="445B64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7.4 测量放线</w:t>
      </w:r>
    </w:p>
    <w:p w14:paraId="366C17C0">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7.4.1发包人通过监理人向承包人提供测量基准点、基准线和水准点及其书面资料的期限：。</w:t>
      </w:r>
    </w:p>
    <w:p w14:paraId="334158B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23" w:name="_Toc304295546"/>
      <w:bookmarkStart w:id="424" w:name="_Toc300934968"/>
      <w:bookmarkStart w:id="425" w:name="_Toc297123516"/>
      <w:bookmarkStart w:id="426" w:name="_Toc297216175"/>
      <w:bookmarkStart w:id="427" w:name="_Toc312677484"/>
      <w:bookmarkStart w:id="428" w:name="_Toc303539125"/>
      <w:bookmarkStart w:id="429" w:name="_Toc312678010"/>
      <w:r>
        <w:rPr>
          <w:rFonts w:ascii="宋体" w:hAnsi="宋体"/>
          <w:color w:val="000000" w:themeColor="text1"/>
          <w:szCs w:val="21"/>
          <w:highlight w:val="none"/>
          <w14:textFill>
            <w14:solidFill>
              <w14:schemeClr w14:val="tx1"/>
            </w14:solidFill>
          </w14:textFill>
        </w:rPr>
        <w:t>.5 工期延误</w:t>
      </w:r>
    </w:p>
    <w:bookmarkEnd w:id="423"/>
    <w:bookmarkEnd w:id="424"/>
    <w:bookmarkEnd w:id="425"/>
    <w:bookmarkEnd w:id="426"/>
    <w:bookmarkEnd w:id="427"/>
    <w:bookmarkEnd w:id="428"/>
    <w:bookmarkEnd w:id="429"/>
    <w:p w14:paraId="712EF3C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7.5.1 因发包人原因导致工期延误</w:t>
      </w:r>
    </w:p>
    <w:p w14:paraId="68DEAA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（7）因发包人原因导致工期延误的其他情形：。</w:t>
      </w:r>
    </w:p>
    <w:p w14:paraId="6415215D">
      <w:pPr>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u w:val="single"/>
          <w14:textFill>
            <w14:solidFill>
              <w14:schemeClr w14:val="tx1"/>
            </w14:solidFill>
          </w14:textFill>
        </w:rPr>
        <w:t>因</w:t>
      </w:r>
      <w:r>
        <w:rPr>
          <w:rFonts w:hint="eastAsia" w:ascii="宋体" w:hAnsi="宋体"/>
          <w:b/>
          <w:bCs/>
          <w:color w:val="000000" w:themeColor="text1"/>
          <w:szCs w:val="21"/>
          <w:highlight w:val="none"/>
          <w:u w:val="single"/>
          <w14:textFill>
            <w14:solidFill>
              <w14:schemeClr w14:val="tx1"/>
            </w14:solidFill>
          </w14:textFill>
        </w:rPr>
        <w:t>发</w:t>
      </w:r>
      <w:r>
        <w:rPr>
          <w:rFonts w:ascii="宋体" w:hAnsi="宋体"/>
          <w:b/>
          <w:bCs/>
          <w:color w:val="000000" w:themeColor="text1"/>
          <w:szCs w:val="21"/>
          <w:highlight w:val="none"/>
          <w:u w:val="single"/>
          <w14:textFill>
            <w14:solidFill>
              <w14:schemeClr w14:val="tx1"/>
            </w14:solidFill>
          </w14:textFill>
        </w:rPr>
        <w:t>包人</w:t>
      </w:r>
      <w:r>
        <w:rPr>
          <w:rFonts w:hint="eastAsia" w:ascii="宋体" w:hAnsi="宋体"/>
          <w:b/>
          <w:bCs/>
          <w:color w:val="000000" w:themeColor="text1"/>
          <w:szCs w:val="21"/>
          <w:highlight w:val="none"/>
          <w:u w:val="single"/>
          <w14:textFill>
            <w14:solidFill>
              <w14:schemeClr w14:val="tx1"/>
            </w14:solidFill>
          </w14:textFill>
        </w:rPr>
        <w:t>资金未能及时支付等资金方面的</w:t>
      </w:r>
      <w:r>
        <w:rPr>
          <w:rFonts w:ascii="宋体" w:hAnsi="宋体"/>
          <w:b/>
          <w:bCs/>
          <w:color w:val="000000" w:themeColor="text1"/>
          <w:szCs w:val="21"/>
          <w:highlight w:val="none"/>
          <w:u w:val="single"/>
          <w14:textFill>
            <w14:solidFill>
              <w14:schemeClr w14:val="tx1"/>
            </w14:solidFill>
          </w14:textFill>
        </w:rPr>
        <w:t>原因</w:t>
      </w:r>
      <w:r>
        <w:rPr>
          <w:rFonts w:hint="eastAsia" w:ascii="宋体" w:hAnsi="宋体"/>
          <w:b/>
          <w:bCs/>
          <w:color w:val="000000" w:themeColor="text1"/>
          <w:szCs w:val="21"/>
          <w:highlight w:val="none"/>
          <w:u w:val="single"/>
          <w14:textFill>
            <w14:solidFill>
              <w14:schemeClr w14:val="tx1"/>
            </w14:solidFill>
          </w14:textFill>
        </w:rPr>
        <w:t>，若承包人因此造成的窝工、停工超过两个月的，发包人有权更换承包人。</w:t>
      </w:r>
    </w:p>
    <w:p w14:paraId="1E6EA9A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30" w:name="_Toc318581169"/>
      <w:bookmarkStart w:id="431" w:name="_Toc312678012"/>
      <w:bookmarkStart w:id="432" w:name="_Toc312677486"/>
      <w:bookmarkStart w:id="433" w:name="_Toc303539127"/>
      <w:bookmarkStart w:id="434" w:name="_Toc304295548"/>
      <w:bookmarkStart w:id="435" w:name="_Toc300934970"/>
      <w:bookmarkStart w:id="436" w:name="_Toc297216177"/>
      <w:bookmarkStart w:id="437" w:name="_Toc297123518"/>
      <w:r>
        <w:rPr>
          <w:rFonts w:ascii="宋体" w:hAnsi="宋体"/>
          <w:color w:val="000000" w:themeColor="text1"/>
          <w:szCs w:val="21"/>
          <w:highlight w:val="none"/>
          <w14:textFill>
            <w14:solidFill>
              <w14:schemeClr w14:val="tx1"/>
            </w14:solidFill>
          </w14:textFill>
        </w:rPr>
        <w:t>.5.2 因承包人原因导致工期延误</w:t>
      </w:r>
    </w:p>
    <w:bookmarkEnd w:id="430"/>
    <w:bookmarkEnd w:id="431"/>
    <w:bookmarkEnd w:id="432"/>
    <w:p w14:paraId="0DC38FF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w:t>
      </w:r>
      <w:bookmarkStart w:id="438" w:name="_Toc312678013"/>
      <w:bookmarkStart w:id="439" w:name="_Toc312677487"/>
      <w:bookmarkStart w:id="440" w:name="_Toc318581170"/>
      <w:r>
        <w:rPr>
          <w:rFonts w:ascii="宋体" w:hAnsi="宋体"/>
          <w:color w:val="000000" w:themeColor="text1"/>
          <w:szCs w:val="21"/>
          <w:highlight w:val="none"/>
          <w14:textFill>
            <w14:solidFill>
              <w14:schemeClr w14:val="tx1"/>
            </w14:solidFill>
          </w14:textFill>
        </w:rPr>
        <w:t>承包人原因造成工期延误，逾期竣工违约金的计算方法：</w:t>
      </w:r>
      <w:r>
        <w:rPr>
          <w:rFonts w:hint="eastAsia" w:ascii="宋体" w:hAnsi="宋体"/>
          <w:b/>
          <w:color w:val="000000" w:themeColor="text1"/>
          <w:szCs w:val="21"/>
          <w:highlight w:val="none"/>
          <w:u w:val="single"/>
          <w14:textFill>
            <w14:solidFill>
              <w14:schemeClr w14:val="tx1"/>
            </w14:solidFill>
          </w14:textFill>
        </w:rPr>
        <w:t>非上述原因，承包人不能按合同约定的时间竣工，承包人应承担违约责任。应向发包人支付误期赔偿费（每天赔偿金额为合同价款的万分之一），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olor w:val="000000" w:themeColor="text1"/>
          <w:szCs w:val="21"/>
          <w:highlight w:val="none"/>
          <w14:textFill>
            <w14:solidFill>
              <w14:schemeClr w14:val="tx1"/>
            </w14:solidFill>
          </w14:textFill>
        </w:rPr>
        <w:t>。</w:t>
      </w:r>
      <w:bookmarkEnd w:id="433"/>
      <w:bookmarkEnd w:id="434"/>
      <w:bookmarkEnd w:id="435"/>
      <w:bookmarkEnd w:id="436"/>
      <w:bookmarkEnd w:id="437"/>
      <w:bookmarkEnd w:id="438"/>
      <w:bookmarkEnd w:id="439"/>
    </w:p>
    <w:bookmarkEnd w:id="440"/>
    <w:p w14:paraId="0512247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因承包人原因造成工期延误，逾</w:t>
      </w:r>
      <w:bookmarkStart w:id="441" w:name="_Toc318581171"/>
      <w:bookmarkStart w:id="442" w:name="_Toc312678014"/>
      <w:r>
        <w:rPr>
          <w:rFonts w:ascii="宋体" w:hAnsi="宋体"/>
          <w:color w:val="000000" w:themeColor="text1"/>
          <w:szCs w:val="21"/>
          <w:highlight w:val="none"/>
          <w14:textFill>
            <w14:solidFill>
              <w14:schemeClr w14:val="tx1"/>
            </w14:solidFill>
          </w14:textFill>
        </w:rPr>
        <w:t>期竣工违约金的上限：</w:t>
      </w:r>
      <w:r>
        <w:rPr>
          <w:rFonts w:hint="eastAsia" w:ascii="宋体" w:hAnsi="宋体"/>
          <w:color w:val="000000" w:themeColor="text1"/>
          <w:szCs w:val="21"/>
          <w:highlight w:val="none"/>
          <w:u w:val="single"/>
          <w14:textFill>
            <w14:solidFill>
              <w14:schemeClr w14:val="tx1"/>
            </w14:solidFill>
          </w14:textFill>
        </w:rPr>
        <w:t>每逾期一天，每天赔偿金额为逾期竣工的单位工程结算造价</w:t>
      </w:r>
      <w:r>
        <w:rPr>
          <w:rFonts w:ascii="宋体" w:hAnsi="宋体"/>
          <w:color w:val="000000" w:themeColor="text1"/>
          <w:szCs w:val="21"/>
          <w:highlight w:val="none"/>
          <w:u w:val="single"/>
          <w14:textFill>
            <w14:solidFill>
              <w14:schemeClr w14:val="tx1"/>
            </w14:solidFill>
          </w14:textFill>
        </w:rPr>
        <w:t>扣</w:t>
      </w:r>
      <w:r>
        <w:rPr>
          <w:rFonts w:hAnsi="宋体"/>
          <w:color w:val="000000" w:themeColor="text1"/>
          <w:szCs w:val="21"/>
          <w:highlight w:val="none"/>
          <w:u w:val="single"/>
          <w14:textFill>
            <w14:solidFill>
              <w14:schemeClr w14:val="tx1"/>
            </w14:solidFill>
          </w14:textFill>
        </w:rPr>
        <w:t>除建安劳保费、发包人材料</w:t>
      </w:r>
      <w:r>
        <w:rPr>
          <w:rFonts w:hint="eastAsia" w:hAnsi="宋体"/>
          <w:color w:val="000000" w:themeColor="text1"/>
          <w:szCs w:val="21"/>
          <w:highlight w:val="none"/>
          <w:u w:val="single"/>
          <w14:textFill>
            <w14:solidFill>
              <w14:schemeClr w14:val="tx1"/>
            </w14:solidFill>
          </w14:textFill>
        </w:rPr>
        <w:t>设备</w:t>
      </w:r>
      <w:r>
        <w:rPr>
          <w:rFonts w:hAnsi="宋体"/>
          <w:color w:val="000000" w:themeColor="text1"/>
          <w:szCs w:val="21"/>
          <w:highlight w:val="none"/>
          <w:u w:val="single"/>
          <w14:textFill>
            <w14:solidFill>
              <w14:schemeClr w14:val="tx1"/>
            </w14:solidFill>
          </w14:textFill>
        </w:rPr>
        <w:t>价款、暂估专业工程、暂列金额后的</w:t>
      </w:r>
      <w:r>
        <w:rPr>
          <w:rFonts w:hint="eastAsia"/>
          <w:color w:val="000000" w:themeColor="text1"/>
          <w:szCs w:val="21"/>
          <w:highlight w:val="none"/>
          <w:u w:val="single"/>
          <w14:textFill>
            <w14:solidFill>
              <w14:schemeClr w14:val="tx1"/>
            </w14:solidFill>
          </w14:textFill>
        </w:rPr>
        <w:t>1</w:t>
      </w:r>
      <w:r>
        <w:rPr>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bookmarkEnd w:id="441"/>
    <w:bookmarkEnd w:id="442"/>
    <w:p w14:paraId="0CA830A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43" w:name="_Toc312678015"/>
      <w:bookmarkStart w:id="444" w:name="_Toc297216178"/>
      <w:bookmarkStart w:id="445" w:name="_Toc304295549"/>
      <w:bookmarkStart w:id="446" w:name="_Toc303539128"/>
      <w:bookmarkStart w:id="447" w:name="_Toc297123519"/>
      <w:bookmarkStart w:id="448" w:name="_Toc300934971"/>
      <w:r>
        <w:rPr>
          <w:rFonts w:ascii="宋体" w:hAnsi="宋体"/>
          <w:color w:val="000000" w:themeColor="text1"/>
          <w:szCs w:val="21"/>
          <w:highlight w:val="none"/>
          <w14:textFill>
            <w14:solidFill>
              <w14:schemeClr w14:val="tx1"/>
            </w14:solidFill>
          </w14:textFill>
        </w:rPr>
        <w:t>.6 不</w:t>
      </w:r>
      <w:bookmarkEnd w:id="443"/>
      <w:bookmarkEnd w:id="444"/>
      <w:bookmarkEnd w:id="445"/>
      <w:bookmarkEnd w:id="446"/>
      <w:bookmarkEnd w:id="447"/>
      <w:bookmarkEnd w:id="448"/>
      <w:r>
        <w:rPr>
          <w:rFonts w:ascii="宋体" w:hAnsi="宋体"/>
          <w:color w:val="000000" w:themeColor="text1"/>
          <w:szCs w:val="21"/>
          <w:highlight w:val="none"/>
          <w14:textFill>
            <w14:solidFill>
              <w14:schemeClr w14:val="tx1"/>
            </w14:solidFill>
          </w14:textFill>
        </w:rPr>
        <w:t>利物质条件</w:t>
      </w:r>
    </w:p>
    <w:p w14:paraId="474AB90D">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bookmarkStart w:id="449" w:name="_Toc304295550"/>
      <w:bookmarkStart w:id="450" w:name="_Toc297123520"/>
      <w:bookmarkStart w:id="451" w:name="_Toc297216179"/>
      <w:bookmarkStart w:id="452" w:name="_Toc300934972"/>
      <w:bookmarkStart w:id="453" w:name="_Toc303539129"/>
      <w:bookmarkStart w:id="454" w:name="_Toc312678016"/>
      <w:bookmarkStart w:id="455" w:name="_Toc318581172"/>
      <w:r>
        <w:rPr>
          <w:rFonts w:ascii="宋体" w:hAnsi="宋体"/>
          <w:color w:val="000000" w:themeColor="text1"/>
          <w:szCs w:val="21"/>
          <w:highlight w:val="none"/>
          <w14:textFill>
            <w14:solidFill>
              <w14:schemeClr w14:val="tx1"/>
            </w14:solidFill>
          </w14:textFill>
        </w:rPr>
        <w:t>不利物质条件的其他情形和有关约定：。</w:t>
      </w:r>
    </w:p>
    <w:bookmarkEnd w:id="449"/>
    <w:bookmarkEnd w:id="450"/>
    <w:bookmarkEnd w:id="451"/>
    <w:bookmarkEnd w:id="452"/>
    <w:bookmarkEnd w:id="453"/>
    <w:bookmarkEnd w:id="454"/>
    <w:bookmarkEnd w:id="455"/>
    <w:p w14:paraId="1366BBF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56" w:name="_Toc297123521"/>
      <w:bookmarkStart w:id="457" w:name="_Toc303539130"/>
      <w:bookmarkStart w:id="458" w:name="_Toc300934973"/>
      <w:bookmarkStart w:id="459" w:name="_Toc312678017"/>
      <w:bookmarkStart w:id="460" w:name="_Toc304295551"/>
      <w:bookmarkStart w:id="461" w:name="_Toc297216180"/>
      <w:r>
        <w:rPr>
          <w:rFonts w:ascii="宋体" w:hAnsi="宋体"/>
          <w:color w:val="000000" w:themeColor="text1"/>
          <w:szCs w:val="21"/>
          <w:highlight w:val="none"/>
          <w14:textFill>
            <w14:solidFill>
              <w14:schemeClr w14:val="tx1"/>
            </w14:solidFill>
          </w14:textFill>
        </w:rPr>
        <w:t>.7异常恶劣的气候条件</w:t>
      </w:r>
    </w:p>
    <w:bookmarkEnd w:id="456"/>
    <w:bookmarkEnd w:id="457"/>
    <w:bookmarkEnd w:id="458"/>
    <w:bookmarkEnd w:id="459"/>
    <w:bookmarkEnd w:id="460"/>
    <w:bookmarkEnd w:id="461"/>
    <w:p w14:paraId="267871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发包人和承包人同意以下情形视为异常恶劣的气候条件：</w:t>
      </w:r>
    </w:p>
    <w:p w14:paraId="086F62CB">
      <w:pPr>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（1）六级及其以上台风,合同约定的不可抗力除外。</w:t>
      </w:r>
    </w:p>
    <w:p w14:paraId="109C29CB">
      <w:pPr>
        <w:widowControl/>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（2）异常恶劣的气候条件引起的工程延误，由监理工程师根据承包人提交的证明予以评定，异常气候在每月对工程进度影响的评定，应在整个合同内予以累计。</w:t>
      </w:r>
    </w:p>
    <w:p w14:paraId="3CF7BFCD">
      <w:pPr>
        <w:autoSpaceDE w:val="0"/>
        <w:autoSpaceDN w:val="0"/>
        <w:adjustRightInd w:val="0"/>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（3）承包人应采取克服异常恶劣的气候条件的合理措施继续施工，并在发生后48小时内及时通知发包人和监理人。监理人应在接到通知后48小时内报发包人同意后应当及时发出指示，指示构成变更的，按</w:t>
      </w:r>
      <w:r>
        <w:rPr>
          <w:rFonts w:hint="eastAsia" w:ascii="宋体" w:hAnsi="宋体"/>
          <w:snapToGrid w:val="0"/>
          <w:color w:val="000000" w:themeColor="text1"/>
          <w:kern w:val="0"/>
          <w:szCs w:val="21"/>
          <w:highlight w:val="none"/>
          <w:u w:val="single"/>
          <w14:textFill>
            <w14:solidFill>
              <w14:schemeClr w14:val="tx1"/>
            </w14:solidFill>
          </w14:textFill>
        </w:rPr>
        <w:t>专用合同条款</w:t>
      </w:r>
      <w:r>
        <w:rPr>
          <w:rFonts w:hint="eastAsia" w:ascii="宋体" w:hAnsi="宋体"/>
          <w:color w:val="000000" w:themeColor="text1"/>
          <w:szCs w:val="21"/>
          <w:highlight w:val="none"/>
          <w:u w:val="single"/>
          <w14:textFill>
            <w14:solidFill>
              <w14:schemeClr w14:val="tx1"/>
            </w14:solidFill>
          </w14:textFill>
        </w:rPr>
        <w:t>第10条〔变更〕约定办理。承包人因采取合理措施而延误的工期由发包人承担，但发包人不承担增加的费用。</w:t>
      </w:r>
    </w:p>
    <w:p w14:paraId="30D75802">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提前竣工的奖励</w:t>
      </w:r>
    </w:p>
    <w:p w14:paraId="75247DC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.2提前竣工的奖励：</w:t>
      </w:r>
      <w:r>
        <w:rPr>
          <w:rFonts w:hint="eastAsia"/>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38C0C2E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62" w:name="_Toc351203640"/>
      <w:r>
        <w:rPr>
          <w:rFonts w:ascii="宋体" w:hAnsi="宋体" w:eastAsia="黑体"/>
          <w:b/>
          <w:color w:val="000000" w:themeColor="text1"/>
          <w:kern w:val="0"/>
          <w:sz w:val="28"/>
          <w:szCs w:val="21"/>
          <w:highlight w:val="none"/>
          <w14:textFill>
            <w14:solidFill>
              <w14:schemeClr w14:val="tx1"/>
            </w14:solidFill>
          </w14:textFill>
        </w:rPr>
        <w:t>8. 材料与设备</w:t>
      </w:r>
      <w:bookmarkEnd w:id="462"/>
    </w:p>
    <w:bookmarkEnd w:id="397"/>
    <w:bookmarkEnd w:id="398"/>
    <w:bookmarkEnd w:id="399"/>
    <w:bookmarkEnd w:id="400"/>
    <w:bookmarkEnd w:id="401"/>
    <w:bookmarkEnd w:id="402"/>
    <w:bookmarkEnd w:id="403"/>
    <w:bookmarkEnd w:id="404"/>
    <w:bookmarkEnd w:id="405"/>
    <w:bookmarkEnd w:id="406"/>
    <w:p w14:paraId="7DD8008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63" w:name="_Toc296346668"/>
      <w:bookmarkStart w:id="464" w:name="_Toc297120467"/>
      <w:bookmarkStart w:id="465" w:name="_Toc297123527"/>
      <w:bookmarkStart w:id="466" w:name="_Toc296503167"/>
      <w:bookmarkStart w:id="467" w:name="_Toc297216186"/>
      <w:bookmarkStart w:id="468" w:name="_Toc312678019"/>
      <w:bookmarkStart w:id="469" w:name="_Toc297048353"/>
      <w:bookmarkStart w:id="470" w:name="_Toc296891207"/>
      <w:bookmarkStart w:id="471" w:name="_Toc296347166"/>
      <w:bookmarkStart w:id="472" w:name="_Toc303539136"/>
      <w:bookmarkStart w:id="473" w:name="_Toc300934979"/>
      <w:bookmarkStart w:id="474" w:name="_Toc296944506"/>
      <w:bookmarkStart w:id="475" w:name="_Toc312677493"/>
      <w:bookmarkStart w:id="476" w:name="_Toc280868654"/>
      <w:bookmarkStart w:id="477" w:name="_Toc304295556"/>
      <w:bookmarkStart w:id="478" w:name="_Toc296890995"/>
      <w:bookmarkStart w:id="479" w:name="_Toc292559877"/>
      <w:bookmarkStart w:id="480" w:name="_Toc292559372"/>
      <w:bookmarkStart w:id="481" w:name="_Toc280868655"/>
      <w:bookmarkStart w:id="482" w:name="_Toc280868656"/>
      <w:bookmarkStart w:id="483" w:name="_Toc267251424"/>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材料与工程设备的保管与使用</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4739093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84" w:name="_Toc292559878"/>
      <w:bookmarkStart w:id="485" w:name="_Toc292559373"/>
      <w:bookmarkStart w:id="486" w:name="_Toc297048354"/>
      <w:bookmarkStart w:id="487" w:name="_Toc296503168"/>
      <w:bookmarkStart w:id="488" w:name="_Toc304295557"/>
      <w:bookmarkStart w:id="489" w:name="_Toc296346669"/>
      <w:bookmarkStart w:id="490" w:name="_Toc300934980"/>
      <w:bookmarkStart w:id="491" w:name="_Toc297216187"/>
      <w:bookmarkStart w:id="492" w:name="_Toc312677494"/>
      <w:bookmarkStart w:id="493" w:name="_Toc312678020"/>
      <w:bookmarkStart w:id="494" w:name="_Toc296891208"/>
      <w:bookmarkStart w:id="495" w:name="_Toc297120468"/>
      <w:bookmarkStart w:id="496" w:name="_Toc296890996"/>
      <w:bookmarkStart w:id="497" w:name="_Toc297123528"/>
      <w:bookmarkStart w:id="498" w:name="_Toc296944507"/>
      <w:bookmarkStart w:id="499" w:name="_Toc303539137"/>
      <w:bookmarkStart w:id="500" w:name="_Toc296347167"/>
      <w:bookmarkStart w:id="501" w:name="_Toc318581173"/>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.1发包人供应的材料设备的保管费用的承担：。</w:t>
      </w:r>
      <w:bookmarkEnd w:id="484"/>
      <w:bookmarkEnd w:id="485"/>
    </w:p>
    <w:p w14:paraId="499134C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样品</w:t>
      </w:r>
    </w:p>
    <w:p w14:paraId="5EF1883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样品的报送</w:t>
      </w:r>
      <w:r>
        <w:rPr>
          <w:rFonts w:hint="eastAsia" w:ascii="宋体" w:hAnsi="宋体"/>
          <w:color w:val="000000" w:themeColor="text1"/>
          <w:kern w:val="0"/>
          <w:szCs w:val="21"/>
          <w:highlight w:val="none"/>
          <w14:textFill>
            <w14:solidFill>
              <w14:schemeClr w14:val="tx1"/>
            </w14:solidFill>
          </w14:textFill>
        </w:rPr>
        <w:t>与封存</w:t>
      </w:r>
    </w:p>
    <w:p w14:paraId="57473674">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highlight w:val="none"/>
          <w:u w:val="single"/>
          <w14:textFill>
            <w14:solidFill>
              <w14:schemeClr w14:val="tx1"/>
            </w14:solidFill>
          </w14:textFill>
        </w:rPr>
        <w:t>主要材料涉及品种、款式、颜色等方面内容的，承包人应提交准备合格的材料样品送发包人选定。</w:t>
      </w:r>
    </w:p>
    <w:p w14:paraId="6634AB1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施工设备和临时设施</w:t>
      </w:r>
    </w:p>
    <w:p w14:paraId="07BB3361">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承包人提供的施工设备和临时设施</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p>
    <w:p w14:paraId="3C6F7A34">
      <w:pPr>
        <w:autoSpaceDE w:val="0"/>
        <w:autoSpaceDN w:val="0"/>
        <w:adjustRightInd w:val="0"/>
        <w:spacing w:line="440" w:lineRule="exact"/>
        <w:ind w:firstLine="420" w:firstLineChars="200"/>
        <w:jc w:val="left"/>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关于修建临时设施费用承担的约定：</w:t>
      </w:r>
      <w:r>
        <w:rPr>
          <w:rFonts w:hint="eastAsia" w:ascii="宋体" w:hAnsi="宋体"/>
          <w:b/>
          <w:color w:val="000000" w:themeColor="text1"/>
          <w:szCs w:val="21"/>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①承包人的临时用地（含项目部驻地等）租用费（含拆迁补偿）、临时用地的环保、恢复、临时用地的青苗补偿及地面附着物拆除等费用均由承包人负责，以上费用在竞标报价中综合考虑。</w:t>
      </w:r>
    </w:p>
    <w:p w14:paraId="64B6E247">
      <w:pPr>
        <w:autoSpaceDE w:val="0"/>
        <w:autoSpaceDN w:val="0"/>
        <w:adjustRightInd w:val="0"/>
        <w:spacing w:line="440" w:lineRule="exact"/>
        <w:ind w:firstLine="422" w:firstLineChars="200"/>
        <w:jc w:val="left"/>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6B28A6D4">
      <w:pPr>
        <w:autoSpaceDE w:val="0"/>
        <w:autoSpaceDN w:val="0"/>
        <w:adjustRightInd w:val="0"/>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244A347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502" w:name="_Toc351203641"/>
      <w:r>
        <w:rPr>
          <w:rFonts w:ascii="宋体" w:hAnsi="宋体" w:eastAsia="黑体"/>
          <w:b/>
          <w:color w:val="000000" w:themeColor="text1"/>
          <w:kern w:val="0"/>
          <w:sz w:val="28"/>
          <w:szCs w:val="21"/>
          <w:highlight w:val="none"/>
          <w14:textFill>
            <w14:solidFill>
              <w14:schemeClr w14:val="tx1"/>
            </w14:solidFill>
          </w14:textFill>
        </w:rPr>
        <w:t>9</w:t>
      </w:r>
      <w:bookmarkEnd w:id="481"/>
      <w:bookmarkEnd w:id="482"/>
      <w:bookmarkEnd w:id="483"/>
      <w:bookmarkStart w:id="503" w:name="_Toc297216192"/>
      <w:bookmarkStart w:id="504" w:name="_Toc312677495"/>
      <w:bookmarkStart w:id="505" w:name="_Toc303539139"/>
      <w:bookmarkStart w:id="506" w:name="_Toc300934982"/>
      <w:bookmarkStart w:id="507" w:name="_Toc304295559"/>
      <w:bookmarkStart w:id="508" w:name="_Toc297123533"/>
      <w:bookmarkStart w:id="509" w:name="_Toc312678021"/>
      <w:bookmarkStart w:id="510" w:name="_Toc297120473"/>
      <w:bookmarkStart w:id="511" w:name="_Toc267251427"/>
      <w:bookmarkStart w:id="512" w:name="_Toc296891001"/>
      <w:bookmarkStart w:id="513" w:name="_Toc296347172"/>
      <w:bookmarkStart w:id="514" w:name="_Toc296944512"/>
      <w:bookmarkStart w:id="515" w:name="_Toc292559883"/>
      <w:bookmarkStart w:id="516" w:name="_Toc297048359"/>
      <w:bookmarkStart w:id="517" w:name="_Toc296346674"/>
      <w:bookmarkStart w:id="518" w:name="_Toc267251428"/>
      <w:bookmarkStart w:id="519" w:name="_Toc296891213"/>
      <w:bookmarkStart w:id="520" w:name="_Toc292559378"/>
      <w:bookmarkStart w:id="521" w:name="_Toc296503173"/>
      <w:r>
        <w:rPr>
          <w:rFonts w:ascii="宋体" w:hAnsi="宋体" w:eastAsia="黑体"/>
          <w:b/>
          <w:color w:val="000000" w:themeColor="text1"/>
          <w:kern w:val="0"/>
          <w:sz w:val="28"/>
          <w:szCs w:val="21"/>
          <w:highlight w:val="none"/>
          <w14:textFill>
            <w14:solidFill>
              <w14:schemeClr w14:val="tx1"/>
            </w14:solidFill>
          </w14:textFill>
        </w:rPr>
        <w:t>. 试验与检验</w:t>
      </w:r>
      <w:bookmarkEnd w:id="502"/>
    </w:p>
    <w:bookmarkEnd w:id="503"/>
    <w:bookmarkEnd w:id="504"/>
    <w:bookmarkEnd w:id="505"/>
    <w:bookmarkEnd w:id="506"/>
    <w:bookmarkEnd w:id="507"/>
    <w:bookmarkEnd w:id="508"/>
    <w:bookmarkEnd w:id="509"/>
    <w:p w14:paraId="1C64618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522" w:name="_Toc373227737"/>
      <w:bookmarkStart w:id="523" w:name="_Toc389065303"/>
      <w:bookmarkStart w:id="524" w:name="_Toc373478384"/>
      <w:bookmarkStart w:id="525" w:name="_Toc465114896"/>
      <w:bookmarkStart w:id="526" w:name="_Toc351203642"/>
      <w:r>
        <w:rPr>
          <w:rFonts w:ascii="宋体" w:hAnsi="宋体"/>
          <w:b/>
          <w:bCs/>
          <w:color w:val="000000" w:themeColor="text1"/>
          <w:kern w:val="0"/>
          <w:sz w:val="24"/>
          <w:szCs w:val="32"/>
          <w:highlight w:val="none"/>
          <w14:textFill>
            <w14:solidFill>
              <w14:schemeClr w14:val="tx1"/>
            </w14:solidFill>
          </w14:textFill>
        </w:rPr>
        <w:t>9</w:t>
      </w:r>
      <w:bookmarkStart w:id="527" w:name="_Toc312678022"/>
      <w:bookmarkStart w:id="528" w:name="_Toc312677496"/>
      <w:bookmarkStart w:id="529" w:name="_Toc304295560"/>
      <w:bookmarkStart w:id="530" w:name="_Toc297123534"/>
      <w:bookmarkStart w:id="531" w:name="_Toc297216193"/>
      <w:bookmarkStart w:id="532" w:name="_Toc303539140"/>
      <w:bookmarkStart w:id="533" w:name="_Toc300934983"/>
      <w:r>
        <w:rPr>
          <w:rFonts w:ascii="宋体" w:hAnsi="宋体"/>
          <w:b/>
          <w:bCs/>
          <w:color w:val="000000" w:themeColor="text1"/>
          <w:kern w:val="0"/>
          <w:sz w:val="24"/>
          <w:szCs w:val="32"/>
          <w:highlight w:val="none"/>
          <w14:textFill>
            <w14:solidFill>
              <w14:schemeClr w14:val="tx1"/>
            </w14:solidFill>
          </w14:textFill>
        </w:rPr>
        <w:t>.1 试验设备与试验人员</w:t>
      </w:r>
      <w:bookmarkEnd w:id="522"/>
      <w:bookmarkEnd w:id="523"/>
      <w:bookmarkEnd w:id="524"/>
      <w:bookmarkEnd w:id="525"/>
    </w:p>
    <w:bookmarkEnd w:id="527"/>
    <w:bookmarkEnd w:id="528"/>
    <w:bookmarkEnd w:id="529"/>
    <w:bookmarkEnd w:id="530"/>
    <w:bookmarkEnd w:id="531"/>
    <w:bookmarkEnd w:id="532"/>
    <w:bookmarkEnd w:id="533"/>
    <w:p w14:paraId="1BC7803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bookmarkStart w:id="534" w:name="_Toc297123535"/>
      <w:bookmarkStart w:id="535" w:name="_Toc303539141"/>
      <w:bookmarkStart w:id="536" w:name="_Toc312677497"/>
      <w:bookmarkStart w:id="537" w:name="_Toc304295561"/>
      <w:bookmarkStart w:id="538" w:name="_Toc312678023"/>
      <w:bookmarkStart w:id="539" w:name="_Toc300934984"/>
      <w:bookmarkStart w:id="540" w:name="_Toc297216194"/>
      <w:bookmarkStart w:id="541" w:name="_Toc318581174"/>
      <w:r>
        <w:rPr>
          <w:color w:val="000000" w:themeColor="text1"/>
          <w:szCs w:val="21"/>
          <w:highlight w:val="none"/>
          <w14:textFill>
            <w14:solidFill>
              <w14:schemeClr w14:val="tx1"/>
            </w14:solidFill>
          </w14:textFill>
        </w:rPr>
        <w:t xml:space="preserve">.1.2 </w:t>
      </w:r>
      <w:r>
        <w:rPr>
          <w:rFonts w:hAnsi="宋体"/>
          <w:color w:val="000000" w:themeColor="text1"/>
          <w:szCs w:val="21"/>
          <w:highlight w:val="none"/>
          <w14:textFill>
            <w14:solidFill>
              <w14:schemeClr w14:val="tx1"/>
            </w14:solidFill>
          </w14:textFill>
        </w:rPr>
        <w:t>试验设备</w:t>
      </w:r>
    </w:p>
    <w:bookmarkEnd w:id="534"/>
    <w:bookmarkEnd w:id="535"/>
    <w:bookmarkEnd w:id="536"/>
    <w:bookmarkEnd w:id="537"/>
    <w:bookmarkEnd w:id="538"/>
    <w:bookmarkEnd w:id="539"/>
    <w:bookmarkEnd w:id="540"/>
    <w:p w14:paraId="7FE676D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42" w:name="_Toc373227738"/>
      <w:bookmarkStart w:id="543" w:name="_Toc465114897"/>
      <w:bookmarkStart w:id="544" w:name="_Toc373478385"/>
      <w:bookmarkStart w:id="545" w:name="_Toc389065304"/>
      <w:bookmarkStart w:id="546" w:name="_Toc300934985"/>
      <w:bookmarkStart w:id="547" w:name="_Toc304295562"/>
      <w:bookmarkStart w:id="548" w:name="_Toc303539142"/>
      <w:bookmarkStart w:id="549" w:name="_Toc297216195"/>
      <w:bookmarkStart w:id="550" w:name="_Toc312677498"/>
      <w:bookmarkStart w:id="551" w:name="_Toc297123536"/>
      <w:bookmarkStart w:id="552" w:name="_Toc312678024"/>
      <w:r>
        <w:rPr>
          <w:rFonts w:hint="eastAsia" w:ascii="宋体" w:hAnsi="宋体"/>
          <w:color w:val="000000" w:themeColor="text1"/>
          <w:szCs w:val="21"/>
          <w:highlight w:val="none"/>
          <w14:textFill>
            <w14:solidFill>
              <w14:schemeClr w14:val="tx1"/>
            </w14:solidFill>
          </w14:textFill>
        </w:rPr>
        <w:t>施工现场需要配置的试验场所：</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 xml:space="preserve">。 </w:t>
      </w:r>
    </w:p>
    <w:p w14:paraId="7D1860D2">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施工现场需要配备的试验设备：</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452FF73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施工现场需要具备的其他试验条件：</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50ADA4A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9.4 现场工艺试验</w:t>
      </w:r>
      <w:bookmarkEnd w:id="542"/>
      <w:bookmarkEnd w:id="543"/>
      <w:bookmarkEnd w:id="544"/>
      <w:bookmarkEnd w:id="545"/>
    </w:p>
    <w:p w14:paraId="14C9DC41">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53" w:name="_Toc465114898"/>
      <w:bookmarkStart w:id="554" w:name="OLE_LINK1"/>
      <w:r>
        <w:rPr>
          <w:rFonts w:hint="eastAsia" w:ascii="宋体" w:hAnsi="宋体"/>
          <w:color w:val="000000" w:themeColor="text1"/>
          <w:szCs w:val="21"/>
          <w:highlight w:val="none"/>
          <w14:textFill>
            <w14:solidFill>
              <w14:schemeClr w14:val="tx1"/>
            </w14:solidFill>
          </w14:textFill>
        </w:rPr>
        <w:t>现场工艺试验的有关约定：</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w:t>
      </w:r>
    </w:p>
    <w:p w14:paraId="1D048BB3">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9.5 检验费用</w:t>
      </w:r>
      <w:bookmarkEnd w:id="553"/>
    </w:p>
    <w:p w14:paraId="6DCB9575">
      <w:pPr>
        <w:spacing w:line="360" w:lineRule="auto"/>
        <w:ind w:firstLine="411" w:firstLineChars="196"/>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根据</w:t>
      </w:r>
      <w:r>
        <w:rPr>
          <w:rFonts w:hAnsi="宋体"/>
          <w:bCs/>
          <w:color w:val="000000" w:themeColor="text1"/>
          <w:szCs w:val="21"/>
          <w:highlight w:val="none"/>
          <w14:textFill>
            <w14:solidFill>
              <w14:schemeClr w14:val="tx1"/>
            </w14:solidFill>
          </w14:textFill>
        </w:rPr>
        <w:t>《广西壮族自治区建设工程质量检测管理规定》</w:t>
      </w:r>
      <w:r>
        <w:rPr>
          <w:rFonts w:hint="eastAsia"/>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桂建管</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2013</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11</w:t>
      </w:r>
      <w:r>
        <w:rPr>
          <w:rFonts w:hAnsi="宋体"/>
          <w:bCs/>
          <w:color w:val="000000" w:themeColor="text1"/>
          <w:szCs w:val="21"/>
          <w:highlight w:val="none"/>
          <w14:textFill>
            <w14:solidFill>
              <w14:schemeClr w14:val="tx1"/>
            </w14:solidFill>
          </w14:textFill>
        </w:rPr>
        <w:t>号</w:t>
      </w:r>
      <w:r>
        <w:rPr>
          <w:rFonts w:hint="eastAsia"/>
          <w:bCs/>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规定，工程质量检测业务由</w:t>
      </w:r>
      <w:r>
        <w:rPr>
          <w:rFonts w:hint="eastAsia" w:hAnsi="宋体"/>
          <w:color w:val="000000" w:themeColor="text1"/>
          <w:szCs w:val="21"/>
          <w:highlight w:val="none"/>
          <w14:textFill>
            <w14:solidFill>
              <w14:schemeClr w14:val="tx1"/>
            </w14:solidFill>
          </w14:textFill>
        </w:rPr>
        <w:t>发包人</w:t>
      </w:r>
      <w:r>
        <w:rPr>
          <w:rFonts w:hAnsi="宋体"/>
          <w:color w:val="000000" w:themeColor="text1"/>
          <w:szCs w:val="21"/>
          <w:highlight w:val="none"/>
          <w14:textFill>
            <w14:solidFill>
              <w14:schemeClr w14:val="tx1"/>
            </w14:solidFill>
          </w14:textFill>
        </w:rPr>
        <w:t>委托有相应资质的检测机构检测。费用</w:t>
      </w:r>
      <w:r>
        <w:rPr>
          <w:rFonts w:hint="eastAsia" w:hAnsi="宋体"/>
          <w:color w:val="000000" w:themeColor="text1"/>
          <w:szCs w:val="21"/>
          <w:highlight w:val="none"/>
          <w14:textFill>
            <w14:solidFill>
              <w14:schemeClr w14:val="tx1"/>
            </w14:solidFill>
          </w14:textFill>
        </w:rPr>
        <w:t>由发包人</w:t>
      </w:r>
      <w:r>
        <w:rPr>
          <w:rFonts w:hAnsi="宋体"/>
          <w:color w:val="000000" w:themeColor="text1"/>
          <w:szCs w:val="21"/>
          <w:highlight w:val="none"/>
          <w14:textFill>
            <w14:solidFill>
              <w14:schemeClr w14:val="tx1"/>
            </w14:solidFill>
          </w14:textFill>
        </w:rPr>
        <w:t>直接支付给检测机构，不计入合同价款内。</w:t>
      </w:r>
      <w:r>
        <w:rPr>
          <w:rFonts w:hint="eastAsia" w:hAnsi="宋体"/>
          <w:color w:val="000000" w:themeColor="text1"/>
          <w:szCs w:val="21"/>
          <w:highlight w:val="none"/>
          <w14:textFill>
            <w14:solidFill>
              <w14:schemeClr w14:val="tx1"/>
            </w14:solidFill>
          </w14:textFill>
        </w:rPr>
        <w:t>检验试验配合费按费用定额规定计取，计入本合同价款内。</w:t>
      </w:r>
    </w:p>
    <w:bookmarkEnd w:id="541"/>
    <w:bookmarkEnd w:id="546"/>
    <w:bookmarkEnd w:id="547"/>
    <w:bookmarkEnd w:id="548"/>
    <w:bookmarkEnd w:id="549"/>
    <w:bookmarkEnd w:id="550"/>
    <w:bookmarkEnd w:id="551"/>
    <w:bookmarkEnd w:id="552"/>
    <w:bookmarkEnd w:id="554"/>
    <w:p w14:paraId="5A5DBAE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w:t>
      </w:r>
      <w:bookmarkEnd w:id="510"/>
      <w:bookmarkEnd w:id="511"/>
      <w:bookmarkEnd w:id="512"/>
      <w:bookmarkEnd w:id="513"/>
      <w:bookmarkEnd w:id="514"/>
      <w:bookmarkEnd w:id="515"/>
      <w:bookmarkEnd w:id="516"/>
      <w:bookmarkEnd w:id="517"/>
      <w:bookmarkEnd w:id="518"/>
      <w:bookmarkEnd w:id="519"/>
      <w:bookmarkEnd w:id="520"/>
      <w:bookmarkEnd w:id="521"/>
      <w:bookmarkStart w:id="555" w:name="_Toc296944532"/>
      <w:bookmarkStart w:id="556" w:name="_Toc300934989"/>
      <w:bookmarkStart w:id="557" w:name="_Toc304295566"/>
      <w:bookmarkStart w:id="558" w:name="_Toc296503193"/>
      <w:bookmarkStart w:id="559" w:name="_Toc292559903"/>
      <w:bookmarkStart w:id="560" w:name="_Toc297123540"/>
      <w:bookmarkStart w:id="561" w:name="_Toc292559398"/>
      <w:bookmarkStart w:id="562" w:name="_Toc297120493"/>
      <w:bookmarkStart w:id="563" w:name="_Toc296891021"/>
      <w:bookmarkStart w:id="564" w:name="_Toc296347192"/>
      <w:bookmarkStart w:id="565" w:name="_Toc297048379"/>
      <w:bookmarkStart w:id="566" w:name="_Toc297216199"/>
      <w:bookmarkStart w:id="567" w:name="_Toc296891233"/>
      <w:bookmarkStart w:id="568" w:name="_Toc296346694"/>
      <w:bookmarkStart w:id="569" w:name="_Toc303539146"/>
      <w:bookmarkStart w:id="570" w:name="_Toc312677499"/>
      <w:bookmarkStart w:id="571" w:name="_Toc312678025"/>
      <w:bookmarkStart w:id="572" w:name="_Toc267251440"/>
      <w:bookmarkStart w:id="573" w:name="_Toc267251435"/>
      <w:bookmarkStart w:id="574" w:name="_Toc267251437"/>
      <w:bookmarkStart w:id="575" w:name="_Toc267251441"/>
      <w:bookmarkStart w:id="576" w:name="_Toc267251433"/>
      <w:bookmarkStart w:id="577" w:name="_Toc267251439"/>
      <w:bookmarkStart w:id="578" w:name="_Toc267251442"/>
      <w:r>
        <w:rPr>
          <w:rFonts w:ascii="宋体" w:hAnsi="宋体" w:eastAsia="黑体"/>
          <w:b/>
          <w:color w:val="000000" w:themeColor="text1"/>
          <w:kern w:val="0"/>
          <w:sz w:val="28"/>
          <w:szCs w:val="21"/>
          <w:highlight w:val="none"/>
          <w14:textFill>
            <w14:solidFill>
              <w14:schemeClr w14:val="tx1"/>
            </w14:solidFill>
          </w14:textFill>
        </w:rPr>
        <w:t>0. 变更</w:t>
      </w:r>
      <w:bookmarkEnd w:id="52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bookmarkEnd w:id="570"/>
    <w:bookmarkEnd w:id="571"/>
    <w:p w14:paraId="68262A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579" w:name="_Toc296347193"/>
      <w:bookmarkStart w:id="580" w:name="_Toc296944533"/>
      <w:bookmarkStart w:id="581" w:name="_Toc296503194"/>
      <w:bookmarkStart w:id="582" w:name="_Toc297123541"/>
      <w:bookmarkStart w:id="583" w:name="_Toc297120494"/>
      <w:bookmarkStart w:id="584" w:name="_Toc296346695"/>
      <w:bookmarkStart w:id="585" w:name="_Toc292559904"/>
      <w:bookmarkStart w:id="586" w:name="_Toc312678026"/>
      <w:bookmarkStart w:id="587" w:name="_Toc292559399"/>
      <w:bookmarkStart w:id="588" w:name="_Toc296891234"/>
      <w:bookmarkStart w:id="589" w:name="_Toc312677500"/>
      <w:bookmarkStart w:id="590" w:name="_Toc300934990"/>
      <w:bookmarkStart w:id="591" w:name="_Toc304295567"/>
      <w:bookmarkStart w:id="592" w:name="_Toc297048380"/>
      <w:bookmarkStart w:id="593" w:name="_Toc297216200"/>
      <w:bookmarkStart w:id="594" w:name="_Toc296891022"/>
      <w:bookmarkStart w:id="595" w:name="_Toc303539147"/>
      <w:r>
        <w:rPr>
          <w:rFonts w:ascii="宋体" w:hAnsi="宋体"/>
          <w:color w:val="000000" w:themeColor="text1"/>
          <w:szCs w:val="21"/>
          <w:highlight w:val="none"/>
          <w14:textFill>
            <w14:solidFill>
              <w14:schemeClr w14:val="tx1"/>
            </w14:solidFill>
          </w14:textFill>
        </w:rPr>
        <w:t>0.1变更的范围</w:t>
      </w:r>
    </w:p>
    <w:p w14:paraId="4DD00B4C">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关于变更的范围的约定：</w:t>
      </w:r>
      <w:r>
        <w:rPr>
          <w:rFonts w:hint="eastAsia" w:ascii="宋体" w:hAnsi="宋体"/>
          <w:color w:val="000000" w:themeColor="text1"/>
          <w:szCs w:val="21"/>
          <w:highlight w:val="none"/>
          <w:u w:val="single"/>
          <w14:textFill>
            <w14:solidFill>
              <w14:schemeClr w14:val="tx1"/>
            </w14:solidFill>
          </w14:textFill>
        </w:rPr>
        <w:t>在实施项目过程中，若发生隐蔽工程或工程量发生增减变动，必须经建设单位、监理单位、与施工单位等有关单位现场签字确认方可作为工程结算依据。</w:t>
      </w:r>
    </w:p>
    <w:p w14:paraId="00199EC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在实施项目过程中,若发生单价变动,由建设单位、监理单位、与施工单位共同商定并签字确认。</w:t>
      </w:r>
    </w:p>
    <w:p w14:paraId="4F0B0D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变更估价</w:t>
      </w:r>
    </w:p>
    <w:p w14:paraId="42B979A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10.2.1 变更估价原则</w:t>
      </w:r>
    </w:p>
    <w:p w14:paraId="6E93A6C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关于变更估价的约定:</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w:t>
      </w:r>
      <w:r>
        <w:rPr>
          <w:rFonts w:hint="eastAsia" w:ascii="宋体" w:hAnsi="宋体"/>
          <w:color w:val="000000" w:themeColor="text1"/>
          <w:szCs w:val="21"/>
          <w:highlight w:val="none"/>
          <w:u w:val="single"/>
          <w:lang w:val="en-US" w:eastAsia="zh-CN"/>
          <w14:textFill>
            <w14:solidFill>
              <w14:schemeClr w14:val="tx1"/>
            </w14:solidFill>
          </w14:textFill>
        </w:rPr>
        <w:t>成交</w:t>
      </w:r>
      <w:r>
        <w:rPr>
          <w:rFonts w:hint="eastAsia" w:ascii="宋体" w:hAnsi="宋体"/>
          <w:color w:val="000000" w:themeColor="text1"/>
          <w:szCs w:val="21"/>
          <w:highlight w:val="none"/>
          <w:u w:val="single"/>
          <w14:textFill>
            <w14:solidFill>
              <w14:schemeClr w14:val="tx1"/>
            </w14:solidFill>
          </w14:textFill>
        </w:rPr>
        <w:t>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003E460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国家和自治区政策性调整有关费用标准的，按文件规定执行。  </w:t>
      </w:r>
    </w:p>
    <w:p w14:paraId="2CAC2D2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6" w:name="_Toc296503197"/>
      <w:bookmarkStart w:id="597" w:name="_Toc297216203"/>
      <w:bookmarkStart w:id="598" w:name="_Toc297123544"/>
      <w:bookmarkStart w:id="599" w:name="_Toc292559402"/>
      <w:bookmarkStart w:id="600" w:name="_Toc296891237"/>
      <w:bookmarkStart w:id="601" w:name="_Toc296891025"/>
      <w:bookmarkStart w:id="602" w:name="_Toc296346698"/>
      <w:bookmarkStart w:id="603" w:name="_Toc297120497"/>
      <w:bookmarkStart w:id="604" w:name="_Toc292559907"/>
      <w:bookmarkStart w:id="605" w:name="_Toc303539150"/>
      <w:bookmarkStart w:id="606" w:name="_Toc297048383"/>
      <w:bookmarkStart w:id="607" w:name="_Toc296944536"/>
      <w:bookmarkStart w:id="608" w:name="_Toc300934993"/>
      <w:bookmarkStart w:id="609" w:name="_Toc296347196"/>
      <w:bookmarkStart w:id="610" w:name="_Toc304295570"/>
      <w:bookmarkStart w:id="611" w:name="_Toc312678029"/>
      <w:bookmarkStart w:id="612" w:name="_Toc312677503"/>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承</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Start w:id="613" w:name="_Toc297216204"/>
      <w:bookmarkStart w:id="614" w:name="_Toc296891243"/>
      <w:bookmarkStart w:id="615" w:name="_Toc296891031"/>
      <w:bookmarkStart w:id="616" w:name="_Toc297048389"/>
      <w:bookmarkStart w:id="617" w:name="_Toc296944542"/>
      <w:bookmarkStart w:id="618" w:name="_Toc292559408"/>
      <w:bookmarkStart w:id="619" w:name="_Toc292559913"/>
      <w:bookmarkStart w:id="620" w:name="_Toc303539151"/>
      <w:bookmarkStart w:id="621" w:name="_Toc296347202"/>
      <w:bookmarkStart w:id="622" w:name="_Toc296503203"/>
      <w:bookmarkStart w:id="623" w:name="_Toc297123545"/>
      <w:bookmarkStart w:id="624" w:name="_Toc300934994"/>
      <w:bookmarkStart w:id="625" w:name="_Toc297120503"/>
      <w:bookmarkStart w:id="626" w:name="_Toc296346704"/>
      <w:r>
        <w:rPr>
          <w:rFonts w:ascii="宋体" w:hAnsi="宋体"/>
          <w:color w:val="000000" w:themeColor="text1"/>
          <w:szCs w:val="21"/>
          <w:highlight w:val="none"/>
          <w14:textFill>
            <w14:solidFill>
              <w14:schemeClr w14:val="tx1"/>
            </w14:solidFill>
          </w14:textFill>
        </w:rPr>
        <w:t>包人的合理化建议</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14:paraId="7D053FB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监理人审查承包人合理化建议的期限：</w:t>
      </w:r>
      <w:r>
        <w:rPr>
          <w:rFonts w:hint="eastAsia" w:ascii="宋体" w:hAnsi="宋体"/>
          <w:color w:val="000000" w:themeColor="text1"/>
          <w:szCs w:val="21"/>
          <w:highlight w:val="none"/>
          <w:u w:val="single"/>
          <w14:textFill>
            <w14:solidFill>
              <w14:schemeClr w14:val="tx1"/>
            </w14:solidFill>
          </w14:textFill>
        </w:rPr>
        <w:t>在收到承包人提交的合理化建议后 7天内。</w:t>
      </w:r>
    </w:p>
    <w:p w14:paraId="57F10E1B">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发包人审批承包人合理化建议的期限：</w:t>
      </w:r>
      <w:r>
        <w:rPr>
          <w:rFonts w:hint="eastAsia" w:ascii="宋体" w:hAnsi="宋体"/>
          <w:color w:val="000000" w:themeColor="text1"/>
          <w:szCs w:val="21"/>
          <w:highlight w:val="none"/>
          <w:u w:val="single"/>
          <w14:textFill>
            <w14:solidFill>
              <w14:schemeClr w14:val="tx1"/>
            </w14:solidFill>
          </w14:textFill>
        </w:rPr>
        <w:t>在收到监理人报送的合理化建议后 7天内。</w:t>
      </w:r>
    </w:p>
    <w:p w14:paraId="368CAB98">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承</w:t>
      </w:r>
      <w:bookmarkStart w:id="627" w:name="_Toc312678030"/>
      <w:bookmarkStart w:id="628" w:name="_Toc297123546"/>
      <w:bookmarkStart w:id="629" w:name="_Toc297216205"/>
      <w:bookmarkStart w:id="630" w:name="_Toc312677504"/>
      <w:bookmarkStart w:id="631" w:name="_Toc318581175"/>
      <w:bookmarkStart w:id="632" w:name="_Toc297120504"/>
      <w:bookmarkStart w:id="633" w:name="_Toc296347203"/>
      <w:bookmarkStart w:id="634" w:name="_Toc296503204"/>
      <w:bookmarkStart w:id="635" w:name="_Toc292559914"/>
      <w:bookmarkStart w:id="636" w:name="_Toc296346705"/>
      <w:bookmarkStart w:id="637" w:name="_Toc296944543"/>
      <w:bookmarkStart w:id="638" w:name="_Toc292559409"/>
      <w:bookmarkStart w:id="639" w:name="_Toc296891032"/>
      <w:bookmarkStart w:id="640" w:name="_Toc300934995"/>
      <w:bookmarkStart w:id="641" w:name="_Toc297048390"/>
      <w:bookmarkStart w:id="642" w:name="_Toc304295571"/>
      <w:bookmarkStart w:id="643" w:name="_Toc303539152"/>
      <w:bookmarkStart w:id="644" w:name="_Toc296891244"/>
      <w:r>
        <w:rPr>
          <w:rFonts w:ascii="宋体" w:hAnsi="宋体"/>
          <w:color w:val="000000" w:themeColor="text1"/>
          <w:szCs w:val="21"/>
          <w:highlight w:val="none"/>
          <w14:textFill>
            <w14:solidFill>
              <w14:schemeClr w14:val="tx1"/>
            </w14:solidFill>
          </w14:textFill>
        </w:rPr>
        <w:t>包人提出的合理化建议降低了合同价格或者提高了工程经济效益的奖励的方法和金额为：。</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71ECF86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645" w:name="_Toc312678033"/>
      <w:bookmarkStart w:id="646" w:name="_Toc304295574"/>
      <w:bookmarkStart w:id="647" w:name="_Toc296891239"/>
      <w:bookmarkStart w:id="648" w:name="_Toc297048385"/>
      <w:bookmarkStart w:id="649" w:name="_Toc297120499"/>
      <w:bookmarkStart w:id="650" w:name="_Toc296944538"/>
      <w:bookmarkStart w:id="651" w:name="_Toc296347198"/>
      <w:bookmarkStart w:id="652" w:name="_Toc292559909"/>
      <w:bookmarkStart w:id="653" w:name="_Toc300934997"/>
      <w:bookmarkStart w:id="654" w:name="_Toc296891027"/>
      <w:bookmarkStart w:id="655" w:name="_Toc292559404"/>
      <w:bookmarkStart w:id="656" w:name="_Toc296346700"/>
      <w:bookmarkStart w:id="657" w:name="_Toc303539154"/>
      <w:bookmarkStart w:id="658" w:name="_Toc297123548"/>
      <w:bookmarkStart w:id="659" w:name="_Toc296503199"/>
      <w:bookmarkStart w:id="660" w:name="_Toc312677507"/>
      <w:bookmarkStart w:id="661" w:name="_Toc297216207"/>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暂估价</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14:paraId="6F88C09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10.4.1 </w:t>
      </w:r>
      <w:r>
        <w:rPr>
          <w:rFonts w:hAnsi="宋体"/>
          <w:color w:val="000000" w:themeColor="text1"/>
          <w:szCs w:val="21"/>
          <w:highlight w:val="none"/>
          <w14:textFill>
            <w14:solidFill>
              <w14:schemeClr w14:val="tx1"/>
            </w14:solidFill>
          </w14:textFill>
        </w:rPr>
        <w:t>变更估价原则</w:t>
      </w:r>
    </w:p>
    <w:p w14:paraId="6BFD4A1C">
      <w:pPr>
        <w:spacing w:line="360" w:lineRule="auto"/>
        <w:ind w:firstLine="420" w:firstLineChars="200"/>
        <w:jc w:val="left"/>
        <w:rPr>
          <w:rFonts w:hAnsi="宋体"/>
          <w:bCs/>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关于变更估价的约定</w:t>
      </w:r>
      <w:r>
        <w:rPr>
          <w:color w:val="000000" w:themeColor="text1"/>
          <w:szCs w:val="21"/>
          <w:highlight w:val="none"/>
          <w14:textFill>
            <w14:solidFill>
              <w14:schemeClr w14:val="tx1"/>
            </w14:solidFill>
          </w14:textFill>
        </w:rPr>
        <w:t xml:space="preserve">: </w:t>
      </w:r>
      <w:bookmarkStart w:id="662" w:name="_Toc251051742"/>
      <w:r>
        <w:rPr>
          <w:rFonts w:hint="eastAsia" w:hAnsi="宋体"/>
          <w:bCs/>
          <w:color w:val="000000" w:themeColor="text1"/>
          <w:szCs w:val="21"/>
          <w:highlight w:val="none"/>
          <w:u w:val="single"/>
          <w14:textFill>
            <w14:solidFill>
              <w14:schemeClr w14:val="tx1"/>
            </w14:solidFill>
          </w14:textFill>
        </w:rPr>
        <w:t>工程</w:t>
      </w:r>
      <w:r>
        <w:rPr>
          <w:rFonts w:hAnsi="宋体"/>
          <w:bCs/>
          <w:color w:val="000000" w:themeColor="text1"/>
          <w:szCs w:val="21"/>
          <w:highlight w:val="none"/>
          <w:u w:val="single"/>
          <w14:textFill>
            <w14:solidFill>
              <w14:schemeClr w14:val="tx1"/>
            </w14:solidFill>
          </w14:textFill>
        </w:rPr>
        <w:t>变更合同价款按下列方法进行：（</w:t>
      </w:r>
      <w:r>
        <w:rPr>
          <w:bCs/>
          <w:color w:val="000000" w:themeColor="text1"/>
          <w:szCs w:val="21"/>
          <w:highlight w:val="none"/>
          <w:u w:val="single"/>
          <w14:textFill>
            <w14:solidFill>
              <w14:schemeClr w14:val="tx1"/>
            </w14:solidFill>
          </w14:textFill>
        </w:rPr>
        <w:t>1</w:t>
      </w:r>
      <w:r>
        <w:rPr>
          <w:rFonts w:hAnsi="宋体"/>
          <w:bCs/>
          <w:color w:val="000000" w:themeColor="text1"/>
          <w:szCs w:val="21"/>
          <w:highlight w:val="none"/>
          <w:u w:val="single"/>
          <w14:textFill>
            <w14:solidFill>
              <w14:schemeClr w14:val="tx1"/>
            </w14:solidFill>
          </w14:textFill>
        </w:rPr>
        <w:t>）合同中已有相同清单项目的，按合同该清单项目价格进行计算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2</w:t>
      </w:r>
      <w:r>
        <w:rPr>
          <w:rFonts w:hAnsi="宋体"/>
          <w:bCs/>
          <w:color w:val="000000" w:themeColor="text1"/>
          <w:szCs w:val="21"/>
          <w:highlight w:val="none"/>
          <w:u w:val="single"/>
          <w14:textFill>
            <w14:solidFill>
              <w14:schemeClr w14:val="tx1"/>
            </w14:solidFill>
          </w14:textFill>
        </w:rPr>
        <w:t>）合同中只有类似清单项目的，参照该类似清单项目价格进行计算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3</w:t>
      </w:r>
      <w:r>
        <w:rPr>
          <w:rFonts w:hAnsi="宋体"/>
          <w:bCs/>
          <w:color w:val="000000" w:themeColor="text1"/>
          <w:szCs w:val="21"/>
          <w:highlight w:val="none"/>
          <w:u w:val="single"/>
          <w14:textFill>
            <w14:solidFill>
              <w14:schemeClr w14:val="tx1"/>
            </w14:solidFill>
          </w14:textFill>
        </w:rPr>
        <w:t>）合同中没有适用或类似清单项目的价格计算方法：有定额的套定额，并乘以</w:t>
      </w:r>
      <w:r>
        <w:rPr>
          <w:rFonts w:hint="eastAsia" w:hAnsi="宋体"/>
          <w:bCs/>
          <w:color w:val="000000" w:themeColor="text1"/>
          <w:szCs w:val="21"/>
          <w:highlight w:val="none"/>
          <w:u w:val="single"/>
          <w14:textFill>
            <w14:solidFill>
              <w14:schemeClr w14:val="tx1"/>
            </w14:solidFill>
          </w14:textFill>
        </w:rPr>
        <w:t>（竞标价/采购</w:t>
      </w:r>
      <w:r>
        <w:rPr>
          <w:rFonts w:hAnsi="宋体"/>
          <w:bCs/>
          <w:color w:val="000000" w:themeColor="text1"/>
          <w:szCs w:val="21"/>
          <w:highlight w:val="none"/>
          <w:u w:val="single"/>
          <w14:textFill>
            <w14:solidFill>
              <w14:schemeClr w14:val="tx1"/>
            </w14:solidFill>
          </w14:textFill>
        </w:rPr>
        <w:t>控制价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系数计算，其中材料价格按施工期间的《</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市建设工程造价信息》相应价格信息进行计算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市建设工程造价信息》没有相应价格信息的</w:t>
      </w:r>
      <w:r>
        <w:rPr>
          <w:rFonts w:hint="eastAsia" w:hAnsi="宋体"/>
          <w:bCs/>
          <w:color w:val="000000" w:themeColor="text1"/>
          <w:szCs w:val="21"/>
          <w:highlight w:val="none"/>
          <w:u w:val="single"/>
          <w14:textFill>
            <w14:solidFill>
              <w14:schemeClr w14:val="tx1"/>
            </w14:solidFill>
          </w14:textFill>
        </w:rPr>
        <w:t>可</w:t>
      </w:r>
      <w:r>
        <w:rPr>
          <w:rFonts w:hAnsi="宋体"/>
          <w:bCs/>
          <w:color w:val="000000" w:themeColor="text1"/>
          <w:szCs w:val="21"/>
          <w:highlight w:val="none"/>
          <w:u w:val="single"/>
          <w14:textFill>
            <w14:solidFill>
              <w14:schemeClr w14:val="tx1"/>
            </w14:solidFill>
          </w14:textFill>
        </w:rPr>
        <w:t>参照</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南宁市</w:t>
      </w:r>
      <w:r>
        <w:rPr>
          <w:rFonts w:hint="eastAsia" w:hAnsi="宋体"/>
          <w:bCs/>
          <w:color w:val="000000" w:themeColor="text1"/>
          <w:szCs w:val="21"/>
          <w:highlight w:val="none"/>
          <w:u w:val="single"/>
          <w14:textFill>
            <w14:solidFill>
              <w14:schemeClr w14:val="tx1"/>
            </w14:solidFill>
          </w14:textFill>
        </w:rPr>
        <w:t>建设工程</w:t>
      </w:r>
      <w:r>
        <w:rPr>
          <w:rFonts w:hAnsi="宋体"/>
          <w:bCs/>
          <w:color w:val="000000" w:themeColor="text1"/>
          <w:szCs w:val="21"/>
          <w:highlight w:val="none"/>
          <w:u w:val="single"/>
          <w14:textFill>
            <w14:solidFill>
              <w14:schemeClr w14:val="tx1"/>
            </w14:solidFill>
          </w14:textFill>
        </w:rPr>
        <w:t>信息价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或</w:t>
      </w:r>
      <w:r>
        <w:rPr>
          <w:rFonts w:hint="eastAsia" w:hAnsi="宋体"/>
          <w:bCs/>
          <w:color w:val="000000" w:themeColor="text1"/>
          <w:szCs w:val="21"/>
          <w:highlight w:val="none"/>
          <w:u w:val="single"/>
          <w:lang w:eastAsia="zh-CN"/>
          <w14:textFill>
            <w14:solidFill>
              <w14:schemeClr w14:val="tx1"/>
            </w14:solidFill>
          </w14:textFill>
        </w:rPr>
        <w:t>广西壮族自治区</w:t>
      </w:r>
      <w:r>
        <w:rPr>
          <w:rFonts w:hAnsi="宋体"/>
          <w:bCs/>
          <w:color w:val="000000" w:themeColor="text1"/>
          <w:szCs w:val="21"/>
          <w:highlight w:val="none"/>
          <w:u w:val="single"/>
          <w14:textFill>
            <w14:solidFill>
              <w14:schemeClr w14:val="tx1"/>
            </w14:solidFill>
          </w14:textFill>
        </w:rPr>
        <w:t>内其他城市信息价</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无定额可套的，根据</w:t>
      </w:r>
      <w:r>
        <w:rPr>
          <w:rFonts w:hint="eastAsia" w:hAnsi="宋体"/>
          <w:bCs/>
          <w:color w:val="000000" w:themeColor="text1"/>
          <w:szCs w:val="21"/>
          <w:highlight w:val="none"/>
          <w:u w:val="single"/>
          <w14:textFill>
            <w14:solidFill>
              <w14:schemeClr w14:val="tx1"/>
            </w14:solidFill>
          </w14:textFill>
        </w:rPr>
        <w:t>经</w:t>
      </w:r>
      <w:r>
        <w:rPr>
          <w:rFonts w:hAnsi="宋体"/>
          <w:bCs/>
          <w:color w:val="000000" w:themeColor="text1"/>
          <w:szCs w:val="21"/>
          <w:highlight w:val="none"/>
          <w:u w:val="single"/>
          <w14:textFill>
            <w14:solidFill>
              <w14:schemeClr w14:val="tx1"/>
            </w14:solidFill>
          </w14:textFill>
        </w:rPr>
        <w:t>市场</w:t>
      </w:r>
      <w:r>
        <w:rPr>
          <w:rFonts w:hint="eastAsia" w:hAnsi="宋体"/>
          <w:bCs/>
          <w:color w:val="000000" w:themeColor="text1"/>
          <w:szCs w:val="21"/>
          <w:highlight w:val="none"/>
          <w:u w:val="single"/>
          <w14:textFill>
            <w14:solidFill>
              <w14:schemeClr w14:val="tx1"/>
            </w14:solidFill>
          </w14:textFill>
        </w:rPr>
        <w:t>询价</w:t>
      </w:r>
      <w:r>
        <w:rPr>
          <w:rFonts w:hAnsi="宋体"/>
          <w:bCs/>
          <w:color w:val="000000" w:themeColor="text1"/>
          <w:szCs w:val="21"/>
          <w:highlight w:val="none"/>
          <w:u w:val="single"/>
          <w14:textFill>
            <w14:solidFill>
              <w14:schemeClr w14:val="tx1"/>
            </w14:solidFill>
          </w14:textFill>
        </w:rPr>
        <w:t>协商确定综合价格</w:t>
      </w:r>
      <w:r>
        <w:rPr>
          <w:rFonts w:hint="eastAsia" w:hAnsi="宋体"/>
          <w:bCs/>
          <w:color w:val="000000" w:themeColor="text1"/>
          <w:szCs w:val="21"/>
          <w:highlight w:val="none"/>
          <w:u w:val="single"/>
          <w14:textFill>
            <w14:solidFill>
              <w14:schemeClr w14:val="tx1"/>
            </w14:solidFill>
          </w14:textFill>
        </w:rPr>
        <w:t>或经采购</w:t>
      </w:r>
      <w:r>
        <w:rPr>
          <w:rFonts w:hAnsi="宋体"/>
          <w:bCs/>
          <w:color w:val="000000" w:themeColor="text1"/>
          <w:szCs w:val="21"/>
          <w:highlight w:val="none"/>
          <w:u w:val="single"/>
          <w14:textFill>
            <w14:solidFill>
              <w14:schemeClr w14:val="tx1"/>
            </w14:solidFill>
          </w14:textFill>
        </w:rPr>
        <w:t>确定材料</w:t>
      </w:r>
      <w:r>
        <w:rPr>
          <w:rFonts w:hint="eastAsia" w:hAnsi="宋体"/>
          <w:bCs/>
          <w:color w:val="000000" w:themeColor="text1"/>
          <w:szCs w:val="21"/>
          <w:highlight w:val="none"/>
          <w:u w:val="single"/>
          <w14:textFill>
            <w14:solidFill>
              <w14:schemeClr w14:val="tx1"/>
            </w14:solidFill>
          </w14:textFill>
        </w:rPr>
        <w:t>单价</w:t>
      </w:r>
      <w:bookmarkEnd w:id="662"/>
      <w:r>
        <w:rPr>
          <w:rFonts w:hint="eastAsia" w:hAnsi="宋体"/>
          <w:bCs/>
          <w:color w:val="000000" w:themeColor="text1"/>
          <w:szCs w:val="21"/>
          <w:highlight w:val="none"/>
          <w:u w:val="single"/>
          <w14:textFill>
            <w14:solidFill>
              <w14:schemeClr w14:val="tx1"/>
            </w14:solidFill>
          </w14:textFill>
        </w:rPr>
        <w:t>。</w:t>
      </w:r>
    </w:p>
    <w:p w14:paraId="1654A375">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6E7CF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暂列金额</w:t>
      </w:r>
    </w:p>
    <w:p w14:paraId="4E64C763">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合同当事人关于暂列金额使用的约定：</w:t>
      </w:r>
      <w:r>
        <w:rPr>
          <w:rFonts w:hAnsi="宋体"/>
          <w:color w:val="000000" w:themeColor="text1"/>
          <w:kern w:val="0"/>
          <w:szCs w:val="21"/>
          <w:highlight w:val="none"/>
          <w14:textFill>
            <w14:solidFill>
              <w14:schemeClr w14:val="tx1"/>
            </w14:solidFill>
          </w14:textFill>
        </w:rPr>
        <w:t>暂</w:t>
      </w:r>
      <w:bookmarkStart w:id="663" w:name="_Toc312678034"/>
      <w:bookmarkStart w:id="664" w:name="_Toc318581176"/>
      <w:bookmarkStart w:id="665" w:name="_Toc312677508"/>
      <w:r>
        <w:rPr>
          <w:rFonts w:hAnsi="宋体"/>
          <w:color w:val="000000" w:themeColor="text1"/>
          <w:kern w:val="0"/>
          <w:szCs w:val="21"/>
          <w:highlight w:val="none"/>
          <w14:textFill>
            <w14:solidFill>
              <w14:schemeClr w14:val="tx1"/>
            </w14:solidFill>
          </w14:textFill>
        </w:rPr>
        <w:t>估价材料和工程设备的明细详见</w:t>
      </w:r>
      <w:r>
        <w:rPr>
          <w:rFonts w:hint="eastAsia" w:hAnsi="宋体"/>
          <w:color w:val="000000" w:themeColor="text1"/>
          <w:kern w:val="0"/>
          <w:szCs w:val="21"/>
          <w:highlight w:val="none"/>
          <w14:textFill>
            <w14:solidFill>
              <w14:schemeClr w14:val="tx1"/>
            </w14:solidFill>
          </w14:textFill>
        </w:rPr>
        <w:t>已标价工程量清单《</w:t>
      </w:r>
      <w:r>
        <w:rPr>
          <w:color w:val="000000" w:themeColor="text1"/>
          <w:szCs w:val="21"/>
          <w:highlight w:val="none"/>
          <w14:textFill>
            <w14:solidFill>
              <w14:schemeClr w14:val="tx1"/>
            </w14:solidFill>
          </w14:textFill>
        </w:rPr>
        <w:t>材料（工程设备）暂估价格及调整表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（表12-2）和《</w:t>
      </w:r>
      <w:r>
        <w:rPr>
          <w:color w:val="000000" w:themeColor="text1"/>
          <w:szCs w:val="21"/>
          <w:highlight w:val="none"/>
          <w14:textFill>
            <w14:solidFill>
              <w14:schemeClr w14:val="tx1"/>
            </w14:solidFill>
          </w14:textFill>
        </w:rPr>
        <w:t>专业工程暂估价表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表12-3）</w:t>
      </w:r>
      <w:r>
        <w:rPr>
          <w:rFonts w:hAnsi="宋体"/>
          <w:color w:val="000000" w:themeColor="text1"/>
          <w:kern w:val="0"/>
          <w:szCs w:val="21"/>
          <w:highlight w:val="none"/>
          <w14:textFill>
            <w14:solidFill>
              <w14:schemeClr w14:val="tx1"/>
            </w14:solidFill>
          </w14:textFill>
        </w:rPr>
        <w:t>。</w:t>
      </w:r>
    </w:p>
    <w:p w14:paraId="2C9F5725">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合同当事人关于暂列金额使用的约定：</w:t>
      </w:r>
      <w:r>
        <w:rPr>
          <w:rFonts w:hint="eastAsia"/>
          <w:color w:val="000000" w:themeColor="text1"/>
          <w:szCs w:val="21"/>
          <w:highlight w:val="none"/>
          <w:u w:val="single"/>
          <w14:textFill>
            <w14:solidFill>
              <w14:schemeClr w14:val="tx1"/>
            </w14:solidFill>
          </w14:textFill>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p>
    <w:bookmarkEnd w:id="663"/>
    <w:bookmarkEnd w:id="664"/>
    <w:bookmarkEnd w:id="665"/>
    <w:p w14:paraId="37122D71">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666" w:name="_Toc351203643"/>
      <w:r>
        <w:rPr>
          <w:rFonts w:ascii="宋体" w:hAnsi="宋体" w:eastAsia="黑体"/>
          <w:b/>
          <w:color w:val="000000" w:themeColor="text1"/>
          <w:kern w:val="0"/>
          <w:sz w:val="28"/>
          <w:szCs w:val="21"/>
          <w:highlight w:val="none"/>
          <w14:textFill>
            <w14:solidFill>
              <w14:schemeClr w14:val="tx1"/>
            </w14:solidFill>
          </w14:textFill>
        </w:rPr>
        <w:t>11. 价格调整</w:t>
      </w:r>
      <w:bookmarkEnd w:id="666"/>
    </w:p>
    <w:p w14:paraId="33971637">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667" w:name="_Toc296891241"/>
      <w:bookmarkStart w:id="668" w:name="_Toc296891029"/>
      <w:bookmarkStart w:id="669" w:name="_Toc296347200"/>
      <w:bookmarkStart w:id="670" w:name="_Toc297120501"/>
      <w:bookmarkStart w:id="671" w:name="_Toc297123550"/>
      <w:bookmarkStart w:id="672" w:name="_Toc303539157"/>
      <w:bookmarkStart w:id="673" w:name="_Toc304295577"/>
      <w:bookmarkStart w:id="674" w:name="_Toc292559406"/>
      <w:bookmarkStart w:id="675" w:name="_Toc312678039"/>
      <w:bookmarkStart w:id="676" w:name="_Toc292559911"/>
      <w:bookmarkStart w:id="677" w:name="_Toc296503201"/>
      <w:bookmarkStart w:id="678" w:name="_Toc296944540"/>
      <w:bookmarkStart w:id="679" w:name="_Toc297048387"/>
      <w:bookmarkStart w:id="680" w:name="_Toc296346702"/>
      <w:bookmarkStart w:id="681" w:name="_Toc300935000"/>
      <w:bookmarkStart w:id="682" w:name="_Toc297216209"/>
      <w:r>
        <w:rPr>
          <w:rFonts w:ascii="宋体" w:hAnsi="宋体"/>
          <w:color w:val="000000" w:themeColor="text1"/>
          <w:szCs w:val="21"/>
          <w:highlight w:val="none"/>
          <w14:textFill>
            <w14:solidFill>
              <w14:schemeClr w14:val="tx1"/>
            </w14:solidFill>
          </w14:textFill>
        </w:rPr>
        <w:t>11.1 市场价格波动引起的调整</w:t>
      </w:r>
    </w:p>
    <w:bookmarkEnd w:id="572"/>
    <w:bookmarkEnd w:id="573"/>
    <w:bookmarkEnd w:id="574"/>
    <w:bookmarkEnd w:id="575"/>
    <w:bookmarkEnd w:id="576"/>
    <w:bookmarkEnd w:id="577"/>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76DE97A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683" w:name="_Toc292559410"/>
      <w:bookmarkStart w:id="684" w:name="_Toc296891033"/>
      <w:bookmarkStart w:id="685" w:name="_Toc292559915"/>
      <w:bookmarkStart w:id="686" w:name="_Toc296346706"/>
      <w:bookmarkStart w:id="687" w:name="_Toc296503205"/>
      <w:bookmarkStart w:id="688" w:name="_Toc296891245"/>
      <w:bookmarkStart w:id="689" w:name="_Toc297048391"/>
      <w:bookmarkStart w:id="690" w:name="_Toc297120505"/>
      <w:bookmarkStart w:id="691" w:name="_Toc296347204"/>
      <w:bookmarkStart w:id="692" w:name="_Toc296944544"/>
      <w:bookmarkStart w:id="693" w:name="_Toc351203644"/>
      <w:bookmarkStart w:id="694" w:name="_Toc304295579"/>
      <w:bookmarkStart w:id="695" w:name="_Toc312678040"/>
      <w:bookmarkStart w:id="696" w:name="_Toc297216211"/>
      <w:bookmarkStart w:id="697" w:name="_Toc303539159"/>
      <w:bookmarkStart w:id="698" w:name="_Toc300935002"/>
      <w:bookmarkStart w:id="699" w:name="_Toc297123552"/>
      <w:r>
        <w:rPr>
          <w:rFonts w:hint="eastAsia" w:ascii="宋体" w:hAnsi="宋体"/>
          <w:color w:val="000000" w:themeColor="text1"/>
          <w:szCs w:val="21"/>
          <w:highlight w:val="none"/>
          <w14:textFill>
            <w14:solidFill>
              <w14:schemeClr w14:val="tx1"/>
            </w14:solidFill>
          </w14:textFill>
        </w:rPr>
        <w:t>市场价格波动是否调整合同价格的约定：</w:t>
      </w:r>
      <w:r>
        <w:rPr>
          <w:rFonts w:hint="eastAsia" w:ascii="宋体" w:hAnsi="宋体"/>
          <w:color w:val="000000" w:themeColor="text1"/>
          <w:szCs w:val="21"/>
          <w:highlight w:val="none"/>
          <w:u w:val="single"/>
          <w14:textFill>
            <w14:solidFill>
              <w14:schemeClr w14:val="tx1"/>
            </w14:solidFill>
          </w14:textFill>
        </w:rPr>
        <w:t>可调整</w:t>
      </w:r>
      <w:r>
        <w:rPr>
          <w:rFonts w:hint="eastAsia" w:ascii="宋体" w:hAnsi="宋体"/>
          <w:color w:val="000000" w:themeColor="text1"/>
          <w:szCs w:val="21"/>
          <w:highlight w:val="none"/>
          <w14:textFill>
            <w14:solidFill>
              <w14:schemeClr w14:val="tx1"/>
            </w14:solidFill>
          </w14:textFill>
        </w:rPr>
        <w:t>。</w:t>
      </w:r>
    </w:p>
    <w:p w14:paraId="52D8F1A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因市场价格波动调整合同价格，采用以下第</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种方式对合同价格进行调整：</w:t>
      </w:r>
    </w:p>
    <w:p w14:paraId="1972A6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种方式：采用价格指数进行价格调整。</w:t>
      </w:r>
    </w:p>
    <w:p w14:paraId="1EA42ED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Cs w:val="21"/>
          <w:highlight w:val="none"/>
          <w:lang w:eastAsia="zh-CN"/>
          <w14:textFill>
            <w14:solidFill>
              <w14:schemeClr w14:val="tx1"/>
            </w14:solidFill>
          </w14:textFill>
        </w:rPr>
        <w:t>；</w:t>
      </w:r>
    </w:p>
    <w:p w14:paraId="4E97A7F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第2种方式：根据《关于加强建筑材料价格风险控制的指导意见》（钦州市住房和城乡建设委员会2010年9月21日文件）规定采用造价信息按算术平均差价进行价格调整。</w:t>
      </w:r>
    </w:p>
    <w:p w14:paraId="6651523A">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（2）关于基准价格的约定：</w:t>
      </w:r>
      <w:r>
        <w:rPr>
          <w:rFonts w:hint="eastAsia" w:ascii="宋体" w:hAnsi="宋体"/>
          <w:color w:val="000000" w:themeColor="text1"/>
          <w:szCs w:val="21"/>
          <w:highlight w:val="none"/>
          <w:u w:val="single"/>
          <w14:textFill>
            <w14:solidFill>
              <w14:schemeClr w14:val="tx1"/>
            </w14:solidFill>
          </w14:textFill>
        </w:rPr>
        <w:t>1、采购发包的工程，材料基准价格为采购当期《钦州市建设工程造价信息》发布的材料信息价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采购当期《钦州市建设工程造价信息》没有发布信息价的材料，其基准价为经评审的采购控制价中的材料价格</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2、直接发包的工程，主要材料按签订合同当期的《钦州市建设工程造价信息》发布的材料价格为基准价格。签订合同当期没有发布信息价的材料，其基准价为经评审的工程预算书中的材料价格。  </w:t>
      </w:r>
    </w:p>
    <w:p w14:paraId="2C38B88D">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履行期间经审核材料单价涨跌幅以基准单价为基础，超过±5%时，其超过±5 %部分据实调整（具体调整办法按钦州市住房和城乡建设委员会文件《关于加强建筑材料价格风险控制的指导意见》[2010年9月21日]的规定执行）。</w:t>
      </w:r>
    </w:p>
    <w:p w14:paraId="5837509E">
      <w:pPr>
        <w:spacing w:line="360" w:lineRule="auto"/>
        <w:ind w:firstLine="525" w:firstLineChars="2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第3种方式：其他价格调整方式：</w:t>
      </w:r>
      <w:r>
        <w:rPr>
          <w:rFonts w:hint="eastAsia" w:ascii="宋体" w:hAnsi="宋体"/>
          <w:color w:val="000000" w:themeColor="text1"/>
          <w:szCs w:val="21"/>
          <w:highlight w:val="none"/>
          <w:u w:val="single"/>
          <w14:textFill>
            <w14:solidFill>
              <w14:schemeClr w14:val="tx1"/>
            </w14:solidFill>
          </w14:textFill>
        </w:rPr>
        <w:t xml:space="preserve">  无  </w:t>
      </w:r>
      <w:r>
        <w:rPr>
          <w:rFonts w:hint="eastAsia" w:ascii="宋体" w:hAnsi="宋体"/>
          <w:color w:val="000000" w:themeColor="text1"/>
          <w:szCs w:val="21"/>
          <w:highlight w:val="none"/>
          <w14:textFill>
            <w14:solidFill>
              <w14:schemeClr w14:val="tx1"/>
            </w14:solidFill>
          </w14:textFill>
        </w:rPr>
        <w:t>。</w:t>
      </w:r>
    </w:p>
    <w:p w14:paraId="00F29E4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u w:val="single"/>
          <w14:textFill>
            <w14:solidFill>
              <w14:schemeClr w14:val="tx1"/>
            </w14:solidFill>
          </w14:textFill>
        </w:rPr>
        <w:t>合同履行期间，除专用合同条款第11.3 款约定的增减以外，其他条件引起的综合单价变动均不调整。</w:t>
      </w:r>
    </w:p>
    <w:p w14:paraId="7E036EE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综合单价调整：</w:t>
      </w:r>
    </w:p>
    <w:p w14:paraId="05AA1E45">
      <w:pPr>
        <w:spacing w:line="360" w:lineRule="auto"/>
        <w:ind w:firstLine="48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（1）由于工程量清单项目漏项（指图纸有而清单无的漏项清单项目），其综合单价，依据2013年《</w:t>
      </w:r>
      <w:r>
        <w:rPr>
          <w:rFonts w:hint="eastAsia"/>
          <w:color w:val="000000" w:themeColor="text1"/>
          <w:highlight w:val="none"/>
          <w:u w:val="single"/>
          <w14:textFill>
            <w14:solidFill>
              <w14:schemeClr w14:val="tx1"/>
            </w14:solidFill>
          </w14:textFill>
        </w:rPr>
        <w:t>广西壮族自治区建筑装饰工程消耗量定额</w:t>
      </w:r>
      <w:r>
        <w:rPr>
          <w:rFonts w:hint="eastAsia" w:ascii="宋体" w:hAnsi="宋体"/>
          <w:color w:val="000000" w:themeColor="text1"/>
          <w:szCs w:val="21"/>
          <w:highlight w:val="none"/>
          <w:u w:val="single"/>
          <w14:textFill>
            <w14:solidFill>
              <w14:schemeClr w14:val="tx1"/>
            </w14:solidFill>
          </w14:textFill>
        </w:rPr>
        <w:t>》、2014版《广西壮族自治区市政工程消耗量定额》</w:t>
      </w:r>
      <w:r>
        <w:rPr>
          <w:rFonts w:hint="eastAsia"/>
          <w:color w:val="000000" w:themeColor="text1"/>
          <w:szCs w:val="21"/>
          <w:highlight w:val="none"/>
          <w:u w:val="single"/>
          <w14:textFill>
            <w14:solidFill>
              <w14:schemeClr w14:val="tx1"/>
            </w14:solidFill>
          </w14:textFill>
        </w:rPr>
        <w:t>、</w:t>
      </w:r>
      <w:r>
        <w:rPr>
          <w:color w:val="000000" w:themeColor="text1"/>
          <w:highlight w:val="none"/>
          <w:u w:val="single"/>
          <w14:textFill>
            <w14:solidFill>
              <w14:schemeClr w14:val="tx1"/>
            </w14:solidFill>
          </w14:textFill>
        </w:rPr>
        <w:t>2015</w:t>
      </w:r>
      <w:r>
        <w:rPr>
          <w:rFonts w:hint="eastAsia"/>
          <w:color w:val="000000" w:themeColor="text1"/>
          <w:highlight w:val="none"/>
          <w:u w:val="single"/>
          <w14:textFill>
            <w14:solidFill>
              <w14:schemeClr w14:val="tx1"/>
            </w14:solidFill>
          </w14:textFill>
        </w:rPr>
        <w:t>版《广西壮族自治区安装工程消耗量定额》、</w:t>
      </w:r>
      <w:r>
        <w:rPr>
          <w:rFonts w:hint="eastAsia"/>
          <w:color w:val="000000" w:themeColor="text1"/>
          <w:szCs w:val="21"/>
          <w:highlight w:val="none"/>
          <w:u w:val="single"/>
          <w14:textFill>
            <w14:solidFill>
              <w14:schemeClr w14:val="tx1"/>
            </w14:solidFill>
          </w14:textFill>
        </w:rPr>
        <w:t>2016年《广西壮族自治区建设工程费用定额》</w:t>
      </w:r>
      <w:r>
        <w:rPr>
          <w:rFonts w:hint="eastAsia" w:ascii="宋体" w:hAnsi="宋体"/>
          <w:color w:val="000000" w:themeColor="text1"/>
          <w:szCs w:val="21"/>
          <w:highlight w:val="none"/>
          <w:u w:val="single"/>
          <w14:textFill>
            <w14:solidFill>
              <w14:schemeClr w14:val="tx1"/>
            </w14:solidFill>
          </w14:textFill>
        </w:rPr>
        <w:t>及承包人的竞标材料单价（新增材料按施工期间的钦州市信息中钦州价格或经发包人、承包人、监理及有关监督部门共同认可的实际购买价）计算出综合单价后，乘以承包人的</w:t>
      </w:r>
      <w:r>
        <w:rPr>
          <w:rFonts w:hint="eastAsia" w:ascii="宋体" w:hAnsi="宋体"/>
          <w:color w:val="000000" w:themeColor="text1"/>
          <w:szCs w:val="21"/>
          <w:highlight w:val="none"/>
          <w:u w:val="single"/>
          <w:lang w:val="en-US" w:eastAsia="zh-CN"/>
          <w14:textFill>
            <w14:solidFill>
              <w14:schemeClr w14:val="tx1"/>
            </w14:solidFill>
          </w14:textFill>
        </w:rPr>
        <w:t>成交</w:t>
      </w:r>
      <w:r>
        <w:rPr>
          <w:rFonts w:hint="eastAsia" w:ascii="宋体" w:hAnsi="宋体"/>
          <w:color w:val="000000" w:themeColor="text1"/>
          <w:szCs w:val="21"/>
          <w:highlight w:val="none"/>
          <w:u w:val="single"/>
          <w14:textFill>
            <w14:solidFill>
              <w14:schemeClr w14:val="tx1"/>
            </w14:solidFill>
          </w14:textFill>
        </w:rPr>
        <w:t>价与工程采购控制价比较得出的系数，确定新的综合单价。</w:t>
      </w:r>
    </w:p>
    <w:p w14:paraId="5F518DCA">
      <w:pPr>
        <w:widowControl/>
        <w:adjustRightInd w:val="0"/>
        <w:snapToGrid w:val="0"/>
        <w:spacing w:line="360" w:lineRule="auto"/>
        <w:ind w:firstLine="420" w:firstLineChars="200"/>
        <w:outlineLvl w:val="2"/>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 由于设计变更或工程量清单数量有误引起的工程量增减（指原有清单项目），执行原有的综合单价。</w:t>
      </w:r>
    </w:p>
    <w:p w14:paraId="252F0561">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(3) 材料价格调整：按专用合同条款第11.1项的规定执行。</w:t>
      </w:r>
    </w:p>
    <w:p w14:paraId="0D28C553">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(4) 由于设计变更引起新的工程量清单项目，按本款第（1）项的办法，确定新的综合单价。</w:t>
      </w:r>
    </w:p>
    <w:p w14:paraId="057C90C7">
      <w:pPr>
        <w:keepNext/>
        <w:keepLines/>
        <w:spacing w:before="120" w:after="120" w:line="360" w:lineRule="auto"/>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 xml:space="preserve">    (5) 工程量清单中已有的项目，材料的品种（含颜色、规格等）因发包人的原因发生变更的，只调整该种材料的差价部分及相应税金（发包人采购控制价中的材料价格与经认可的实际购买价差），其他费用不变。</w:t>
      </w:r>
    </w:p>
    <w:p w14:paraId="689CFC39">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(6) 工程量清单中只有类似于变更工程的综合单价，可以参照类似的综合单价变更合同价款。即其他项目特征、施工方法不变，仅是设计配合化的变更，材料色彩的变更，材料出产地的变更，材料等级的变更，材料规格的变更等，只调整设计配合比及材料的差价部分及相应税金，其他费用不变。</w:t>
      </w:r>
    </w:p>
    <w:p w14:paraId="02F16A39">
      <w:pPr>
        <w:keepNext/>
        <w:keepLines/>
        <w:spacing w:before="120" w:after="120" w:line="360" w:lineRule="auto"/>
        <w:ind w:firstLine="315" w:firstLineChars="15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（7）按桂建标[2015]5号、桂建标[2016]16号、桂建标[2016]17号文件规定进行调整，如专用合同条款合同履行期间计价依据有调整的，按调整文件规定执行。</w:t>
      </w:r>
    </w:p>
    <w:p w14:paraId="16ECA38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color w:val="000000" w:themeColor="text1"/>
          <w:kern w:val="0"/>
          <w:sz w:val="28"/>
          <w:szCs w:val="21"/>
          <w:highlight w:val="none"/>
          <w14:textFill>
            <w14:solidFill>
              <w14:schemeClr w14:val="tx1"/>
            </w14:solidFill>
          </w14:textFill>
        </w:rPr>
        <w:t>1</w:t>
      </w:r>
      <w:r>
        <w:rPr>
          <w:rFonts w:ascii="宋体" w:hAnsi="宋体" w:eastAsia="黑体"/>
          <w:b/>
          <w:color w:val="000000" w:themeColor="text1"/>
          <w:kern w:val="0"/>
          <w:sz w:val="28"/>
          <w:szCs w:val="21"/>
          <w:highlight w:val="none"/>
          <w14:textFill>
            <w14:solidFill>
              <w14:schemeClr w14:val="tx1"/>
            </w14:solidFill>
          </w14:textFill>
        </w:rPr>
        <w:t xml:space="preserve">2. </w:t>
      </w:r>
      <w:bookmarkEnd w:id="683"/>
      <w:bookmarkEnd w:id="684"/>
      <w:bookmarkEnd w:id="685"/>
      <w:bookmarkEnd w:id="686"/>
      <w:bookmarkEnd w:id="687"/>
      <w:bookmarkEnd w:id="688"/>
      <w:bookmarkEnd w:id="689"/>
      <w:bookmarkEnd w:id="690"/>
      <w:bookmarkEnd w:id="691"/>
      <w:bookmarkEnd w:id="692"/>
      <w:r>
        <w:rPr>
          <w:rFonts w:ascii="宋体" w:hAnsi="宋体" w:eastAsia="黑体"/>
          <w:b/>
          <w:color w:val="000000" w:themeColor="text1"/>
          <w:kern w:val="0"/>
          <w:sz w:val="28"/>
          <w:szCs w:val="21"/>
          <w:highlight w:val="none"/>
          <w14:textFill>
            <w14:solidFill>
              <w14:schemeClr w14:val="tx1"/>
            </w14:solidFill>
          </w14:textFill>
        </w:rPr>
        <w:t>合同价格、计量与支付</w:t>
      </w:r>
      <w:bookmarkEnd w:id="693"/>
    </w:p>
    <w:bookmarkEnd w:id="694"/>
    <w:bookmarkEnd w:id="695"/>
    <w:bookmarkEnd w:id="696"/>
    <w:bookmarkEnd w:id="697"/>
    <w:bookmarkEnd w:id="698"/>
    <w:bookmarkEnd w:id="699"/>
    <w:p w14:paraId="26C07981">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700" w:name="_Toc267251461"/>
      <w:bookmarkStart w:id="701" w:name="_Toc292559411"/>
      <w:bookmarkStart w:id="702" w:name="_Toc292559916"/>
      <w:bookmarkStart w:id="703" w:name="_Toc296891034"/>
      <w:bookmarkStart w:id="704" w:name="_Toc297120506"/>
      <w:bookmarkStart w:id="705" w:name="_Toc296346707"/>
      <w:bookmarkStart w:id="706" w:name="_Toc296944545"/>
      <w:bookmarkStart w:id="707" w:name="_Toc296503206"/>
      <w:bookmarkStart w:id="708" w:name="_Toc296347205"/>
      <w:bookmarkStart w:id="709" w:name="_Toc297048392"/>
      <w:bookmarkStart w:id="710" w:name="_Toc296891246"/>
      <w:bookmarkStart w:id="711" w:name="_Toc304295580"/>
      <w:bookmarkStart w:id="712" w:name="_Toc303539160"/>
      <w:bookmarkStart w:id="713" w:name="_Toc300935003"/>
      <w:bookmarkStart w:id="714" w:name="_Toc312678041"/>
      <w:bookmarkStart w:id="715" w:name="_Toc297123553"/>
      <w:bookmarkStart w:id="716" w:name="_Toc297216212"/>
      <w:r>
        <w:rPr>
          <w:rFonts w:ascii="宋体" w:hAnsi="宋体"/>
          <w:color w:val="000000" w:themeColor="text1"/>
          <w:szCs w:val="21"/>
          <w:highlight w:val="none"/>
          <w14:textFill>
            <w14:solidFill>
              <w14:schemeClr w14:val="tx1"/>
            </w14:solidFill>
          </w14:textFill>
        </w:rPr>
        <w:t>12.1 合</w:t>
      </w:r>
      <w:bookmarkEnd w:id="700"/>
      <w:bookmarkEnd w:id="701"/>
      <w:bookmarkEnd w:id="702"/>
      <w:r>
        <w:rPr>
          <w:rFonts w:ascii="宋体" w:hAnsi="宋体"/>
          <w:color w:val="000000" w:themeColor="text1"/>
          <w:szCs w:val="21"/>
          <w:highlight w:val="none"/>
          <w14:textFill>
            <w14:solidFill>
              <w14:schemeClr w14:val="tx1"/>
            </w14:solidFill>
          </w14:textFill>
        </w:rPr>
        <w:t>同价</w:t>
      </w:r>
      <w:bookmarkEnd w:id="703"/>
      <w:bookmarkEnd w:id="704"/>
      <w:bookmarkEnd w:id="705"/>
      <w:bookmarkEnd w:id="706"/>
      <w:bookmarkEnd w:id="707"/>
      <w:bookmarkEnd w:id="708"/>
      <w:bookmarkEnd w:id="709"/>
      <w:bookmarkEnd w:id="710"/>
      <w:r>
        <w:rPr>
          <w:rFonts w:ascii="宋体" w:hAnsi="宋体"/>
          <w:color w:val="000000" w:themeColor="text1"/>
          <w:szCs w:val="21"/>
          <w:highlight w:val="none"/>
          <w14:textFill>
            <w14:solidFill>
              <w14:schemeClr w14:val="tx1"/>
            </w14:solidFill>
          </w14:textFill>
        </w:rPr>
        <w:t>格形式</w:t>
      </w:r>
    </w:p>
    <w:bookmarkEnd w:id="711"/>
    <w:bookmarkEnd w:id="712"/>
    <w:bookmarkEnd w:id="713"/>
    <w:bookmarkEnd w:id="714"/>
    <w:bookmarkEnd w:id="715"/>
    <w:bookmarkEnd w:id="716"/>
    <w:p w14:paraId="0EB09C7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单价合同。</w:t>
      </w:r>
    </w:p>
    <w:p w14:paraId="7D920E4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综合单价包含的风险范围：。</w:t>
      </w:r>
    </w:p>
    <w:p w14:paraId="1AA43FB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风险费用的计算方法：。</w:t>
      </w:r>
    </w:p>
    <w:p w14:paraId="752C5F0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风险范围以外合同价格的调整方法：</w:t>
      </w:r>
    </w:p>
    <w:p w14:paraId="549D60F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w:t>
      </w:r>
      <w:r>
        <w:rPr>
          <w:rFonts w:hint="eastAsia" w:ascii="宋体" w:hAnsi="宋体"/>
          <w:color w:val="000000" w:themeColor="text1"/>
          <w:szCs w:val="21"/>
          <w:highlight w:val="none"/>
          <w:u w:val="single"/>
          <w:lang w:val="en-US" w:eastAsia="zh-CN"/>
          <w14:textFill>
            <w14:solidFill>
              <w14:schemeClr w14:val="tx1"/>
            </w14:solidFill>
          </w14:textFill>
        </w:rPr>
        <w:t>成交</w:t>
      </w:r>
      <w:r>
        <w:rPr>
          <w:rFonts w:hint="eastAsia" w:ascii="宋体" w:hAnsi="宋体"/>
          <w:color w:val="000000" w:themeColor="text1"/>
          <w:szCs w:val="21"/>
          <w:highlight w:val="none"/>
          <w:u w:val="single"/>
          <w14:textFill>
            <w14:solidFill>
              <w14:schemeClr w14:val="tx1"/>
            </w14:solidFill>
          </w14:textFill>
        </w:rPr>
        <w:t>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36227F3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国家和自治区政策性调整有关费用标准的，按文件规定执行。</w:t>
      </w:r>
    </w:p>
    <w:p w14:paraId="376DC4D6">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717" w:name="_Toc297048393"/>
      <w:bookmarkStart w:id="718" w:name="_Toc292559412"/>
      <w:bookmarkStart w:id="719" w:name="_Toc296346708"/>
      <w:bookmarkStart w:id="720" w:name="_Toc297216213"/>
      <w:bookmarkStart w:id="721" w:name="_Toc292559917"/>
      <w:bookmarkStart w:id="722" w:name="_Toc296347206"/>
      <w:bookmarkStart w:id="723" w:name="_Toc296891247"/>
      <w:bookmarkStart w:id="724" w:name="_Toc303539161"/>
      <w:bookmarkStart w:id="725" w:name="_Toc297123554"/>
      <w:bookmarkStart w:id="726" w:name="_Toc296891035"/>
      <w:bookmarkStart w:id="727" w:name="_Toc312678042"/>
      <w:bookmarkStart w:id="728" w:name="_Toc304295581"/>
      <w:bookmarkStart w:id="729" w:name="_Toc296944546"/>
      <w:bookmarkStart w:id="730" w:name="_Toc296503207"/>
      <w:bookmarkStart w:id="731" w:name="_Toc297120507"/>
      <w:bookmarkStart w:id="732" w:name="_Toc300935004"/>
      <w:r>
        <w:rPr>
          <w:rFonts w:ascii="宋体" w:hAnsi="宋体"/>
          <w:color w:val="000000" w:themeColor="text1"/>
          <w:szCs w:val="21"/>
          <w:highlight w:val="none"/>
          <w14:textFill>
            <w14:solidFill>
              <w14:schemeClr w14:val="tx1"/>
            </w14:solidFill>
          </w14:textFill>
        </w:rPr>
        <w:t>12.2 预付款</w:t>
      </w:r>
    </w:p>
    <w:bookmarkEnd w:id="578"/>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14:paraId="0744E6B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733" w:name="_Toc351203646"/>
      <w:bookmarkStart w:id="734" w:name="_Toc267251474"/>
      <w:bookmarkStart w:id="735" w:name="_Toc267251475"/>
      <w:bookmarkStart w:id="736" w:name="_Toc280868709"/>
      <w:bookmarkStart w:id="737" w:name="_Toc267251471"/>
      <w:bookmarkStart w:id="738" w:name="_Toc267251472"/>
      <w:bookmarkStart w:id="739" w:name="_Toc267251476"/>
      <w:bookmarkStart w:id="740" w:name="_Toc267251470"/>
      <w:bookmarkStart w:id="741" w:name="_Toc267251473"/>
      <w:r>
        <w:rPr>
          <w:rFonts w:ascii="宋体" w:hAnsi="宋体"/>
          <w:color w:val="000000" w:themeColor="text1"/>
          <w:szCs w:val="21"/>
          <w:highlight w:val="none"/>
          <w14:textFill>
            <w14:solidFill>
              <w14:schemeClr w14:val="tx1"/>
            </w14:solidFill>
          </w14:textFill>
        </w:rPr>
        <w:t>12.2.1 预付款的支付</w:t>
      </w:r>
    </w:p>
    <w:p w14:paraId="2DCDDAA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预付款支付比例或金额：</w:t>
      </w:r>
      <w:r>
        <w:rPr>
          <w:rFonts w:hint="eastAsia" w:ascii="宋体" w:hAnsi="宋体"/>
          <w:color w:val="000000" w:themeColor="text1"/>
          <w:szCs w:val="21"/>
          <w:highlight w:val="none"/>
          <w:u w:val="single"/>
          <w:lang w:val="en-US" w:eastAsia="zh-CN"/>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22AB33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预付款支付期限：</w:t>
      </w:r>
      <w:r>
        <w:rPr>
          <w:rFonts w:hint="eastAsia"/>
          <w:color w:val="000000" w:themeColor="text1"/>
          <w:szCs w:val="21"/>
          <w:highlight w:val="none"/>
          <w:u w:val="single"/>
          <w14:textFill>
            <w14:solidFill>
              <w14:schemeClr w14:val="tx1"/>
            </w14:solidFill>
          </w14:textFill>
        </w:rPr>
        <w:t>合同签订后5个工作日内</w:t>
      </w:r>
      <w:r>
        <w:rPr>
          <w:rFonts w:ascii="宋体" w:hAnsi="宋体"/>
          <w:color w:val="000000" w:themeColor="text1"/>
          <w:szCs w:val="21"/>
          <w:highlight w:val="none"/>
          <w14:textFill>
            <w14:solidFill>
              <w14:schemeClr w14:val="tx1"/>
            </w14:solidFill>
          </w14:textFill>
        </w:rPr>
        <w:t>。</w:t>
      </w:r>
    </w:p>
    <w:p w14:paraId="13EEB054">
      <w:pPr>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预付款扣回的方式：</w:t>
      </w:r>
      <w:r>
        <w:rPr>
          <w:rFonts w:hint="eastAsia"/>
          <w:color w:val="000000" w:themeColor="text1"/>
          <w:szCs w:val="21"/>
          <w:highlight w:val="none"/>
          <w:u w:val="single"/>
          <w:lang w:val="en-US"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w:t>
      </w:r>
    </w:p>
    <w:p w14:paraId="43C3DB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12.2.2 预付款担保</w:t>
      </w:r>
    </w:p>
    <w:p w14:paraId="278A216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承包人提交预付款担保的期限：</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754B053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预付款担保的形式为：</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177CA81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 计量</w:t>
      </w:r>
    </w:p>
    <w:p w14:paraId="475F94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12.3.1 计量原则</w:t>
      </w:r>
    </w:p>
    <w:p w14:paraId="40A36B5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工程量计算规则：</w:t>
      </w:r>
      <w:r>
        <w:rPr>
          <w:b/>
          <w:color w:val="000000" w:themeColor="text1"/>
          <w:szCs w:val="21"/>
          <w:highlight w:val="none"/>
          <w:u w:val="single"/>
          <w14:textFill>
            <w14:solidFill>
              <w14:schemeClr w14:val="tx1"/>
            </w14:solidFill>
          </w14:textFill>
        </w:rPr>
        <w:t>工程的计量均以国家标准《建设工程工程量</w:t>
      </w:r>
      <w:r>
        <w:rPr>
          <w:rFonts w:hint="eastAsia"/>
          <w:b/>
          <w:color w:val="000000" w:themeColor="text1"/>
          <w:szCs w:val="21"/>
          <w:highlight w:val="none"/>
          <w:u w:val="single"/>
          <w14:textFill>
            <w14:solidFill>
              <w14:schemeClr w14:val="tx1"/>
            </w14:solidFill>
          </w14:textFill>
        </w:rPr>
        <w:t>计算</w:t>
      </w:r>
      <w:r>
        <w:rPr>
          <w:b/>
          <w:color w:val="000000" w:themeColor="text1"/>
          <w:szCs w:val="21"/>
          <w:highlight w:val="none"/>
          <w:u w:val="single"/>
          <w14:textFill>
            <w14:solidFill>
              <w14:schemeClr w14:val="tx1"/>
            </w14:solidFill>
          </w14:textFill>
        </w:rPr>
        <w:t>规范》（GB50</w:t>
      </w:r>
      <w:r>
        <w:rPr>
          <w:rFonts w:hint="eastAsia"/>
          <w:b/>
          <w:color w:val="000000" w:themeColor="text1"/>
          <w:szCs w:val="21"/>
          <w:highlight w:val="none"/>
          <w:u w:val="single"/>
          <w14:textFill>
            <w14:solidFill>
              <w14:schemeClr w14:val="tx1"/>
            </w14:solidFill>
          </w14:textFill>
        </w:rPr>
        <w:t>854～50862</w:t>
      </w:r>
      <w:r>
        <w:rPr>
          <w:b/>
          <w:color w:val="000000" w:themeColor="text1"/>
          <w:szCs w:val="21"/>
          <w:highlight w:val="none"/>
          <w:u w:val="single"/>
          <w14:textFill>
            <w14:solidFill>
              <w14:schemeClr w14:val="tx1"/>
            </w14:solidFill>
          </w14:textFill>
        </w:rPr>
        <w:t>－20</w:t>
      </w:r>
      <w:r>
        <w:rPr>
          <w:rFonts w:hint="eastAsia"/>
          <w:b/>
          <w:color w:val="000000" w:themeColor="text1"/>
          <w:szCs w:val="21"/>
          <w:highlight w:val="none"/>
          <w:u w:val="single"/>
          <w14:textFill>
            <w14:solidFill>
              <w14:schemeClr w14:val="tx1"/>
            </w14:solidFill>
          </w14:textFill>
        </w:rPr>
        <w:t>13</w:t>
      </w:r>
      <w:r>
        <w:rPr>
          <w:b/>
          <w:color w:val="000000" w:themeColor="text1"/>
          <w:szCs w:val="21"/>
          <w:highlight w:val="none"/>
          <w:u w:val="single"/>
          <w14:textFill>
            <w14:solidFill>
              <w14:schemeClr w14:val="tx1"/>
            </w14:solidFill>
          </w14:textFill>
        </w:rPr>
        <w:t>）和</w:t>
      </w:r>
      <w:r>
        <w:rPr>
          <w:rFonts w:hint="eastAsia"/>
          <w:b/>
          <w:color w:val="000000" w:themeColor="text1"/>
          <w:szCs w:val="21"/>
          <w:highlight w:val="none"/>
          <w:u w:val="single"/>
          <w14:textFill>
            <w14:solidFill>
              <w14:schemeClr w14:val="tx1"/>
            </w14:solidFill>
          </w14:textFill>
        </w:rPr>
        <w:t>《建设工程工程量计算规范（GB50854～50862-2013）广西壮族自治区实施细则》</w:t>
      </w:r>
      <w:r>
        <w:rPr>
          <w:b/>
          <w:color w:val="000000" w:themeColor="text1"/>
          <w:szCs w:val="21"/>
          <w:highlight w:val="none"/>
          <w:u w:val="single"/>
          <w14:textFill>
            <w14:solidFill>
              <w14:schemeClr w14:val="tx1"/>
            </w14:solidFill>
          </w14:textFill>
        </w:rPr>
        <w:t>计算的净值为准，如有不明之处，应以监理工程师或造价管理部门指定的计量方法为准</w:t>
      </w:r>
      <w:r>
        <w:rPr>
          <w:rFonts w:ascii="宋体" w:hAnsi="宋体"/>
          <w:color w:val="000000" w:themeColor="text1"/>
          <w:szCs w:val="21"/>
          <w:highlight w:val="none"/>
          <w14:textFill>
            <w14:solidFill>
              <w14:schemeClr w14:val="tx1"/>
            </w14:solidFill>
          </w14:textFill>
        </w:rPr>
        <w:t>。</w:t>
      </w:r>
    </w:p>
    <w:p w14:paraId="0F991D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12.3.2 计量周期</w:t>
      </w:r>
    </w:p>
    <w:p w14:paraId="052B732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关于计量周期的约定：</w:t>
      </w:r>
      <w:r>
        <w:rPr>
          <w:rFonts w:hint="eastAsia" w:ascii="宋体" w:hAnsi="宋体"/>
          <w:b/>
          <w:color w:val="000000" w:themeColor="text1"/>
          <w:szCs w:val="21"/>
          <w:highlight w:val="none"/>
          <w:u w:val="single"/>
          <w14:textFill>
            <w14:solidFill>
              <w14:schemeClr w14:val="tx1"/>
            </w14:solidFill>
          </w14:textFill>
        </w:rPr>
        <w:t>按实际完成工程量计量</w:t>
      </w:r>
      <w:r>
        <w:rPr>
          <w:rFonts w:ascii="宋体" w:hAnsi="宋体"/>
          <w:color w:val="000000" w:themeColor="text1"/>
          <w:szCs w:val="21"/>
          <w:highlight w:val="none"/>
          <w14:textFill>
            <w14:solidFill>
              <w14:schemeClr w14:val="tx1"/>
            </w14:solidFill>
          </w14:textFill>
        </w:rPr>
        <w:t>。</w:t>
      </w:r>
    </w:p>
    <w:p w14:paraId="6764D9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12.3.3 单价合同的计量</w:t>
      </w:r>
    </w:p>
    <w:p w14:paraId="35AE5FE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关于单价合同计量的约定：</w:t>
      </w:r>
      <w:r>
        <w:rPr>
          <w:rFonts w:hint="eastAsia" w:ascii="宋体" w:hAnsi="宋体"/>
          <w:b/>
          <w:color w:val="000000" w:themeColor="text1"/>
          <w:szCs w:val="21"/>
          <w:highlight w:val="none"/>
          <w:u w:val="single"/>
          <w14:textFill>
            <w14:solidFill>
              <w14:schemeClr w14:val="tx1"/>
            </w14:solidFill>
          </w14:textFill>
        </w:rPr>
        <w:t xml:space="preserve">(1) </w:t>
      </w:r>
      <w:r>
        <w:rPr>
          <w:rFonts w:ascii="宋体" w:hAnsi="宋体"/>
          <w:b/>
          <w:color w:val="000000" w:themeColor="text1"/>
          <w:szCs w:val="21"/>
          <w:highlight w:val="none"/>
          <w:u w:val="single"/>
          <w14:textFill>
            <w14:solidFill>
              <w14:schemeClr w14:val="tx1"/>
            </w14:solidFill>
          </w14:textFill>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b/>
          <w:color w:val="000000" w:themeColor="text1"/>
          <w:szCs w:val="21"/>
          <w:highlight w:val="none"/>
          <w:u w:val="single"/>
          <w14:textFill>
            <w14:solidFill>
              <w14:schemeClr w14:val="tx1"/>
            </w14:solidFill>
          </w14:textFill>
        </w:rPr>
        <w:t>(2)</w:t>
      </w:r>
      <w:r>
        <w:rPr>
          <w:rFonts w:ascii="宋体" w:hAnsi="宋体"/>
          <w:b/>
          <w:color w:val="000000" w:themeColor="text1"/>
          <w:szCs w:val="21"/>
          <w:highlight w:val="none"/>
          <w:u w:val="single"/>
          <w14:textFill>
            <w14:solidFill>
              <w14:schemeClr w14:val="tx1"/>
            </w14:solidFill>
          </w14:textFill>
        </w:rPr>
        <w:t xml:space="preserve"> 除另有规定外，工程师应按照合同通过计量来核实确定已完成的工程量和价值，承包人应得到该价值扣除保留金后的价款。当工程师要对已完工的工程量进行计量时，应适时地通知承包人参加。</w:t>
      </w:r>
    </w:p>
    <w:p w14:paraId="55CFB7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12.3.4 总价合同的计量</w:t>
      </w:r>
    </w:p>
    <w:p w14:paraId="0E8BC5E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关于总价合同计量的约定：。</w:t>
      </w:r>
    </w:p>
    <w:p w14:paraId="41674A3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12.3.5总价合同采用支付分解表计量支付的，是否适用第</w:t>
      </w:r>
      <w:r>
        <w:rPr>
          <w:rFonts w:ascii="宋体" w:hAnsi="宋体"/>
          <w:color w:val="000000" w:themeColor="text1"/>
          <w:kern w:val="0"/>
          <w:szCs w:val="21"/>
          <w:highlight w:val="none"/>
          <w14:textFill>
            <w14:solidFill>
              <w14:schemeClr w14:val="tx1"/>
            </w14:solidFill>
          </w14:textFill>
        </w:rPr>
        <w:t xml:space="preserve">12.3.4 </w:t>
      </w:r>
      <w:r>
        <w:rPr>
          <w:rFonts w:ascii="宋体" w:hAnsi="宋体"/>
          <w:color w:val="000000" w:themeColor="text1"/>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总价合同的计量</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进行计量：</w:t>
      </w:r>
      <w:r>
        <w:rPr>
          <w:rFonts w:ascii="宋体" w:hAnsi="宋体"/>
          <w:color w:val="000000" w:themeColor="text1"/>
          <w:szCs w:val="21"/>
          <w:highlight w:val="none"/>
          <w14:textFill>
            <w14:solidFill>
              <w14:schemeClr w14:val="tx1"/>
            </w14:solidFill>
          </w14:textFill>
        </w:rPr>
        <w:t>。</w:t>
      </w:r>
    </w:p>
    <w:p w14:paraId="207DFF5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12.3.6 其他价格形式合同的计量</w:t>
      </w:r>
    </w:p>
    <w:p w14:paraId="13DC473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其他价格形式的计量方式和程序：。</w:t>
      </w:r>
    </w:p>
    <w:p w14:paraId="53BDF6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12.4 工程进度款支付</w:t>
      </w:r>
    </w:p>
    <w:p w14:paraId="16C7C1FF">
      <w:pPr>
        <w:spacing w:line="360" w:lineRule="auto"/>
        <w:ind w:firstLine="420" w:firstLineChars="200"/>
        <w:jc w:val="left"/>
        <w:rPr>
          <w:rFonts w:hint="eastAsia" w:hAnsi="宋体"/>
          <w:bCs/>
          <w:color w:val="000000" w:themeColor="text1"/>
          <w:szCs w:val="21"/>
          <w:highlight w:val="none"/>
          <w:u w:val="single"/>
          <w14:textFill>
            <w14:solidFill>
              <w14:schemeClr w14:val="tx1"/>
            </w14:solidFill>
          </w14:textFill>
        </w:rPr>
      </w:pPr>
      <w:bookmarkStart w:id="742" w:name="_Toc297216215"/>
      <w:bookmarkStart w:id="743" w:name="_Toc296891039"/>
      <w:bookmarkStart w:id="744" w:name="_Toc297123556"/>
      <w:bookmarkStart w:id="745" w:name="_Toc297120511"/>
      <w:bookmarkStart w:id="746" w:name="_Toc297048397"/>
      <w:bookmarkStart w:id="747" w:name="_Toc292559921"/>
      <w:bookmarkStart w:id="748" w:name="_Toc296346712"/>
      <w:bookmarkStart w:id="749" w:name="_Toc296944550"/>
      <w:bookmarkStart w:id="750" w:name="_Toc296347210"/>
      <w:bookmarkStart w:id="751" w:name="_Toc303539163"/>
      <w:bookmarkStart w:id="752" w:name="_Toc300935006"/>
      <w:bookmarkStart w:id="753" w:name="_Toc296891251"/>
      <w:bookmarkStart w:id="754" w:name="_Toc296503211"/>
      <w:bookmarkStart w:id="755" w:name="_Toc292559416"/>
      <w:r>
        <w:rPr>
          <w:rFonts w:ascii="宋体" w:hAnsi="宋体"/>
          <w:color w:val="000000" w:themeColor="text1"/>
          <w:szCs w:val="21"/>
          <w:highlight w:val="none"/>
          <w14:textFill>
            <w14:solidFill>
              <w14:schemeClr w14:val="tx1"/>
            </w14:solidFill>
          </w14:textFill>
        </w:rPr>
        <w:t>12.4.1</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rFonts w:hint="eastAsia" w:ascii="宋体" w:hAnsi="宋体"/>
          <w:b/>
          <w:color w:val="000000" w:themeColor="text1"/>
          <w:szCs w:val="21"/>
          <w:highlight w:val="none"/>
          <w14:textFill>
            <w14:solidFill>
              <w14:schemeClr w14:val="tx1"/>
            </w14:solidFill>
          </w14:textFill>
        </w:rPr>
        <w:t>双方约定工程款的支付方式和时间</w:t>
      </w:r>
      <w:r>
        <w:rPr>
          <w:rFonts w:hint="eastAsia" w:ascii="宋体" w:hAnsi="宋体"/>
          <w:color w:val="000000" w:themeColor="text1"/>
          <w:szCs w:val="21"/>
          <w:highlight w:val="none"/>
          <w14:textFill>
            <w14:solidFill>
              <w14:schemeClr w14:val="tx1"/>
            </w14:solidFill>
          </w14:textFill>
        </w:rPr>
        <w:t>：</w:t>
      </w:r>
      <w:bookmarkStart w:id="756" w:name="_Toc351203645"/>
      <w:bookmarkStart w:id="757" w:name="_Toc292559929"/>
      <w:bookmarkStart w:id="758" w:name="_Toc312678053"/>
      <w:bookmarkStart w:id="759" w:name="_Toc296944558"/>
      <w:bookmarkStart w:id="760" w:name="_Toc297123564"/>
      <w:bookmarkStart w:id="761" w:name="_Toc300935015"/>
      <w:bookmarkStart w:id="762" w:name="_Toc292559424"/>
      <w:bookmarkStart w:id="763" w:name="_Toc297048405"/>
      <w:bookmarkStart w:id="764" w:name="_Toc304295593"/>
      <w:bookmarkStart w:id="765" w:name="_Toc297120519"/>
      <w:bookmarkStart w:id="766" w:name="_Toc296891047"/>
      <w:bookmarkStart w:id="767" w:name="_Toc296347218"/>
      <w:bookmarkStart w:id="768" w:name="_Toc303539172"/>
      <w:bookmarkStart w:id="769" w:name="_Toc296503219"/>
      <w:bookmarkStart w:id="770" w:name="_Toc296891259"/>
      <w:bookmarkStart w:id="771" w:name="_Toc297216223"/>
      <w:bookmarkStart w:id="772" w:name="_Toc296346720"/>
      <w:r>
        <w:rPr>
          <w:rFonts w:hint="eastAsia" w:hAnsi="宋体"/>
          <w:bCs/>
          <w:color w:val="000000" w:themeColor="text1"/>
          <w:szCs w:val="21"/>
          <w:highlight w:val="none"/>
          <w:u w:val="single"/>
          <w14:textFill>
            <w14:solidFill>
              <w14:schemeClr w14:val="tx1"/>
            </w14:solidFill>
          </w14:textFill>
        </w:rPr>
        <w:t>工程进度完成工程量的30%支付至合同总价款的30%；</w:t>
      </w:r>
      <w:r>
        <w:rPr>
          <w:rFonts w:hint="eastAsia" w:hAnsi="宋体"/>
          <w:bCs/>
          <w:color w:val="000000" w:themeColor="text1"/>
          <w:szCs w:val="21"/>
          <w:highlight w:val="none"/>
          <w:u w:val="single"/>
          <w:lang w:eastAsia="zh-CN"/>
          <w14:textFill>
            <w14:solidFill>
              <w14:schemeClr w14:val="tx1"/>
            </w14:solidFill>
          </w14:textFill>
        </w:rPr>
        <w:t>工程竣工验收合格10个工作日内</w:t>
      </w:r>
      <w:r>
        <w:rPr>
          <w:rFonts w:hint="eastAsia" w:hAnsi="宋体"/>
          <w:bCs/>
          <w:color w:val="000000" w:themeColor="text1"/>
          <w:szCs w:val="21"/>
          <w:highlight w:val="none"/>
          <w:u w:val="single"/>
          <w14:textFill>
            <w14:solidFill>
              <w14:schemeClr w14:val="tx1"/>
            </w14:solidFill>
          </w14:textFill>
        </w:rPr>
        <w:t>，工程进度款支付至完成合同总价款的80%；竣工结算经审计部门审计后，工程款支付至项目审定结算价款的97%，预留结算总价的3%作为质量保证金，待工程缺陷责任期满后由成交供应商申请退还，采购人一次性无息返还。采购人每次付款前，成交供应商应向采购人开具同等金额的增值税专用发票，否则，采购人有权顺延付款。成交供应商知晓采购人的费用来源于财政拨付及支付项目款项流程，如因财政拨付的原因导致延迟支付，成交供应商承诺不因进度款延迟支付而停工，承诺放弃向采购人主张违约金或赔偿款之请求。</w:t>
      </w:r>
    </w:p>
    <w:p w14:paraId="340E2439">
      <w:pPr>
        <w:spacing w:line="440" w:lineRule="exact"/>
        <w:ind w:firstLine="422" w:firstLineChars="200"/>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13.验收和工程试车</w:t>
      </w:r>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6CC8C9BC">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 分部分项工程验收</w:t>
      </w:r>
    </w:p>
    <w:p w14:paraId="1B2D117A">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13.1.2监理人不能按时进行验收时，应提前小时提交书面延期要求。</w:t>
      </w:r>
    </w:p>
    <w:p w14:paraId="58CBC622">
      <w:pPr>
        <w:spacing w:line="400" w:lineRule="exact"/>
        <w:ind w:firstLine="420" w:firstLineChars="200"/>
        <w:jc w:val="left"/>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关于延期最长不得超过：小时。</w:t>
      </w:r>
    </w:p>
    <w:p w14:paraId="29864919">
      <w:pPr>
        <w:spacing w:after="120" w:line="400" w:lineRule="exact"/>
        <w:ind w:firstLine="420" w:firstLineChars="200"/>
        <w:rPr>
          <w:rFonts w:ascii="宋体" w:hAnsi="宋体"/>
          <w:color w:val="000000" w:themeColor="text1"/>
          <w:szCs w:val="21"/>
          <w:highlight w:val="none"/>
          <w14:textFill>
            <w14:solidFill>
              <w14:schemeClr w14:val="tx1"/>
            </w14:solidFill>
          </w14:textFill>
        </w:rPr>
      </w:pPr>
      <w:bookmarkStart w:id="773" w:name="_Toc296891263"/>
      <w:bookmarkStart w:id="774" w:name="_Toc297216224"/>
      <w:bookmarkStart w:id="775" w:name="_Toc296347222"/>
      <w:bookmarkStart w:id="776" w:name="_Toc304295596"/>
      <w:bookmarkStart w:id="777" w:name="_Toc292559428"/>
      <w:bookmarkStart w:id="778" w:name="_Toc297120523"/>
      <w:bookmarkStart w:id="779" w:name="_Toc303539173"/>
      <w:bookmarkStart w:id="780" w:name="_Toc296346724"/>
      <w:bookmarkStart w:id="781" w:name="_Toc297123565"/>
      <w:bookmarkStart w:id="782" w:name="_Toc296503223"/>
      <w:bookmarkStart w:id="783" w:name="_Toc297048409"/>
      <w:bookmarkStart w:id="784" w:name="_Toc296944562"/>
      <w:bookmarkStart w:id="785" w:name="_Toc296891051"/>
      <w:bookmarkStart w:id="786" w:name="_Toc312678056"/>
      <w:bookmarkStart w:id="787" w:name="_Toc300935016"/>
      <w:bookmarkStart w:id="788" w:name="_Toc292559933"/>
      <w:r>
        <w:rPr>
          <w:rFonts w:ascii="宋体" w:hAnsi="宋体"/>
          <w:color w:val="000000" w:themeColor="text1"/>
          <w:szCs w:val="21"/>
          <w:highlight w:val="none"/>
          <w14:textFill>
            <w14:solidFill>
              <w14:schemeClr w14:val="tx1"/>
            </w14:solidFill>
          </w14:textFill>
        </w:rPr>
        <w:t>13.2 竣工验收</w:t>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3C765445">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789" w:name="_Toc280868704"/>
      <w:bookmarkStart w:id="790" w:name="_Toc280868705"/>
      <w:bookmarkStart w:id="791" w:name="_Toc280868706"/>
      <w:bookmarkStart w:id="792" w:name="_Toc280868707"/>
      <w:bookmarkStart w:id="793" w:name="_Toc280868708"/>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竣工验收程序</w:t>
      </w:r>
    </w:p>
    <w:bookmarkEnd w:id="789"/>
    <w:p w14:paraId="7E7EBB76">
      <w:pPr>
        <w:spacing w:line="400" w:lineRule="exact"/>
        <w:ind w:left="4376" w:leftChars="284" w:hanging="3780" w:hangingChars="18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关于竣工验收程序的约定：</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69B2C5B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ascii="宋体" w:hAnsi="宋体"/>
          <w:color w:val="000000" w:themeColor="text1"/>
          <w:szCs w:val="21"/>
          <w:highlight w:val="none"/>
          <w14:textFill>
            <w14:solidFill>
              <w14:schemeClr w14:val="tx1"/>
            </w14:solidFill>
          </w14:textFill>
        </w:rPr>
        <w:t>。</w:t>
      </w:r>
    </w:p>
    <w:bookmarkEnd w:id="790"/>
    <w:p w14:paraId="071BA47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移交、接收全部与部分工程</w:t>
      </w:r>
    </w:p>
    <w:bookmarkEnd w:id="791"/>
    <w:p w14:paraId="05F8552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承包人向发包人移交工程的期限：</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3E6A6D3B">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color w:val="000000" w:themeColor="text1"/>
          <w:szCs w:val="21"/>
          <w:highlight w:val="none"/>
          <w:u w:val="single"/>
          <w14:textFill>
            <w14:solidFill>
              <w14:schemeClr w14:val="tx1"/>
            </w14:solidFill>
          </w14:textFill>
        </w:rPr>
        <w:t>承担承包人</w:t>
      </w:r>
      <w:r>
        <w:rPr>
          <w:color w:val="000000" w:themeColor="text1"/>
          <w:szCs w:val="21"/>
          <w:highlight w:val="none"/>
          <w:u w:val="single"/>
          <w14:textFill>
            <w14:solidFill>
              <w14:schemeClr w14:val="tx1"/>
            </w14:solidFill>
          </w14:textFill>
        </w:rPr>
        <w:t>未能</w:t>
      </w:r>
      <w:r>
        <w:rPr>
          <w:rFonts w:hint="eastAsia"/>
          <w:color w:val="000000" w:themeColor="text1"/>
          <w:szCs w:val="21"/>
          <w:highlight w:val="none"/>
          <w:u w:val="single"/>
          <w14:textFill>
            <w14:solidFill>
              <w14:schemeClr w14:val="tx1"/>
            </w14:solidFill>
          </w14:textFill>
        </w:rPr>
        <w:t>按约定</w:t>
      </w:r>
      <w:r>
        <w:rPr>
          <w:color w:val="000000" w:themeColor="text1"/>
          <w:szCs w:val="21"/>
          <w:highlight w:val="none"/>
          <w:u w:val="single"/>
          <w14:textFill>
            <w14:solidFill>
              <w14:schemeClr w14:val="tx1"/>
            </w14:solidFill>
          </w14:textFill>
        </w:rPr>
        <w:t>退场造成</w:t>
      </w:r>
      <w:r>
        <w:rPr>
          <w:rFonts w:hint="eastAsia"/>
          <w:color w:val="000000" w:themeColor="text1"/>
          <w:szCs w:val="21"/>
          <w:highlight w:val="none"/>
          <w:u w:val="single"/>
          <w14:textFill>
            <w14:solidFill>
              <w14:schemeClr w14:val="tx1"/>
            </w14:solidFill>
          </w14:textFill>
        </w:rPr>
        <w:t>的</w:t>
      </w:r>
      <w:r>
        <w:rPr>
          <w:color w:val="000000" w:themeColor="text1"/>
          <w:szCs w:val="21"/>
          <w:highlight w:val="none"/>
          <w:u w:val="single"/>
          <w14:textFill>
            <w14:solidFill>
              <w14:schemeClr w14:val="tx1"/>
            </w14:solidFill>
          </w14:textFill>
        </w:rPr>
        <w:t xml:space="preserve">全部损失  </w:t>
      </w:r>
      <w:r>
        <w:rPr>
          <w:rFonts w:ascii="宋体" w:hAnsi="宋体"/>
          <w:color w:val="000000" w:themeColor="text1"/>
          <w:szCs w:val="21"/>
          <w:highlight w:val="none"/>
          <w14:textFill>
            <w14:solidFill>
              <w14:schemeClr w14:val="tx1"/>
            </w14:solidFill>
          </w14:textFill>
        </w:rPr>
        <w:t>。</w:t>
      </w:r>
    </w:p>
    <w:bookmarkEnd w:id="792"/>
    <w:p w14:paraId="0BD29AA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承包人未按时移交工程的，违约金的计算方法为：</w:t>
      </w:r>
      <w:r>
        <w:rPr>
          <w:rFonts w:hint="eastAsia" w:ascii="宋体" w:hAnsi="宋体"/>
          <w:color w:val="000000" w:themeColor="text1"/>
          <w:szCs w:val="21"/>
          <w:highlight w:val="none"/>
          <w:u w:val="single"/>
          <w14:textFill>
            <w14:solidFill>
              <w14:schemeClr w14:val="tx1"/>
            </w14:solidFill>
          </w14:textFill>
        </w:rPr>
        <w:t>承担发包人不能按接收期投入使用所造成全部的损失。</w:t>
      </w:r>
    </w:p>
    <w:p w14:paraId="2F906E68">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13.3 工程试车</w:t>
      </w:r>
    </w:p>
    <w:bookmarkEnd w:id="793"/>
    <w:p w14:paraId="1F18F5F5">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13.3.1 试车程序</w:t>
      </w:r>
    </w:p>
    <w:p w14:paraId="095CB2B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工程试车内容：</w:t>
      </w:r>
      <w:r>
        <w:rPr>
          <w:rFonts w:hint="eastAsia" w:ascii="宋体" w:hAnsi="宋体"/>
          <w:color w:val="000000" w:themeColor="text1"/>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2B1B3462">
      <w:pPr>
        <w:spacing w:line="40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（1）单机无负荷试车费用由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r>
        <w:rPr>
          <w:rFonts w:hint="eastAsia" w:ascii="宋体" w:hAnsi="宋体"/>
          <w:color w:val="000000" w:themeColor="text1"/>
          <w:kern w:val="0"/>
          <w:szCs w:val="21"/>
          <w:highlight w:val="none"/>
          <w:lang w:eastAsia="zh-CN"/>
          <w14:textFill>
            <w14:solidFill>
              <w14:schemeClr w14:val="tx1"/>
            </w14:solidFill>
          </w14:textFill>
        </w:rPr>
        <w:t>；</w:t>
      </w:r>
    </w:p>
    <w:p w14:paraId="66914F5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（2）无负荷联动试车费用由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p>
    <w:p w14:paraId="6918C29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 xml:space="preserve"> 投料试车</w:t>
      </w:r>
    </w:p>
    <w:p w14:paraId="490AE10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关于投料试车相关事项的约定：</w:t>
      </w:r>
      <w:r>
        <w:rPr>
          <w:rFonts w:ascii="宋体" w:hAnsi="宋体"/>
          <w:color w:val="000000" w:themeColor="text1"/>
          <w:szCs w:val="21"/>
          <w:highlight w:val="none"/>
          <w14:textFill>
            <w14:solidFill>
              <w14:schemeClr w14:val="tx1"/>
            </w14:solidFill>
          </w14:textFill>
        </w:rPr>
        <w:t>。</w:t>
      </w:r>
    </w:p>
    <w:p w14:paraId="38537B44">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竣工退场</w:t>
      </w:r>
    </w:p>
    <w:p w14:paraId="0F12BD6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w:t>
      </w:r>
      <w:r>
        <w:rPr>
          <w:rFonts w:hint="eastAsia" w:ascii="宋体" w:hAnsi="宋体"/>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.1 竣工退场</w:t>
      </w:r>
    </w:p>
    <w:p w14:paraId="59E34B4C">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承包人完成竣工退场的期限：</w:t>
      </w:r>
      <w:r>
        <w:rPr>
          <w:rFonts w:hint="eastAsia" w:ascii="宋体" w:hAnsi="宋体"/>
          <w:color w:val="000000" w:themeColor="text1"/>
          <w:szCs w:val="21"/>
          <w:highlight w:val="none"/>
          <w:u w:val="single"/>
          <w14:textFill>
            <w14:solidFill>
              <w14:schemeClr w14:val="tx1"/>
            </w14:solidFill>
          </w14:textFill>
        </w:rPr>
        <w:t xml:space="preserve"> 20天  </w:t>
      </w:r>
      <w:r>
        <w:rPr>
          <w:rFonts w:ascii="宋体" w:hAnsi="宋体"/>
          <w:color w:val="000000" w:themeColor="text1"/>
          <w:kern w:val="0"/>
          <w:szCs w:val="21"/>
          <w:highlight w:val="none"/>
          <w14:textFill>
            <w14:solidFill>
              <w14:schemeClr w14:val="tx1"/>
            </w14:solidFill>
          </w14:textFill>
        </w:rPr>
        <w:t>。</w:t>
      </w:r>
    </w:p>
    <w:p w14:paraId="2884350D">
      <w:pPr>
        <w:keepNext/>
        <w:keepLines/>
        <w:widowControl/>
        <w:spacing w:before="120" w:after="120" w:line="40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14. 竣工结算</w:t>
      </w:r>
      <w:bookmarkEnd w:id="733"/>
    </w:p>
    <w:p w14:paraId="16CD669A">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14.1 竣工付款申请</w:t>
      </w:r>
    </w:p>
    <w:p w14:paraId="20C597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给造价咨询审核结算部门审核，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535EFCF5">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竣工付款申请单应包括的内容：</w:t>
      </w:r>
      <w:r>
        <w:rPr>
          <w:rFonts w:hint="eastAsia" w:ascii="宋体" w:hAnsi="宋体"/>
          <w:color w:val="000000" w:themeColor="text1"/>
          <w:szCs w:val="21"/>
          <w:highlight w:val="none"/>
          <w:u w:val="single"/>
          <w14:textFill>
            <w14:solidFill>
              <w14:schemeClr w14:val="tx1"/>
            </w14:solidFill>
          </w14:textFill>
        </w:rPr>
        <w:t>竣工结算合同价格、发包人已支付承包人的工程价款、应扣留的质量保证金、应支付的竣工付款金额</w:t>
      </w:r>
      <w:r>
        <w:rPr>
          <w:rFonts w:ascii="宋体" w:hAnsi="宋体"/>
          <w:color w:val="000000" w:themeColor="text1"/>
          <w:szCs w:val="21"/>
          <w:highlight w:val="none"/>
          <w14:textFill>
            <w14:solidFill>
              <w14:schemeClr w14:val="tx1"/>
            </w14:solidFill>
          </w14:textFill>
        </w:rPr>
        <w:t xml:space="preserve"> 。</w:t>
      </w:r>
    </w:p>
    <w:p w14:paraId="083F96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14.2 竣工结算审核</w:t>
      </w:r>
    </w:p>
    <w:p w14:paraId="5896DC7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审计部门或第三方有资质的审计机构出具审核报告后，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6BEE4C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发包人完成竣工付款的期限：</w:t>
      </w:r>
      <w:r>
        <w:rPr>
          <w:rFonts w:ascii="宋体" w:hAnsi="宋体" w:cs="楷体_GB2312"/>
          <w:color w:val="000000" w:themeColor="text1"/>
          <w:szCs w:val="21"/>
          <w:highlight w:val="none"/>
          <w:u w:val="single"/>
          <w14:textFill>
            <w14:solidFill>
              <w14:schemeClr w14:val="tx1"/>
            </w14:solidFill>
          </w14:textFill>
        </w:rPr>
        <w:t>56</w:t>
      </w:r>
      <w:r>
        <w:rPr>
          <w:rFonts w:hint="eastAsia" w:ascii="宋体" w:hAnsi="宋体" w:cs="楷体_GB2312"/>
          <w:color w:val="000000" w:themeColor="text1"/>
          <w:szCs w:val="21"/>
          <w:highlight w:val="none"/>
          <w:u w:val="single"/>
          <w14:textFill>
            <w14:solidFill>
              <w14:schemeClr w14:val="tx1"/>
            </w14:solidFill>
          </w14:textFill>
        </w:rPr>
        <w:t>天（超过</w:t>
      </w:r>
      <w:r>
        <w:rPr>
          <w:rFonts w:ascii="宋体" w:hAnsi="宋体" w:cs="楷体_GB2312"/>
          <w:color w:val="000000" w:themeColor="text1"/>
          <w:szCs w:val="21"/>
          <w:highlight w:val="none"/>
          <w:u w:val="single"/>
          <w14:textFill>
            <w14:solidFill>
              <w14:schemeClr w14:val="tx1"/>
            </w14:solidFill>
          </w14:textFill>
        </w:rPr>
        <w:t>56天</w:t>
      </w:r>
      <w:r>
        <w:rPr>
          <w:rFonts w:hint="eastAsia" w:ascii="宋体" w:hAnsi="宋体" w:cs="楷体_GB2312"/>
          <w:color w:val="000000" w:themeColor="text1"/>
          <w:szCs w:val="21"/>
          <w:highlight w:val="none"/>
          <w:u w:val="single"/>
          <w14:textFill>
            <w14:solidFill>
              <w14:schemeClr w14:val="tx1"/>
            </w14:solidFill>
          </w14:textFill>
        </w:rPr>
        <w:t>以上按中国人民银行同期贷款基准利率计算）</w:t>
      </w:r>
      <w:r>
        <w:rPr>
          <w:rFonts w:hint="eastAsia" w:hAnsi="宋体"/>
          <w:color w:val="000000" w:themeColor="text1"/>
          <w:szCs w:val="21"/>
          <w:highlight w:val="none"/>
          <w14:textFill>
            <w14:solidFill>
              <w14:schemeClr w14:val="tx1"/>
            </w14:solidFill>
          </w14:textFill>
        </w:rPr>
        <w:t>。</w:t>
      </w:r>
    </w:p>
    <w:p w14:paraId="2DF4F97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关于竣工付款证书异议部分复核的方式和程序：</w:t>
      </w:r>
      <w:r>
        <w:rPr>
          <w:rFonts w:hint="eastAsia" w:ascii="宋体" w:hAnsi="宋体"/>
          <w:color w:val="000000" w:themeColor="text1"/>
          <w:szCs w:val="21"/>
          <w:highlight w:val="none"/>
          <w:u w:val="single"/>
          <w14:textFill>
            <w14:solidFill>
              <w14:schemeClr w14:val="tx1"/>
            </w14:solidFill>
          </w14:textFill>
        </w:rPr>
        <w:t>按《通用合同条款》</w:t>
      </w:r>
      <w:r>
        <w:rPr>
          <w:rFonts w:ascii="宋体" w:hAnsi="宋体"/>
          <w:color w:val="000000" w:themeColor="text1"/>
          <w:szCs w:val="21"/>
          <w:highlight w:val="none"/>
          <w14:textFill>
            <w14:solidFill>
              <w14:schemeClr w14:val="tx1"/>
            </w14:solidFill>
          </w14:textFill>
        </w:rPr>
        <w:t>。</w:t>
      </w:r>
    </w:p>
    <w:p w14:paraId="121F135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最终结清</w:t>
      </w:r>
    </w:p>
    <w:p w14:paraId="6192CC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最终结清申请单</w:t>
      </w:r>
    </w:p>
    <w:p w14:paraId="12B6D5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承包人提交最终结清申请单的份数：</w:t>
      </w:r>
      <w:r>
        <w:rPr>
          <w:rFonts w:hint="eastAsia" w:ascii="宋体" w:hAnsi="宋体"/>
          <w:color w:val="000000" w:themeColor="text1"/>
          <w:szCs w:val="21"/>
          <w:highlight w:val="none"/>
          <w:u w:val="single"/>
          <w14:textFill>
            <w14:solidFill>
              <w14:schemeClr w14:val="tx1"/>
            </w14:solidFill>
          </w14:textFill>
        </w:rPr>
        <w:t>提交最终结清申请书一式五份</w:t>
      </w:r>
      <w:r>
        <w:rPr>
          <w:rFonts w:ascii="宋体" w:hAnsi="宋体"/>
          <w:color w:val="000000" w:themeColor="text1"/>
          <w:szCs w:val="21"/>
          <w:highlight w:val="none"/>
          <w14:textFill>
            <w14:solidFill>
              <w14:schemeClr w14:val="tx1"/>
            </w14:solidFill>
          </w14:textFill>
        </w:rPr>
        <w:t>。</w:t>
      </w:r>
    </w:p>
    <w:p w14:paraId="663B087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承包人提交最终结算申请单的期限：</w:t>
      </w:r>
      <w:r>
        <w:rPr>
          <w:rFonts w:hint="eastAsia" w:ascii="宋体" w:hAnsi="宋体"/>
          <w:color w:val="000000" w:themeColor="text1"/>
          <w:szCs w:val="21"/>
          <w:highlight w:val="none"/>
          <w:u w:val="single"/>
          <w14:textFill>
            <w14:solidFill>
              <w14:schemeClr w14:val="tx1"/>
            </w14:solidFill>
          </w14:textFill>
        </w:rPr>
        <w:t>缺陷责任期终止证书签发后56天</w:t>
      </w:r>
      <w:r>
        <w:rPr>
          <w:rFonts w:ascii="宋体" w:hAnsi="宋体"/>
          <w:color w:val="000000" w:themeColor="text1"/>
          <w:szCs w:val="21"/>
          <w:highlight w:val="none"/>
          <w:u w:val="single"/>
          <w14:textFill>
            <w14:solidFill>
              <w14:schemeClr w14:val="tx1"/>
            </w14:solidFill>
          </w14:textFill>
        </w:rPr>
        <w:t>内</w:t>
      </w:r>
      <w:r>
        <w:rPr>
          <w:rFonts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w:t>
      </w:r>
    </w:p>
    <w:p w14:paraId="251CE8B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最终结清证书和支付</w:t>
      </w:r>
    </w:p>
    <w:p w14:paraId="3078C2D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（1）发包人完成最终结清申请单的</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并颁发最终结清证书的期限：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ascii="宋体" w:hAnsi="宋体"/>
          <w:color w:val="000000" w:themeColor="text1"/>
          <w:szCs w:val="21"/>
          <w:highlight w:val="none"/>
          <w14:textFill>
            <w14:solidFill>
              <w14:schemeClr w14:val="tx1"/>
            </w14:solidFill>
          </w14:textFill>
        </w:rPr>
        <w:t xml:space="preserve"> 。</w:t>
      </w:r>
    </w:p>
    <w:p w14:paraId="770F162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（2）发包人完成支付的期限：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hint="eastAsia" w:hAnsi="宋体"/>
          <w:color w:val="000000" w:themeColor="text1"/>
          <w:szCs w:val="21"/>
          <w:highlight w:val="none"/>
          <w14:textFill>
            <w14:solidFill>
              <w14:schemeClr w14:val="tx1"/>
            </w14:solidFill>
          </w14:textFill>
        </w:rPr>
        <w:t>。</w:t>
      </w:r>
    </w:p>
    <w:bookmarkEnd w:id="734"/>
    <w:bookmarkEnd w:id="735"/>
    <w:bookmarkEnd w:id="736"/>
    <w:bookmarkEnd w:id="737"/>
    <w:bookmarkEnd w:id="738"/>
    <w:bookmarkEnd w:id="739"/>
    <w:bookmarkEnd w:id="740"/>
    <w:bookmarkEnd w:id="741"/>
    <w:p w14:paraId="2C89E29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794" w:name="_Toc351203647"/>
      <w:bookmarkStart w:id="795" w:name="_Toc267251483"/>
      <w:bookmarkStart w:id="796" w:name="_Toc267251484"/>
      <w:bookmarkStart w:id="797" w:name="_Toc267251482"/>
      <w:bookmarkStart w:id="798" w:name="_Toc267251485"/>
      <w:bookmarkStart w:id="799" w:name="_Toc267251486"/>
      <w:bookmarkStart w:id="800" w:name="_Toc267251490"/>
      <w:bookmarkStart w:id="801" w:name="_Toc267251489"/>
      <w:bookmarkStart w:id="802" w:name="_Toc267251488"/>
      <w:bookmarkStart w:id="803" w:name="_Toc267251496"/>
      <w:bookmarkStart w:id="804" w:name="_Toc267251501"/>
      <w:bookmarkStart w:id="805" w:name="_Toc267251493"/>
      <w:bookmarkStart w:id="806" w:name="_Toc267251491"/>
      <w:bookmarkStart w:id="807" w:name="_Toc267251499"/>
      <w:bookmarkStart w:id="808" w:name="_Toc267251494"/>
      <w:bookmarkStart w:id="809" w:name="_Toc267251492"/>
      <w:bookmarkStart w:id="810" w:name="_Toc267251495"/>
      <w:bookmarkStart w:id="811" w:name="_Toc267251503"/>
      <w:bookmarkStart w:id="812" w:name="_Toc267251498"/>
      <w:bookmarkStart w:id="813" w:name="_Toc267251502"/>
      <w:bookmarkStart w:id="814" w:name="_Toc267251497"/>
      <w:bookmarkStart w:id="815" w:name="_Toc267251506"/>
      <w:bookmarkStart w:id="816" w:name="_Toc267251504"/>
      <w:bookmarkStart w:id="817" w:name="_Toc267251507"/>
      <w:bookmarkStart w:id="818" w:name="_Toc267251508"/>
      <w:bookmarkStart w:id="819" w:name="_Toc267251513"/>
      <w:bookmarkStart w:id="820" w:name="_Toc267251514"/>
      <w:bookmarkStart w:id="821" w:name="_Toc267251510"/>
      <w:bookmarkStart w:id="822" w:name="_Toc267251515"/>
      <w:bookmarkStart w:id="823" w:name="_Toc267251511"/>
      <w:bookmarkStart w:id="824" w:name="_Toc267251509"/>
      <w:r>
        <w:rPr>
          <w:rFonts w:ascii="宋体" w:hAnsi="宋体" w:eastAsia="黑体"/>
          <w:b/>
          <w:color w:val="000000" w:themeColor="text1"/>
          <w:kern w:val="0"/>
          <w:sz w:val="28"/>
          <w:szCs w:val="21"/>
          <w:highlight w:val="none"/>
          <w14:textFill>
            <w14:solidFill>
              <w14:schemeClr w14:val="tx1"/>
            </w14:solidFill>
          </w14:textFill>
        </w:rPr>
        <w:t>15. 缺陷责任期与保修</w:t>
      </w:r>
      <w:bookmarkEnd w:id="794"/>
    </w:p>
    <w:p w14:paraId="104D5F6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缺陷责任期</w:t>
      </w:r>
      <w:bookmarkEnd w:id="795"/>
    </w:p>
    <w:p w14:paraId="26536D7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缺陷责任期的具体期限：</w:t>
      </w:r>
      <w:r>
        <w:rPr>
          <w:rFonts w:hint="eastAsia" w:ascii="宋体" w:hAnsi="宋体"/>
          <w:color w:val="000000" w:themeColor="text1"/>
          <w:szCs w:val="21"/>
          <w:highlight w:val="none"/>
          <w14:textFill>
            <w14:solidFill>
              <w14:schemeClr w14:val="tx1"/>
            </w14:solidFill>
          </w14:textFill>
        </w:rPr>
        <w:t>12个月</w:t>
      </w:r>
      <w:r>
        <w:rPr>
          <w:rFonts w:ascii="宋体" w:hAnsi="宋体"/>
          <w:color w:val="000000" w:themeColor="text1"/>
          <w:szCs w:val="21"/>
          <w:highlight w:val="none"/>
          <w14:textFill>
            <w14:solidFill>
              <w14:schemeClr w14:val="tx1"/>
            </w14:solidFill>
          </w14:textFill>
        </w:rPr>
        <w:t>。</w:t>
      </w:r>
    </w:p>
    <w:p w14:paraId="306F71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质量保证金</w:t>
      </w:r>
    </w:p>
    <w:p w14:paraId="05B7EB1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关于质量保证金的约定：预留结算总价的3%作为质量保证金</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0A9A22C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承包人提供</w:t>
      </w:r>
      <w:r>
        <w:rPr>
          <w:rFonts w:ascii="宋体" w:hAnsi="宋体"/>
          <w:color w:val="000000" w:themeColor="text1"/>
          <w:szCs w:val="21"/>
          <w:highlight w:val="none"/>
          <w14:textFill>
            <w14:solidFill>
              <w14:schemeClr w14:val="tx1"/>
            </w14:solidFill>
          </w14:textFill>
        </w:rPr>
        <w:t>质量保证金的</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式</w:t>
      </w:r>
    </w:p>
    <w:p w14:paraId="1845BD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质量保证金采用以下第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p>
    <w:p w14:paraId="0CDBE05D">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（1）质量保证金保函，保证金额为： </w:t>
      </w:r>
    </w:p>
    <w:p w14:paraId="0F15BA9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lang w:eastAsia="zh-CN"/>
          <w14:textFill>
            <w14:solidFill>
              <w14:schemeClr w14:val="tx1"/>
            </w14:solidFill>
          </w14:textFill>
        </w:rPr>
        <w:t>；</w:t>
      </w:r>
    </w:p>
    <w:p w14:paraId="0772EABF">
      <w:pPr>
        <w:autoSpaceDE w:val="0"/>
        <w:autoSpaceDN w:val="0"/>
        <w:adjustRightInd w:val="0"/>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其他</w:t>
      </w:r>
      <w:r>
        <w:rPr>
          <w:rFonts w:hint="eastAsia" w:ascii="宋体" w:hAnsi="宋体"/>
          <w:color w:val="000000" w:themeColor="text1"/>
          <w:kern w:val="0"/>
          <w:szCs w:val="21"/>
          <w:highlight w:val="none"/>
          <w14:textFill>
            <w14:solidFill>
              <w14:schemeClr w14:val="tx1"/>
            </w14:solidFill>
          </w14:textFill>
        </w:rPr>
        <w:t>方</w:t>
      </w:r>
      <w:r>
        <w:rPr>
          <w:rFonts w:ascii="宋体" w:hAnsi="宋体"/>
          <w:color w:val="000000" w:themeColor="text1"/>
          <w:kern w:val="0"/>
          <w:szCs w:val="21"/>
          <w:highlight w:val="none"/>
          <w14:textFill>
            <w14:solidFill>
              <w14:schemeClr w14:val="tx1"/>
            </w14:solidFill>
          </w14:textFill>
        </w:rPr>
        <w:t>式:</w:t>
      </w:r>
      <w:r>
        <w:rPr>
          <w:rFonts w:hint="eastAsia" w:ascii="宋体" w:hAnsi="宋体"/>
          <w:bCs/>
          <w:color w:val="000000" w:themeColor="text1"/>
          <w:kern w:val="0"/>
          <w:szCs w:val="21"/>
          <w:highlight w:val="none"/>
          <w:u w:val="single"/>
          <w14:textFill>
            <w14:solidFill>
              <w14:schemeClr w14:val="tx1"/>
            </w14:solidFill>
          </w14:textFill>
        </w:rPr>
        <w:t>待工程质量</w:t>
      </w:r>
      <w:r>
        <w:rPr>
          <w:rFonts w:ascii="宋体" w:hAnsi="宋体"/>
          <w:color w:val="000000" w:themeColor="text1"/>
          <w:szCs w:val="21"/>
          <w:highlight w:val="none"/>
          <w:u w:val="single"/>
          <w14:textFill>
            <w14:solidFill>
              <w14:schemeClr w14:val="tx1"/>
            </w14:solidFill>
          </w14:textFill>
        </w:rPr>
        <w:t>缺陷责任期</w:t>
      </w:r>
      <w:r>
        <w:rPr>
          <w:rFonts w:hint="eastAsia" w:ascii="宋体" w:hAnsi="宋体"/>
          <w:bCs/>
          <w:color w:val="000000" w:themeColor="text1"/>
          <w:kern w:val="0"/>
          <w:szCs w:val="21"/>
          <w:highlight w:val="none"/>
          <w:u w:val="single"/>
          <w14:textFill>
            <w14:solidFill>
              <w14:schemeClr w14:val="tx1"/>
            </w14:solidFill>
          </w14:textFill>
        </w:rPr>
        <w:t>满后返还。</w:t>
      </w:r>
    </w:p>
    <w:p w14:paraId="2C12D01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.2 质量保证金的扣留 </w:t>
      </w:r>
    </w:p>
    <w:p w14:paraId="5597CBC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质量保证金的扣留采取以下第</w:t>
      </w:r>
      <w:r>
        <w:rPr>
          <w:rFonts w:hint="eastAsia" w:ascii="宋体" w:hAnsi="宋体"/>
          <w:color w:val="000000" w:themeColor="text1"/>
          <w:szCs w:val="21"/>
          <w:highlight w:val="none"/>
          <w:u w:val="single"/>
          <w14:textFill>
            <w14:solidFill>
              <w14:schemeClr w14:val="tx1"/>
            </w14:solidFill>
          </w14:textFill>
        </w:rPr>
        <w:t xml:space="preserve"> 2</w:t>
      </w:r>
      <w:r>
        <w:rPr>
          <w:rFonts w:ascii="宋体" w:hAnsi="宋体"/>
          <w:color w:val="000000" w:themeColor="text1"/>
          <w:szCs w:val="21"/>
          <w:highlight w:val="none"/>
          <w14:textFill>
            <w14:solidFill>
              <w14:schemeClr w14:val="tx1"/>
            </w14:solidFill>
          </w14:textFill>
        </w:rPr>
        <w:t>种方式：</w:t>
      </w:r>
    </w:p>
    <w:p w14:paraId="5651ACC5">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r>
        <w:rPr>
          <w:rFonts w:hint="eastAsia" w:ascii="宋体" w:hAnsi="宋体"/>
          <w:color w:val="000000" w:themeColor="text1"/>
          <w:kern w:val="0"/>
          <w:szCs w:val="21"/>
          <w:highlight w:val="none"/>
          <w:lang w:eastAsia="zh-CN"/>
          <w14:textFill>
            <w14:solidFill>
              <w14:schemeClr w14:val="tx1"/>
            </w14:solidFill>
          </w14:textFill>
        </w:rPr>
        <w:t>；</w:t>
      </w:r>
    </w:p>
    <w:p w14:paraId="0749F74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14:textFill>
            <w14:solidFill>
              <w14:schemeClr w14:val="tx1"/>
            </w14:solidFill>
          </w14:textFill>
        </w:rPr>
        <w:t>。</w:t>
      </w:r>
    </w:p>
    <w:p w14:paraId="22D6B6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关于质量保证金的补充约定：</w:t>
      </w:r>
      <w:r>
        <w:rPr>
          <w:rFonts w:ascii="宋体" w:hAnsi="宋体"/>
          <w:color w:val="000000" w:themeColor="text1"/>
          <w:kern w:val="0"/>
          <w:szCs w:val="21"/>
          <w:highlight w:val="none"/>
          <w14:textFill>
            <w14:solidFill>
              <w14:schemeClr w14:val="tx1"/>
            </w14:solidFill>
          </w14:textFill>
        </w:rPr>
        <w:t>。</w:t>
      </w:r>
    </w:p>
    <w:bookmarkEnd w:id="796"/>
    <w:bookmarkEnd w:id="797"/>
    <w:p w14:paraId="4C1E7B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保修</w:t>
      </w:r>
    </w:p>
    <w:bookmarkEnd w:id="798"/>
    <w:p w14:paraId="77A08AB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质量保修期从工程实际竣工之日算起。分单项竣工验收的工程，按单项工程分别计算质量保修期。</w:t>
      </w:r>
    </w:p>
    <w:p w14:paraId="284CF3E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双方根据国家有关规定，结合具体工程约定质量保修期如下：</w:t>
      </w:r>
    </w:p>
    <w:p w14:paraId="10B5CE5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(1)地基基础工程、主体结构工程为设计文件规定的合理使用年限;</w:t>
      </w:r>
    </w:p>
    <w:p w14:paraId="58BD025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(2)屋面防水工程、有防水要求的卫生间、房间和外墙面的防渗漏：</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p>
    <w:p w14:paraId="7859EFDA">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(3)供热及供冷系统为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个采暖期及供冷期</w:t>
      </w:r>
      <w:r>
        <w:rPr>
          <w:rFonts w:hint="eastAsia" w:ascii="宋体" w:hAnsi="宋体"/>
          <w:color w:val="000000" w:themeColor="text1"/>
          <w:szCs w:val="21"/>
          <w:highlight w:val="none"/>
          <w:lang w:eastAsia="zh-CN"/>
          <w14:textFill>
            <w14:solidFill>
              <w14:schemeClr w14:val="tx1"/>
            </w14:solidFill>
          </w14:textFill>
        </w:rPr>
        <w:t>；</w:t>
      </w:r>
    </w:p>
    <w:p w14:paraId="73ADAE4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(4)电气管线、给排水管道、设备安装为</w:t>
      </w:r>
      <w:r>
        <w:rPr>
          <w:rFonts w:hint="eastAsia" w:ascii="宋体" w:hAnsi="宋体"/>
          <w:color w:val="000000" w:themeColor="text1"/>
          <w:szCs w:val="21"/>
          <w:highlight w:val="none"/>
          <w:u w:val="singl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2781DF27">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(5)装修工程为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eastAsia="zh-CN"/>
          <w14:textFill>
            <w14:solidFill>
              <w14:schemeClr w14:val="tx1"/>
            </w14:solidFill>
          </w14:textFill>
        </w:rPr>
        <w:t>；</w:t>
      </w:r>
    </w:p>
    <w:p w14:paraId="0BD99C16">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(6)室外的上下水和小区道路等市政公用工程为 </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63789B4B">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(7)在没有明文规定下，参照建设工程质量保修条例，双方协商为设计文件规定的该工程的合理使用年限内保修</w:t>
      </w:r>
      <w:r>
        <w:rPr>
          <w:rFonts w:hint="eastAsia" w:ascii="宋体" w:hAnsi="宋体"/>
          <w:color w:val="000000" w:themeColor="text1"/>
          <w:szCs w:val="21"/>
          <w:highlight w:val="none"/>
          <w:lang w:eastAsia="zh-CN"/>
          <w14:textFill>
            <w14:solidFill>
              <w14:schemeClr w14:val="tx1"/>
            </w14:solidFill>
          </w14:textFill>
        </w:rPr>
        <w:t>；</w:t>
      </w:r>
    </w:p>
    <w:p w14:paraId="2EEF38F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w:t>
      </w:r>
    </w:p>
    <w:bookmarkEnd w:id="799"/>
    <w:bookmarkEnd w:id="800"/>
    <w:bookmarkEnd w:id="801"/>
    <w:bookmarkEnd w:id="802"/>
    <w:p w14:paraId="1CCC820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25" w:name="_Toc351203648"/>
      <w:bookmarkStart w:id="826" w:name="_Toc280868717"/>
      <w:bookmarkStart w:id="827" w:name="_Toc280868718"/>
      <w:r>
        <w:rPr>
          <w:rFonts w:ascii="宋体" w:hAnsi="宋体" w:eastAsia="黑体"/>
          <w:b/>
          <w:color w:val="000000" w:themeColor="text1"/>
          <w:kern w:val="0"/>
          <w:sz w:val="28"/>
          <w:szCs w:val="21"/>
          <w:highlight w:val="none"/>
          <w14:textFill>
            <w14:solidFill>
              <w14:schemeClr w14:val="tx1"/>
            </w14:solidFill>
          </w14:textFill>
        </w:rPr>
        <w:t>16. 违约</w:t>
      </w:r>
      <w:bookmarkEnd w:id="825"/>
    </w:p>
    <w:p w14:paraId="25539E5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 发包人违约</w:t>
      </w:r>
    </w:p>
    <w:p w14:paraId="546D1A5C">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28" w:name="_Toc465114927"/>
      <w:bookmarkStart w:id="829" w:name="_Toc373227767"/>
      <w:bookmarkStart w:id="830" w:name="_Toc373478414"/>
      <w:bookmarkStart w:id="831" w:name="_Toc389065332"/>
      <w:bookmarkStart w:id="832" w:name="_Toc351203649"/>
      <w:r>
        <w:rPr>
          <w:rFonts w:ascii="宋体" w:hAnsi="宋体"/>
          <w:b/>
          <w:bCs/>
          <w:color w:val="000000" w:themeColor="text1"/>
          <w:kern w:val="0"/>
          <w:sz w:val="24"/>
          <w:szCs w:val="32"/>
          <w:highlight w:val="none"/>
          <w14:textFill>
            <w14:solidFill>
              <w14:schemeClr w14:val="tx1"/>
            </w14:solidFill>
          </w14:textFill>
        </w:rPr>
        <w:t>16.1 发包人违约</w:t>
      </w:r>
      <w:bookmarkEnd w:id="828"/>
      <w:bookmarkEnd w:id="829"/>
      <w:bookmarkEnd w:id="830"/>
      <w:bookmarkEnd w:id="831"/>
    </w:p>
    <w:p w14:paraId="6C9E3A98">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Ansi="宋体"/>
          <w:color w:val="000000" w:themeColor="text1"/>
          <w:szCs w:val="21"/>
          <w:highlight w:val="none"/>
          <w14:textFill>
            <w14:solidFill>
              <w14:schemeClr w14:val="tx1"/>
            </w14:solidFill>
          </w14:textFill>
        </w:rPr>
        <w:t>发包人违约的情形</w:t>
      </w:r>
    </w:p>
    <w:p w14:paraId="43EB5B3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发包人违约的其他情形：</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20877FE8">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16.1.2 </w:t>
      </w:r>
      <w:r>
        <w:rPr>
          <w:rFonts w:hAnsi="宋体"/>
          <w:color w:val="000000" w:themeColor="text1"/>
          <w:kern w:val="0"/>
          <w:szCs w:val="21"/>
          <w:highlight w:val="none"/>
          <w14:textFill>
            <w14:solidFill>
              <w14:schemeClr w14:val="tx1"/>
            </w14:solidFill>
          </w14:textFill>
        </w:rPr>
        <w:t>发包人违约的责任</w:t>
      </w:r>
    </w:p>
    <w:p w14:paraId="4B2AB31C">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发包人违约责任的承担方式和计算方法：</w:t>
      </w:r>
    </w:p>
    <w:p w14:paraId="06C0DCF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天内下达开工通知的违约责任：</w:t>
      </w:r>
      <w:r>
        <w:rPr>
          <w:rFonts w:hint="eastAsia" w:ascii="宋体" w:hAnsi="宋体"/>
          <w:color w:val="000000" w:themeColor="text1"/>
          <w:kern w:val="0"/>
          <w:szCs w:val="21"/>
          <w:highlight w:val="none"/>
          <w14:textFill>
            <w14:solidFill>
              <w14:schemeClr w14:val="tx1"/>
            </w14:solidFill>
          </w14:textFill>
        </w:rPr>
        <w:t>开工时间相应顺延 。</w:t>
      </w:r>
    </w:p>
    <w:p w14:paraId="6E3C0F2E">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）因发包人原因未能按合同约定支付合同价款的违约责任：</w:t>
      </w:r>
      <w:r>
        <w:rPr>
          <w:rFonts w:hint="eastAsia" w:ascii="宋体" w:hAnsi="宋体"/>
          <w:color w:val="000000" w:themeColor="text1"/>
          <w:kern w:val="0"/>
          <w:szCs w:val="21"/>
          <w:highlight w:val="none"/>
          <w14:textFill>
            <w14:solidFill>
              <w14:schemeClr w14:val="tx1"/>
            </w14:solidFill>
          </w14:textFill>
        </w:rPr>
        <w:t>每逾期一天，发包人应以逾期付款额为基数，按中国人民银行发布的同期同类贷款基准利率支付违约金</w:t>
      </w:r>
      <w:r>
        <w:rPr>
          <w:rFonts w:hAnsi="宋体"/>
          <w:color w:val="000000" w:themeColor="text1"/>
          <w:kern w:val="0"/>
          <w:szCs w:val="21"/>
          <w:highlight w:val="none"/>
          <w14:textFill>
            <w14:solidFill>
              <w14:schemeClr w14:val="tx1"/>
            </w14:solidFill>
          </w14:textFill>
        </w:rPr>
        <w:t>。</w:t>
      </w:r>
    </w:p>
    <w:p w14:paraId="0FE72E1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Ansi="宋体"/>
          <w:color w:val="000000" w:themeColor="text1"/>
          <w:kern w:val="0"/>
          <w:szCs w:val="21"/>
          <w:highlight w:val="none"/>
          <w14:textFill>
            <w14:solidFill>
              <w14:schemeClr w14:val="tx1"/>
            </w14:solidFill>
          </w14:textFill>
        </w:rPr>
        <w:t>款〔变更的范围〕第（</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）项约定，自行实施被取消的工作或转由他人实施的违约责任：</w:t>
      </w:r>
      <w:r>
        <w:rPr>
          <w:rFonts w:hint="eastAsia"/>
          <w:color w:val="000000" w:themeColor="text1"/>
          <w:kern w:val="0"/>
          <w:szCs w:val="21"/>
          <w:highlight w:val="none"/>
          <w14:textFill>
            <w14:solidFill>
              <w14:schemeClr w14:val="tx1"/>
            </w14:solidFill>
          </w14:textFill>
        </w:rPr>
        <w:t>双</w:t>
      </w:r>
      <w:r>
        <w:rPr>
          <w:rFonts w:hint="eastAsia" w:ascii="宋体" w:hAnsi="宋体"/>
          <w:color w:val="000000" w:themeColor="text1"/>
          <w:kern w:val="0"/>
          <w:szCs w:val="21"/>
          <w:highlight w:val="none"/>
          <w14:textFill>
            <w14:solidFill>
              <w14:schemeClr w14:val="tx1"/>
            </w14:solidFill>
          </w14:textFill>
        </w:rPr>
        <w:t>方另行商定，如承包人不同意实施的除外。</w:t>
      </w:r>
    </w:p>
    <w:p w14:paraId="08A0E27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Cs w:val="21"/>
          <w:highlight w:val="none"/>
          <w14:textFill>
            <w14:solidFill>
              <w14:schemeClr w14:val="tx1"/>
            </w14:solidFill>
          </w14:textFill>
        </w:rPr>
        <w:t>发包人提供的材料、工程设备的规格、数量或质量不符合合同约定，如影响工期的，工期相应顺延由发包人负责</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如造成承包人返工的，发包人应负责承担返工费用。</w:t>
      </w:r>
    </w:p>
    <w:p w14:paraId="2A02D984">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）因发包人违反合同约定造成暂停施工的违约责任：</w:t>
      </w:r>
      <w:r>
        <w:rPr>
          <w:rFonts w:hint="eastAsia"/>
          <w:color w:val="000000" w:themeColor="text1"/>
          <w:kern w:val="0"/>
          <w:szCs w:val="21"/>
          <w:highlight w:val="non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07AC95AA">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rFonts w:hint="eastAsia"/>
          <w:color w:val="000000" w:themeColor="text1"/>
          <w:kern w:val="0"/>
          <w:szCs w:val="21"/>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40F5368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）其他：</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43D954C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16.1.3 </w:t>
      </w:r>
      <w:r>
        <w:rPr>
          <w:rFonts w:hAnsi="宋体"/>
          <w:color w:val="000000" w:themeColor="text1"/>
          <w:szCs w:val="21"/>
          <w:highlight w:val="none"/>
          <w14:textFill>
            <w14:solidFill>
              <w14:schemeClr w14:val="tx1"/>
            </w14:solidFill>
          </w14:textFill>
        </w:rPr>
        <w:t>因发包人违约解除合同</w:t>
      </w:r>
    </w:p>
    <w:p w14:paraId="046CF84A">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承包人按</w:t>
      </w:r>
      <w:r>
        <w:rPr>
          <w:color w:val="000000" w:themeColor="text1"/>
          <w:kern w:val="0"/>
          <w:szCs w:val="21"/>
          <w:highlight w:val="none"/>
          <w14:textFill>
            <w14:solidFill>
              <w14:schemeClr w14:val="tx1"/>
            </w14:solidFill>
          </w14:textFill>
        </w:rPr>
        <w:t>16.1.1</w:t>
      </w:r>
      <w:r>
        <w:rPr>
          <w:rFonts w:hAnsi="宋体"/>
          <w:color w:val="000000" w:themeColor="text1"/>
          <w:kern w:val="0"/>
          <w:szCs w:val="21"/>
          <w:highlight w:val="none"/>
          <w14:textFill>
            <w14:solidFill>
              <w14:schemeClr w14:val="tx1"/>
            </w14:solidFill>
          </w14:textFill>
        </w:rPr>
        <w:t>项〔发包人违约的情形〕约定暂停施工满</w:t>
      </w:r>
      <w:r>
        <w:rPr>
          <w:color w:val="000000" w:themeColor="text1"/>
          <w:kern w:val="0"/>
          <w:szCs w:val="21"/>
          <w:highlight w:val="none"/>
          <w:u w:val="single"/>
          <w14:textFill>
            <w14:solidFill>
              <w14:schemeClr w14:val="tx1"/>
            </w14:solidFill>
          </w14:textFill>
        </w:rPr>
        <w:t xml:space="preserve"> 90 </w:t>
      </w:r>
      <w:r>
        <w:rPr>
          <w:rFonts w:hAnsi="宋体"/>
          <w:color w:val="000000" w:themeColor="text1"/>
          <w:kern w:val="0"/>
          <w:szCs w:val="21"/>
          <w:highlight w:val="none"/>
          <w14:textFill>
            <w14:solidFill>
              <w14:schemeClr w14:val="tx1"/>
            </w14:solidFill>
          </w14:textFill>
        </w:rPr>
        <w:t>天后发包人仍不纠正其违约行为并致使合同目的不能实现的，承包人有权</w:t>
      </w:r>
      <w:r>
        <w:rPr>
          <w:rFonts w:hint="eastAsia" w:hAnsi="宋体"/>
          <w:color w:val="000000" w:themeColor="text1"/>
          <w:kern w:val="0"/>
          <w:szCs w:val="21"/>
          <w:highlight w:val="none"/>
          <w:lang w:val="en-US" w:eastAsia="zh-CN"/>
          <w14:textFill>
            <w14:solidFill>
              <w14:schemeClr w14:val="tx1"/>
            </w14:solidFill>
          </w14:textFill>
        </w:rPr>
        <w:t>依法</w:t>
      </w:r>
      <w:r>
        <w:rPr>
          <w:rFonts w:hAnsi="宋体"/>
          <w:color w:val="000000" w:themeColor="text1"/>
          <w:kern w:val="0"/>
          <w:szCs w:val="21"/>
          <w:highlight w:val="none"/>
          <w14:textFill>
            <w14:solidFill>
              <w14:schemeClr w14:val="tx1"/>
            </w14:solidFill>
          </w14:textFill>
        </w:rPr>
        <w:t>解除合同。</w:t>
      </w:r>
    </w:p>
    <w:p w14:paraId="2B2A0DC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33" w:name="_Toc465114928"/>
      <w:bookmarkStart w:id="834" w:name="_Toc373478415"/>
      <w:bookmarkStart w:id="835" w:name="_Toc373227768"/>
      <w:bookmarkStart w:id="836" w:name="_Toc389065333"/>
      <w:r>
        <w:rPr>
          <w:rFonts w:ascii="宋体" w:hAnsi="宋体"/>
          <w:b/>
          <w:bCs/>
          <w:color w:val="000000" w:themeColor="text1"/>
          <w:kern w:val="0"/>
          <w:sz w:val="24"/>
          <w:szCs w:val="32"/>
          <w:highlight w:val="none"/>
          <w14:textFill>
            <w14:solidFill>
              <w14:schemeClr w14:val="tx1"/>
            </w14:solidFill>
          </w14:textFill>
        </w:rPr>
        <w:t>16.2 承包人违约</w:t>
      </w:r>
      <w:bookmarkEnd w:id="833"/>
      <w:bookmarkEnd w:id="834"/>
      <w:bookmarkEnd w:id="835"/>
      <w:bookmarkEnd w:id="836"/>
    </w:p>
    <w:p w14:paraId="7E7EDB01">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16.2.1 </w:t>
      </w:r>
      <w:r>
        <w:rPr>
          <w:rFonts w:hAnsi="宋体"/>
          <w:color w:val="000000" w:themeColor="text1"/>
          <w:kern w:val="0"/>
          <w:szCs w:val="21"/>
          <w:highlight w:val="none"/>
          <w14:textFill>
            <w14:solidFill>
              <w14:schemeClr w14:val="tx1"/>
            </w14:solidFill>
          </w14:textFill>
        </w:rPr>
        <w:t>承包人违约的情形</w:t>
      </w:r>
    </w:p>
    <w:p w14:paraId="3EF4B18D">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承包人违约的其他情形：</w:t>
      </w:r>
      <w:r>
        <w:rPr>
          <w:rFonts w:hint="eastAsia"/>
          <w:color w:val="000000" w:themeColor="text1"/>
          <w:kern w:val="0"/>
          <w:szCs w:val="21"/>
          <w:highlight w:val="none"/>
          <w:u w:val="single"/>
          <w14:textFill>
            <w14:solidFill>
              <w14:schemeClr w14:val="tx1"/>
            </w14:solidFill>
          </w14:textFill>
        </w:rPr>
        <w:t>承包人未在约定的时间内提供完整的工程竣工结算资料，经发包人书面催促后28天内仍未提交。</w:t>
      </w:r>
    </w:p>
    <w:p w14:paraId="023B02CF">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16.2.2</w:t>
      </w:r>
      <w:r>
        <w:rPr>
          <w:rFonts w:hAnsi="宋体"/>
          <w:color w:val="000000" w:themeColor="text1"/>
          <w:kern w:val="0"/>
          <w:szCs w:val="21"/>
          <w:highlight w:val="none"/>
          <w14:textFill>
            <w14:solidFill>
              <w14:schemeClr w14:val="tx1"/>
            </w14:solidFill>
          </w14:textFill>
        </w:rPr>
        <w:t>承包人违约的责任</w:t>
      </w:r>
    </w:p>
    <w:p w14:paraId="3612580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承包人违约责任的承担方式和计算方法：</w:t>
      </w:r>
    </w:p>
    <w:p w14:paraId="12970CC0">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）承包人未按本合同通用条款第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）条内容完成的，承包人无条件返工处理，修复至工程质量要求并承担相关费用，并在发包人规定的时间内完成返工，否则发包人有权扣罚该分项工程</w:t>
      </w:r>
      <w:r>
        <w:rPr>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的工程款作为处罚。</w:t>
      </w:r>
    </w:p>
    <w:p w14:paraId="1221546C">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）条情形的，或经监理人检验认为修复质量不合格而承包人拒绝再进行修补的，发包人将扣除承包人全部质量保修金。</w:t>
      </w:r>
    </w:p>
    <w:p w14:paraId="5BA6A7CD">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）承包人有本专用合同条款</w:t>
      </w:r>
      <w:r>
        <w:rPr>
          <w:color w:val="000000" w:themeColor="text1"/>
          <w:kern w:val="0"/>
          <w:szCs w:val="21"/>
          <w:highlight w:val="none"/>
          <w14:textFill>
            <w14:solidFill>
              <w14:schemeClr w14:val="tx1"/>
            </w14:solidFill>
          </w14:textFill>
        </w:rPr>
        <w:t>3.2</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3.3</w:t>
      </w:r>
      <w:r>
        <w:rPr>
          <w:rFonts w:hAnsi="宋体"/>
          <w:color w:val="000000" w:themeColor="text1"/>
          <w:kern w:val="0"/>
          <w:szCs w:val="21"/>
          <w:highlight w:val="none"/>
          <w14:textFill>
            <w14:solidFill>
              <w14:schemeClr w14:val="tx1"/>
            </w14:solidFill>
          </w14:textFill>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2B16A39">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16.2.3 </w:t>
      </w:r>
      <w:r>
        <w:rPr>
          <w:rFonts w:hAnsi="宋体"/>
          <w:color w:val="000000" w:themeColor="text1"/>
          <w:szCs w:val="21"/>
          <w:highlight w:val="none"/>
          <w14:textFill>
            <w14:solidFill>
              <w14:schemeClr w14:val="tx1"/>
            </w14:solidFill>
          </w14:textFill>
        </w:rPr>
        <w:t>因承包人违约解除合同</w:t>
      </w:r>
    </w:p>
    <w:p w14:paraId="398FB611">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关于承包人违约解除合同的特别约定：</w:t>
      </w:r>
      <w:r>
        <w:rPr>
          <w:rFonts w:hAnsi="宋体"/>
          <w:color w:val="000000" w:themeColor="text1"/>
          <w:kern w:val="0"/>
          <w:szCs w:val="21"/>
          <w:highlight w:val="none"/>
          <w:u w:val="single"/>
          <w14:textFill>
            <w14:solidFill>
              <w14:schemeClr w14:val="tx1"/>
            </w14:solidFill>
          </w14:textFill>
        </w:rPr>
        <w:t>承包人有违反以下情况之一的，发包人有权</w:t>
      </w:r>
      <w:r>
        <w:rPr>
          <w:rFonts w:hint="eastAsia"/>
          <w:color w:val="000000" w:themeColor="text1"/>
          <w:highlight w:val="none"/>
          <w:u w:val="single"/>
          <w:lang w:val="en-US" w:eastAsia="zh-CN"/>
          <w14:textFill>
            <w14:solidFill>
              <w14:schemeClr w14:val="tx1"/>
            </w14:solidFill>
          </w14:textFill>
        </w:rPr>
        <w:t>依法</w:t>
      </w:r>
      <w:r>
        <w:rPr>
          <w:rFonts w:hAnsi="宋体"/>
          <w:color w:val="000000" w:themeColor="text1"/>
          <w:kern w:val="0"/>
          <w:szCs w:val="21"/>
          <w:highlight w:val="none"/>
          <w:u w:val="single"/>
          <w14:textFill>
            <w14:solidFill>
              <w14:schemeClr w14:val="tx1"/>
            </w14:solidFill>
          </w14:textFill>
        </w:rPr>
        <w:t>解除合同</w:t>
      </w:r>
      <w:r>
        <w:rPr>
          <w:rFonts w:hAnsi="宋体"/>
          <w:color w:val="000000" w:themeColor="text1"/>
          <w:kern w:val="0"/>
          <w:szCs w:val="21"/>
          <w:highlight w:val="none"/>
          <w14:textFill>
            <w14:solidFill>
              <w14:schemeClr w14:val="tx1"/>
            </w14:solidFill>
          </w14:textFill>
        </w:rPr>
        <w:t>。</w:t>
      </w:r>
    </w:p>
    <w:p w14:paraId="69197C89">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承包人无正当理由不按开工通知的要求及时进场组织施工和不按签订协议书时商</w:t>
      </w:r>
      <w:r>
        <w:rPr>
          <w:rFonts w:hint="eastAsia" w:hAnsi="宋体"/>
          <w:color w:val="000000" w:themeColor="text1"/>
          <w:kern w:val="0"/>
          <w:szCs w:val="21"/>
          <w:highlight w:val="none"/>
          <w14:textFill>
            <w14:solidFill>
              <w14:schemeClr w14:val="tx1"/>
            </w14:solidFill>
          </w14:textFill>
        </w:rPr>
        <w:t>定</w:t>
      </w:r>
      <w:r>
        <w:rPr>
          <w:rFonts w:hAnsi="宋体"/>
          <w:color w:val="000000" w:themeColor="text1"/>
          <w:kern w:val="0"/>
          <w:szCs w:val="21"/>
          <w:highlight w:val="none"/>
          <w14:textFill>
            <w14:solidFill>
              <w14:schemeClr w14:val="tx1"/>
            </w14:solidFill>
          </w14:textFill>
        </w:rPr>
        <w:t>的进度计划有效地开展施工准备，造成工期延误的</w:t>
      </w:r>
      <w:r>
        <w:rPr>
          <w:rFonts w:hint="eastAsia" w:hAnsi="宋体"/>
          <w:color w:val="000000" w:themeColor="text1"/>
          <w:kern w:val="0"/>
          <w:szCs w:val="21"/>
          <w:highlight w:val="none"/>
          <w:lang w:eastAsia="zh-CN"/>
          <w14:textFill>
            <w14:solidFill>
              <w14:schemeClr w14:val="tx1"/>
            </w14:solidFill>
          </w14:textFill>
        </w:rPr>
        <w:t>；</w:t>
      </w:r>
    </w:p>
    <w:p w14:paraId="38F04102">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承包人违反本合同通用条款第</w:t>
      </w:r>
      <w:r>
        <w:rPr>
          <w:color w:val="000000" w:themeColor="text1"/>
          <w:kern w:val="0"/>
          <w:szCs w:val="21"/>
          <w:highlight w:val="none"/>
          <w14:textFill>
            <w14:solidFill>
              <w14:schemeClr w14:val="tx1"/>
            </w14:solidFill>
          </w14:textFill>
        </w:rPr>
        <w:t>3.5</w:t>
      </w:r>
      <w:r>
        <w:rPr>
          <w:rFonts w:hAnsi="宋体"/>
          <w:color w:val="000000" w:themeColor="text1"/>
          <w:kern w:val="0"/>
          <w:szCs w:val="21"/>
          <w:highlight w:val="none"/>
          <w14:textFill>
            <w14:solidFill>
              <w14:schemeClr w14:val="tx1"/>
            </w14:solidFill>
          </w14:textFill>
        </w:rPr>
        <w:t>条规定私自将合同或合同的任何部分或任何权利转让给其他人，或私自将工程或工程的一部分分包出去的</w:t>
      </w:r>
      <w:r>
        <w:rPr>
          <w:rFonts w:hint="eastAsia" w:hAnsi="宋体"/>
          <w:color w:val="000000" w:themeColor="text1"/>
          <w:kern w:val="0"/>
          <w:szCs w:val="21"/>
          <w:highlight w:val="none"/>
          <w:lang w:eastAsia="zh-CN"/>
          <w14:textFill>
            <w14:solidFill>
              <w14:schemeClr w14:val="tx1"/>
            </w14:solidFill>
          </w14:textFill>
        </w:rPr>
        <w:t>；</w:t>
      </w:r>
    </w:p>
    <w:p w14:paraId="13EE9B81">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未经监理人批准，承包人私自将已按</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文件承诺进入工地的工程设备、施工设备、临时工程或材料撤离工地的</w:t>
      </w:r>
      <w:r>
        <w:rPr>
          <w:rFonts w:hint="eastAsia" w:hAnsi="宋体"/>
          <w:color w:val="000000" w:themeColor="text1"/>
          <w:kern w:val="0"/>
          <w:szCs w:val="21"/>
          <w:highlight w:val="none"/>
          <w:lang w:eastAsia="zh-CN"/>
          <w14:textFill>
            <w14:solidFill>
              <w14:schemeClr w14:val="tx1"/>
            </w14:solidFill>
          </w14:textFill>
        </w:rPr>
        <w:t>；</w:t>
      </w:r>
    </w:p>
    <w:p w14:paraId="1AA8A600">
      <w:pPr>
        <w:spacing w:line="360"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由于承包人原因拒绝按合同进度计划及时完成合同规定的工程，而又未采取有效措施赶上进度，造成工期</w:t>
      </w:r>
      <w:r>
        <w:rPr>
          <w:rFonts w:hint="eastAsia" w:hAnsi="宋体"/>
          <w:color w:val="000000" w:themeColor="text1"/>
          <w:kern w:val="0"/>
          <w:szCs w:val="21"/>
          <w:highlight w:val="none"/>
          <w14:textFill>
            <w14:solidFill>
              <w14:schemeClr w14:val="tx1"/>
            </w14:solidFill>
          </w14:textFill>
        </w:rPr>
        <w:t>严重</w:t>
      </w:r>
      <w:r>
        <w:rPr>
          <w:rFonts w:hAnsi="宋体"/>
          <w:color w:val="000000" w:themeColor="text1"/>
          <w:kern w:val="0"/>
          <w:szCs w:val="21"/>
          <w:highlight w:val="none"/>
          <w14:textFill>
            <w14:solidFill>
              <w14:schemeClr w14:val="tx1"/>
            </w14:solidFill>
          </w14:textFill>
        </w:rPr>
        <w:t>延误的</w:t>
      </w:r>
      <w:r>
        <w:rPr>
          <w:rFonts w:hint="eastAsia" w:hAnsi="宋体"/>
          <w:color w:val="000000" w:themeColor="text1"/>
          <w:kern w:val="0"/>
          <w:szCs w:val="21"/>
          <w:highlight w:val="none"/>
          <w:lang w:eastAsia="zh-CN"/>
          <w14:textFill>
            <w14:solidFill>
              <w14:schemeClr w14:val="tx1"/>
            </w14:solidFill>
          </w14:textFill>
        </w:rPr>
        <w:t>；</w:t>
      </w:r>
    </w:p>
    <w:p w14:paraId="51623B16">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承包人否认合同有效或拒绝履行合同规定的承包人义务，或由于法律、财务等原因导致承包人无法继续履行或实质上已停止履行合同的义务的</w:t>
      </w:r>
      <w:r>
        <w:rPr>
          <w:rFonts w:hint="eastAsia" w:hAnsi="宋体"/>
          <w:color w:val="000000" w:themeColor="text1"/>
          <w:kern w:val="0"/>
          <w:szCs w:val="21"/>
          <w:highlight w:val="none"/>
          <w:lang w:eastAsia="zh-CN"/>
          <w14:textFill>
            <w14:solidFill>
              <w14:schemeClr w14:val="tx1"/>
            </w14:solidFill>
          </w14:textFill>
        </w:rPr>
        <w:t>；</w:t>
      </w:r>
    </w:p>
    <w:p w14:paraId="152C6552">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合同签订之日起十五日内，承包人无法按合同规定及</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文件的承诺进场经监理工程师认可的全部人员和机械的。</w:t>
      </w:r>
    </w:p>
    <w:p w14:paraId="6B36DDC8">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kern w:val="0"/>
          <w:szCs w:val="21"/>
          <w:highlight w:val="none"/>
          <w14:textFill>
            <w14:solidFill>
              <w14:schemeClr w14:val="tx1"/>
            </w14:solidFill>
          </w14:textFill>
        </w:rPr>
        <w:t>发包人应支付相应的费用</w:t>
      </w:r>
      <w:r>
        <w:rPr>
          <w:rFonts w:hAnsi="宋体"/>
          <w:color w:val="000000" w:themeColor="text1"/>
          <w:kern w:val="0"/>
          <w:szCs w:val="21"/>
          <w:highlight w:val="none"/>
          <w14:textFill>
            <w14:solidFill>
              <w14:schemeClr w14:val="tx1"/>
            </w14:solidFill>
          </w14:textFill>
        </w:rPr>
        <w:t>。</w:t>
      </w:r>
    </w:p>
    <w:p w14:paraId="7F44220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17. 不可抗力</w:t>
      </w:r>
      <w:bookmarkEnd w:id="826"/>
      <w:bookmarkEnd w:id="832"/>
    </w:p>
    <w:p w14:paraId="4FA16A75">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17.1 不可抗力的确认</w:t>
      </w:r>
    </w:p>
    <w:p w14:paraId="7D7608F0">
      <w:pPr>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除通用合同条款约定的不可抗力事件之外，视为不可抗力的其他情形： </w:t>
      </w:r>
      <w:r>
        <w:rPr>
          <w:rFonts w:ascii="宋体" w:hAnsi="宋体"/>
          <w:color w:val="000000" w:themeColor="text1"/>
          <w:kern w:val="0"/>
          <w:szCs w:val="21"/>
          <w:highlight w:val="none"/>
          <w14:textFill>
            <w14:solidFill>
              <w14:schemeClr w14:val="tx1"/>
            </w14:solidFill>
          </w14:textFill>
        </w:rPr>
        <w:t>。</w:t>
      </w:r>
    </w:p>
    <w:p w14:paraId="5042F1C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因不可抗力解除合同</w:t>
      </w:r>
    </w:p>
    <w:p w14:paraId="492D603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合同解除后，发包人应在商定或确定发包人应支付款项后天内完成款项的支付。</w:t>
      </w:r>
    </w:p>
    <w:p w14:paraId="4C9E862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37" w:name="_Toc351203650"/>
      <w:r>
        <w:rPr>
          <w:rFonts w:ascii="宋体" w:hAnsi="宋体" w:eastAsia="黑体"/>
          <w:b/>
          <w:color w:val="000000" w:themeColor="text1"/>
          <w:kern w:val="0"/>
          <w:sz w:val="28"/>
          <w:szCs w:val="21"/>
          <w:highlight w:val="none"/>
          <w14:textFill>
            <w14:solidFill>
              <w14:schemeClr w14:val="tx1"/>
            </w14:solidFill>
          </w14:textFill>
        </w:rPr>
        <w:t>18. 保险</w:t>
      </w:r>
      <w:bookmarkEnd w:id="837"/>
    </w:p>
    <w:bookmarkEnd w:id="827"/>
    <w:p w14:paraId="15468E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18.1 工程保险</w:t>
      </w:r>
    </w:p>
    <w:p w14:paraId="29CBCC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b/>
          <w:bCs/>
          <w:color w:val="000000" w:themeColor="text1"/>
          <w:szCs w:val="21"/>
          <w:highlight w:val="none"/>
          <w:u w:val="single"/>
          <w14:textFill>
            <w14:solidFill>
              <w14:schemeClr w14:val="tx1"/>
            </w14:solidFill>
          </w14:textFill>
        </w:rPr>
        <w:t>承包人必须为施工现场从事施工的所有作业人员和管理人员办理意外伤害保险，</w:t>
      </w:r>
      <w:r>
        <w:rPr>
          <w:rFonts w:hint="eastAsia" w:ascii="宋体" w:hAnsi="宋体"/>
          <w:b/>
          <w:bCs/>
          <w:color w:val="000000" w:themeColor="text1"/>
          <w:szCs w:val="21"/>
          <w:highlight w:val="none"/>
          <w:u w:val="single"/>
          <w14:textFill>
            <w14:solidFill>
              <w14:schemeClr w14:val="tx1"/>
            </w14:solidFill>
          </w14:textFill>
        </w:rPr>
        <w:t>并</w:t>
      </w:r>
      <w:r>
        <w:rPr>
          <w:rFonts w:ascii="宋体" w:hAnsi="宋体"/>
          <w:b/>
          <w:bCs/>
          <w:color w:val="000000" w:themeColor="text1"/>
          <w:szCs w:val="21"/>
          <w:highlight w:val="none"/>
          <w:u w:val="single"/>
          <w14:textFill>
            <w14:solidFill>
              <w14:schemeClr w14:val="tx1"/>
            </w14:solidFill>
          </w14:textFill>
        </w:rPr>
        <w:t>支付保险费。</w:t>
      </w:r>
    </w:p>
    <w:p w14:paraId="4F98661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其他保险</w:t>
      </w:r>
    </w:p>
    <w:p w14:paraId="72B31F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color w:val="000000" w:themeColor="text1"/>
          <w:kern w:val="0"/>
          <w:szCs w:val="21"/>
          <w:highlight w:val="none"/>
          <w14:textFill>
            <w14:solidFill>
              <w14:schemeClr w14:val="tx1"/>
            </w14:solidFill>
          </w14:textFill>
        </w:rPr>
        <w:t>。</w:t>
      </w:r>
    </w:p>
    <w:p w14:paraId="67871434">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承包人是否应为其施工设备等办理财产保险：。</w:t>
      </w:r>
    </w:p>
    <w:p w14:paraId="180D8B3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通知义务</w:t>
      </w:r>
    </w:p>
    <w:p w14:paraId="6B97A0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关于变更保险合同时的通知义务的约定：</w:t>
      </w:r>
      <w:r>
        <w:rPr>
          <w:rFonts w:ascii="宋体" w:hAnsi="宋体"/>
          <w:color w:val="000000" w:themeColor="text1"/>
          <w:szCs w:val="21"/>
          <w:highlight w:val="none"/>
          <w14:textFill>
            <w14:solidFill>
              <w14:schemeClr w14:val="tx1"/>
            </w14:solidFill>
          </w14:textFill>
        </w:rPr>
        <w:t>。</w:t>
      </w:r>
    </w:p>
    <w:bookmarkEnd w:id="803"/>
    <w:bookmarkEnd w:id="804"/>
    <w:bookmarkEnd w:id="805"/>
    <w:bookmarkEnd w:id="806"/>
    <w:bookmarkEnd w:id="807"/>
    <w:bookmarkEnd w:id="808"/>
    <w:bookmarkEnd w:id="809"/>
    <w:bookmarkEnd w:id="810"/>
    <w:bookmarkEnd w:id="811"/>
    <w:bookmarkEnd w:id="812"/>
    <w:bookmarkEnd w:id="813"/>
    <w:bookmarkEnd w:id="814"/>
    <w:p w14:paraId="227529A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38" w:name="_Toc351203651"/>
      <w:r>
        <w:rPr>
          <w:rFonts w:hint="eastAsia" w:ascii="宋体" w:hAnsi="宋体" w:eastAsia="黑体"/>
          <w:b/>
          <w:color w:val="000000" w:themeColor="text1"/>
          <w:kern w:val="0"/>
          <w:sz w:val="28"/>
          <w:szCs w:val="21"/>
          <w:highlight w:val="none"/>
          <w14:textFill>
            <w14:solidFill>
              <w14:schemeClr w14:val="tx1"/>
            </w14:solidFill>
          </w14:textFill>
        </w:rPr>
        <w:t>19</w:t>
      </w:r>
      <w:r>
        <w:rPr>
          <w:rFonts w:ascii="宋体" w:hAnsi="宋体" w:eastAsia="黑体"/>
          <w:b/>
          <w:color w:val="000000" w:themeColor="text1"/>
          <w:kern w:val="0"/>
          <w:sz w:val="28"/>
          <w:szCs w:val="21"/>
          <w:highlight w:val="none"/>
          <w14:textFill>
            <w14:solidFill>
              <w14:schemeClr w14:val="tx1"/>
            </w14:solidFill>
          </w14:textFill>
        </w:rPr>
        <w:t>. 争议解决</w:t>
      </w:r>
      <w:bookmarkEnd w:id="838"/>
    </w:p>
    <w:bookmarkEnd w:id="815"/>
    <w:bookmarkEnd w:id="816"/>
    <w:p w14:paraId="0F88354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w:t>
      </w:r>
      <w:r>
        <w:rPr>
          <w:rFonts w:ascii="宋体" w:hAnsi="宋体"/>
          <w:color w:val="000000" w:themeColor="text1"/>
          <w:szCs w:val="21"/>
          <w:highlight w:val="none"/>
          <w14:textFill>
            <w14:solidFill>
              <w14:schemeClr w14:val="tx1"/>
            </w14:solidFill>
          </w14:textFill>
        </w:rPr>
        <w:t xml:space="preserve"> 争</w:t>
      </w:r>
      <w:bookmarkEnd w:id="817"/>
      <w:r>
        <w:rPr>
          <w:rFonts w:ascii="宋体" w:hAnsi="宋体"/>
          <w:color w:val="000000" w:themeColor="text1"/>
          <w:szCs w:val="21"/>
          <w:highlight w:val="none"/>
          <w14:textFill>
            <w14:solidFill>
              <w14:schemeClr w14:val="tx1"/>
            </w14:solidFill>
          </w14:textFill>
        </w:rPr>
        <w:t>议评审</w:t>
      </w:r>
    </w:p>
    <w:p w14:paraId="42C3EEC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合同当事人是否同意将工程争议提交争议评审小组决</w:t>
      </w:r>
      <w:r>
        <w:rPr>
          <w:rFonts w:hint="eastAsia" w:ascii="宋体" w:hAnsi="宋体"/>
          <w:color w:val="000000" w:themeColor="text1"/>
          <w:szCs w:val="21"/>
          <w:highlight w:val="none"/>
          <w14:textFill>
            <w14:solidFill>
              <w14:schemeClr w14:val="tx1"/>
            </w14:solidFill>
          </w14:textFill>
        </w:rPr>
        <w:t xml:space="preserve">定：。  </w:t>
      </w:r>
    </w:p>
    <w:p w14:paraId="3C3810D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19.1.1</w:t>
      </w:r>
      <w:r>
        <w:rPr>
          <w:rFonts w:ascii="宋体" w:hAnsi="宋体"/>
          <w:color w:val="000000" w:themeColor="text1"/>
          <w:szCs w:val="21"/>
          <w:highlight w:val="none"/>
          <w14:textFill>
            <w14:solidFill>
              <w14:schemeClr w14:val="tx1"/>
            </w14:solidFill>
          </w14:textFill>
        </w:rPr>
        <w:t xml:space="preserve"> 争议评审小组的确定</w:t>
      </w:r>
    </w:p>
    <w:p w14:paraId="18B53402">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争议评审小组成员的确定：。</w:t>
      </w:r>
    </w:p>
    <w:p w14:paraId="5F5BD76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选定争议评审员的期限：。</w:t>
      </w:r>
    </w:p>
    <w:p w14:paraId="6B8A403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争议评审小组成员的报酬承担方式：。</w:t>
      </w:r>
    </w:p>
    <w:p w14:paraId="340189D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其他事项的约定：。</w:t>
      </w:r>
    </w:p>
    <w:p w14:paraId="62EEC45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19.1.2</w:t>
      </w:r>
      <w:r>
        <w:rPr>
          <w:rFonts w:ascii="宋体" w:hAnsi="宋体"/>
          <w:color w:val="000000" w:themeColor="text1"/>
          <w:kern w:val="0"/>
          <w:szCs w:val="21"/>
          <w:highlight w:val="none"/>
          <w14:textFill>
            <w14:solidFill>
              <w14:schemeClr w14:val="tx1"/>
            </w14:solidFill>
          </w14:textFill>
        </w:rPr>
        <w:t xml:space="preserve"> 争议评审小组的决定</w:t>
      </w:r>
    </w:p>
    <w:p w14:paraId="6DA9D1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合同当事人关于本项的约定：。</w:t>
      </w:r>
    </w:p>
    <w:p w14:paraId="73A03A0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仲裁或诉讼</w:t>
      </w:r>
      <w:bookmarkEnd w:id="818"/>
    </w:p>
    <w:p w14:paraId="6463319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因合同及合同有关事项发生的争议，按下列第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r>
        <w:rPr>
          <w:rFonts w:hint="eastAsia" w:ascii="宋体" w:hAnsi="宋体"/>
          <w:color w:val="000000" w:themeColor="text1"/>
          <w:szCs w:val="21"/>
          <w:highlight w:val="none"/>
          <w14:textFill>
            <w14:solidFill>
              <w14:schemeClr w14:val="tx1"/>
            </w14:solidFill>
          </w14:textFill>
        </w:rPr>
        <w:t>解</w:t>
      </w:r>
      <w:r>
        <w:rPr>
          <w:rFonts w:ascii="宋体" w:hAnsi="宋体"/>
          <w:color w:val="000000" w:themeColor="text1"/>
          <w:szCs w:val="21"/>
          <w:highlight w:val="none"/>
          <w14:textFill>
            <w14:solidFill>
              <w14:schemeClr w14:val="tx1"/>
            </w14:solidFill>
          </w14:textFill>
        </w:rPr>
        <w:t>决：</w:t>
      </w:r>
    </w:p>
    <w:p w14:paraId="2B21638F">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广西钦州市</w:t>
      </w:r>
      <w:r>
        <w:rPr>
          <w:rFonts w:ascii="宋体" w:hAnsi="宋体"/>
          <w:color w:val="000000" w:themeColor="text1"/>
          <w:szCs w:val="21"/>
          <w:highlight w:val="none"/>
          <w14:textFill>
            <w14:solidFill>
              <w14:schemeClr w14:val="tx1"/>
            </w14:solidFill>
          </w14:textFill>
        </w:rPr>
        <w:t>仲裁委员会申请仲裁</w:t>
      </w:r>
      <w:r>
        <w:rPr>
          <w:rFonts w:hint="eastAsia" w:ascii="宋体" w:hAnsi="宋体"/>
          <w:color w:val="000000" w:themeColor="text1"/>
          <w:szCs w:val="21"/>
          <w:highlight w:val="none"/>
          <w:lang w:eastAsia="zh-CN"/>
          <w14:textFill>
            <w14:solidFill>
              <w14:schemeClr w14:val="tx1"/>
            </w14:solidFill>
          </w14:textFill>
        </w:rPr>
        <w:t>；</w:t>
      </w:r>
    </w:p>
    <w:p w14:paraId="44125E9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bookmarkEnd w:id="819"/>
      <w:bookmarkEnd w:id="820"/>
      <w:bookmarkEnd w:id="821"/>
      <w:bookmarkEnd w:id="822"/>
      <w:bookmarkEnd w:id="823"/>
      <w:bookmarkEnd w:id="824"/>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工程所在地钦州市钦北区</w:t>
      </w:r>
      <w:r>
        <w:rPr>
          <w:rFonts w:ascii="宋体" w:hAnsi="宋体"/>
          <w:color w:val="000000" w:themeColor="text1"/>
          <w:szCs w:val="21"/>
          <w:highlight w:val="none"/>
          <w14:textFill>
            <w14:solidFill>
              <w14:schemeClr w14:val="tx1"/>
            </w14:solidFill>
          </w14:textFill>
        </w:rPr>
        <w:t>人民法院起诉。</w:t>
      </w:r>
    </w:p>
    <w:p w14:paraId="2222934C">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hint="eastAsia" w:ascii="宋体" w:hAnsi="宋体" w:eastAsia="黑体"/>
          <w:b/>
          <w:color w:val="000000" w:themeColor="text1"/>
          <w:kern w:val="0"/>
          <w:sz w:val="28"/>
          <w:szCs w:val="21"/>
          <w:highlight w:val="none"/>
          <w14:textFill>
            <w14:solidFill>
              <w14:schemeClr w14:val="tx1"/>
            </w14:solidFill>
          </w14:textFill>
        </w:rPr>
        <w:t>20</w:t>
      </w:r>
      <w:r>
        <w:rPr>
          <w:rFonts w:ascii="宋体" w:hAnsi="宋体" w:eastAsia="黑体"/>
          <w:b/>
          <w:color w:val="000000" w:themeColor="text1"/>
          <w:kern w:val="0"/>
          <w:sz w:val="28"/>
          <w:szCs w:val="21"/>
          <w:highlight w:val="none"/>
          <w14:textFill>
            <w14:solidFill>
              <w14:schemeClr w14:val="tx1"/>
            </w14:solidFill>
          </w14:textFill>
        </w:rPr>
        <w:t>.</w:t>
      </w:r>
      <w:r>
        <w:rPr>
          <w:rFonts w:hint="eastAsia" w:ascii="宋体" w:hAnsi="宋体" w:eastAsia="黑体"/>
          <w:b/>
          <w:color w:val="000000" w:themeColor="text1"/>
          <w:kern w:val="0"/>
          <w:sz w:val="28"/>
          <w:szCs w:val="21"/>
          <w:highlight w:val="none"/>
          <w14:textFill>
            <w14:solidFill>
              <w14:schemeClr w14:val="tx1"/>
            </w14:solidFill>
          </w14:textFill>
        </w:rPr>
        <w:t>补充条款</w:t>
      </w:r>
    </w:p>
    <w:p w14:paraId="640C4C8F">
      <w:pPr>
        <w:keepNext/>
        <w:keepLines/>
        <w:widowControl/>
        <w:spacing w:before="260" w:after="260" w:line="360" w:lineRule="auto"/>
        <w:jc w:val="left"/>
        <w:outlineLvl w:val="1"/>
        <w:rPr>
          <w:rFonts w:hint="eastAsia" w:ascii="宋体" w:hAnsi="宋体" w:eastAsia="宋体"/>
          <w:color w:val="000000" w:themeColor="text1"/>
          <w:kern w:val="0"/>
          <w:szCs w:val="21"/>
          <w:highlight w:val="none"/>
          <w14:textFill>
            <w14:solidFill>
              <w14:schemeClr w14:val="tx1"/>
            </w14:solidFill>
          </w14:textFill>
        </w:rPr>
      </w:pPr>
      <w:r>
        <w:rPr>
          <w:rFonts w:hint="eastAsia" w:ascii="宋体" w:hAnsi="宋体" w:eastAsia="宋体"/>
          <w:color w:val="000000" w:themeColor="text1"/>
          <w:kern w:val="0"/>
          <w:szCs w:val="21"/>
          <w:highlight w:val="none"/>
          <w14:textFill>
            <w14:solidFill>
              <w14:schemeClr w14:val="tx1"/>
            </w14:solidFill>
          </w14:textFill>
        </w:rPr>
        <w:t>20.1实行农民工工资保障制度，承包人应按《不拖欠农民工工资保障金承诺书》履行，承包人向发包人保证不拖欠农民工工资。并按有关规定交纳农民工工资保证金，否则发包人有权</w:t>
      </w:r>
      <w:r>
        <w:rPr>
          <w:rFonts w:hint="eastAsia" w:ascii="宋体" w:hAnsi="宋体" w:eastAsia="宋体"/>
          <w:color w:val="000000" w:themeColor="text1"/>
          <w:kern w:val="0"/>
          <w:szCs w:val="21"/>
          <w:highlight w:val="none"/>
          <w:lang w:val="en-US" w:eastAsia="zh-CN"/>
          <w14:textFill>
            <w14:solidFill>
              <w14:schemeClr w14:val="tx1"/>
            </w14:solidFill>
          </w14:textFill>
        </w:rPr>
        <w:t>依法</w:t>
      </w:r>
      <w:r>
        <w:rPr>
          <w:rFonts w:hint="eastAsia" w:ascii="宋体" w:hAnsi="宋体" w:eastAsia="宋体"/>
          <w:color w:val="000000" w:themeColor="text1"/>
          <w:kern w:val="0"/>
          <w:szCs w:val="21"/>
          <w:highlight w:val="none"/>
          <w14:textFill>
            <w14:solidFill>
              <w14:schemeClr w14:val="tx1"/>
            </w14:solidFill>
          </w14:textFill>
        </w:rPr>
        <w:t>解除合同。</w:t>
      </w:r>
    </w:p>
    <w:p w14:paraId="71A8375C">
      <w:pPr>
        <w:keepNext/>
        <w:keepLines/>
        <w:widowControl/>
        <w:spacing w:before="260" w:after="260" w:line="360" w:lineRule="auto"/>
        <w:jc w:val="left"/>
        <w:outlineLvl w:val="1"/>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20.2承包人应根据钦州市建管规定【2017】49号文以及《钦州市建设领域农民工工资支付监管暂行办法》等相关规定，设立农民工工资支付专用账户，并遵照规定做好农民工工资支付管理及劳动用工管理工资，并接受监理工程师、发包人及相关职能部门的监督检查。发包人在支付工程进度款时，将工人工资从进度款中单独分开拨付到承包人开设的农民工工资专用账户，其中拨付的工程进度款中工人工资所占的比例为工程进度款应付金额的20%。承包人必须通过农民工工资支付账户，已发按时足额将农民工工资支付明细报发包人和当地劳动保障检查部门备案。</w:t>
      </w:r>
    </w:p>
    <w:p w14:paraId="7C321DB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承包人应据实编制工程项目结算资料，承包人报送工程结算价超过发包人送钦州市公共投资审计中心或委托有资质的造价咨询机构最终审定的结果正负11%的，构成承包人违约，承包人应向发包人支付违约金。违约金按本工程结算审核委托造价咨询机构产生的审核费用（包括发包人直接委托或审计部门委托产生的费用）全部由承包人承担，并由发包人在支付承包人的工程款中代扣支付给造价咨询机构。</w:t>
      </w:r>
    </w:p>
    <w:p w14:paraId="5326E14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w:t>
      </w:r>
      <w:r>
        <w:rPr>
          <w:rFonts w:hAnsi="宋体"/>
          <w:color w:val="000000" w:themeColor="text1"/>
          <w:szCs w:val="21"/>
          <w:highlight w:val="none"/>
          <w14:textFill>
            <w14:solidFill>
              <w14:schemeClr w14:val="tx1"/>
            </w14:solidFill>
          </w14:textFill>
        </w:rPr>
        <w:t>凡进入本工程工作的妇女应持有计生证、否则不准安排工作，禁止使用童工。</w:t>
      </w:r>
    </w:p>
    <w:p w14:paraId="4C3D4D5D">
      <w:pPr>
        <w:widowControl/>
        <w:jc w:val="left"/>
        <w:rPr>
          <w:rFonts w:hAnsi="宋体" w:cs="宋体"/>
          <w:color w:val="000000" w:themeColor="text1"/>
          <w:sz w:val="30"/>
          <w:szCs w:val="30"/>
          <w:highlight w:val="none"/>
          <w14:textFill>
            <w14:solidFill>
              <w14:schemeClr w14:val="tx1"/>
            </w14:solidFill>
          </w14:textFill>
        </w:rPr>
      </w:pPr>
      <w:r>
        <w:rPr>
          <w:rFonts w:hAnsi="宋体" w:cs="宋体"/>
          <w:color w:val="000000" w:themeColor="text1"/>
          <w:sz w:val="30"/>
          <w:szCs w:val="30"/>
          <w:highlight w:val="none"/>
          <w14:textFill>
            <w14:solidFill>
              <w14:schemeClr w14:val="tx1"/>
            </w14:solidFill>
          </w14:textFill>
        </w:rPr>
        <w:br w:type="page"/>
      </w:r>
    </w:p>
    <w:p w14:paraId="0A51399C">
      <w:pPr>
        <w:spacing w:line="440" w:lineRule="exact"/>
        <w:rPr>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附件1：</w:t>
      </w:r>
    </w:p>
    <w:p w14:paraId="0ECD033D">
      <w:pPr>
        <w:spacing w:beforeLines="50" w:afterLines="50" w:line="440" w:lineRule="exact"/>
        <w:jc w:val="center"/>
        <w:rPr>
          <w:rFonts w:ascii="黑体" w:eastAsia="黑体"/>
          <w:color w:val="000000" w:themeColor="text1"/>
          <w:sz w:val="32"/>
          <w:szCs w:val="32"/>
          <w:highlight w:val="none"/>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工程质量保修书（房屋建筑工程）</w:t>
      </w:r>
    </w:p>
    <w:p w14:paraId="1D999848">
      <w:pPr>
        <w:spacing w:line="44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p>
    <w:p w14:paraId="0DC772F1">
      <w:pPr>
        <w:spacing w:line="44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p>
    <w:p w14:paraId="3A557029">
      <w:pPr>
        <w:spacing w:line="440" w:lineRule="exact"/>
        <w:rPr>
          <w:color w:val="000000" w:themeColor="text1"/>
          <w:highlight w:val="none"/>
          <w14:textFill>
            <w14:solidFill>
              <w14:schemeClr w14:val="tx1"/>
            </w14:solidFill>
          </w14:textFill>
        </w:rPr>
      </w:pPr>
    </w:p>
    <w:p w14:paraId="50AB107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发包人和承包人根据《中华人民共和国建筑法》和《建设工程质量管理条例》，经协商一致就（工程全称）签订工程质量保修书。</w:t>
      </w:r>
    </w:p>
    <w:p w14:paraId="120F28E3">
      <w:pPr>
        <w:spacing w:line="360" w:lineRule="auto"/>
        <w:ind w:firstLine="420" w:firstLineChars="20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一、工程质量保修范围和内容</w:t>
      </w:r>
    </w:p>
    <w:p w14:paraId="0460F445">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承包人在质量保修期内，按照有关法律规定和合同约定，承担工程质量保修责任。</w:t>
      </w:r>
    </w:p>
    <w:p w14:paraId="57288F46">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5409A75">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二、质量保修期</w:t>
      </w:r>
    </w:p>
    <w:p w14:paraId="00505135">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根据《建设工程质量管理条例》及有关规定，工程的质量保修期如下：</w:t>
      </w:r>
    </w:p>
    <w:p w14:paraId="6C0268E5">
      <w:pPr>
        <w:wordWrap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保修期限约定如下：</w:t>
      </w:r>
      <w:r>
        <w:rPr>
          <w:rFonts w:hint="eastAsia" w:ascii="宋体" w:hAnsi="宋体" w:cs="宋体"/>
          <w:color w:val="000000" w:themeColor="text1"/>
          <w:szCs w:val="21"/>
          <w:highlight w:val="none"/>
          <w:u w:val="single"/>
          <w14:textFill>
            <w14:solidFill>
              <w14:schemeClr w14:val="tx1"/>
            </w14:solidFill>
          </w14:textFill>
        </w:rPr>
        <w:t>2年。</w:t>
      </w:r>
    </w:p>
    <w:p w14:paraId="6EC2C59E">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质量保修期自工程竣工验收合格之日起计算。</w:t>
      </w:r>
    </w:p>
    <w:p w14:paraId="2F12C29E">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三、缺陷责任期</w:t>
      </w:r>
    </w:p>
    <w:p w14:paraId="354271CB">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工程缺陷责任期为</w:t>
      </w:r>
      <w:r>
        <w:rPr>
          <w:rFonts w:hint="eastAsia" w:hAnsi="宋体" w:cs="宋体"/>
          <w:color w:val="000000" w:themeColor="text1"/>
          <w:highlight w:val="none"/>
          <w:lang w:val="en-US" w:eastAsia="zh-CN"/>
          <w14:textFill>
            <w14:solidFill>
              <w14:schemeClr w14:val="tx1"/>
            </w14:solidFill>
          </w14:textFill>
        </w:rPr>
        <w:t>24</w:t>
      </w:r>
      <w:r>
        <w:rPr>
          <w:rFonts w:hint="eastAsia" w:hAnsi="宋体" w:cs="宋体"/>
          <w:color w:val="000000" w:themeColor="text1"/>
          <w:highlight w:val="none"/>
          <w14:textFill>
            <w14:solidFill>
              <w14:schemeClr w14:val="tx1"/>
            </w14:solidFill>
          </w14:textFill>
        </w:rPr>
        <w:t>个月（最长不超过</w:t>
      </w:r>
      <w:r>
        <w:rPr>
          <w:rFonts w:hAnsi="宋体"/>
          <w:color w:val="000000" w:themeColor="text1"/>
          <w:highlight w:val="none"/>
          <w14:textFill>
            <w14:solidFill>
              <w14:schemeClr w14:val="tx1"/>
            </w14:solidFill>
          </w14:textFill>
        </w:rPr>
        <w:t>24</w:t>
      </w:r>
      <w:r>
        <w:rPr>
          <w:rFonts w:hint="eastAsia" w:hAnsi="宋体" w:cs="宋体"/>
          <w:color w:val="000000" w:themeColor="text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08EE51EA">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缺陷责任期</w:t>
      </w:r>
      <w:r>
        <w:rPr>
          <w:rFonts w:hint="eastAsia" w:hAnsi="宋体" w:cs="宋体"/>
          <w:color w:val="000000" w:themeColor="text1"/>
          <w:highlight w:val="none"/>
          <w:u w:val="single"/>
          <w14:textFill>
            <w14:solidFill>
              <w14:schemeClr w14:val="tx1"/>
            </w14:solidFill>
          </w14:textFill>
        </w:rPr>
        <w:t>满</w:t>
      </w:r>
      <w:r>
        <w:rPr>
          <w:rFonts w:hint="eastAsia" w:ascii="仿宋_GB2312" w:hAnsi="宋体"/>
          <w:color w:val="000000" w:themeColor="text1"/>
          <w:highlight w:val="none"/>
          <w14:textFill>
            <w14:solidFill>
              <w14:schemeClr w14:val="tx1"/>
            </w14:solidFill>
          </w14:textFill>
        </w:rPr>
        <w:t>之日起天</w:t>
      </w:r>
      <w:r>
        <w:rPr>
          <w:rFonts w:hint="eastAsia" w:hAnsi="宋体" w:cs="宋体"/>
          <w:color w:val="000000" w:themeColor="text1"/>
          <w:highlight w:val="none"/>
          <w:u w:val="single"/>
          <w14:textFill>
            <w14:solidFill>
              <w14:schemeClr w14:val="tx1"/>
            </w14:solidFill>
          </w14:textFill>
        </w:rPr>
        <w:t>（按</w:t>
      </w:r>
      <w:r>
        <w:rPr>
          <w:rFonts w:hAnsi="宋体" w:cs="宋体"/>
          <w:color w:val="000000" w:themeColor="text1"/>
          <w:highlight w:val="none"/>
          <w:u w:val="single"/>
          <w14:textFill>
            <w14:solidFill>
              <w14:schemeClr w14:val="tx1"/>
            </w14:solidFill>
          </w14:textFill>
        </w:rPr>
        <w:t>合同约定期限）</w:t>
      </w:r>
      <w:r>
        <w:rPr>
          <w:rFonts w:hint="eastAsia" w:hAnsi="宋体" w:cs="宋体"/>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发包人应退还剩余的质量保证金。</w:t>
      </w:r>
    </w:p>
    <w:p w14:paraId="477E9B00">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四、质量保修责任</w:t>
      </w:r>
    </w:p>
    <w:p w14:paraId="0223B26A">
      <w:pPr>
        <w:spacing w:line="360" w:lineRule="auto"/>
        <w:ind w:left="105" w:leftChars="50" w:firstLine="430" w:firstLineChars="205"/>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．属于保修范围、内容的项目，承包人应当在接到保修通知之日起</w:t>
      </w:r>
      <w:r>
        <w:rPr>
          <w:rFonts w:hint="eastAsia"/>
          <w:color w:val="000000" w:themeColor="text1"/>
          <w:highlight w:val="none"/>
          <w:u w:val="single"/>
          <w14:textFill>
            <w14:solidFill>
              <w14:schemeClr w14:val="tx1"/>
            </w14:solidFill>
          </w14:textFill>
        </w:rPr>
        <w:t>5</w:t>
      </w:r>
      <w:r>
        <w:rPr>
          <w:rFonts w:hint="eastAsia" w:hAnsi="宋体" w:cs="宋体"/>
          <w:color w:val="000000" w:themeColor="text1"/>
          <w:highlight w:val="none"/>
          <w14:textFill>
            <w14:solidFill>
              <w14:schemeClr w14:val="tx1"/>
            </w14:solidFill>
          </w14:textFill>
        </w:rPr>
        <w:t>天内派人保修。承包人不在约定期限内派人保修的，发包人可以委托他人修理，修理费用从质量保证金内扣除。</w:t>
      </w:r>
    </w:p>
    <w:p w14:paraId="1CEA8483">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．发生紧急事故需抢修的，承包人在接到事故通知后，应当立即到达事故现场抢修。</w:t>
      </w:r>
    </w:p>
    <w:p w14:paraId="29070DEB">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127E359">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．质量保修完成后，由发包人组织验收。</w:t>
      </w:r>
    </w:p>
    <w:p w14:paraId="75403E05">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五、保修费用</w:t>
      </w:r>
    </w:p>
    <w:p w14:paraId="5C628A36">
      <w:pPr>
        <w:tabs>
          <w:tab w:val="left" w:pos="7380"/>
        </w:tabs>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保修费用由造成质量缺陷的责任方承担。</w:t>
      </w:r>
    </w:p>
    <w:p w14:paraId="5607FECA">
      <w:pPr>
        <w:spacing w:line="360" w:lineRule="auto"/>
        <w:ind w:firstLine="420"/>
        <w:rPr>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六、双方约定的其他工程质量保修事项：</w:t>
      </w:r>
      <w:r>
        <w:rPr>
          <w:rFonts w:hint="eastAsia" w:hAnsi="宋体" w:cs="宋体"/>
          <w:color w:val="000000" w:themeColor="text1"/>
          <w:highlight w:val="none"/>
          <w14:textFill>
            <w14:solidFill>
              <w14:schemeClr w14:val="tx1"/>
            </w14:solidFill>
          </w14:textFill>
        </w:rPr>
        <w:t>。</w:t>
      </w:r>
    </w:p>
    <w:p w14:paraId="4E79D735">
      <w:pPr>
        <w:spacing w:line="360" w:lineRule="auto"/>
        <w:ind w:firstLine="399" w:firstLineChars="19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工程质量保修书由发包人、承包人在工程竣工验收前共同签署，作为施工合同附件，其有效期限至保修期满。</w:t>
      </w:r>
    </w:p>
    <w:p w14:paraId="309B07D4">
      <w:pPr>
        <w:spacing w:line="360" w:lineRule="auto"/>
        <w:ind w:firstLine="420"/>
        <w:rPr>
          <w:color w:val="000000" w:themeColor="text1"/>
          <w:highlight w:val="none"/>
          <w14:textFill>
            <w14:solidFill>
              <w14:schemeClr w14:val="tx1"/>
            </w14:solidFill>
          </w14:textFill>
        </w:rPr>
      </w:pPr>
    </w:p>
    <w:p w14:paraId="198D5E38">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发包人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承包人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575DC66C">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地址：</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地址：</w:t>
      </w:r>
      <w:r>
        <w:rPr>
          <w:rFonts w:ascii="宋体" w:hAnsi="宋体"/>
          <w:color w:val="000000" w:themeColor="text1"/>
          <w:highlight w:val="none"/>
          <w:u w:val="single"/>
          <w14:textFill>
            <w14:solidFill>
              <w14:schemeClr w14:val="tx1"/>
            </w14:solidFill>
          </w14:textFill>
        </w:rPr>
        <w:t></w:t>
      </w:r>
    </w:p>
    <w:p w14:paraId="05F78D37">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0DC60333">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委托代理人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委托代理人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173A3688">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电话：</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电话：</w:t>
      </w:r>
      <w:r>
        <w:rPr>
          <w:rFonts w:ascii="宋体" w:hAnsi="宋体"/>
          <w:color w:val="000000" w:themeColor="text1"/>
          <w:highlight w:val="none"/>
          <w:u w:val="single"/>
          <w14:textFill>
            <w14:solidFill>
              <w14:schemeClr w14:val="tx1"/>
            </w14:solidFill>
          </w14:textFill>
        </w:rPr>
        <w:t></w:t>
      </w:r>
    </w:p>
    <w:p w14:paraId="515038F5">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传真：</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传真：</w:t>
      </w:r>
      <w:r>
        <w:rPr>
          <w:rFonts w:ascii="宋体" w:hAnsi="宋体"/>
          <w:color w:val="000000" w:themeColor="text1"/>
          <w:highlight w:val="none"/>
          <w:u w:val="single"/>
          <w14:textFill>
            <w14:solidFill>
              <w14:schemeClr w14:val="tx1"/>
            </w14:solidFill>
          </w14:textFill>
        </w:rPr>
        <w:t></w:t>
      </w:r>
    </w:p>
    <w:p w14:paraId="06E09CA1">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开户银行：</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开户银行：</w:t>
      </w:r>
      <w:r>
        <w:rPr>
          <w:rFonts w:ascii="宋体" w:hAnsi="宋体"/>
          <w:color w:val="000000" w:themeColor="text1"/>
          <w:highlight w:val="none"/>
          <w:u w:val="single"/>
          <w14:textFill>
            <w14:solidFill>
              <w14:schemeClr w14:val="tx1"/>
            </w14:solidFill>
          </w14:textFill>
        </w:rPr>
        <w:t></w:t>
      </w:r>
    </w:p>
    <w:p w14:paraId="5E3E16D2">
      <w:pPr>
        <w:tabs>
          <w:tab w:val="left" w:pos="2880"/>
          <w:tab w:val="left" w:pos="3060"/>
          <w:tab w:val="left" w:pos="4500"/>
        </w:tabs>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账号：</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账号：</w:t>
      </w:r>
      <w:r>
        <w:rPr>
          <w:rFonts w:ascii="宋体" w:hAnsi="宋体"/>
          <w:color w:val="000000" w:themeColor="text1"/>
          <w:highlight w:val="none"/>
          <w:u w:val="single"/>
          <w14:textFill>
            <w14:solidFill>
              <w14:schemeClr w14:val="tx1"/>
            </w14:solidFill>
          </w14:textFill>
        </w:rPr>
        <w:t></w:t>
      </w:r>
    </w:p>
    <w:p w14:paraId="69D60F3F">
      <w:pPr>
        <w:tabs>
          <w:tab w:val="left" w:pos="7200"/>
          <w:tab w:val="left" w:pos="7380"/>
          <w:tab w:val="left" w:pos="7560"/>
        </w:tabs>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邮政编码：</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邮政编码：</w:t>
      </w:r>
      <w:r>
        <w:rPr>
          <w:rFonts w:ascii="宋体" w:hAnsi="宋体"/>
          <w:color w:val="000000" w:themeColor="text1"/>
          <w:highlight w:val="none"/>
          <w:u w:val="single"/>
          <w14:textFill>
            <w14:solidFill>
              <w14:schemeClr w14:val="tx1"/>
            </w14:solidFill>
          </w14:textFill>
        </w:rPr>
        <w:t></w:t>
      </w:r>
    </w:p>
    <w:p w14:paraId="2BE36A33">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5F58751D">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r>
        <w:rPr>
          <w:rFonts w:ascii="黑体" w:hAnsi="宋体" w:eastAsia="黑体"/>
          <w:color w:val="000000" w:themeColor="text1"/>
          <w:sz w:val="32"/>
          <w:szCs w:val="32"/>
          <w:highlight w:val="none"/>
          <w14:textFill>
            <w14:solidFill>
              <w14:schemeClr w14:val="tx1"/>
            </w14:solidFill>
          </w14:textFill>
        </w:rPr>
        <w:br w:type="page"/>
      </w:r>
    </w:p>
    <w:p w14:paraId="738D641B">
      <w:pPr>
        <w:widowControl/>
        <w:jc w:val="left"/>
        <w:rPr>
          <w:rFonts w:hAnsi="宋体" w:cs="宋体"/>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附件2：</w:t>
      </w:r>
    </w:p>
    <w:p w14:paraId="3EC7E695">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履约保函示范文本</w:t>
      </w:r>
    </w:p>
    <w:p w14:paraId="526420C0">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（独立保函）</w:t>
      </w:r>
    </w:p>
    <w:p w14:paraId="1FA1D53A">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21D5A2B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申请人：</w:t>
      </w:r>
    </w:p>
    <w:p w14:paraId="77119E3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0244408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w:t>
      </w:r>
    </w:p>
    <w:p w14:paraId="39C06C3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442FFFA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开立人：</w:t>
      </w:r>
    </w:p>
    <w:p w14:paraId="2DAED6E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1FFEC457">
      <w:pPr>
        <w:spacing w:line="360" w:lineRule="auto"/>
        <w:rPr>
          <w:rFonts w:ascii="宋体" w:hAnsi="宋体"/>
          <w:color w:val="000000" w:themeColor="text1"/>
          <w:sz w:val="24"/>
          <w:highlight w:val="none"/>
          <w14:textFill>
            <w14:solidFill>
              <w14:schemeClr w14:val="tx1"/>
            </w14:solidFill>
          </w14:textFill>
        </w:rPr>
      </w:pPr>
    </w:p>
    <w:p w14:paraId="5758A73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（受益人名称）： </w:t>
      </w:r>
    </w:p>
    <w:p w14:paraId="6F819CA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鉴于（以下简称“受益人”）与（以下简称“申请人”）于年月日就工程（以下简称“本工程”）施工和有关事项协商一致共同签订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5E30A7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B667B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二、本保函担保金额最高不超过人民币（大写）元（¥）。 </w:t>
      </w:r>
    </w:p>
    <w:p w14:paraId="35C9C84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三、本保函有效期自开立之日起至基础合同约定的缺陷责任期后日止，最迟不超过年月日。 </w:t>
      </w:r>
    </w:p>
    <w:p w14:paraId="5997E9E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7C3073F3">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（1）付款通知到达的日期在本保函的有效期内</w:t>
      </w:r>
      <w:r>
        <w:rPr>
          <w:rFonts w:hint="eastAsia" w:ascii="宋体" w:hAnsi="宋体"/>
          <w:color w:val="000000" w:themeColor="text1"/>
          <w:sz w:val="24"/>
          <w:highlight w:val="none"/>
          <w:lang w:eastAsia="zh-CN"/>
          <w14:textFill>
            <w14:solidFill>
              <w14:schemeClr w14:val="tx1"/>
            </w14:solidFill>
          </w14:textFill>
        </w:rPr>
        <w:t>；</w:t>
      </w:r>
    </w:p>
    <w:p w14:paraId="65921F86">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（2）载明要求支付的金额</w:t>
      </w:r>
      <w:r>
        <w:rPr>
          <w:rFonts w:hint="eastAsia" w:ascii="宋体" w:hAnsi="宋体"/>
          <w:color w:val="000000" w:themeColor="text1"/>
          <w:sz w:val="24"/>
          <w:highlight w:val="none"/>
          <w:lang w:eastAsia="zh-CN"/>
          <w14:textFill>
            <w14:solidFill>
              <w14:schemeClr w14:val="tx1"/>
            </w14:solidFill>
          </w14:textFill>
        </w:rPr>
        <w:t>；</w:t>
      </w:r>
    </w:p>
    <w:p w14:paraId="760DB4E8">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（3）载明申请人违反合同义务的条款和内容</w:t>
      </w:r>
      <w:r>
        <w:rPr>
          <w:rFonts w:hint="eastAsia" w:ascii="宋体" w:hAnsi="宋体"/>
          <w:color w:val="000000" w:themeColor="text1"/>
          <w:sz w:val="24"/>
          <w:highlight w:val="none"/>
          <w:lang w:eastAsia="zh-CN"/>
          <w14:textFill>
            <w14:solidFill>
              <w14:schemeClr w14:val="tx1"/>
            </w14:solidFill>
          </w14:textFill>
        </w:rPr>
        <w:t>；</w:t>
      </w:r>
    </w:p>
    <w:p w14:paraId="20DD50F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（4）声明不存在合同文件约定或我国法律规定免除申请人或开立人支付责任的情形</w:t>
      </w:r>
      <w:r>
        <w:rPr>
          <w:rFonts w:hint="eastAsia" w:ascii="宋体" w:hAnsi="宋体"/>
          <w:color w:val="000000" w:themeColor="text1"/>
          <w:sz w:val="24"/>
          <w:highlight w:val="none"/>
          <w:lang w:eastAsia="zh-CN"/>
          <w14:textFill>
            <w14:solidFill>
              <w14:schemeClr w14:val="tx1"/>
            </w14:solidFill>
          </w14:textFill>
        </w:rPr>
        <w:t>；</w:t>
      </w:r>
    </w:p>
    <w:p w14:paraId="6F21A37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（5）付款通知应在本保函有效期内到达的地址是：。</w:t>
      </w:r>
    </w:p>
    <w:p w14:paraId="312BA59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受益人发出的书面付款通知应由其为鉴明受益人法定代表人（负责人）或授权代理人签字并加盖公章。</w:t>
      </w:r>
    </w:p>
    <w:p w14:paraId="337A93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54965B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六、与本保函有关的基础合同不成立、不生效、无效、被撤销、被解除，不影响本保函的独立有效。 </w:t>
      </w:r>
    </w:p>
    <w:p w14:paraId="09EB4A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508A82F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八、本保函适用的法律为中华人民共和国法律，争议裁判管辖地为中华人民共和国。 </w:t>
      </w:r>
    </w:p>
    <w:p w14:paraId="7CE7A2A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九、本保函自我方法定代表人或授权代表签字并加盖公章之日起生效。 </w:t>
      </w:r>
    </w:p>
    <w:p w14:paraId="153BEB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 立 人：                              （公章） </w:t>
      </w:r>
    </w:p>
    <w:p w14:paraId="4DAB5BD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7975FC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20654E9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208757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57663FF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0CB8C462">
      <w:pPr>
        <w:spacing w:line="360" w:lineRule="auto"/>
        <w:ind w:firstLine="480" w:firstLineChars="200"/>
        <w:rPr>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开立时间：      年      月    </w:t>
      </w:r>
    </w:p>
    <w:p w14:paraId="412DA924">
      <w:pPr>
        <w:spacing w:line="360" w:lineRule="auto"/>
        <w:jc w:val="left"/>
        <w:rPr>
          <w:rFonts w:eastAsia="仿宋_GB2312"/>
          <w:color w:val="000000" w:themeColor="text1"/>
          <w:sz w:val="30"/>
          <w:szCs w:val="30"/>
          <w:highlight w:val="none"/>
          <w14:textFill>
            <w14:solidFill>
              <w14:schemeClr w14:val="tx1"/>
            </w14:solidFill>
          </w14:textFill>
        </w:rPr>
      </w:pPr>
    </w:p>
    <w:p w14:paraId="2B94535E">
      <w:pPr>
        <w:spacing w:line="360" w:lineRule="auto"/>
        <w:rPr>
          <w:rFonts w:ascii="宋体" w:hAnsi="宋体"/>
          <w:b/>
          <w:bCs/>
          <w:color w:val="000000" w:themeColor="text1"/>
          <w:sz w:val="32"/>
          <w:szCs w:val="32"/>
          <w:highlight w:val="none"/>
          <w14:textFill>
            <w14:solidFill>
              <w14:schemeClr w14:val="tx1"/>
            </w14:solidFill>
          </w14:textFill>
        </w:rPr>
      </w:pPr>
    </w:p>
    <w:p w14:paraId="22C466C8">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履约保函示范文本</w:t>
      </w:r>
    </w:p>
    <w:p w14:paraId="421F64E2">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（非独立保函）</w:t>
      </w:r>
    </w:p>
    <w:p w14:paraId="38768A65">
      <w:pPr>
        <w:spacing w:line="360" w:lineRule="auto"/>
        <w:jc w:val="center"/>
        <w:rPr>
          <w:rFonts w:ascii="宋体" w:hAnsi="宋体"/>
          <w:b/>
          <w:bCs/>
          <w:color w:val="000000" w:themeColor="text1"/>
          <w:sz w:val="32"/>
          <w:szCs w:val="32"/>
          <w:highlight w:val="none"/>
          <w14:textFill>
            <w14:solidFill>
              <w14:schemeClr w14:val="tx1"/>
            </w14:solidFill>
          </w14:textFill>
        </w:rPr>
      </w:pPr>
    </w:p>
    <w:p w14:paraId="47AA7BF7">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09ABAD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p w14:paraId="00D4038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4FC219F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担保权人/发包人： </w:t>
      </w:r>
    </w:p>
    <w:p w14:paraId="48AF7C2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12D7150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保证人：</w:t>
      </w:r>
    </w:p>
    <w:p w14:paraId="51E5471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37652E8A">
      <w:pPr>
        <w:spacing w:line="360" w:lineRule="auto"/>
        <w:rPr>
          <w:rFonts w:ascii="宋体" w:hAnsi="宋体"/>
          <w:color w:val="000000" w:themeColor="text1"/>
          <w:sz w:val="24"/>
          <w:highlight w:val="none"/>
          <w14:textFill>
            <w14:solidFill>
              <w14:schemeClr w14:val="tx1"/>
            </w14:solidFill>
          </w14:textFill>
        </w:rPr>
      </w:pPr>
    </w:p>
    <w:p w14:paraId="3B7EF4E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（发包人名称）： </w:t>
      </w:r>
    </w:p>
    <w:p w14:paraId="1D6C8C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鉴于（以下简称“发包人”）与（以下简称“承包人”）于年月日就工程（以下简称“本工程”）施工和有关事项协商一致共同签订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59F95BC6">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一、保证担保的范围及保证担保金额</w:t>
      </w:r>
    </w:p>
    <w:p w14:paraId="1A4664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1B1572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2.保证担保金额最高不超过人民币（大写）元（¥）。 </w:t>
      </w:r>
    </w:p>
    <w:p w14:paraId="27BE27B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二、保证担保的方式及保证期间 </w:t>
      </w:r>
    </w:p>
    <w:p w14:paraId="147DD4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1.保证担保方式：连带责任保证。</w:t>
      </w:r>
    </w:p>
    <w:p w14:paraId="126F1A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2.保证期间：自出具之日起至主合同约定的缺陷责任期后日止，最迟不超过年月日。 </w:t>
      </w:r>
    </w:p>
    <w:p w14:paraId="6197A931">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三、承担保证担保责任的形式</w:t>
      </w:r>
    </w:p>
    <w:p w14:paraId="57752F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我方按照贵方的要求以下列方式之一承担保证担保责任： </w:t>
      </w:r>
    </w:p>
    <w:p w14:paraId="771643F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1.向承包人资金、设备或者技术援助，使其能继续履行合同义务</w:t>
      </w:r>
      <w:r>
        <w:rPr>
          <w:rFonts w:hint="eastAsia" w:ascii="宋体" w:hAnsi="宋体"/>
          <w:color w:val="000000" w:themeColor="text1"/>
          <w:sz w:val="24"/>
          <w:highlight w:val="none"/>
          <w:lang w:eastAsia="zh-CN"/>
          <w14:textFill>
            <w14:solidFill>
              <w14:schemeClr w14:val="tx1"/>
            </w14:solidFill>
          </w14:textFill>
        </w:rPr>
        <w:t>；</w:t>
      </w:r>
    </w:p>
    <w:p w14:paraId="097A4069">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2.直接接管该项工程或者委托经贵方同意的其他承包商，继续履行合同义务</w:t>
      </w:r>
      <w:r>
        <w:rPr>
          <w:rFonts w:hint="eastAsia" w:ascii="宋体" w:hAnsi="宋体"/>
          <w:color w:val="000000" w:themeColor="text1"/>
          <w:sz w:val="24"/>
          <w:highlight w:val="none"/>
          <w:lang w:eastAsia="zh-CN"/>
          <w14:textFill>
            <w14:solidFill>
              <w14:schemeClr w14:val="tx1"/>
            </w14:solidFill>
          </w14:textFill>
        </w:rPr>
        <w:t>；</w:t>
      </w:r>
    </w:p>
    <w:p w14:paraId="2D31338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4B5828E2">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四、代偿的安排 </w:t>
      </w:r>
    </w:p>
    <w:p w14:paraId="4CB4DC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3EC2863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4F50D97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3.我方收到贵方的书面索赔通知及相应证明材料后，在工作日内进行核定后按照本保函的承诺承担保证责任。</w:t>
      </w:r>
    </w:p>
    <w:p w14:paraId="6C3365A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五、保证担保责任的解除 </w:t>
      </w:r>
    </w:p>
    <w:p w14:paraId="141575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1.保证期间届满贵方未向我方书面主张保证责任的，自保证期间届满次日起，我方解除保证责任。 </w:t>
      </w:r>
    </w:p>
    <w:p w14:paraId="4113187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2392B4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3.按照法律法规的规定应解除我方保证担保责任的其它情形的，我方在本保证担保项下的保证担保责任亦解除。 </w:t>
      </w:r>
    </w:p>
    <w:p w14:paraId="108722E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022F4EE">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六、免责条款 </w:t>
      </w:r>
    </w:p>
    <w:p w14:paraId="14CDC06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1.因贵方原因致使承包人未按照主合同约定履行义务的，我方不承担保证担保责任。 </w:t>
      </w:r>
    </w:p>
    <w:p w14:paraId="5EEBE41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2.依照法律规定或贵方与发包人的另行约定，免除承包人部分或全部义务的，我方亦免除其相应的保证担保责任。 </w:t>
      </w:r>
    </w:p>
    <w:p w14:paraId="50F7A24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3.因不可抗力造成承包人未按照主合同约定履行义务的，我方不承担保证担保责任。</w:t>
      </w:r>
    </w:p>
    <w:p w14:paraId="60424563">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七、其他</w:t>
      </w:r>
    </w:p>
    <w:p w14:paraId="4D20CBD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6DCAF5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2.本保证担保适用的法律为中华人民共和国法律，争议裁判管辖地为中华人民共和国。 </w:t>
      </w:r>
    </w:p>
    <w:p w14:paraId="1330DA9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3.本保证担保自我方法定代表人或授权代表签字并加盖公章之日起生效。 </w:t>
      </w:r>
    </w:p>
    <w:p w14:paraId="211DA93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3F98719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保 证 人：                              （公章） </w:t>
      </w:r>
    </w:p>
    <w:p w14:paraId="716E40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18FB78F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3FB7C41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1CB3BC9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415B2B2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21146AC4">
      <w:pPr>
        <w:widowControl/>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      年      月        日</w:t>
      </w:r>
    </w:p>
    <w:p w14:paraId="393937B5">
      <w:pPr>
        <w:spacing w:line="360" w:lineRule="auto"/>
        <w:ind w:left="2940" w:leftChars="1400"/>
        <w:rPr>
          <w:rFonts w:ascii="宋体" w:hAnsi="宋体" w:cs="宋体"/>
          <w:color w:val="000000" w:themeColor="text1"/>
          <w:sz w:val="24"/>
          <w:highlight w:val="none"/>
          <w14:textFill>
            <w14:solidFill>
              <w14:schemeClr w14:val="tx1"/>
            </w14:solidFill>
          </w14:textFill>
        </w:rPr>
      </w:pPr>
    </w:p>
    <w:p w14:paraId="4221DCC5">
      <w:pPr>
        <w:rPr>
          <w:color w:val="000000" w:themeColor="text1"/>
          <w:highlight w:val="none"/>
          <w14:textFill>
            <w14:solidFill>
              <w14:schemeClr w14:val="tx1"/>
            </w14:solidFill>
          </w14:textFill>
        </w:rPr>
      </w:pPr>
    </w:p>
    <w:p w14:paraId="1A1AC223">
      <w:pPr>
        <w:rPr>
          <w:color w:val="000000" w:themeColor="text1"/>
          <w:highlight w:val="none"/>
          <w14:textFill>
            <w14:solidFill>
              <w14:schemeClr w14:val="tx1"/>
            </w14:solidFill>
          </w14:textFill>
        </w:rPr>
      </w:pPr>
    </w:p>
    <w:p w14:paraId="12D64825">
      <w:pPr>
        <w:rPr>
          <w:color w:val="000000" w:themeColor="text1"/>
          <w:highlight w:val="none"/>
          <w14:textFill>
            <w14:solidFill>
              <w14:schemeClr w14:val="tx1"/>
            </w14:solidFill>
          </w14:textFill>
        </w:rPr>
      </w:pPr>
    </w:p>
    <w:p w14:paraId="5D857EDF">
      <w:pPr>
        <w:rPr>
          <w:color w:val="000000" w:themeColor="text1"/>
          <w:highlight w:val="none"/>
          <w14:textFill>
            <w14:solidFill>
              <w14:schemeClr w14:val="tx1"/>
            </w14:solidFill>
          </w14:textFill>
        </w:rPr>
      </w:pPr>
    </w:p>
    <w:p w14:paraId="33114ABC">
      <w:pPr>
        <w:rPr>
          <w:color w:val="000000" w:themeColor="text1"/>
          <w:highlight w:val="none"/>
          <w14:textFill>
            <w14:solidFill>
              <w14:schemeClr w14:val="tx1"/>
            </w14:solidFill>
          </w14:textFill>
        </w:rPr>
      </w:pPr>
    </w:p>
    <w:p w14:paraId="5CFEF111">
      <w:pPr>
        <w:rPr>
          <w:color w:val="000000" w:themeColor="text1"/>
          <w:highlight w:val="none"/>
          <w14:textFill>
            <w14:solidFill>
              <w14:schemeClr w14:val="tx1"/>
            </w14:solidFill>
          </w14:textFill>
        </w:rPr>
      </w:pPr>
    </w:p>
    <w:p w14:paraId="74E98436">
      <w:pPr>
        <w:rPr>
          <w:color w:val="000000" w:themeColor="text1"/>
          <w:highlight w:val="none"/>
          <w14:textFill>
            <w14:solidFill>
              <w14:schemeClr w14:val="tx1"/>
            </w14:solidFill>
          </w14:textFill>
        </w:rPr>
      </w:pPr>
    </w:p>
    <w:p w14:paraId="3614E117">
      <w:pPr>
        <w:rPr>
          <w:color w:val="000000" w:themeColor="text1"/>
          <w:highlight w:val="none"/>
          <w14:textFill>
            <w14:solidFill>
              <w14:schemeClr w14:val="tx1"/>
            </w14:solidFill>
          </w14:textFill>
        </w:rPr>
      </w:pPr>
    </w:p>
    <w:p w14:paraId="7EA2697C">
      <w:pPr>
        <w:rPr>
          <w:color w:val="000000" w:themeColor="text1"/>
          <w:highlight w:val="none"/>
          <w14:textFill>
            <w14:solidFill>
              <w14:schemeClr w14:val="tx1"/>
            </w14:solidFill>
          </w14:textFill>
        </w:rPr>
      </w:pPr>
    </w:p>
    <w:p w14:paraId="7E9A2BCC">
      <w:pPr>
        <w:rPr>
          <w:color w:val="000000" w:themeColor="text1"/>
          <w:highlight w:val="none"/>
          <w14:textFill>
            <w14:solidFill>
              <w14:schemeClr w14:val="tx1"/>
            </w14:solidFill>
          </w14:textFill>
        </w:rPr>
      </w:pPr>
    </w:p>
    <w:p w14:paraId="1B8CC914">
      <w:pPr>
        <w:rPr>
          <w:color w:val="000000" w:themeColor="text1"/>
          <w:highlight w:val="none"/>
          <w14:textFill>
            <w14:solidFill>
              <w14:schemeClr w14:val="tx1"/>
            </w14:solidFill>
          </w14:textFill>
        </w:rPr>
      </w:pPr>
    </w:p>
    <w:p w14:paraId="10AD82C1">
      <w:pPr>
        <w:rPr>
          <w:color w:val="000000" w:themeColor="text1"/>
          <w:highlight w:val="none"/>
          <w14:textFill>
            <w14:solidFill>
              <w14:schemeClr w14:val="tx1"/>
            </w14:solidFill>
          </w14:textFill>
        </w:rPr>
      </w:pPr>
    </w:p>
    <w:p w14:paraId="4BCCC233">
      <w:pPr>
        <w:rPr>
          <w:color w:val="000000" w:themeColor="text1"/>
          <w:highlight w:val="none"/>
          <w14:textFill>
            <w14:solidFill>
              <w14:schemeClr w14:val="tx1"/>
            </w14:solidFill>
          </w14:textFill>
        </w:rPr>
      </w:pPr>
    </w:p>
    <w:p w14:paraId="2A02ACEC">
      <w:pPr>
        <w:rPr>
          <w:color w:val="000000" w:themeColor="text1"/>
          <w:highlight w:val="none"/>
          <w14:textFill>
            <w14:solidFill>
              <w14:schemeClr w14:val="tx1"/>
            </w14:solidFill>
          </w14:textFill>
        </w:rPr>
      </w:pPr>
    </w:p>
    <w:p w14:paraId="28E7982D">
      <w:pPr>
        <w:rPr>
          <w:color w:val="000000" w:themeColor="text1"/>
          <w:highlight w:val="none"/>
          <w14:textFill>
            <w14:solidFill>
              <w14:schemeClr w14:val="tx1"/>
            </w14:solidFill>
          </w14:textFill>
        </w:rPr>
      </w:pPr>
    </w:p>
    <w:p w14:paraId="50DFE31A">
      <w:pPr>
        <w:rPr>
          <w:color w:val="000000" w:themeColor="text1"/>
          <w:highlight w:val="none"/>
          <w14:textFill>
            <w14:solidFill>
              <w14:schemeClr w14:val="tx1"/>
            </w14:solidFill>
          </w14:textFill>
        </w:rPr>
      </w:pPr>
    </w:p>
    <w:p w14:paraId="68EFADFA">
      <w:pPr>
        <w:rPr>
          <w:color w:val="000000" w:themeColor="text1"/>
          <w:highlight w:val="none"/>
          <w14:textFill>
            <w14:solidFill>
              <w14:schemeClr w14:val="tx1"/>
            </w14:solidFill>
          </w14:textFill>
        </w:rPr>
      </w:pPr>
    </w:p>
    <w:p w14:paraId="55EB0B51">
      <w:pPr>
        <w:rPr>
          <w:color w:val="000000" w:themeColor="text1"/>
          <w:highlight w:val="none"/>
          <w14:textFill>
            <w14:solidFill>
              <w14:schemeClr w14:val="tx1"/>
            </w14:solidFill>
          </w14:textFill>
        </w:rPr>
      </w:pPr>
    </w:p>
    <w:p w14:paraId="4194344D">
      <w:pPr>
        <w:rPr>
          <w:color w:val="000000" w:themeColor="text1"/>
          <w:highlight w:val="none"/>
          <w14:textFill>
            <w14:solidFill>
              <w14:schemeClr w14:val="tx1"/>
            </w14:solidFill>
          </w14:textFill>
        </w:rPr>
      </w:pPr>
    </w:p>
    <w:p w14:paraId="11BA4EDB">
      <w:pPr>
        <w:rPr>
          <w:color w:val="000000" w:themeColor="text1"/>
          <w:highlight w:val="none"/>
          <w14:textFill>
            <w14:solidFill>
              <w14:schemeClr w14:val="tx1"/>
            </w14:solidFill>
          </w14:textFill>
        </w:rPr>
      </w:pPr>
    </w:p>
    <w:p w14:paraId="4C1A3407">
      <w:pPr>
        <w:rPr>
          <w:color w:val="000000" w:themeColor="text1"/>
          <w:highlight w:val="none"/>
          <w14:textFill>
            <w14:solidFill>
              <w14:schemeClr w14:val="tx1"/>
            </w14:solidFill>
          </w14:textFill>
        </w:rPr>
      </w:pPr>
    </w:p>
    <w:p w14:paraId="410B1683">
      <w:pPr>
        <w:rPr>
          <w:color w:val="000000" w:themeColor="text1"/>
          <w:highlight w:val="none"/>
          <w14:textFill>
            <w14:solidFill>
              <w14:schemeClr w14:val="tx1"/>
            </w14:solidFill>
          </w14:textFill>
        </w:rPr>
      </w:pPr>
    </w:p>
    <w:p w14:paraId="79B742F6">
      <w:pPr>
        <w:rPr>
          <w:color w:val="000000" w:themeColor="text1"/>
          <w:highlight w:val="none"/>
          <w14:textFill>
            <w14:solidFill>
              <w14:schemeClr w14:val="tx1"/>
            </w14:solidFill>
          </w14:textFill>
        </w:rPr>
      </w:pPr>
    </w:p>
    <w:p w14:paraId="0617879E">
      <w:pPr>
        <w:rPr>
          <w:color w:val="000000" w:themeColor="text1"/>
          <w:highlight w:val="none"/>
          <w14:textFill>
            <w14:solidFill>
              <w14:schemeClr w14:val="tx1"/>
            </w14:solidFill>
          </w14:textFill>
        </w:rPr>
      </w:pPr>
    </w:p>
    <w:sectPr>
      <w:footerReference r:id="rId9" w:type="first"/>
      <w:headerReference r:id="rId7" w:type="default"/>
      <w:footerReference r:id="rId8"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B0D1">
    <w:pPr>
      <w:pStyle w:val="3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34CB41">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xfas8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VPF9qzwEAAKoDAAAOAAAAAAAAAAEAIAAAAB4BAABkcnMv&#10;ZTJvRG9jLnhtbFBLBQYAAAAABgAGAFkBAABfBQAAAAA=&#10;">
              <v:fill on="f" focussize="0,0"/>
              <v:stroke on="f"/>
              <v:imagedata o:title=""/>
              <o:lock v:ext="edit" aspectratio="f"/>
              <v:textbox inset="0mm,0mm,0mm,0mm" style="mso-fit-shape-to-text:t;">
                <w:txbxContent>
                  <w:p w14:paraId="1734CB4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E63F59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5F65">
    <w:pPr>
      <w:pStyle w:val="3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B6AA14"/>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ai988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pqL3zwEAAKoDAAAOAAAAAAAAAAEAIAAAAB4BAABkcnMv&#10;ZTJvRG9jLnhtbFBLBQYAAAAABgAGAFkBAABfBQAAAAA=&#10;">
              <v:fill on="f" focussize="0,0"/>
              <v:stroke on="f"/>
              <v:imagedata o:title=""/>
              <o:lock v:ext="edit" aspectratio="f"/>
              <v:textbox inset="0mm,0mm,0mm,0mm" style="mso-fit-shape-to-text:t;">
                <w:txbxContent>
                  <w:p w14:paraId="2CB6AA1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49A8">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C697B3">
                          <w:pPr>
                            <w:pStyle w:val="30"/>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qSs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vl&#10;apkU6gNWVPgQqDQOd35I1VMcKZiIDy3Y9CVKjPKk7/mqrxoik+nSerVel5SSlJsdwikerwfA+FZ5&#10;y5JRc6AHzLqK03uMY+lckro5f6+NobiojPsrQJhjROUtmG4nJuPEyYrDfpho7H1zJnY9bULNHS0+&#10;Z+adI6HT0swGzMZ+No4B9KHLW5W6Y7g9RhopT5o6jLDEMDn0hJnrtG5pR/70c9Xj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WmpKzwEAAKoDAAAOAAAAAAAAAAEAIAAAAB4BAABkcnMv&#10;ZTJvRG9jLnhtbFBLBQYAAAAABgAGAFkBAABfBQAAAAA=&#10;">
              <v:fill on="f" focussize="0,0"/>
              <v:stroke on="f"/>
              <v:imagedata o:title=""/>
              <o:lock v:ext="edit" aspectratio="f"/>
              <v:textbox inset="0mm,0mm,0mm,0mm" style="mso-fit-shape-to-text:t;">
                <w:txbxContent>
                  <w:p w14:paraId="41C697B3">
                    <w:pPr>
                      <w:pStyle w:val="30"/>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10324C8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27D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582AFD">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z9l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DP2XzwEAAKoDAAAOAAAAAAAAAAEAIAAAAB4BAABkcnMv&#10;ZTJvRG9jLnhtbFBLBQYAAAAABgAGAFkBAABfBQAAAAA=&#10;">
              <v:fill on="f" focussize="0,0"/>
              <v:stroke on="f"/>
              <v:imagedata o:title=""/>
              <o:lock v:ext="edit" aspectratio="f"/>
              <v:textbox inset="0mm,0mm,0mm,0mm" style="mso-fit-shape-to-text:t;">
                <w:txbxContent>
                  <w:p w14:paraId="31582AF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B6D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38E6">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F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592E"/>
    <w:multiLevelType w:val="singleLevel"/>
    <w:tmpl w:val="DFFF592E"/>
    <w:lvl w:ilvl="0" w:tentative="0">
      <w:start w:val="1"/>
      <w:numFmt w:val="decimal"/>
      <w:suff w:val="nothing"/>
      <w:lvlText w:val="%1）"/>
      <w:lvlJc w:val="left"/>
    </w:lvl>
  </w:abstractNum>
  <w:abstractNum w:abstractNumId="1">
    <w:nsid w:val="3B1B6F0F"/>
    <w:multiLevelType w:val="singleLevel"/>
    <w:tmpl w:val="3B1B6F0F"/>
    <w:lvl w:ilvl="0" w:tentative="0">
      <w:start w:val="1"/>
      <w:numFmt w:val="decimal"/>
      <w:lvlText w:val="%1."/>
      <w:lvlJc w:val="left"/>
      <w:pPr>
        <w:tabs>
          <w:tab w:val="left" w:pos="312"/>
        </w:tabs>
      </w:p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CC0"/>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5111"/>
    <w:rsid w:val="00015B63"/>
    <w:rsid w:val="0001657F"/>
    <w:rsid w:val="00016ABC"/>
    <w:rsid w:val="000177DB"/>
    <w:rsid w:val="000179C9"/>
    <w:rsid w:val="00017CCC"/>
    <w:rsid w:val="00020227"/>
    <w:rsid w:val="00020263"/>
    <w:rsid w:val="00020455"/>
    <w:rsid w:val="00020813"/>
    <w:rsid w:val="00020E11"/>
    <w:rsid w:val="000215D0"/>
    <w:rsid w:val="00021F52"/>
    <w:rsid w:val="00021FCF"/>
    <w:rsid w:val="000220B2"/>
    <w:rsid w:val="0002264C"/>
    <w:rsid w:val="00022731"/>
    <w:rsid w:val="00022792"/>
    <w:rsid w:val="00023287"/>
    <w:rsid w:val="00024061"/>
    <w:rsid w:val="00024463"/>
    <w:rsid w:val="00025461"/>
    <w:rsid w:val="00025636"/>
    <w:rsid w:val="00025E36"/>
    <w:rsid w:val="000260F7"/>
    <w:rsid w:val="00026855"/>
    <w:rsid w:val="00026886"/>
    <w:rsid w:val="0002754F"/>
    <w:rsid w:val="0002785D"/>
    <w:rsid w:val="000307BE"/>
    <w:rsid w:val="00031DD0"/>
    <w:rsid w:val="00032633"/>
    <w:rsid w:val="000326A2"/>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57F"/>
    <w:rsid w:val="00046B5E"/>
    <w:rsid w:val="000470CB"/>
    <w:rsid w:val="000506DE"/>
    <w:rsid w:val="000509D9"/>
    <w:rsid w:val="00051006"/>
    <w:rsid w:val="00051165"/>
    <w:rsid w:val="000512AF"/>
    <w:rsid w:val="00051ACB"/>
    <w:rsid w:val="000533E7"/>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88D"/>
    <w:rsid w:val="000929EF"/>
    <w:rsid w:val="00092C26"/>
    <w:rsid w:val="000933BE"/>
    <w:rsid w:val="00094428"/>
    <w:rsid w:val="000944FC"/>
    <w:rsid w:val="0009560F"/>
    <w:rsid w:val="0009588E"/>
    <w:rsid w:val="000959EE"/>
    <w:rsid w:val="00096C2E"/>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09A4"/>
    <w:rsid w:val="000C144E"/>
    <w:rsid w:val="000C1679"/>
    <w:rsid w:val="000C190E"/>
    <w:rsid w:val="000C1953"/>
    <w:rsid w:val="000C1BFE"/>
    <w:rsid w:val="000C1EE3"/>
    <w:rsid w:val="000C3AE7"/>
    <w:rsid w:val="000C3CC9"/>
    <w:rsid w:val="000C3DBC"/>
    <w:rsid w:val="000C5823"/>
    <w:rsid w:val="000C59C6"/>
    <w:rsid w:val="000C6DE4"/>
    <w:rsid w:val="000C7202"/>
    <w:rsid w:val="000C7432"/>
    <w:rsid w:val="000C7926"/>
    <w:rsid w:val="000D0A89"/>
    <w:rsid w:val="000D10F1"/>
    <w:rsid w:val="000D1389"/>
    <w:rsid w:val="000D1798"/>
    <w:rsid w:val="000D2626"/>
    <w:rsid w:val="000D264F"/>
    <w:rsid w:val="000D2BEF"/>
    <w:rsid w:val="000D2CD3"/>
    <w:rsid w:val="000D4016"/>
    <w:rsid w:val="000D411D"/>
    <w:rsid w:val="000D4589"/>
    <w:rsid w:val="000D4809"/>
    <w:rsid w:val="000D4FB6"/>
    <w:rsid w:val="000D5C29"/>
    <w:rsid w:val="000D6F6B"/>
    <w:rsid w:val="000D73DD"/>
    <w:rsid w:val="000E02E8"/>
    <w:rsid w:val="000E1C38"/>
    <w:rsid w:val="000E1C51"/>
    <w:rsid w:val="000E1D3E"/>
    <w:rsid w:val="000E28AB"/>
    <w:rsid w:val="000E2E3E"/>
    <w:rsid w:val="000E3583"/>
    <w:rsid w:val="000E3AF0"/>
    <w:rsid w:val="000E43EC"/>
    <w:rsid w:val="000E4DC7"/>
    <w:rsid w:val="000E4E04"/>
    <w:rsid w:val="000E592E"/>
    <w:rsid w:val="000E693B"/>
    <w:rsid w:val="000E6D5C"/>
    <w:rsid w:val="000E6EC9"/>
    <w:rsid w:val="000E6FB6"/>
    <w:rsid w:val="000E70B4"/>
    <w:rsid w:val="000E7B62"/>
    <w:rsid w:val="000E7EDC"/>
    <w:rsid w:val="000F085D"/>
    <w:rsid w:val="000F0E1E"/>
    <w:rsid w:val="000F1129"/>
    <w:rsid w:val="000F1A1B"/>
    <w:rsid w:val="000F2A95"/>
    <w:rsid w:val="000F2BB7"/>
    <w:rsid w:val="000F3281"/>
    <w:rsid w:val="000F32FD"/>
    <w:rsid w:val="000F3733"/>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30217"/>
    <w:rsid w:val="00130641"/>
    <w:rsid w:val="00130783"/>
    <w:rsid w:val="00130A47"/>
    <w:rsid w:val="00130FB0"/>
    <w:rsid w:val="001315BE"/>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B9B"/>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25AA"/>
    <w:rsid w:val="00152A87"/>
    <w:rsid w:val="00152AC1"/>
    <w:rsid w:val="00153A84"/>
    <w:rsid w:val="00153BB5"/>
    <w:rsid w:val="00154518"/>
    <w:rsid w:val="00154D26"/>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4E2"/>
    <w:rsid w:val="00181813"/>
    <w:rsid w:val="00181EAD"/>
    <w:rsid w:val="00182862"/>
    <w:rsid w:val="00182FBD"/>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6F35"/>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308A"/>
    <w:rsid w:val="001E38EC"/>
    <w:rsid w:val="001E3B63"/>
    <w:rsid w:val="001E57B2"/>
    <w:rsid w:val="001E5A94"/>
    <w:rsid w:val="001E5CBB"/>
    <w:rsid w:val="001E5CDC"/>
    <w:rsid w:val="001E6CE9"/>
    <w:rsid w:val="001E7416"/>
    <w:rsid w:val="001F13FD"/>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4DB"/>
    <w:rsid w:val="0020150B"/>
    <w:rsid w:val="00201E12"/>
    <w:rsid w:val="00202295"/>
    <w:rsid w:val="00202977"/>
    <w:rsid w:val="002033B5"/>
    <w:rsid w:val="0020382C"/>
    <w:rsid w:val="002042E9"/>
    <w:rsid w:val="0020437A"/>
    <w:rsid w:val="0020454C"/>
    <w:rsid w:val="00204740"/>
    <w:rsid w:val="00205129"/>
    <w:rsid w:val="0020521F"/>
    <w:rsid w:val="0020532C"/>
    <w:rsid w:val="00206AE8"/>
    <w:rsid w:val="002114C7"/>
    <w:rsid w:val="00211A7B"/>
    <w:rsid w:val="0021302C"/>
    <w:rsid w:val="002139F1"/>
    <w:rsid w:val="00213B1C"/>
    <w:rsid w:val="00213F1E"/>
    <w:rsid w:val="00214202"/>
    <w:rsid w:val="002148E3"/>
    <w:rsid w:val="00214C1A"/>
    <w:rsid w:val="0021552D"/>
    <w:rsid w:val="002156AE"/>
    <w:rsid w:val="0021577B"/>
    <w:rsid w:val="00215DC7"/>
    <w:rsid w:val="00215E99"/>
    <w:rsid w:val="00217B07"/>
    <w:rsid w:val="00217C26"/>
    <w:rsid w:val="00220043"/>
    <w:rsid w:val="0022054D"/>
    <w:rsid w:val="0022107B"/>
    <w:rsid w:val="00221805"/>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34A"/>
    <w:rsid w:val="0022755B"/>
    <w:rsid w:val="00227C56"/>
    <w:rsid w:val="00227F2D"/>
    <w:rsid w:val="00227F52"/>
    <w:rsid w:val="00231851"/>
    <w:rsid w:val="002319FB"/>
    <w:rsid w:val="00231B89"/>
    <w:rsid w:val="00231F11"/>
    <w:rsid w:val="00231F5E"/>
    <w:rsid w:val="00233395"/>
    <w:rsid w:val="002346B4"/>
    <w:rsid w:val="00234F6E"/>
    <w:rsid w:val="002351FA"/>
    <w:rsid w:val="002355BE"/>
    <w:rsid w:val="002358EA"/>
    <w:rsid w:val="0023609B"/>
    <w:rsid w:val="00236578"/>
    <w:rsid w:val="00236A10"/>
    <w:rsid w:val="00236DE9"/>
    <w:rsid w:val="00237342"/>
    <w:rsid w:val="002373D4"/>
    <w:rsid w:val="00237D5A"/>
    <w:rsid w:val="00237E0F"/>
    <w:rsid w:val="002407BA"/>
    <w:rsid w:val="00240922"/>
    <w:rsid w:val="00240D75"/>
    <w:rsid w:val="00240F92"/>
    <w:rsid w:val="00241288"/>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D37"/>
    <w:rsid w:val="00245F2B"/>
    <w:rsid w:val="002460E2"/>
    <w:rsid w:val="002466CD"/>
    <w:rsid w:val="0024729B"/>
    <w:rsid w:val="00247F3A"/>
    <w:rsid w:val="00250122"/>
    <w:rsid w:val="0025024D"/>
    <w:rsid w:val="00250755"/>
    <w:rsid w:val="00251043"/>
    <w:rsid w:val="002518A8"/>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6A28"/>
    <w:rsid w:val="00286FB5"/>
    <w:rsid w:val="00287763"/>
    <w:rsid w:val="00290606"/>
    <w:rsid w:val="002908D0"/>
    <w:rsid w:val="002909B2"/>
    <w:rsid w:val="00291D6D"/>
    <w:rsid w:val="00291FF1"/>
    <w:rsid w:val="00292AA2"/>
    <w:rsid w:val="00293361"/>
    <w:rsid w:val="00293B4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03E"/>
    <w:rsid w:val="002A23B7"/>
    <w:rsid w:val="002A3950"/>
    <w:rsid w:val="002A3A57"/>
    <w:rsid w:val="002A4320"/>
    <w:rsid w:val="002A4B4F"/>
    <w:rsid w:val="002A57A8"/>
    <w:rsid w:val="002A5D75"/>
    <w:rsid w:val="002A6DEF"/>
    <w:rsid w:val="002A739E"/>
    <w:rsid w:val="002A770B"/>
    <w:rsid w:val="002B013E"/>
    <w:rsid w:val="002B058D"/>
    <w:rsid w:val="002B0C16"/>
    <w:rsid w:val="002B1BA5"/>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6AB"/>
    <w:rsid w:val="002D4AC6"/>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FD0"/>
    <w:rsid w:val="002F16DD"/>
    <w:rsid w:val="002F199D"/>
    <w:rsid w:val="002F213C"/>
    <w:rsid w:val="002F2453"/>
    <w:rsid w:val="002F2607"/>
    <w:rsid w:val="002F30BD"/>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23E"/>
    <w:rsid w:val="00315569"/>
    <w:rsid w:val="00315A65"/>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42D"/>
    <w:rsid w:val="0033364C"/>
    <w:rsid w:val="00334415"/>
    <w:rsid w:val="0033469E"/>
    <w:rsid w:val="0033481F"/>
    <w:rsid w:val="00335EA1"/>
    <w:rsid w:val="0033691E"/>
    <w:rsid w:val="00336A6A"/>
    <w:rsid w:val="00336CCB"/>
    <w:rsid w:val="003411D1"/>
    <w:rsid w:val="003416BA"/>
    <w:rsid w:val="00342148"/>
    <w:rsid w:val="00342658"/>
    <w:rsid w:val="003427BE"/>
    <w:rsid w:val="003429F5"/>
    <w:rsid w:val="00342F99"/>
    <w:rsid w:val="00343AEA"/>
    <w:rsid w:val="00344D99"/>
    <w:rsid w:val="0034575A"/>
    <w:rsid w:val="00345F1D"/>
    <w:rsid w:val="00345F57"/>
    <w:rsid w:val="0034698A"/>
    <w:rsid w:val="00350458"/>
    <w:rsid w:val="00350E6C"/>
    <w:rsid w:val="0035153C"/>
    <w:rsid w:val="003518A6"/>
    <w:rsid w:val="00351E7F"/>
    <w:rsid w:val="00352953"/>
    <w:rsid w:val="00353D91"/>
    <w:rsid w:val="00354062"/>
    <w:rsid w:val="0035459E"/>
    <w:rsid w:val="00354AE9"/>
    <w:rsid w:val="00355527"/>
    <w:rsid w:val="00355C0D"/>
    <w:rsid w:val="003560A6"/>
    <w:rsid w:val="0035657D"/>
    <w:rsid w:val="003566A9"/>
    <w:rsid w:val="00356988"/>
    <w:rsid w:val="003569D3"/>
    <w:rsid w:val="00356CE9"/>
    <w:rsid w:val="00356D82"/>
    <w:rsid w:val="003570BB"/>
    <w:rsid w:val="00357128"/>
    <w:rsid w:val="0035755E"/>
    <w:rsid w:val="00357A80"/>
    <w:rsid w:val="00360116"/>
    <w:rsid w:val="00361441"/>
    <w:rsid w:val="00361B8B"/>
    <w:rsid w:val="00363F39"/>
    <w:rsid w:val="003640FC"/>
    <w:rsid w:val="0036445C"/>
    <w:rsid w:val="00364627"/>
    <w:rsid w:val="00364AB0"/>
    <w:rsid w:val="00364D71"/>
    <w:rsid w:val="0036601A"/>
    <w:rsid w:val="003667B0"/>
    <w:rsid w:val="003667DD"/>
    <w:rsid w:val="00366B48"/>
    <w:rsid w:val="00366D71"/>
    <w:rsid w:val="003674FB"/>
    <w:rsid w:val="00367721"/>
    <w:rsid w:val="00367764"/>
    <w:rsid w:val="00370316"/>
    <w:rsid w:val="00370DC7"/>
    <w:rsid w:val="003713D7"/>
    <w:rsid w:val="003714AC"/>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936"/>
    <w:rsid w:val="003A1A94"/>
    <w:rsid w:val="003A1FF5"/>
    <w:rsid w:val="003A204E"/>
    <w:rsid w:val="003A2B19"/>
    <w:rsid w:val="003A2D25"/>
    <w:rsid w:val="003A2DB1"/>
    <w:rsid w:val="003A5101"/>
    <w:rsid w:val="003A51BE"/>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68A3"/>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14B"/>
    <w:rsid w:val="003D2D1B"/>
    <w:rsid w:val="003D3558"/>
    <w:rsid w:val="003D36C0"/>
    <w:rsid w:val="003D40E5"/>
    <w:rsid w:val="003D48C7"/>
    <w:rsid w:val="003D4C27"/>
    <w:rsid w:val="003D7109"/>
    <w:rsid w:val="003D7CE8"/>
    <w:rsid w:val="003E0514"/>
    <w:rsid w:val="003E0BAA"/>
    <w:rsid w:val="003E1032"/>
    <w:rsid w:val="003E1904"/>
    <w:rsid w:val="003E285E"/>
    <w:rsid w:val="003E2BD8"/>
    <w:rsid w:val="003E3124"/>
    <w:rsid w:val="003E3300"/>
    <w:rsid w:val="003E3BC7"/>
    <w:rsid w:val="003E43D3"/>
    <w:rsid w:val="003E4511"/>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5F5B"/>
    <w:rsid w:val="00416112"/>
    <w:rsid w:val="004167AD"/>
    <w:rsid w:val="0041716A"/>
    <w:rsid w:val="00417A18"/>
    <w:rsid w:val="00417AE0"/>
    <w:rsid w:val="00417BAA"/>
    <w:rsid w:val="0042042B"/>
    <w:rsid w:val="00420B45"/>
    <w:rsid w:val="00420D7A"/>
    <w:rsid w:val="00421257"/>
    <w:rsid w:val="00422193"/>
    <w:rsid w:val="004223DE"/>
    <w:rsid w:val="00422645"/>
    <w:rsid w:val="00422A10"/>
    <w:rsid w:val="00424D17"/>
    <w:rsid w:val="004259FC"/>
    <w:rsid w:val="00425DFD"/>
    <w:rsid w:val="00425EA9"/>
    <w:rsid w:val="004263A3"/>
    <w:rsid w:val="0042711B"/>
    <w:rsid w:val="00427713"/>
    <w:rsid w:val="00427B57"/>
    <w:rsid w:val="00427C77"/>
    <w:rsid w:val="00427CCC"/>
    <w:rsid w:val="0043013A"/>
    <w:rsid w:val="004302BE"/>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68C9"/>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735"/>
    <w:rsid w:val="00461FC2"/>
    <w:rsid w:val="004632B9"/>
    <w:rsid w:val="00464AB7"/>
    <w:rsid w:val="00465DE5"/>
    <w:rsid w:val="00466103"/>
    <w:rsid w:val="00467A83"/>
    <w:rsid w:val="00467EF8"/>
    <w:rsid w:val="00470006"/>
    <w:rsid w:val="00470611"/>
    <w:rsid w:val="00470848"/>
    <w:rsid w:val="00471AC3"/>
    <w:rsid w:val="00472429"/>
    <w:rsid w:val="0047253E"/>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D4"/>
    <w:rsid w:val="00486D60"/>
    <w:rsid w:val="00486DBC"/>
    <w:rsid w:val="004915FA"/>
    <w:rsid w:val="00491FA1"/>
    <w:rsid w:val="00492A25"/>
    <w:rsid w:val="004938A3"/>
    <w:rsid w:val="004950A6"/>
    <w:rsid w:val="0049558B"/>
    <w:rsid w:val="00496254"/>
    <w:rsid w:val="00496350"/>
    <w:rsid w:val="004974A4"/>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E54"/>
    <w:rsid w:val="004B722E"/>
    <w:rsid w:val="004B72E8"/>
    <w:rsid w:val="004B771A"/>
    <w:rsid w:val="004C01A5"/>
    <w:rsid w:val="004C0412"/>
    <w:rsid w:val="004C0882"/>
    <w:rsid w:val="004C0D7C"/>
    <w:rsid w:val="004C2138"/>
    <w:rsid w:val="004C2B69"/>
    <w:rsid w:val="004C302E"/>
    <w:rsid w:val="004C3093"/>
    <w:rsid w:val="004C3940"/>
    <w:rsid w:val="004C51FD"/>
    <w:rsid w:val="004C5ED7"/>
    <w:rsid w:val="004C65A8"/>
    <w:rsid w:val="004C6689"/>
    <w:rsid w:val="004C6BF3"/>
    <w:rsid w:val="004C7408"/>
    <w:rsid w:val="004C7850"/>
    <w:rsid w:val="004D107E"/>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B54"/>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6D3"/>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38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338"/>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8AB"/>
    <w:rsid w:val="00534668"/>
    <w:rsid w:val="005348CA"/>
    <w:rsid w:val="00534DDD"/>
    <w:rsid w:val="00535291"/>
    <w:rsid w:val="00535A94"/>
    <w:rsid w:val="0053686A"/>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C43"/>
    <w:rsid w:val="00554F78"/>
    <w:rsid w:val="00555C46"/>
    <w:rsid w:val="00555DA1"/>
    <w:rsid w:val="005562FB"/>
    <w:rsid w:val="00556731"/>
    <w:rsid w:val="00556BF7"/>
    <w:rsid w:val="00556E53"/>
    <w:rsid w:val="00557F60"/>
    <w:rsid w:val="00560D81"/>
    <w:rsid w:val="00561730"/>
    <w:rsid w:val="00561B97"/>
    <w:rsid w:val="00562149"/>
    <w:rsid w:val="0056248C"/>
    <w:rsid w:val="0056362D"/>
    <w:rsid w:val="005640EB"/>
    <w:rsid w:val="00565559"/>
    <w:rsid w:val="005666A4"/>
    <w:rsid w:val="00567B5D"/>
    <w:rsid w:val="00570593"/>
    <w:rsid w:val="00570757"/>
    <w:rsid w:val="0057257D"/>
    <w:rsid w:val="00573293"/>
    <w:rsid w:val="00573733"/>
    <w:rsid w:val="00573E08"/>
    <w:rsid w:val="00573F8B"/>
    <w:rsid w:val="005743E0"/>
    <w:rsid w:val="00574554"/>
    <w:rsid w:val="00574862"/>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E"/>
    <w:rsid w:val="00595D90"/>
    <w:rsid w:val="00596A6F"/>
    <w:rsid w:val="00596D11"/>
    <w:rsid w:val="00596FCE"/>
    <w:rsid w:val="005A0300"/>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20"/>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66"/>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C77D5"/>
    <w:rsid w:val="005D02E3"/>
    <w:rsid w:val="005D1F34"/>
    <w:rsid w:val="005D2C1F"/>
    <w:rsid w:val="005D34B2"/>
    <w:rsid w:val="005D3587"/>
    <w:rsid w:val="005D3B54"/>
    <w:rsid w:val="005D3E28"/>
    <w:rsid w:val="005D40CD"/>
    <w:rsid w:val="005D4C6F"/>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1F58"/>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2"/>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5E8A"/>
    <w:rsid w:val="006364D7"/>
    <w:rsid w:val="00636554"/>
    <w:rsid w:val="006365AE"/>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7A8"/>
    <w:rsid w:val="00672CA5"/>
    <w:rsid w:val="006735A2"/>
    <w:rsid w:val="00673711"/>
    <w:rsid w:val="00673CDA"/>
    <w:rsid w:val="00673F82"/>
    <w:rsid w:val="00674F74"/>
    <w:rsid w:val="0067508F"/>
    <w:rsid w:val="00676B25"/>
    <w:rsid w:val="00677576"/>
    <w:rsid w:val="0068051E"/>
    <w:rsid w:val="00680B9D"/>
    <w:rsid w:val="00680DF1"/>
    <w:rsid w:val="00681F13"/>
    <w:rsid w:val="0068231C"/>
    <w:rsid w:val="00682344"/>
    <w:rsid w:val="00682772"/>
    <w:rsid w:val="00682C87"/>
    <w:rsid w:val="00682F28"/>
    <w:rsid w:val="00683515"/>
    <w:rsid w:val="00683CA4"/>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AE0"/>
    <w:rsid w:val="006C71A2"/>
    <w:rsid w:val="006C73EC"/>
    <w:rsid w:val="006D0997"/>
    <w:rsid w:val="006D0C1D"/>
    <w:rsid w:val="006D1BB1"/>
    <w:rsid w:val="006D28F3"/>
    <w:rsid w:val="006D2E9D"/>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B0A"/>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126"/>
    <w:rsid w:val="006F3231"/>
    <w:rsid w:val="006F3BEF"/>
    <w:rsid w:val="006F3DE3"/>
    <w:rsid w:val="006F4787"/>
    <w:rsid w:val="006F57E6"/>
    <w:rsid w:val="006F61D8"/>
    <w:rsid w:val="006F62B7"/>
    <w:rsid w:val="006F63E7"/>
    <w:rsid w:val="006F70BC"/>
    <w:rsid w:val="006F726C"/>
    <w:rsid w:val="006F7A22"/>
    <w:rsid w:val="006F7E7C"/>
    <w:rsid w:val="00700FF4"/>
    <w:rsid w:val="0070174E"/>
    <w:rsid w:val="007018DB"/>
    <w:rsid w:val="00701DE6"/>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B1B"/>
    <w:rsid w:val="00721062"/>
    <w:rsid w:val="00721D3D"/>
    <w:rsid w:val="00721E5D"/>
    <w:rsid w:val="007229D4"/>
    <w:rsid w:val="00722E35"/>
    <w:rsid w:val="007230F8"/>
    <w:rsid w:val="007233F4"/>
    <w:rsid w:val="007235E3"/>
    <w:rsid w:val="0072381D"/>
    <w:rsid w:val="00723A10"/>
    <w:rsid w:val="00724044"/>
    <w:rsid w:val="00724120"/>
    <w:rsid w:val="007243F2"/>
    <w:rsid w:val="007248D3"/>
    <w:rsid w:val="00724DF8"/>
    <w:rsid w:val="00725137"/>
    <w:rsid w:val="00725378"/>
    <w:rsid w:val="00725C31"/>
    <w:rsid w:val="00727408"/>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5DC1"/>
    <w:rsid w:val="007362CC"/>
    <w:rsid w:val="0073792F"/>
    <w:rsid w:val="00740C81"/>
    <w:rsid w:val="00740DA6"/>
    <w:rsid w:val="0074197B"/>
    <w:rsid w:val="00741B4B"/>
    <w:rsid w:val="00741D1E"/>
    <w:rsid w:val="00741DD6"/>
    <w:rsid w:val="00741EE2"/>
    <w:rsid w:val="0074207F"/>
    <w:rsid w:val="00742118"/>
    <w:rsid w:val="00742367"/>
    <w:rsid w:val="00742EAA"/>
    <w:rsid w:val="00742F80"/>
    <w:rsid w:val="00743360"/>
    <w:rsid w:val="00743818"/>
    <w:rsid w:val="00743857"/>
    <w:rsid w:val="0074411D"/>
    <w:rsid w:val="00744187"/>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6FA"/>
    <w:rsid w:val="007648AD"/>
    <w:rsid w:val="0076504E"/>
    <w:rsid w:val="0076721D"/>
    <w:rsid w:val="0076767E"/>
    <w:rsid w:val="00767BFD"/>
    <w:rsid w:val="00767EA0"/>
    <w:rsid w:val="0077068F"/>
    <w:rsid w:val="00771EDF"/>
    <w:rsid w:val="00772530"/>
    <w:rsid w:val="00772A90"/>
    <w:rsid w:val="00772F8D"/>
    <w:rsid w:val="0077301A"/>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811"/>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57E7"/>
    <w:rsid w:val="00796C05"/>
    <w:rsid w:val="00796F65"/>
    <w:rsid w:val="007A11C2"/>
    <w:rsid w:val="007A1781"/>
    <w:rsid w:val="007A18BB"/>
    <w:rsid w:val="007A2489"/>
    <w:rsid w:val="007A27DD"/>
    <w:rsid w:val="007A41BF"/>
    <w:rsid w:val="007A490A"/>
    <w:rsid w:val="007A5820"/>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9A5"/>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4DB"/>
    <w:rsid w:val="007E194F"/>
    <w:rsid w:val="007E201B"/>
    <w:rsid w:val="007E250B"/>
    <w:rsid w:val="007E2EE9"/>
    <w:rsid w:val="007E32A3"/>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98A"/>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BB"/>
    <w:rsid w:val="00850272"/>
    <w:rsid w:val="008506B9"/>
    <w:rsid w:val="0085086F"/>
    <w:rsid w:val="00850B42"/>
    <w:rsid w:val="00851822"/>
    <w:rsid w:val="00851C16"/>
    <w:rsid w:val="008532BF"/>
    <w:rsid w:val="008539B2"/>
    <w:rsid w:val="00853BF4"/>
    <w:rsid w:val="00854294"/>
    <w:rsid w:val="00854295"/>
    <w:rsid w:val="008545CE"/>
    <w:rsid w:val="0085572E"/>
    <w:rsid w:val="00857295"/>
    <w:rsid w:val="0085788B"/>
    <w:rsid w:val="00857A9E"/>
    <w:rsid w:val="00857D1F"/>
    <w:rsid w:val="00857DE2"/>
    <w:rsid w:val="0086003D"/>
    <w:rsid w:val="00860F07"/>
    <w:rsid w:val="00860F11"/>
    <w:rsid w:val="00861D63"/>
    <w:rsid w:val="0086358C"/>
    <w:rsid w:val="0086359A"/>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678E3"/>
    <w:rsid w:val="0087110C"/>
    <w:rsid w:val="0087121C"/>
    <w:rsid w:val="00871FD2"/>
    <w:rsid w:val="00872084"/>
    <w:rsid w:val="00872827"/>
    <w:rsid w:val="00872A32"/>
    <w:rsid w:val="00873653"/>
    <w:rsid w:val="00874911"/>
    <w:rsid w:val="008754E4"/>
    <w:rsid w:val="00875ECC"/>
    <w:rsid w:val="00876EAE"/>
    <w:rsid w:val="00877305"/>
    <w:rsid w:val="00877983"/>
    <w:rsid w:val="00880106"/>
    <w:rsid w:val="00880F95"/>
    <w:rsid w:val="00881EC0"/>
    <w:rsid w:val="00881EE2"/>
    <w:rsid w:val="00882910"/>
    <w:rsid w:val="00882B44"/>
    <w:rsid w:val="008838AD"/>
    <w:rsid w:val="00885381"/>
    <w:rsid w:val="0088572B"/>
    <w:rsid w:val="00885BC9"/>
    <w:rsid w:val="008864B3"/>
    <w:rsid w:val="008865E5"/>
    <w:rsid w:val="0088682F"/>
    <w:rsid w:val="00886900"/>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4AF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7C8"/>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623"/>
    <w:rsid w:val="00902A67"/>
    <w:rsid w:val="00902C5E"/>
    <w:rsid w:val="0090303D"/>
    <w:rsid w:val="00904BE4"/>
    <w:rsid w:val="0090504A"/>
    <w:rsid w:val="009051F5"/>
    <w:rsid w:val="00905221"/>
    <w:rsid w:val="0090530B"/>
    <w:rsid w:val="00905664"/>
    <w:rsid w:val="00905A7C"/>
    <w:rsid w:val="00905D7E"/>
    <w:rsid w:val="00907037"/>
    <w:rsid w:val="00907259"/>
    <w:rsid w:val="00907929"/>
    <w:rsid w:val="00910577"/>
    <w:rsid w:val="00910C5D"/>
    <w:rsid w:val="0091112C"/>
    <w:rsid w:val="009113F2"/>
    <w:rsid w:val="0091160A"/>
    <w:rsid w:val="00911945"/>
    <w:rsid w:val="009128A9"/>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A4"/>
    <w:rsid w:val="00921792"/>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6BA"/>
    <w:rsid w:val="0094286B"/>
    <w:rsid w:val="009432E2"/>
    <w:rsid w:val="00944668"/>
    <w:rsid w:val="00944DC6"/>
    <w:rsid w:val="00945829"/>
    <w:rsid w:val="009458B0"/>
    <w:rsid w:val="00945B52"/>
    <w:rsid w:val="00945B7A"/>
    <w:rsid w:val="00945F05"/>
    <w:rsid w:val="00945FE0"/>
    <w:rsid w:val="00946348"/>
    <w:rsid w:val="00946B10"/>
    <w:rsid w:val="00947070"/>
    <w:rsid w:val="00947224"/>
    <w:rsid w:val="00947797"/>
    <w:rsid w:val="009478A2"/>
    <w:rsid w:val="00947942"/>
    <w:rsid w:val="00950181"/>
    <w:rsid w:val="00950865"/>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24C9"/>
    <w:rsid w:val="00973772"/>
    <w:rsid w:val="0097560A"/>
    <w:rsid w:val="009759A3"/>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A013B"/>
    <w:rsid w:val="009A02F4"/>
    <w:rsid w:val="009A06BF"/>
    <w:rsid w:val="009A0D17"/>
    <w:rsid w:val="009A2494"/>
    <w:rsid w:val="009A32B1"/>
    <w:rsid w:val="009A33A3"/>
    <w:rsid w:val="009A36F2"/>
    <w:rsid w:val="009A3942"/>
    <w:rsid w:val="009A4073"/>
    <w:rsid w:val="009A40C3"/>
    <w:rsid w:val="009A40D5"/>
    <w:rsid w:val="009A5268"/>
    <w:rsid w:val="009A5621"/>
    <w:rsid w:val="009A57D0"/>
    <w:rsid w:val="009A6559"/>
    <w:rsid w:val="009A68FC"/>
    <w:rsid w:val="009A6CE4"/>
    <w:rsid w:val="009A7514"/>
    <w:rsid w:val="009A7665"/>
    <w:rsid w:val="009A7E7A"/>
    <w:rsid w:val="009B0925"/>
    <w:rsid w:val="009B1584"/>
    <w:rsid w:val="009B18F0"/>
    <w:rsid w:val="009B1F4C"/>
    <w:rsid w:val="009B2203"/>
    <w:rsid w:val="009B2471"/>
    <w:rsid w:val="009B314F"/>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3EE6"/>
    <w:rsid w:val="009C5314"/>
    <w:rsid w:val="009C5AFE"/>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B1E"/>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223"/>
    <w:rsid w:val="00A03842"/>
    <w:rsid w:val="00A04394"/>
    <w:rsid w:val="00A0464C"/>
    <w:rsid w:val="00A050BB"/>
    <w:rsid w:val="00A05128"/>
    <w:rsid w:val="00A0521B"/>
    <w:rsid w:val="00A054E0"/>
    <w:rsid w:val="00A05D91"/>
    <w:rsid w:val="00A0740B"/>
    <w:rsid w:val="00A07ED3"/>
    <w:rsid w:val="00A10162"/>
    <w:rsid w:val="00A10A81"/>
    <w:rsid w:val="00A10CA8"/>
    <w:rsid w:val="00A10D5A"/>
    <w:rsid w:val="00A11042"/>
    <w:rsid w:val="00A12579"/>
    <w:rsid w:val="00A12CDC"/>
    <w:rsid w:val="00A12E1D"/>
    <w:rsid w:val="00A133D8"/>
    <w:rsid w:val="00A13553"/>
    <w:rsid w:val="00A13F58"/>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6D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9D8"/>
    <w:rsid w:val="00A575B8"/>
    <w:rsid w:val="00A6020A"/>
    <w:rsid w:val="00A60CE7"/>
    <w:rsid w:val="00A60CF8"/>
    <w:rsid w:val="00A619BB"/>
    <w:rsid w:val="00A61C60"/>
    <w:rsid w:val="00A61ECB"/>
    <w:rsid w:val="00A63FE9"/>
    <w:rsid w:val="00A6410C"/>
    <w:rsid w:val="00A647B1"/>
    <w:rsid w:val="00A64DEF"/>
    <w:rsid w:val="00A65311"/>
    <w:rsid w:val="00A654D2"/>
    <w:rsid w:val="00A665DF"/>
    <w:rsid w:val="00A671B4"/>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CBC"/>
    <w:rsid w:val="00A75EF9"/>
    <w:rsid w:val="00A7642C"/>
    <w:rsid w:val="00A7657C"/>
    <w:rsid w:val="00A76B5E"/>
    <w:rsid w:val="00A76E4E"/>
    <w:rsid w:val="00A80A5D"/>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5A5"/>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147"/>
    <w:rsid w:val="00AB38CB"/>
    <w:rsid w:val="00AB3BEC"/>
    <w:rsid w:val="00AB4080"/>
    <w:rsid w:val="00AB44E4"/>
    <w:rsid w:val="00AB4AEB"/>
    <w:rsid w:val="00AB4E5F"/>
    <w:rsid w:val="00AB5352"/>
    <w:rsid w:val="00AB56AE"/>
    <w:rsid w:val="00AB62D5"/>
    <w:rsid w:val="00AB65B5"/>
    <w:rsid w:val="00AB6DCD"/>
    <w:rsid w:val="00AB6EE0"/>
    <w:rsid w:val="00AB71D6"/>
    <w:rsid w:val="00AB7D43"/>
    <w:rsid w:val="00AB7F2C"/>
    <w:rsid w:val="00AC022E"/>
    <w:rsid w:val="00AC17A2"/>
    <w:rsid w:val="00AC18C7"/>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0D57"/>
    <w:rsid w:val="00AD1119"/>
    <w:rsid w:val="00AD1315"/>
    <w:rsid w:val="00AD23EF"/>
    <w:rsid w:val="00AD2662"/>
    <w:rsid w:val="00AD307B"/>
    <w:rsid w:val="00AD36D2"/>
    <w:rsid w:val="00AD3992"/>
    <w:rsid w:val="00AD4014"/>
    <w:rsid w:val="00AD41B3"/>
    <w:rsid w:val="00AD5721"/>
    <w:rsid w:val="00AD69F0"/>
    <w:rsid w:val="00AD7127"/>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C1"/>
    <w:rsid w:val="00AE4A3E"/>
    <w:rsid w:val="00AE4CCE"/>
    <w:rsid w:val="00AE5C6A"/>
    <w:rsid w:val="00AE7058"/>
    <w:rsid w:val="00AE7280"/>
    <w:rsid w:val="00AE7B5F"/>
    <w:rsid w:val="00AF01FA"/>
    <w:rsid w:val="00AF033A"/>
    <w:rsid w:val="00AF0516"/>
    <w:rsid w:val="00AF118E"/>
    <w:rsid w:val="00AF1658"/>
    <w:rsid w:val="00AF1699"/>
    <w:rsid w:val="00AF18D1"/>
    <w:rsid w:val="00AF1BA4"/>
    <w:rsid w:val="00AF1FD3"/>
    <w:rsid w:val="00AF2775"/>
    <w:rsid w:val="00AF2910"/>
    <w:rsid w:val="00AF34B8"/>
    <w:rsid w:val="00AF3896"/>
    <w:rsid w:val="00AF39C9"/>
    <w:rsid w:val="00AF3F97"/>
    <w:rsid w:val="00AF3FC2"/>
    <w:rsid w:val="00AF4DEC"/>
    <w:rsid w:val="00AF6B57"/>
    <w:rsid w:val="00B003FF"/>
    <w:rsid w:val="00B0098A"/>
    <w:rsid w:val="00B00A5F"/>
    <w:rsid w:val="00B00F37"/>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02D6"/>
    <w:rsid w:val="00B11AE5"/>
    <w:rsid w:val="00B120F3"/>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531"/>
    <w:rsid w:val="00B419EA"/>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5646"/>
    <w:rsid w:val="00B662FF"/>
    <w:rsid w:val="00B665B8"/>
    <w:rsid w:val="00B665F6"/>
    <w:rsid w:val="00B66679"/>
    <w:rsid w:val="00B70145"/>
    <w:rsid w:val="00B701C9"/>
    <w:rsid w:val="00B710AD"/>
    <w:rsid w:val="00B71288"/>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B9C"/>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575"/>
    <w:rsid w:val="00B902A5"/>
    <w:rsid w:val="00B90420"/>
    <w:rsid w:val="00B90848"/>
    <w:rsid w:val="00B90BC1"/>
    <w:rsid w:val="00B91146"/>
    <w:rsid w:val="00B913E4"/>
    <w:rsid w:val="00B91DB9"/>
    <w:rsid w:val="00B91FF3"/>
    <w:rsid w:val="00B925F8"/>
    <w:rsid w:val="00B9330A"/>
    <w:rsid w:val="00B93EFE"/>
    <w:rsid w:val="00B944B9"/>
    <w:rsid w:val="00B94956"/>
    <w:rsid w:val="00B94C7F"/>
    <w:rsid w:val="00B94E93"/>
    <w:rsid w:val="00B956B5"/>
    <w:rsid w:val="00B95956"/>
    <w:rsid w:val="00B95ABC"/>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577D"/>
    <w:rsid w:val="00BC588C"/>
    <w:rsid w:val="00BC6E73"/>
    <w:rsid w:val="00BC74D3"/>
    <w:rsid w:val="00BC7AC5"/>
    <w:rsid w:val="00BD0014"/>
    <w:rsid w:val="00BD01D8"/>
    <w:rsid w:val="00BD255F"/>
    <w:rsid w:val="00BD2895"/>
    <w:rsid w:val="00BD3194"/>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6A9E"/>
    <w:rsid w:val="00BF7695"/>
    <w:rsid w:val="00BF775D"/>
    <w:rsid w:val="00BF79B4"/>
    <w:rsid w:val="00BF7C61"/>
    <w:rsid w:val="00C00366"/>
    <w:rsid w:val="00C01427"/>
    <w:rsid w:val="00C014C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3E0"/>
    <w:rsid w:val="00C215CF"/>
    <w:rsid w:val="00C219C3"/>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41349"/>
    <w:rsid w:val="00C413CB"/>
    <w:rsid w:val="00C41558"/>
    <w:rsid w:val="00C42752"/>
    <w:rsid w:val="00C42973"/>
    <w:rsid w:val="00C43426"/>
    <w:rsid w:val="00C4443A"/>
    <w:rsid w:val="00C4554E"/>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2FF7"/>
    <w:rsid w:val="00C74035"/>
    <w:rsid w:val="00C748EA"/>
    <w:rsid w:val="00C76FB0"/>
    <w:rsid w:val="00C77818"/>
    <w:rsid w:val="00C8063F"/>
    <w:rsid w:val="00C81282"/>
    <w:rsid w:val="00C8155F"/>
    <w:rsid w:val="00C8198D"/>
    <w:rsid w:val="00C82167"/>
    <w:rsid w:val="00C827B4"/>
    <w:rsid w:val="00C831FE"/>
    <w:rsid w:val="00C83214"/>
    <w:rsid w:val="00C8329F"/>
    <w:rsid w:val="00C84E65"/>
    <w:rsid w:val="00C84F8A"/>
    <w:rsid w:val="00C85BA4"/>
    <w:rsid w:val="00C8618F"/>
    <w:rsid w:val="00C8625D"/>
    <w:rsid w:val="00C865AD"/>
    <w:rsid w:val="00C86612"/>
    <w:rsid w:val="00C87402"/>
    <w:rsid w:val="00C90372"/>
    <w:rsid w:val="00C9041F"/>
    <w:rsid w:val="00C915CA"/>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CA7"/>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A3D"/>
    <w:rsid w:val="00CC2FF0"/>
    <w:rsid w:val="00CC313F"/>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6666"/>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81A"/>
    <w:rsid w:val="00CE7B08"/>
    <w:rsid w:val="00CE7B7A"/>
    <w:rsid w:val="00CE7D52"/>
    <w:rsid w:val="00CF0AAA"/>
    <w:rsid w:val="00CF0AB7"/>
    <w:rsid w:val="00CF1D74"/>
    <w:rsid w:val="00CF26A3"/>
    <w:rsid w:val="00CF2BE2"/>
    <w:rsid w:val="00CF371A"/>
    <w:rsid w:val="00CF3791"/>
    <w:rsid w:val="00CF37C2"/>
    <w:rsid w:val="00CF3DE4"/>
    <w:rsid w:val="00CF3DEB"/>
    <w:rsid w:val="00CF55F9"/>
    <w:rsid w:val="00CF578D"/>
    <w:rsid w:val="00CF7074"/>
    <w:rsid w:val="00CF7495"/>
    <w:rsid w:val="00CF76D6"/>
    <w:rsid w:val="00D01CF9"/>
    <w:rsid w:val="00D021E8"/>
    <w:rsid w:val="00D0334D"/>
    <w:rsid w:val="00D0374D"/>
    <w:rsid w:val="00D06312"/>
    <w:rsid w:val="00D06D7B"/>
    <w:rsid w:val="00D06DA5"/>
    <w:rsid w:val="00D07191"/>
    <w:rsid w:val="00D07319"/>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08F"/>
    <w:rsid w:val="00D2015B"/>
    <w:rsid w:val="00D207E7"/>
    <w:rsid w:val="00D20B44"/>
    <w:rsid w:val="00D21168"/>
    <w:rsid w:val="00D21C3A"/>
    <w:rsid w:val="00D2224A"/>
    <w:rsid w:val="00D2385D"/>
    <w:rsid w:val="00D23FF4"/>
    <w:rsid w:val="00D2438C"/>
    <w:rsid w:val="00D2585A"/>
    <w:rsid w:val="00D25920"/>
    <w:rsid w:val="00D259B0"/>
    <w:rsid w:val="00D259C2"/>
    <w:rsid w:val="00D26C3F"/>
    <w:rsid w:val="00D27185"/>
    <w:rsid w:val="00D3028A"/>
    <w:rsid w:val="00D30E98"/>
    <w:rsid w:val="00D3125C"/>
    <w:rsid w:val="00D31ACD"/>
    <w:rsid w:val="00D32436"/>
    <w:rsid w:val="00D33488"/>
    <w:rsid w:val="00D33AB3"/>
    <w:rsid w:val="00D33F24"/>
    <w:rsid w:val="00D34160"/>
    <w:rsid w:val="00D346B8"/>
    <w:rsid w:val="00D34DCA"/>
    <w:rsid w:val="00D35AC8"/>
    <w:rsid w:val="00D360A7"/>
    <w:rsid w:val="00D36F87"/>
    <w:rsid w:val="00D37DF9"/>
    <w:rsid w:val="00D37E4E"/>
    <w:rsid w:val="00D40275"/>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1191"/>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51B"/>
    <w:rsid w:val="00D81AFA"/>
    <w:rsid w:val="00D81EAA"/>
    <w:rsid w:val="00D81FE2"/>
    <w:rsid w:val="00D8259F"/>
    <w:rsid w:val="00D825F2"/>
    <w:rsid w:val="00D8285C"/>
    <w:rsid w:val="00D828B1"/>
    <w:rsid w:val="00D82A55"/>
    <w:rsid w:val="00D8305B"/>
    <w:rsid w:val="00D830F8"/>
    <w:rsid w:val="00D83D49"/>
    <w:rsid w:val="00D84181"/>
    <w:rsid w:val="00D846AD"/>
    <w:rsid w:val="00D84754"/>
    <w:rsid w:val="00D84F27"/>
    <w:rsid w:val="00D8534C"/>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B0C"/>
    <w:rsid w:val="00D94CA4"/>
    <w:rsid w:val="00D95E99"/>
    <w:rsid w:val="00D965D5"/>
    <w:rsid w:val="00D96F7C"/>
    <w:rsid w:val="00D9714B"/>
    <w:rsid w:val="00D97DA2"/>
    <w:rsid w:val="00DA0485"/>
    <w:rsid w:val="00DA19AA"/>
    <w:rsid w:val="00DA1A3A"/>
    <w:rsid w:val="00DA1FC3"/>
    <w:rsid w:val="00DA2351"/>
    <w:rsid w:val="00DA249E"/>
    <w:rsid w:val="00DA2D3D"/>
    <w:rsid w:val="00DA35D9"/>
    <w:rsid w:val="00DA3855"/>
    <w:rsid w:val="00DA39BA"/>
    <w:rsid w:val="00DA4C30"/>
    <w:rsid w:val="00DA538E"/>
    <w:rsid w:val="00DA5FB3"/>
    <w:rsid w:val="00DA6980"/>
    <w:rsid w:val="00DA6A44"/>
    <w:rsid w:val="00DA7A3C"/>
    <w:rsid w:val="00DB145E"/>
    <w:rsid w:val="00DB1A94"/>
    <w:rsid w:val="00DB1BE8"/>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D7F43"/>
    <w:rsid w:val="00DE0784"/>
    <w:rsid w:val="00DE0A1D"/>
    <w:rsid w:val="00DE15B2"/>
    <w:rsid w:val="00DE1A9A"/>
    <w:rsid w:val="00DE22F5"/>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4582"/>
    <w:rsid w:val="00DF5267"/>
    <w:rsid w:val="00DF53F0"/>
    <w:rsid w:val="00DF5700"/>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B9A"/>
    <w:rsid w:val="00E01C9C"/>
    <w:rsid w:val="00E01FF4"/>
    <w:rsid w:val="00E0219D"/>
    <w:rsid w:val="00E032D9"/>
    <w:rsid w:val="00E04482"/>
    <w:rsid w:val="00E04C0F"/>
    <w:rsid w:val="00E05510"/>
    <w:rsid w:val="00E0570B"/>
    <w:rsid w:val="00E05B1D"/>
    <w:rsid w:val="00E05B91"/>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2F39"/>
    <w:rsid w:val="00E24071"/>
    <w:rsid w:val="00E24142"/>
    <w:rsid w:val="00E24DCA"/>
    <w:rsid w:val="00E24EBC"/>
    <w:rsid w:val="00E2522C"/>
    <w:rsid w:val="00E2552F"/>
    <w:rsid w:val="00E2599B"/>
    <w:rsid w:val="00E2710C"/>
    <w:rsid w:val="00E272BD"/>
    <w:rsid w:val="00E27428"/>
    <w:rsid w:val="00E27E58"/>
    <w:rsid w:val="00E305B4"/>
    <w:rsid w:val="00E314CB"/>
    <w:rsid w:val="00E31AFA"/>
    <w:rsid w:val="00E31CB7"/>
    <w:rsid w:val="00E324EE"/>
    <w:rsid w:val="00E3367B"/>
    <w:rsid w:val="00E34DB1"/>
    <w:rsid w:val="00E35339"/>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6F5F"/>
    <w:rsid w:val="00E67BFA"/>
    <w:rsid w:val="00E7004F"/>
    <w:rsid w:val="00E70615"/>
    <w:rsid w:val="00E7159E"/>
    <w:rsid w:val="00E7161E"/>
    <w:rsid w:val="00E71AAB"/>
    <w:rsid w:val="00E71BE3"/>
    <w:rsid w:val="00E72004"/>
    <w:rsid w:val="00E7207B"/>
    <w:rsid w:val="00E722CF"/>
    <w:rsid w:val="00E72880"/>
    <w:rsid w:val="00E7347A"/>
    <w:rsid w:val="00E75A47"/>
    <w:rsid w:val="00E75BB6"/>
    <w:rsid w:val="00E75D8C"/>
    <w:rsid w:val="00E76E93"/>
    <w:rsid w:val="00E7719C"/>
    <w:rsid w:val="00E7757E"/>
    <w:rsid w:val="00E777F2"/>
    <w:rsid w:val="00E802C9"/>
    <w:rsid w:val="00E80BFB"/>
    <w:rsid w:val="00E80EC2"/>
    <w:rsid w:val="00E80F0A"/>
    <w:rsid w:val="00E81291"/>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900DA"/>
    <w:rsid w:val="00E90496"/>
    <w:rsid w:val="00E91044"/>
    <w:rsid w:val="00E910D3"/>
    <w:rsid w:val="00E91CBA"/>
    <w:rsid w:val="00E92097"/>
    <w:rsid w:val="00E92154"/>
    <w:rsid w:val="00E923CF"/>
    <w:rsid w:val="00E93685"/>
    <w:rsid w:val="00E93B65"/>
    <w:rsid w:val="00E93C8C"/>
    <w:rsid w:val="00E95111"/>
    <w:rsid w:val="00E95FDF"/>
    <w:rsid w:val="00E960AD"/>
    <w:rsid w:val="00E9677F"/>
    <w:rsid w:val="00E96898"/>
    <w:rsid w:val="00E97043"/>
    <w:rsid w:val="00EA0185"/>
    <w:rsid w:val="00EA05B6"/>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2AF"/>
    <w:rsid w:val="00EB05D0"/>
    <w:rsid w:val="00EB1151"/>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C60"/>
    <w:rsid w:val="00ED2EB9"/>
    <w:rsid w:val="00ED3722"/>
    <w:rsid w:val="00ED3A31"/>
    <w:rsid w:val="00ED3AEF"/>
    <w:rsid w:val="00ED4469"/>
    <w:rsid w:val="00ED5424"/>
    <w:rsid w:val="00ED5F23"/>
    <w:rsid w:val="00ED6DC0"/>
    <w:rsid w:val="00ED7272"/>
    <w:rsid w:val="00ED7A7A"/>
    <w:rsid w:val="00EE0327"/>
    <w:rsid w:val="00EE038C"/>
    <w:rsid w:val="00EE064D"/>
    <w:rsid w:val="00EE105A"/>
    <w:rsid w:val="00EE1D00"/>
    <w:rsid w:val="00EE259E"/>
    <w:rsid w:val="00EE25C8"/>
    <w:rsid w:val="00EE28C5"/>
    <w:rsid w:val="00EE2F09"/>
    <w:rsid w:val="00EE47C5"/>
    <w:rsid w:val="00EE490C"/>
    <w:rsid w:val="00EE4E57"/>
    <w:rsid w:val="00EE5738"/>
    <w:rsid w:val="00EE58BD"/>
    <w:rsid w:val="00EE5DDB"/>
    <w:rsid w:val="00EE5E59"/>
    <w:rsid w:val="00EE5FA9"/>
    <w:rsid w:val="00EE73D0"/>
    <w:rsid w:val="00EE7CB0"/>
    <w:rsid w:val="00EE7CD1"/>
    <w:rsid w:val="00EF08A8"/>
    <w:rsid w:val="00EF167B"/>
    <w:rsid w:val="00EF1C90"/>
    <w:rsid w:val="00EF2496"/>
    <w:rsid w:val="00EF3BFF"/>
    <w:rsid w:val="00EF41A8"/>
    <w:rsid w:val="00EF44FB"/>
    <w:rsid w:val="00EF5122"/>
    <w:rsid w:val="00EF5554"/>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8EB"/>
    <w:rsid w:val="00F31EDF"/>
    <w:rsid w:val="00F32507"/>
    <w:rsid w:val="00F32CDE"/>
    <w:rsid w:val="00F32D4C"/>
    <w:rsid w:val="00F3327E"/>
    <w:rsid w:val="00F338C3"/>
    <w:rsid w:val="00F34B14"/>
    <w:rsid w:val="00F34CF1"/>
    <w:rsid w:val="00F34E35"/>
    <w:rsid w:val="00F34F58"/>
    <w:rsid w:val="00F3572F"/>
    <w:rsid w:val="00F35DA7"/>
    <w:rsid w:val="00F361BD"/>
    <w:rsid w:val="00F36A6A"/>
    <w:rsid w:val="00F40101"/>
    <w:rsid w:val="00F404F7"/>
    <w:rsid w:val="00F40CCA"/>
    <w:rsid w:val="00F41E02"/>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B43"/>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9DE"/>
    <w:rsid w:val="00F81B2A"/>
    <w:rsid w:val="00F81C12"/>
    <w:rsid w:val="00F82053"/>
    <w:rsid w:val="00F825C4"/>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7F3"/>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E96"/>
    <w:rsid w:val="00FA5A92"/>
    <w:rsid w:val="00FA681F"/>
    <w:rsid w:val="00FB0261"/>
    <w:rsid w:val="00FB0CBF"/>
    <w:rsid w:val="00FB18F6"/>
    <w:rsid w:val="00FB2A52"/>
    <w:rsid w:val="00FB3961"/>
    <w:rsid w:val="00FB39E0"/>
    <w:rsid w:val="00FB3F92"/>
    <w:rsid w:val="00FB52C7"/>
    <w:rsid w:val="00FB57DC"/>
    <w:rsid w:val="00FB5915"/>
    <w:rsid w:val="00FB6E19"/>
    <w:rsid w:val="00FB71F6"/>
    <w:rsid w:val="00FB74F1"/>
    <w:rsid w:val="00FC056A"/>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3EA"/>
    <w:rsid w:val="00FD374D"/>
    <w:rsid w:val="00FD4D2A"/>
    <w:rsid w:val="00FD6071"/>
    <w:rsid w:val="00FD633B"/>
    <w:rsid w:val="00FD66ED"/>
    <w:rsid w:val="00FD6ABA"/>
    <w:rsid w:val="00FE0794"/>
    <w:rsid w:val="00FE1041"/>
    <w:rsid w:val="00FE1614"/>
    <w:rsid w:val="00FE24CB"/>
    <w:rsid w:val="00FE25B1"/>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149"/>
    <w:rsid w:val="00FF78E5"/>
    <w:rsid w:val="012C5FAF"/>
    <w:rsid w:val="016B5F35"/>
    <w:rsid w:val="01AF3D99"/>
    <w:rsid w:val="021F4265"/>
    <w:rsid w:val="02511F9D"/>
    <w:rsid w:val="03A314B8"/>
    <w:rsid w:val="03D82B98"/>
    <w:rsid w:val="03F83E8B"/>
    <w:rsid w:val="04C2490E"/>
    <w:rsid w:val="04FE20AB"/>
    <w:rsid w:val="05633A9B"/>
    <w:rsid w:val="0581355B"/>
    <w:rsid w:val="05A97B5B"/>
    <w:rsid w:val="05AC4062"/>
    <w:rsid w:val="05B74B23"/>
    <w:rsid w:val="05C56868"/>
    <w:rsid w:val="05E80E12"/>
    <w:rsid w:val="06DA1FF4"/>
    <w:rsid w:val="070F07DE"/>
    <w:rsid w:val="07A539BD"/>
    <w:rsid w:val="07B72767"/>
    <w:rsid w:val="08077E72"/>
    <w:rsid w:val="083E6C90"/>
    <w:rsid w:val="08882DD0"/>
    <w:rsid w:val="091D4D2D"/>
    <w:rsid w:val="09263E2D"/>
    <w:rsid w:val="09CC2AAC"/>
    <w:rsid w:val="0A563076"/>
    <w:rsid w:val="0A652D3E"/>
    <w:rsid w:val="0AE55920"/>
    <w:rsid w:val="0B2621C1"/>
    <w:rsid w:val="0B326F2A"/>
    <w:rsid w:val="0BA7CADB"/>
    <w:rsid w:val="0BC1638D"/>
    <w:rsid w:val="0C1E2888"/>
    <w:rsid w:val="0C404CB0"/>
    <w:rsid w:val="0C6A432F"/>
    <w:rsid w:val="0C92213C"/>
    <w:rsid w:val="0CC2027E"/>
    <w:rsid w:val="0D84032B"/>
    <w:rsid w:val="0E4A09D7"/>
    <w:rsid w:val="0F2A74C4"/>
    <w:rsid w:val="0F437B1F"/>
    <w:rsid w:val="10A27F31"/>
    <w:rsid w:val="10C51715"/>
    <w:rsid w:val="10F96715"/>
    <w:rsid w:val="11927058"/>
    <w:rsid w:val="120E171E"/>
    <w:rsid w:val="12575356"/>
    <w:rsid w:val="1274518F"/>
    <w:rsid w:val="129A7987"/>
    <w:rsid w:val="12E04390"/>
    <w:rsid w:val="130C25E4"/>
    <w:rsid w:val="13AF4F03"/>
    <w:rsid w:val="14736E66"/>
    <w:rsid w:val="147F458F"/>
    <w:rsid w:val="152D26FB"/>
    <w:rsid w:val="1534169A"/>
    <w:rsid w:val="15C03E03"/>
    <w:rsid w:val="162A25EB"/>
    <w:rsid w:val="16315F4D"/>
    <w:rsid w:val="16735895"/>
    <w:rsid w:val="16BF1E6B"/>
    <w:rsid w:val="16C31D8E"/>
    <w:rsid w:val="16FD2A55"/>
    <w:rsid w:val="17067C1A"/>
    <w:rsid w:val="17366761"/>
    <w:rsid w:val="177C01F0"/>
    <w:rsid w:val="179E3EFA"/>
    <w:rsid w:val="17AC14CE"/>
    <w:rsid w:val="17BD20FF"/>
    <w:rsid w:val="17CE6630"/>
    <w:rsid w:val="17D002B7"/>
    <w:rsid w:val="18F4271B"/>
    <w:rsid w:val="192D3112"/>
    <w:rsid w:val="19305FBC"/>
    <w:rsid w:val="19AA220F"/>
    <w:rsid w:val="19CB3F93"/>
    <w:rsid w:val="1A624FD8"/>
    <w:rsid w:val="1AE6663D"/>
    <w:rsid w:val="1AFF0AFE"/>
    <w:rsid w:val="1B4F19F8"/>
    <w:rsid w:val="1B7B5A92"/>
    <w:rsid w:val="1BAA4D27"/>
    <w:rsid w:val="1BFB2816"/>
    <w:rsid w:val="1CE30808"/>
    <w:rsid w:val="1D063C00"/>
    <w:rsid w:val="1D2E3157"/>
    <w:rsid w:val="1D660B43"/>
    <w:rsid w:val="1ECC44FA"/>
    <w:rsid w:val="1F063325"/>
    <w:rsid w:val="1F100D66"/>
    <w:rsid w:val="1FBC5DF5"/>
    <w:rsid w:val="1FF90588"/>
    <w:rsid w:val="202F7912"/>
    <w:rsid w:val="205B0707"/>
    <w:rsid w:val="208F07C2"/>
    <w:rsid w:val="209054C4"/>
    <w:rsid w:val="20C3623F"/>
    <w:rsid w:val="21254CE9"/>
    <w:rsid w:val="21781212"/>
    <w:rsid w:val="21991D34"/>
    <w:rsid w:val="21B83F86"/>
    <w:rsid w:val="21FC059F"/>
    <w:rsid w:val="221178A8"/>
    <w:rsid w:val="221213CF"/>
    <w:rsid w:val="22327A92"/>
    <w:rsid w:val="225A1179"/>
    <w:rsid w:val="231D53A2"/>
    <w:rsid w:val="236D5383"/>
    <w:rsid w:val="239669EF"/>
    <w:rsid w:val="239B0BC4"/>
    <w:rsid w:val="23B7504C"/>
    <w:rsid w:val="23CE5BB3"/>
    <w:rsid w:val="24571307"/>
    <w:rsid w:val="24AF5C78"/>
    <w:rsid w:val="24FF0599"/>
    <w:rsid w:val="2508087C"/>
    <w:rsid w:val="25110A2A"/>
    <w:rsid w:val="256C0944"/>
    <w:rsid w:val="257F3772"/>
    <w:rsid w:val="25912670"/>
    <w:rsid w:val="25932BEF"/>
    <w:rsid w:val="25CC2570"/>
    <w:rsid w:val="26446DE3"/>
    <w:rsid w:val="26877DFE"/>
    <w:rsid w:val="269669E7"/>
    <w:rsid w:val="26A270C1"/>
    <w:rsid w:val="26A86F43"/>
    <w:rsid w:val="26D7699F"/>
    <w:rsid w:val="276437CB"/>
    <w:rsid w:val="280800B8"/>
    <w:rsid w:val="28253E9F"/>
    <w:rsid w:val="28634ED8"/>
    <w:rsid w:val="2874680A"/>
    <w:rsid w:val="28C25934"/>
    <w:rsid w:val="28DD05EF"/>
    <w:rsid w:val="291E33D7"/>
    <w:rsid w:val="292A62B1"/>
    <w:rsid w:val="2974543F"/>
    <w:rsid w:val="299A1CC3"/>
    <w:rsid w:val="29D75F7F"/>
    <w:rsid w:val="29FF65A7"/>
    <w:rsid w:val="2A026B3E"/>
    <w:rsid w:val="2B5C6B16"/>
    <w:rsid w:val="2B724B56"/>
    <w:rsid w:val="2B774624"/>
    <w:rsid w:val="2B7D59D5"/>
    <w:rsid w:val="2C571C81"/>
    <w:rsid w:val="2C7A72BE"/>
    <w:rsid w:val="2C954FA0"/>
    <w:rsid w:val="2C9A7D75"/>
    <w:rsid w:val="2CAD4B2B"/>
    <w:rsid w:val="2CB76337"/>
    <w:rsid w:val="2CBC42DB"/>
    <w:rsid w:val="2CC17412"/>
    <w:rsid w:val="2D7C1E99"/>
    <w:rsid w:val="2D962D7E"/>
    <w:rsid w:val="2DEF4571"/>
    <w:rsid w:val="2E9976CE"/>
    <w:rsid w:val="2EF01DEE"/>
    <w:rsid w:val="2EF901D3"/>
    <w:rsid w:val="2F401D3C"/>
    <w:rsid w:val="2F5B24E1"/>
    <w:rsid w:val="2F5D7E64"/>
    <w:rsid w:val="2FA95C88"/>
    <w:rsid w:val="302A2B95"/>
    <w:rsid w:val="3041370F"/>
    <w:rsid w:val="3061743C"/>
    <w:rsid w:val="30A7764F"/>
    <w:rsid w:val="30B87FED"/>
    <w:rsid w:val="311E41F7"/>
    <w:rsid w:val="312B50A3"/>
    <w:rsid w:val="31894FD2"/>
    <w:rsid w:val="322C3CB1"/>
    <w:rsid w:val="32453A27"/>
    <w:rsid w:val="325B21C0"/>
    <w:rsid w:val="3263064A"/>
    <w:rsid w:val="32A43132"/>
    <w:rsid w:val="32AC0C06"/>
    <w:rsid w:val="33344EF5"/>
    <w:rsid w:val="33FFB707"/>
    <w:rsid w:val="34637732"/>
    <w:rsid w:val="34761214"/>
    <w:rsid w:val="34CC52D7"/>
    <w:rsid w:val="350027AC"/>
    <w:rsid w:val="35105C34"/>
    <w:rsid w:val="3537750C"/>
    <w:rsid w:val="3537798C"/>
    <w:rsid w:val="35C13FC9"/>
    <w:rsid w:val="361E0E67"/>
    <w:rsid w:val="36372B05"/>
    <w:rsid w:val="364257B6"/>
    <w:rsid w:val="364A6C5E"/>
    <w:rsid w:val="37420A57"/>
    <w:rsid w:val="377FC262"/>
    <w:rsid w:val="37EA5922"/>
    <w:rsid w:val="38276B93"/>
    <w:rsid w:val="382E58B8"/>
    <w:rsid w:val="38AC3431"/>
    <w:rsid w:val="38AE2A5D"/>
    <w:rsid w:val="38EA6674"/>
    <w:rsid w:val="392F2E16"/>
    <w:rsid w:val="39504B78"/>
    <w:rsid w:val="39D39968"/>
    <w:rsid w:val="39E00529"/>
    <w:rsid w:val="3A0B64A7"/>
    <w:rsid w:val="3A257964"/>
    <w:rsid w:val="3A574DDA"/>
    <w:rsid w:val="3AD3075A"/>
    <w:rsid w:val="3AF74C02"/>
    <w:rsid w:val="3BA20EDC"/>
    <w:rsid w:val="3BF524EA"/>
    <w:rsid w:val="3BFAD838"/>
    <w:rsid w:val="3C0059A5"/>
    <w:rsid w:val="3C134E78"/>
    <w:rsid w:val="3C44609B"/>
    <w:rsid w:val="3CA408E8"/>
    <w:rsid w:val="3D332398"/>
    <w:rsid w:val="3D430B38"/>
    <w:rsid w:val="3D4F4CF8"/>
    <w:rsid w:val="3D67DC54"/>
    <w:rsid w:val="3D884991"/>
    <w:rsid w:val="3DF6345D"/>
    <w:rsid w:val="3DFE43A8"/>
    <w:rsid w:val="3E2B5515"/>
    <w:rsid w:val="3E2D5039"/>
    <w:rsid w:val="3E4D4F28"/>
    <w:rsid w:val="3E686E06"/>
    <w:rsid w:val="3E7A617F"/>
    <w:rsid w:val="3ED74DCE"/>
    <w:rsid w:val="3ED92EC4"/>
    <w:rsid w:val="3EE13701"/>
    <w:rsid w:val="3EFFA070"/>
    <w:rsid w:val="3F1A4BB3"/>
    <w:rsid w:val="3F79532B"/>
    <w:rsid w:val="400D1059"/>
    <w:rsid w:val="40192BA6"/>
    <w:rsid w:val="40B519EB"/>
    <w:rsid w:val="40C31C84"/>
    <w:rsid w:val="41766EA9"/>
    <w:rsid w:val="41D87D22"/>
    <w:rsid w:val="41F932C8"/>
    <w:rsid w:val="424D6701"/>
    <w:rsid w:val="42550A18"/>
    <w:rsid w:val="429D496A"/>
    <w:rsid w:val="42F473A1"/>
    <w:rsid w:val="433B5DD3"/>
    <w:rsid w:val="437217EA"/>
    <w:rsid w:val="43925BE2"/>
    <w:rsid w:val="43AB7156"/>
    <w:rsid w:val="43CA722C"/>
    <w:rsid w:val="43CF385A"/>
    <w:rsid w:val="441009D8"/>
    <w:rsid w:val="441E62C0"/>
    <w:rsid w:val="44C60D05"/>
    <w:rsid w:val="45270809"/>
    <w:rsid w:val="45325D14"/>
    <w:rsid w:val="45811C7C"/>
    <w:rsid w:val="45906116"/>
    <w:rsid w:val="45931B8C"/>
    <w:rsid w:val="45AC635D"/>
    <w:rsid w:val="45EF2552"/>
    <w:rsid w:val="468B3EFB"/>
    <w:rsid w:val="46D438C0"/>
    <w:rsid w:val="470248DE"/>
    <w:rsid w:val="470A6193"/>
    <w:rsid w:val="47385210"/>
    <w:rsid w:val="475510F8"/>
    <w:rsid w:val="477527D8"/>
    <w:rsid w:val="47AE0793"/>
    <w:rsid w:val="47C233CC"/>
    <w:rsid w:val="47DC4F5C"/>
    <w:rsid w:val="4832149E"/>
    <w:rsid w:val="484B03E1"/>
    <w:rsid w:val="488322E7"/>
    <w:rsid w:val="48B40671"/>
    <w:rsid w:val="48E01E61"/>
    <w:rsid w:val="494B0A69"/>
    <w:rsid w:val="499B5738"/>
    <w:rsid w:val="499F244D"/>
    <w:rsid w:val="49CC4E4A"/>
    <w:rsid w:val="4A973F3F"/>
    <w:rsid w:val="4AEB2504"/>
    <w:rsid w:val="4AF96BC7"/>
    <w:rsid w:val="4B862A85"/>
    <w:rsid w:val="4BA32DDE"/>
    <w:rsid w:val="4BC845F3"/>
    <w:rsid w:val="4BFA28A4"/>
    <w:rsid w:val="4C184159"/>
    <w:rsid w:val="4CEF36E2"/>
    <w:rsid w:val="4CEF4DC5"/>
    <w:rsid w:val="4D461C73"/>
    <w:rsid w:val="4DCFB903"/>
    <w:rsid w:val="4E23259A"/>
    <w:rsid w:val="4E257655"/>
    <w:rsid w:val="4EFA7D8D"/>
    <w:rsid w:val="4F1E5CCF"/>
    <w:rsid w:val="4F2D68F4"/>
    <w:rsid w:val="4F372380"/>
    <w:rsid w:val="4F372FFB"/>
    <w:rsid w:val="4FF6A7A1"/>
    <w:rsid w:val="5025116D"/>
    <w:rsid w:val="51452242"/>
    <w:rsid w:val="523107E7"/>
    <w:rsid w:val="52395ECD"/>
    <w:rsid w:val="524B066C"/>
    <w:rsid w:val="524B210A"/>
    <w:rsid w:val="52817D5B"/>
    <w:rsid w:val="52C10D75"/>
    <w:rsid w:val="52F26CA4"/>
    <w:rsid w:val="53675CCF"/>
    <w:rsid w:val="53C27FF8"/>
    <w:rsid w:val="5436600E"/>
    <w:rsid w:val="543F566E"/>
    <w:rsid w:val="546936AC"/>
    <w:rsid w:val="54716287"/>
    <w:rsid w:val="54806794"/>
    <w:rsid w:val="548D4E7A"/>
    <w:rsid w:val="549E1A80"/>
    <w:rsid w:val="54C658F4"/>
    <w:rsid w:val="54E35FFA"/>
    <w:rsid w:val="550C4BD7"/>
    <w:rsid w:val="554C1D56"/>
    <w:rsid w:val="55572986"/>
    <w:rsid w:val="557A2A35"/>
    <w:rsid w:val="55AC6D33"/>
    <w:rsid w:val="55BB7B39"/>
    <w:rsid w:val="565340FA"/>
    <w:rsid w:val="56AD5F59"/>
    <w:rsid w:val="56C60774"/>
    <w:rsid w:val="56CD51B3"/>
    <w:rsid w:val="579D0DCB"/>
    <w:rsid w:val="57AB1DC1"/>
    <w:rsid w:val="57AF0AE8"/>
    <w:rsid w:val="57B12A52"/>
    <w:rsid w:val="57BB5151"/>
    <w:rsid w:val="57EF62EE"/>
    <w:rsid w:val="58CF47FC"/>
    <w:rsid w:val="59E309EE"/>
    <w:rsid w:val="5A2F2CC8"/>
    <w:rsid w:val="5ABB05D6"/>
    <w:rsid w:val="5AD0219C"/>
    <w:rsid w:val="5B48305A"/>
    <w:rsid w:val="5B8D079B"/>
    <w:rsid w:val="5C10702D"/>
    <w:rsid w:val="5C152601"/>
    <w:rsid w:val="5C4952DC"/>
    <w:rsid w:val="5C591F03"/>
    <w:rsid w:val="5C8A1B2F"/>
    <w:rsid w:val="5CDE240E"/>
    <w:rsid w:val="5D1A1C92"/>
    <w:rsid w:val="5DCD16F4"/>
    <w:rsid w:val="5EB92810"/>
    <w:rsid w:val="5EE27322"/>
    <w:rsid w:val="5EFB5346"/>
    <w:rsid w:val="5F561B72"/>
    <w:rsid w:val="5F776E18"/>
    <w:rsid w:val="5F911DAE"/>
    <w:rsid w:val="5FAA6092"/>
    <w:rsid w:val="5FB524FA"/>
    <w:rsid w:val="601B4AB2"/>
    <w:rsid w:val="60452CD4"/>
    <w:rsid w:val="606007BB"/>
    <w:rsid w:val="60AC7F66"/>
    <w:rsid w:val="60E11843"/>
    <w:rsid w:val="61477910"/>
    <w:rsid w:val="61BF10D9"/>
    <w:rsid w:val="62AC22DC"/>
    <w:rsid w:val="62AE66F6"/>
    <w:rsid w:val="636C099A"/>
    <w:rsid w:val="63740266"/>
    <w:rsid w:val="63A22BFD"/>
    <w:rsid w:val="642B10E5"/>
    <w:rsid w:val="64860269"/>
    <w:rsid w:val="64E06C14"/>
    <w:rsid w:val="64E45EF7"/>
    <w:rsid w:val="650A3B2D"/>
    <w:rsid w:val="65986A82"/>
    <w:rsid w:val="66061B48"/>
    <w:rsid w:val="6691014E"/>
    <w:rsid w:val="66C87CCE"/>
    <w:rsid w:val="677435B2"/>
    <w:rsid w:val="67B13EAA"/>
    <w:rsid w:val="67DF53C7"/>
    <w:rsid w:val="67EF75F1"/>
    <w:rsid w:val="680074AC"/>
    <w:rsid w:val="68096EE4"/>
    <w:rsid w:val="684F4F11"/>
    <w:rsid w:val="6896419C"/>
    <w:rsid w:val="68F16ADF"/>
    <w:rsid w:val="69124F16"/>
    <w:rsid w:val="691E189E"/>
    <w:rsid w:val="69863E30"/>
    <w:rsid w:val="698E07D2"/>
    <w:rsid w:val="69CD5C14"/>
    <w:rsid w:val="69CF0D33"/>
    <w:rsid w:val="6B5477F9"/>
    <w:rsid w:val="6B9946B3"/>
    <w:rsid w:val="6BBE3229"/>
    <w:rsid w:val="6BCC7390"/>
    <w:rsid w:val="6BE518DA"/>
    <w:rsid w:val="6BF07522"/>
    <w:rsid w:val="6C276F3A"/>
    <w:rsid w:val="6C7007C7"/>
    <w:rsid w:val="6D700C9E"/>
    <w:rsid w:val="6DBD2F26"/>
    <w:rsid w:val="6DE76850"/>
    <w:rsid w:val="6E060D1C"/>
    <w:rsid w:val="6F2F0361"/>
    <w:rsid w:val="6F972386"/>
    <w:rsid w:val="6FB20BD4"/>
    <w:rsid w:val="6FBA59BE"/>
    <w:rsid w:val="6FF92664"/>
    <w:rsid w:val="70296B3E"/>
    <w:rsid w:val="70611204"/>
    <w:rsid w:val="70E16A8C"/>
    <w:rsid w:val="7165620F"/>
    <w:rsid w:val="717039F8"/>
    <w:rsid w:val="721D4AB2"/>
    <w:rsid w:val="72297D6C"/>
    <w:rsid w:val="73046753"/>
    <w:rsid w:val="7306045A"/>
    <w:rsid w:val="734B14E2"/>
    <w:rsid w:val="73C6500C"/>
    <w:rsid w:val="73E62FB9"/>
    <w:rsid w:val="73FB30D7"/>
    <w:rsid w:val="74073D48"/>
    <w:rsid w:val="74D13AD5"/>
    <w:rsid w:val="74F26FF9"/>
    <w:rsid w:val="74FA2C30"/>
    <w:rsid w:val="754D5C4B"/>
    <w:rsid w:val="7553238B"/>
    <w:rsid w:val="75790588"/>
    <w:rsid w:val="759C5643"/>
    <w:rsid w:val="76C240A7"/>
    <w:rsid w:val="76DA416A"/>
    <w:rsid w:val="770056C4"/>
    <w:rsid w:val="770B4BAE"/>
    <w:rsid w:val="770B6281"/>
    <w:rsid w:val="775246B7"/>
    <w:rsid w:val="77CB499F"/>
    <w:rsid w:val="77E620C0"/>
    <w:rsid w:val="77EDFF5E"/>
    <w:rsid w:val="77F5559F"/>
    <w:rsid w:val="781E69D1"/>
    <w:rsid w:val="782B18E2"/>
    <w:rsid w:val="789E0099"/>
    <w:rsid w:val="7901747F"/>
    <w:rsid w:val="79053EE1"/>
    <w:rsid w:val="79D60454"/>
    <w:rsid w:val="79E6392E"/>
    <w:rsid w:val="7A263B6B"/>
    <w:rsid w:val="7A5D0D05"/>
    <w:rsid w:val="7A9344D5"/>
    <w:rsid w:val="7AF46346"/>
    <w:rsid w:val="7B060822"/>
    <w:rsid w:val="7B0F5EBF"/>
    <w:rsid w:val="7B130FB9"/>
    <w:rsid w:val="7B413C96"/>
    <w:rsid w:val="7B892BA7"/>
    <w:rsid w:val="7BAB6FC2"/>
    <w:rsid w:val="7BD71E38"/>
    <w:rsid w:val="7BE7CA11"/>
    <w:rsid w:val="7BF64EDE"/>
    <w:rsid w:val="7C400C1E"/>
    <w:rsid w:val="7CCE5A9F"/>
    <w:rsid w:val="7D9E4DFA"/>
    <w:rsid w:val="7DD11708"/>
    <w:rsid w:val="7DEE4A4F"/>
    <w:rsid w:val="7E27546D"/>
    <w:rsid w:val="7E6CC026"/>
    <w:rsid w:val="7E7D0F61"/>
    <w:rsid w:val="7EAE6230"/>
    <w:rsid w:val="7EBD579E"/>
    <w:rsid w:val="7EC167BD"/>
    <w:rsid w:val="7EC50900"/>
    <w:rsid w:val="7F272D9E"/>
    <w:rsid w:val="7F735436"/>
    <w:rsid w:val="7F8A4124"/>
    <w:rsid w:val="7F941220"/>
    <w:rsid w:val="7FB323F0"/>
    <w:rsid w:val="7FBB10E7"/>
    <w:rsid w:val="7FDD5EA7"/>
    <w:rsid w:val="7FEFA4DC"/>
    <w:rsid w:val="7FFB979B"/>
    <w:rsid w:val="7FFCA31B"/>
    <w:rsid w:val="7FFF0876"/>
    <w:rsid w:val="8EFD79C1"/>
    <w:rsid w:val="9FB7CA06"/>
    <w:rsid w:val="9FBFFE11"/>
    <w:rsid w:val="9FFAD1AB"/>
    <w:rsid w:val="9FFE1324"/>
    <w:rsid w:val="A5DEFF5F"/>
    <w:rsid w:val="B72E4223"/>
    <w:rsid w:val="B7F76A68"/>
    <w:rsid w:val="BE6AD4EE"/>
    <w:rsid w:val="BFCF1353"/>
    <w:rsid w:val="D7FF002A"/>
    <w:rsid w:val="DB9FBBF2"/>
    <w:rsid w:val="DCDEA9D1"/>
    <w:rsid w:val="DECD774A"/>
    <w:rsid w:val="DFE78CE6"/>
    <w:rsid w:val="DFFEA74D"/>
    <w:rsid w:val="E7FF040B"/>
    <w:rsid w:val="EFFFD02D"/>
    <w:rsid w:val="F4E72BD6"/>
    <w:rsid w:val="F7AFF7D6"/>
    <w:rsid w:val="F7EBCFDB"/>
    <w:rsid w:val="F7FFB488"/>
    <w:rsid w:val="F9FD6FD7"/>
    <w:rsid w:val="FBFF6719"/>
    <w:rsid w:val="FC6F6696"/>
    <w:rsid w:val="FCDECDCD"/>
    <w:rsid w:val="FDD77343"/>
    <w:rsid w:val="FDFBCE36"/>
    <w:rsid w:val="FFCBF484"/>
    <w:rsid w:val="FFEA1F7A"/>
    <w:rsid w:val="FFF2AF88"/>
    <w:rsid w:val="FFFA0C59"/>
    <w:rsid w:val="FFFD4BFE"/>
    <w:rsid w:val="FFFFA95B"/>
    <w:rsid w:val="FFFFE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9"/>
    <w:pPr>
      <w:keepNext/>
      <w:keepLines/>
      <w:spacing w:line="360" w:lineRule="auto"/>
      <w:outlineLvl w:val="3"/>
    </w:pPr>
    <w:rPr>
      <w:rFonts w:ascii="Arial" w:hAnsi="Arial"/>
      <w:b/>
      <w:bCs/>
      <w:sz w:val="28"/>
      <w:szCs w:val="28"/>
    </w:rPr>
  </w:style>
  <w:style w:type="paragraph" w:styleId="6">
    <w:name w:val="heading 5"/>
    <w:basedOn w:val="1"/>
    <w:next w:val="7"/>
    <w:link w:val="58"/>
    <w:qFormat/>
    <w:uiPriority w:val="99"/>
    <w:pPr>
      <w:keepNext/>
      <w:keepLines/>
      <w:spacing w:before="280" w:after="290" w:line="376" w:lineRule="auto"/>
      <w:outlineLvl w:val="4"/>
    </w:pPr>
    <w:rPr>
      <w:b/>
      <w:bCs/>
      <w:sz w:val="28"/>
      <w:szCs w:val="28"/>
    </w:rPr>
  </w:style>
  <w:style w:type="paragraph" w:styleId="8">
    <w:name w:val="heading 6"/>
    <w:basedOn w:val="1"/>
    <w:next w:val="1"/>
    <w:link w:val="60"/>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61"/>
    <w:qFormat/>
    <w:uiPriority w:val="0"/>
    <w:pPr>
      <w:keepNext/>
      <w:keepLines/>
      <w:spacing w:before="240" w:after="64" w:line="317" w:lineRule="auto"/>
      <w:outlineLvl w:val="6"/>
    </w:pPr>
    <w:rPr>
      <w:b/>
      <w:bCs/>
      <w:kern w:val="0"/>
      <w:sz w:val="24"/>
    </w:rPr>
  </w:style>
  <w:style w:type="paragraph" w:styleId="10">
    <w:name w:val="heading 8"/>
    <w:basedOn w:val="1"/>
    <w:next w:val="1"/>
    <w:link w:val="62"/>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3"/>
    <w:qFormat/>
    <w:uiPriority w:val="0"/>
    <w:pPr>
      <w:keepNext/>
      <w:keepLines/>
      <w:spacing w:before="240" w:after="64" w:line="317" w:lineRule="auto"/>
      <w:outlineLvl w:val="8"/>
    </w:pPr>
    <w:rPr>
      <w:rFonts w:ascii="Cambria" w:hAnsi="Cambria"/>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99"/>
    <w:pPr>
      <w:ind w:firstLine="420"/>
    </w:pPr>
    <w:rPr>
      <w:szCs w:val="20"/>
    </w:rPr>
  </w:style>
  <w:style w:type="paragraph" w:styleId="12">
    <w:name w:val="toc 7"/>
    <w:basedOn w:val="1"/>
    <w:next w:val="1"/>
    <w:qFormat/>
    <w:uiPriority w:val="39"/>
    <w:pPr>
      <w:ind w:left="2520" w:leftChars="1200"/>
    </w:pPr>
    <w:rPr>
      <w:rFonts w:ascii="Calibri" w:hAnsi="Calibri" w:cs="Calibri"/>
      <w:szCs w:val="21"/>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64"/>
    <w:qFormat/>
    <w:uiPriority w:val="0"/>
    <w:pPr>
      <w:shd w:val="clear" w:color="auto" w:fill="000080"/>
    </w:pPr>
    <w:rPr>
      <w:sz w:val="24"/>
      <w:shd w:val="clear" w:color="auto" w:fill="000080"/>
    </w:rPr>
  </w:style>
  <w:style w:type="paragraph" w:styleId="17">
    <w:name w:val="annotation text"/>
    <w:basedOn w:val="1"/>
    <w:link w:val="65"/>
    <w:qFormat/>
    <w:uiPriority w:val="99"/>
    <w:pPr>
      <w:jc w:val="left"/>
    </w:pPr>
  </w:style>
  <w:style w:type="paragraph" w:styleId="18">
    <w:name w:val="Body Text 3"/>
    <w:basedOn w:val="1"/>
    <w:link w:val="66"/>
    <w:unhideWhenUsed/>
    <w:qFormat/>
    <w:uiPriority w:val="99"/>
    <w:pPr>
      <w:spacing w:after="120"/>
    </w:pPr>
    <w:rPr>
      <w:sz w:val="16"/>
      <w:szCs w:val="16"/>
    </w:rPr>
  </w:style>
  <w:style w:type="paragraph" w:styleId="19">
    <w:name w:val="Body Text"/>
    <w:basedOn w:val="1"/>
    <w:link w:val="67"/>
    <w:unhideWhenUsed/>
    <w:qFormat/>
    <w:uiPriority w:val="99"/>
    <w:pPr>
      <w:spacing w:after="120"/>
    </w:pPr>
  </w:style>
  <w:style w:type="paragraph" w:styleId="20">
    <w:name w:val="Body Text Indent"/>
    <w:basedOn w:val="1"/>
    <w:link w:val="68"/>
    <w:qFormat/>
    <w:uiPriority w:val="99"/>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link w:val="69"/>
    <w:qFormat/>
    <w:uiPriority w:val="99"/>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70"/>
    <w:unhideWhenUsed/>
    <w:qFormat/>
    <w:uiPriority w:val="99"/>
    <w:pPr>
      <w:ind w:left="100" w:leftChars="2500"/>
    </w:pPr>
  </w:style>
  <w:style w:type="paragraph" w:styleId="28">
    <w:name w:val="Body Text Indent 2"/>
    <w:basedOn w:val="1"/>
    <w:link w:val="71"/>
    <w:qFormat/>
    <w:uiPriority w:val="99"/>
    <w:pPr>
      <w:spacing w:after="120" w:line="480" w:lineRule="auto"/>
      <w:ind w:left="420" w:leftChars="200"/>
    </w:pPr>
    <w:rPr>
      <w:sz w:val="24"/>
    </w:rPr>
  </w:style>
  <w:style w:type="paragraph" w:styleId="29">
    <w:name w:val="Balloon Text"/>
    <w:basedOn w:val="1"/>
    <w:link w:val="72"/>
    <w:qFormat/>
    <w:uiPriority w:val="0"/>
    <w:rPr>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75"/>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76"/>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0"/>
    <w:rPr>
      <w:rFonts w:ascii="Calibri" w:hAnsi="Calibri"/>
      <w:kern w:val="0"/>
      <w:sz w:val="24"/>
    </w:rPr>
  </w:style>
  <w:style w:type="paragraph" w:styleId="41">
    <w:name w:val="Title"/>
    <w:basedOn w:val="1"/>
    <w:next w:val="1"/>
    <w:link w:val="78"/>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79"/>
    <w:qFormat/>
    <w:uiPriority w:val="0"/>
    <w:rPr>
      <w:b/>
      <w:bCs/>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endnote reference"/>
    <w:unhideWhenUsed/>
    <w:qFormat/>
    <w:uiPriority w:val="99"/>
    <w:rPr>
      <w:vertAlign w:val="superscript"/>
    </w:rPr>
  </w:style>
  <w:style w:type="character" w:styleId="48">
    <w:name w:val="page number"/>
    <w:qFormat/>
    <w:uiPriority w:val="99"/>
  </w:style>
  <w:style w:type="character" w:styleId="49">
    <w:name w:val="FollowedHyperlink"/>
    <w:qFormat/>
    <w:uiPriority w:val="99"/>
    <w:rPr>
      <w:color w:val="800080"/>
      <w:u w:val="single"/>
    </w:rPr>
  </w:style>
  <w:style w:type="character" w:styleId="50">
    <w:name w:val="Emphasis"/>
    <w:qFormat/>
    <w:uiPriority w:val="99"/>
    <w:rPr>
      <w:i/>
      <w:iCs/>
    </w:rPr>
  </w:style>
  <w:style w:type="character" w:styleId="51">
    <w:name w:val="Hyperlink"/>
    <w:unhideWhenUsed/>
    <w:qFormat/>
    <w:uiPriority w:val="99"/>
    <w:rPr>
      <w:color w:val="0000FF"/>
      <w:u w:val="single"/>
    </w:rPr>
  </w:style>
  <w:style w:type="character" w:styleId="52">
    <w:name w:val="annotation reference"/>
    <w:qFormat/>
    <w:uiPriority w:val="0"/>
    <w:rPr>
      <w:sz w:val="21"/>
      <w:szCs w:val="21"/>
    </w:rPr>
  </w:style>
  <w:style w:type="character" w:styleId="53">
    <w:name w:val="footnote reference"/>
    <w:unhideWhenUsed/>
    <w:qFormat/>
    <w:uiPriority w:val="0"/>
    <w:rPr>
      <w:vertAlign w:val="superscript"/>
    </w:rPr>
  </w:style>
  <w:style w:type="character" w:customStyle="1" w:styleId="54">
    <w:name w:val="标题 1 Char"/>
    <w:link w:val="2"/>
    <w:qFormat/>
    <w:uiPriority w:val="0"/>
    <w:rPr>
      <w:b/>
      <w:bCs/>
      <w:kern w:val="44"/>
      <w:sz w:val="44"/>
      <w:szCs w:val="44"/>
    </w:rPr>
  </w:style>
  <w:style w:type="character" w:customStyle="1" w:styleId="55">
    <w:name w:val="标题 2 Char1"/>
    <w:link w:val="3"/>
    <w:qFormat/>
    <w:uiPriority w:val="9"/>
    <w:rPr>
      <w:rFonts w:ascii="Cambria" w:hAnsi="Cambria" w:eastAsia="宋体" w:cs="Times New Roman"/>
      <w:b/>
      <w:bCs/>
      <w:kern w:val="2"/>
      <w:sz w:val="32"/>
      <w:szCs w:val="32"/>
    </w:rPr>
  </w:style>
  <w:style w:type="character" w:customStyle="1" w:styleId="56">
    <w:name w:val="标题 3 Char"/>
    <w:link w:val="4"/>
    <w:qFormat/>
    <w:uiPriority w:val="0"/>
    <w:rPr>
      <w:b/>
      <w:bCs/>
      <w:kern w:val="2"/>
      <w:sz w:val="32"/>
      <w:szCs w:val="32"/>
    </w:rPr>
  </w:style>
  <w:style w:type="character" w:customStyle="1" w:styleId="57">
    <w:name w:val="标题 4 Char"/>
    <w:link w:val="5"/>
    <w:qFormat/>
    <w:uiPriority w:val="9"/>
    <w:rPr>
      <w:rFonts w:ascii="Arial" w:hAnsi="Arial"/>
      <w:b/>
      <w:bCs/>
      <w:kern w:val="2"/>
      <w:sz w:val="28"/>
      <w:szCs w:val="28"/>
    </w:rPr>
  </w:style>
  <w:style w:type="character" w:customStyle="1" w:styleId="58">
    <w:name w:val="标题 5 Char"/>
    <w:link w:val="6"/>
    <w:qFormat/>
    <w:uiPriority w:val="99"/>
    <w:rPr>
      <w:rFonts w:ascii="Times New Roman" w:hAnsi="Times New Roman"/>
      <w:b/>
      <w:bCs/>
      <w:kern w:val="2"/>
      <w:sz w:val="28"/>
      <w:szCs w:val="28"/>
    </w:rPr>
  </w:style>
  <w:style w:type="character" w:customStyle="1" w:styleId="59">
    <w:name w:val="正文缩进 Char"/>
    <w:link w:val="7"/>
    <w:qFormat/>
    <w:uiPriority w:val="99"/>
    <w:rPr>
      <w:kern w:val="2"/>
      <w:sz w:val="21"/>
    </w:rPr>
  </w:style>
  <w:style w:type="character" w:customStyle="1" w:styleId="60">
    <w:name w:val="标题 6 Char"/>
    <w:link w:val="8"/>
    <w:qFormat/>
    <w:uiPriority w:val="9"/>
    <w:rPr>
      <w:rFonts w:ascii="Cambria" w:hAnsi="Cambria"/>
      <w:b/>
      <w:bCs/>
      <w:sz w:val="24"/>
      <w:szCs w:val="24"/>
    </w:rPr>
  </w:style>
  <w:style w:type="character" w:customStyle="1" w:styleId="61">
    <w:name w:val="标题 7 Char"/>
    <w:link w:val="9"/>
    <w:qFormat/>
    <w:uiPriority w:val="0"/>
    <w:rPr>
      <w:b/>
      <w:bCs/>
      <w:sz w:val="24"/>
      <w:szCs w:val="24"/>
    </w:rPr>
  </w:style>
  <w:style w:type="character" w:customStyle="1" w:styleId="62">
    <w:name w:val="标题 8 Char1"/>
    <w:link w:val="10"/>
    <w:semiHidden/>
    <w:qFormat/>
    <w:uiPriority w:val="9"/>
    <w:rPr>
      <w:rFonts w:ascii="等线 Light" w:hAnsi="等线 Light" w:eastAsia="等线 Light" w:cs="Times New Roman"/>
      <w:kern w:val="2"/>
      <w:sz w:val="24"/>
      <w:szCs w:val="24"/>
    </w:rPr>
  </w:style>
  <w:style w:type="character" w:customStyle="1" w:styleId="63">
    <w:name w:val="标题 9 Char"/>
    <w:link w:val="11"/>
    <w:qFormat/>
    <w:uiPriority w:val="0"/>
    <w:rPr>
      <w:rFonts w:ascii="Cambria" w:hAnsi="Cambria"/>
      <w:szCs w:val="21"/>
    </w:rPr>
  </w:style>
  <w:style w:type="character" w:customStyle="1" w:styleId="64">
    <w:name w:val="文档结构图 Char"/>
    <w:link w:val="16"/>
    <w:qFormat/>
    <w:uiPriority w:val="0"/>
    <w:rPr>
      <w:kern w:val="2"/>
      <w:sz w:val="24"/>
      <w:szCs w:val="24"/>
      <w:shd w:val="clear" w:color="auto" w:fill="000080"/>
    </w:rPr>
  </w:style>
  <w:style w:type="character" w:customStyle="1" w:styleId="65">
    <w:name w:val="批注文字 Char1"/>
    <w:link w:val="17"/>
    <w:qFormat/>
    <w:uiPriority w:val="99"/>
    <w:rPr>
      <w:rFonts w:ascii="Times New Roman" w:hAnsi="Times New Roman"/>
      <w:kern w:val="2"/>
      <w:sz w:val="21"/>
      <w:szCs w:val="24"/>
    </w:rPr>
  </w:style>
  <w:style w:type="character" w:customStyle="1" w:styleId="66">
    <w:name w:val="正文文本 3 Char"/>
    <w:link w:val="18"/>
    <w:semiHidden/>
    <w:qFormat/>
    <w:uiPriority w:val="99"/>
    <w:rPr>
      <w:kern w:val="2"/>
      <w:sz w:val="16"/>
      <w:szCs w:val="16"/>
    </w:rPr>
  </w:style>
  <w:style w:type="character" w:customStyle="1" w:styleId="67">
    <w:name w:val="正文文本 Char1"/>
    <w:link w:val="19"/>
    <w:qFormat/>
    <w:uiPriority w:val="99"/>
    <w:rPr>
      <w:rFonts w:ascii="Times New Roman" w:hAnsi="Times New Roman"/>
      <w:kern w:val="2"/>
      <w:sz w:val="21"/>
      <w:szCs w:val="24"/>
    </w:rPr>
  </w:style>
  <w:style w:type="character" w:customStyle="1" w:styleId="68">
    <w:name w:val="正文文本缩进 Char"/>
    <w:link w:val="20"/>
    <w:qFormat/>
    <w:uiPriority w:val="99"/>
    <w:rPr>
      <w:rFonts w:ascii="仿宋_GB2312" w:hAnsi="Times New Roman" w:eastAsia="仿宋_GB2312" w:cs="Times New Roman"/>
      <w:sz w:val="32"/>
      <w:szCs w:val="20"/>
    </w:rPr>
  </w:style>
  <w:style w:type="character" w:customStyle="1" w:styleId="69">
    <w:name w:val="纯文本 Char1"/>
    <w:link w:val="25"/>
    <w:qFormat/>
    <w:uiPriority w:val="99"/>
    <w:rPr>
      <w:rFonts w:ascii="宋体" w:hAnsi="Courier New" w:eastAsia="宋体" w:cs="Courier New"/>
      <w:szCs w:val="21"/>
    </w:rPr>
  </w:style>
  <w:style w:type="character" w:customStyle="1" w:styleId="70">
    <w:name w:val="日期 Char"/>
    <w:link w:val="27"/>
    <w:qFormat/>
    <w:uiPriority w:val="99"/>
    <w:rPr>
      <w:rFonts w:ascii="Times New Roman" w:hAnsi="Times New Roman"/>
      <w:kern w:val="2"/>
      <w:sz w:val="21"/>
      <w:szCs w:val="24"/>
    </w:rPr>
  </w:style>
  <w:style w:type="character" w:customStyle="1" w:styleId="71">
    <w:name w:val="正文文本缩进 2 Char"/>
    <w:link w:val="28"/>
    <w:qFormat/>
    <w:uiPriority w:val="99"/>
    <w:rPr>
      <w:kern w:val="2"/>
      <w:sz w:val="24"/>
      <w:szCs w:val="24"/>
    </w:rPr>
  </w:style>
  <w:style w:type="character" w:customStyle="1" w:styleId="72">
    <w:name w:val="批注框文本 Char"/>
    <w:link w:val="29"/>
    <w:qFormat/>
    <w:locked/>
    <w:uiPriority w:val="0"/>
    <w:rPr>
      <w:kern w:val="2"/>
      <w:sz w:val="18"/>
      <w:szCs w:val="18"/>
    </w:rPr>
  </w:style>
  <w:style w:type="character" w:customStyle="1" w:styleId="73">
    <w:name w:val="页脚 Char"/>
    <w:link w:val="30"/>
    <w:qFormat/>
    <w:uiPriority w:val="99"/>
    <w:rPr>
      <w:sz w:val="18"/>
      <w:szCs w:val="18"/>
    </w:rPr>
  </w:style>
  <w:style w:type="character" w:customStyle="1" w:styleId="74">
    <w:name w:val="页眉 Char"/>
    <w:link w:val="31"/>
    <w:qFormat/>
    <w:uiPriority w:val="0"/>
    <w:rPr>
      <w:sz w:val="18"/>
      <w:szCs w:val="18"/>
    </w:rPr>
  </w:style>
  <w:style w:type="character" w:customStyle="1" w:styleId="75">
    <w:name w:val="副标题 Char"/>
    <w:link w:val="34"/>
    <w:qFormat/>
    <w:uiPriority w:val="11"/>
    <w:rPr>
      <w:rFonts w:ascii="Cambria" w:hAnsi="Cambria"/>
      <w:b/>
      <w:bCs/>
      <w:kern w:val="28"/>
      <w:sz w:val="32"/>
      <w:szCs w:val="32"/>
    </w:rPr>
  </w:style>
  <w:style w:type="character" w:customStyle="1" w:styleId="76">
    <w:name w:val="脚注文本 Char"/>
    <w:link w:val="35"/>
    <w:semiHidden/>
    <w:qFormat/>
    <w:uiPriority w:val="0"/>
    <w:rPr>
      <w:sz w:val="18"/>
      <w:szCs w:val="18"/>
    </w:rPr>
  </w:style>
  <w:style w:type="character" w:customStyle="1" w:styleId="77">
    <w:name w:val="HTML 预设格式 Char"/>
    <w:link w:val="39"/>
    <w:qFormat/>
    <w:uiPriority w:val="99"/>
    <w:rPr>
      <w:rFonts w:ascii="宋体" w:hAnsi="宋体"/>
      <w:sz w:val="24"/>
      <w:szCs w:val="24"/>
    </w:rPr>
  </w:style>
  <w:style w:type="character" w:customStyle="1" w:styleId="78">
    <w:name w:val="标题 Char"/>
    <w:link w:val="41"/>
    <w:qFormat/>
    <w:uiPriority w:val="0"/>
    <w:rPr>
      <w:rFonts w:ascii="Cambria" w:hAnsi="Cambria"/>
      <w:b/>
      <w:bCs/>
      <w:kern w:val="2"/>
      <w:sz w:val="32"/>
      <w:szCs w:val="32"/>
    </w:rPr>
  </w:style>
  <w:style w:type="character" w:customStyle="1" w:styleId="79">
    <w:name w:val="批注主题 Char"/>
    <w:link w:val="42"/>
    <w:qFormat/>
    <w:uiPriority w:val="0"/>
    <w:rPr>
      <w:rFonts w:ascii="Times New Roman" w:hAnsi="Times New Roman"/>
      <w:b/>
      <w:bCs/>
      <w:kern w:val="2"/>
      <w:sz w:val="21"/>
      <w:szCs w:val="24"/>
    </w:rPr>
  </w:style>
  <w:style w:type="character" w:customStyle="1" w:styleId="80">
    <w:name w:val="标题 1 字符1"/>
    <w:qFormat/>
    <w:uiPriority w:val="0"/>
    <w:rPr>
      <w:b/>
      <w:bCs/>
      <w:kern w:val="44"/>
      <w:sz w:val="44"/>
      <w:szCs w:val="44"/>
    </w:rPr>
  </w:style>
  <w:style w:type="character" w:customStyle="1" w:styleId="81">
    <w:name w:val="textcontents"/>
    <w:qFormat/>
    <w:uiPriority w:val="99"/>
  </w:style>
  <w:style w:type="character" w:customStyle="1" w:styleId="82">
    <w:name w:val="批注文字 Char"/>
    <w:qFormat/>
    <w:uiPriority w:val="0"/>
    <w:rPr>
      <w:rFonts w:ascii="Times New Roman" w:hAnsi="Times New Roman"/>
      <w:kern w:val="2"/>
      <w:sz w:val="21"/>
      <w:szCs w:val="24"/>
    </w:rPr>
  </w:style>
  <w:style w:type="character" w:customStyle="1" w:styleId="83">
    <w:name w:val="纯文本 字符"/>
    <w:qFormat/>
    <w:uiPriority w:val="0"/>
    <w:rPr>
      <w:rFonts w:ascii="宋体" w:hAnsi="Courier New" w:eastAsia="宋体" w:cs="Courier New"/>
      <w:szCs w:val="21"/>
    </w:rPr>
  </w:style>
  <w:style w:type="character" w:customStyle="1" w:styleId="84">
    <w:name w:val="纯文本 Char"/>
    <w:qFormat/>
    <w:uiPriority w:val="0"/>
    <w:rPr>
      <w:rFonts w:ascii="宋体" w:hAnsi="Courier New" w:eastAsia="宋体" w:cs="Courier New"/>
      <w:szCs w:val="21"/>
    </w:rPr>
  </w:style>
  <w:style w:type="character" w:customStyle="1" w:styleId="85">
    <w:name w:val="纯文本 字符2"/>
    <w:qFormat/>
    <w:uiPriority w:val="0"/>
    <w:rPr>
      <w:rFonts w:ascii="宋体" w:hAnsi="Courier New" w:eastAsia="宋体" w:cs="Courier New"/>
      <w:szCs w:val="21"/>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纯文本 字符1"/>
    <w:qFormat/>
    <w:uiPriority w:val="0"/>
    <w:rPr>
      <w:rFonts w:ascii="宋体" w:hAnsi="Courier New"/>
    </w:rPr>
  </w:style>
  <w:style w:type="character" w:customStyle="1" w:styleId="89">
    <w:name w:val="正文文本 Char"/>
    <w:qFormat/>
    <w:uiPriority w:val="0"/>
    <w:rPr>
      <w:rFonts w:ascii="Times New Roman" w:hAnsi="Times New Roman"/>
      <w:kern w:val="2"/>
      <w:sz w:val="21"/>
      <w:szCs w:val="24"/>
    </w:rPr>
  </w:style>
  <w:style w:type="character" w:customStyle="1" w:styleId="90">
    <w:name w:val="批注文字 字符"/>
    <w:qFormat/>
    <w:uiPriority w:val="0"/>
    <w:rPr>
      <w:rFonts w:ascii="Times New Roman" w:hAnsi="Times New Roman"/>
      <w:kern w:val="2"/>
      <w:sz w:val="21"/>
      <w:szCs w:val="24"/>
    </w:rPr>
  </w:style>
  <w:style w:type="character" w:customStyle="1" w:styleId="91">
    <w:name w:val="标题 2 Char"/>
    <w:qFormat/>
    <w:uiPriority w:val="0"/>
    <w:rPr>
      <w:rFonts w:ascii="Cambria" w:hAnsi="Cambria" w:eastAsia="宋体" w:cs="Times New Roman"/>
      <w:b/>
      <w:bCs/>
      <w:kern w:val="2"/>
      <w:sz w:val="32"/>
      <w:szCs w:val="32"/>
    </w:rPr>
  </w:style>
  <w:style w:type="character" w:customStyle="1" w:styleId="92">
    <w:name w:val="标题 8 Char"/>
    <w:qFormat/>
    <w:uiPriority w:val="9"/>
    <w:rPr>
      <w:rFonts w:ascii="Arial" w:hAnsi="Arial" w:eastAsia="黑体"/>
      <w:kern w:val="2"/>
      <w:sz w:val="24"/>
      <w:szCs w:val="24"/>
    </w:rPr>
  </w:style>
  <w:style w:type="character" w:customStyle="1" w:styleId="93">
    <w:name w:val="apple-style-span"/>
    <w:qFormat/>
    <w:uiPriority w:val="0"/>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customStyle="1" w:styleId="9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96">
    <w:name w:val="List Paragraph"/>
    <w:basedOn w:val="1"/>
    <w:qFormat/>
    <w:uiPriority w:val="99"/>
    <w:pPr>
      <w:ind w:firstLine="420" w:firstLineChars="200"/>
    </w:pPr>
  </w:style>
  <w:style w:type="paragraph" w:customStyle="1" w:styleId="97">
    <w:name w:val="Table Paragraph"/>
    <w:basedOn w:val="1"/>
    <w:qFormat/>
    <w:uiPriority w:val="1"/>
    <w:pPr>
      <w:jc w:val="left"/>
    </w:pPr>
    <w:rPr>
      <w:rFonts w:ascii="Calibri" w:hAnsi="Calibri"/>
      <w:kern w:val="0"/>
      <w:sz w:val="22"/>
      <w:szCs w:val="22"/>
      <w:lang w:eastAsia="en-US"/>
    </w:rPr>
  </w:style>
  <w:style w:type="character" w:customStyle="1" w:styleId="98">
    <w:name w:val="正文文本 字符"/>
    <w:qFormat/>
    <w:uiPriority w:val="0"/>
    <w:rPr>
      <w:rFonts w:ascii="Times New Roman" w:hAnsi="Times New Roman"/>
      <w:kern w:val="2"/>
      <w:sz w:val="21"/>
      <w:szCs w:val="24"/>
    </w:rPr>
  </w:style>
  <w:style w:type="character" w:customStyle="1" w:styleId="99">
    <w:name w:val="批注文字 Char2"/>
    <w:qFormat/>
    <w:uiPriority w:val="0"/>
    <w:rPr>
      <w:rFonts w:ascii="Times New Roman" w:hAnsi="Times New Roman"/>
      <w:kern w:val="2"/>
      <w:sz w:val="21"/>
      <w:szCs w:val="24"/>
    </w:rPr>
  </w:style>
  <w:style w:type="character" w:customStyle="1" w:styleId="100">
    <w:name w:val="正文2 Char Char"/>
    <w:link w:val="101"/>
    <w:qFormat/>
    <w:uiPriority w:val="0"/>
    <w:rPr>
      <w:kern w:val="2"/>
      <w:sz w:val="24"/>
    </w:rPr>
  </w:style>
  <w:style w:type="paragraph" w:customStyle="1" w:styleId="101">
    <w:name w:val="正文2"/>
    <w:basedOn w:val="1"/>
    <w:link w:val="100"/>
    <w:qFormat/>
    <w:uiPriority w:val="0"/>
    <w:pPr>
      <w:adjustRightInd w:val="0"/>
      <w:spacing w:before="156" w:line="360" w:lineRule="auto"/>
      <w:ind w:firstLine="510" w:firstLineChars="200"/>
    </w:pPr>
    <w:rPr>
      <w:sz w:val="24"/>
      <w:szCs w:val="20"/>
    </w:rPr>
  </w:style>
  <w:style w:type="character" w:customStyle="1" w:styleId="102">
    <w:name w:val="批注文字 Char Char"/>
    <w:qFormat/>
    <w:uiPriority w:val="99"/>
    <w:rPr>
      <w:rFonts w:ascii="宋体" w:hAnsi="Times New Roman" w:eastAsia="宋体" w:cs="宋体"/>
      <w:sz w:val="20"/>
      <w:szCs w:val="20"/>
    </w:rPr>
  </w:style>
  <w:style w:type="character" w:customStyle="1" w:styleId="103">
    <w:name w:val="Heading 3 Char"/>
    <w:qFormat/>
    <w:uiPriority w:val="99"/>
    <w:rPr>
      <w:b/>
      <w:bCs/>
      <w:kern w:val="2"/>
      <w:sz w:val="32"/>
      <w:szCs w:val="32"/>
    </w:rPr>
  </w:style>
  <w:style w:type="character" w:customStyle="1" w:styleId="104">
    <w:name w:val="Heading 2 Char"/>
    <w:qFormat/>
    <w:uiPriority w:val="99"/>
    <w:rPr>
      <w:rFonts w:ascii="Arial" w:hAnsi="Arial" w:eastAsia="黑体" w:cs="Arial"/>
      <w:b/>
      <w:bCs/>
      <w:kern w:val="2"/>
      <w:sz w:val="32"/>
      <w:szCs w:val="32"/>
      <w:lang w:val="en-US" w:eastAsia="zh-CN"/>
    </w:rPr>
  </w:style>
  <w:style w:type="character" w:customStyle="1" w:styleId="105">
    <w:name w:val="Balloon Text Char"/>
    <w:qFormat/>
    <w:uiPriority w:val="99"/>
    <w:rPr>
      <w:sz w:val="18"/>
      <w:szCs w:val="18"/>
    </w:rPr>
  </w:style>
  <w:style w:type="character" w:customStyle="1" w:styleId="106">
    <w:name w:val="文档结构图 Char1"/>
    <w:qFormat/>
    <w:uiPriority w:val="99"/>
    <w:rPr>
      <w:rFonts w:ascii="宋体" w:hAnsi="Times New Roman" w:eastAsia="宋体" w:cs="宋体"/>
      <w:sz w:val="18"/>
      <w:szCs w:val="18"/>
    </w:rPr>
  </w:style>
  <w:style w:type="character" w:customStyle="1" w:styleId="107">
    <w:name w:val="Footnote Text Char"/>
    <w:qFormat/>
    <w:uiPriority w:val="99"/>
    <w:rPr>
      <w:rFonts w:eastAsia="宋体"/>
      <w:sz w:val="18"/>
      <w:szCs w:val="18"/>
      <w:lang w:val="en-US" w:eastAsia="zh-CN"/>
    </w:rPr>
  </w:style>
  <w:style w:type="character" w:customStyle="1" w:styleId="108">
    <w:name w:val="Char Char21"/>
    <w:qFormat/>
    <w:uiPriority w:val="99"/>
    <w:rPr>
      <w:rFonts w:ascii="Arial" w:hAnsi="Arial" w:eastAsia="黑体" w:cs="Arial"/>
      <w:b/>
      <w:bCs/>
      <w:sz w:val="32"/>
      <w:szCs w:val="32"/>
    </w:rPr>
  </w:style>
  <w:style w:type="character" w:customStyle="1" w:styleId="109">
    <w:name w:val="Body Text Indent Char"/>
    <w:qFormat/>
    <w:uiPriority w:val="99"/>
    <w:rPr>
      <w:rFonts w:ascii="宋体" w:hAnsi="宋体" w:eastAsia="宋体" w:cs="宋体"/>
      <w:kern w:val="2"/>
      <w:sz w:val="21"/>
      <w:szCs w:val="21"/>
      <w:lang w:val="en-US" w:eastAsia="zh-CN"/>
    </w:rPr>
  </w:style>
  <w:style w:type="character" w:customStyle="1" w:styleId="110">
    <w:name w:val="不明显参考1"/>
    <w:qFormat/>
    <w:uiPriority w:val="99"/>
    <w:rPr>
      <w:smallCaps/>
      <w:color w:val="auto"/>
      <w:u w:val="single"/>
    </w:rPr>
  </w:style>
  <w:style w:type="character" w:customStyle="1" w:styleId="111">
    <w:name w:val="Heading 4 Char"/>
    <w:qFormat/>
    <w:uiPriority w:val="99"/>
    <w:rPr>
      <w:rFonts w:ascii="Arial" w:hAnsi="Arial" w:eastAsia="宋体" w:cs="Arial"/>
      <w:b/>
      <w:bCs/>
      <w:kern w:val="2"/>
      <w:sz w:val="28"/>
      <w:szCs w:val="28"/>
      <w:lang w:val="en-US" w:eastAsia="zh-CN"/>
    </w:rPr>
  </w:style>
  <w:style w:type="character" w:customStyle="1" w:styleId="112">
    <w:name w:val="Char Char20"/>
    <w:qFormat/>
    <w:uiPriority w:val="99"/>
    <w:rPr>
      <w:rFonts w:ascii="Times New Roman" w:hAnsi="Times New Roman" w:eastAsia="宋体" w:cs="Times New Roman"/>
      <w:b/>
      <w:bCs/>
      <w:sz w:val="32"/>
      <w:szCs w:val="32"/>
    </w:rPr>
  </w:style>
  <w:style w:type="character" w:customStyle="1" w:styleId="113">
    <w:name w:val="Comment Subject Char"/>
    <w:qFormat/>
    <w:uiPriority w:val="99"/>
    <w:rPr>
      <w:b/>
      <w:bCs/>
      <w:sz w:val="24"/>
      <w:szCs w:val="24"/>
    </w:rPr>
  </w:style>
  <w:style w:type="character" w:customStyle="1" w:styleId="114">
    <w:name w:val="Heading 1 Char"/>
    <w:qFormat/>
    <w:uiPriority w:val="99"/>
    <w:rPr>
      <w:rFonts w:eastAsia="宋体"/>
      <w:b/>
      <w:bCs/>
      <w:kern w:val="44"/>
      <w:sz w:val="44"/>
      <w:szCs w:val="44"/>
      <w:lang w:val="en-US" w:eastAsia="zh-CN"/>
    </w:rPr>
  </w:style>
  <w:style w:type="character" w:customStyle="1" w:styleId="115">
    <w:name w:val="批注框文本 Char1"/>
    <w:qFormat/>
    <w:uiPriority w:val="99"/>
    <w:rPr>
      <w:rFonts w:ascii="Times New Roman" w:hAnsi="Times New Roman" w:eastAsia="宋体" w:cs="Times New Roman"/>
      <w:sz w:val="18"/>
      <w:szCs w:val="18"/>
    </w:rPr>
  </w:style>
  <w:style w:type="character" w:customStyle="1" w:styleId="116">
    <w:name w:val="Char Char6"/>
    <w:qFormat/>
    <w:uiPriority w:val="99"/>
    <w:rPr>
      <w:rFonts w:eastAsia="宋体"/>
      <w:b/>
      <w:bCs/>
      <w:kern w:val="44"/>
      <w:sz w:val="44"/>
      <w:szCs w:val="44"/>
      <w:lang w:val="en-US" w:eastAsia="zh-CN"/>
    </w:rPr>
  </w:style>
  <w:style w:type="character" w:customStyle="1" w:styleId="117">
    <w:name w:val="Char Char18"/>
    <w:qFormat/>
    <w:uiPriority w:val="99"/>
    <w:rPr>
      <w:rFonts w:ascii="Times New Roman" w:hAnsi="Times New Roman" w:eastAsia="宋体" w:cs="Times New Roman"/>
      <w:b/>
      <w:bCs/>
      <w:sz w:val="28"/>
      <w:szCs w:val="28"/>
    </w:rPr>
  </w:style>
  <w:style w:type="character" w:customStyle="1" w:styleId="118">
    <w:name w:val="Body Text Indent 2 Char"/>
    <w:qFormat/>
    <w:uiPriority w:val="99"/>
    <w:rPr>
      <w:rFonts w:eastAsia="宋体"/>
      <w:kern w:val="2"/>
      <w:sz w:val="24"/>
      <w:szCs w:val="24"/>
      <w:lang w:val="en-US" w:eastAsia="zh-CN"/>
    </w:rPr>
  </w:style>
  <w:style w:type="character" w:customStyle="1" w:styleId="119">
    <w:name w:val="Comment Text Char1"/>
    <w:qFormat/>
    <w:uiPriority w:val="99"/>
    <w:rPr>
      <w:sz w:val="24"/>
      <w:szCs w:val="24"/>
    </w:rPr>
  </w:style>
  <w:style w:type="character" w:customStyle="1" w:styleId="120">
    <w:name w:val="标题5 Char Char"/>
    <w:link w:val="121"/>
    <w:qFormat/>
    <w:locked/>
    <w:uiPriority w:val="99"/>
    <w:rPr>
      <w:rFonts w:ascii="Arial" w:hAnsi="Arial" w:cs="Arial"/>
      <w:b/>
      <w:bCs/>
      <w:sz w:val="32"/>
      <w:szCs w:val="32"/>
    </w:rPr>
  </w:style>
  <w:style w:type="paragraph" w:customStyle="1" w:styleId="121">
    <w:name w:val="标题5"/>
    <w:basedOn w:val="4"/>
    <w:link w:val="120"/>
    <w:qFormat/>
    <w:uiPriority w:val="99"/>
    <w:pPr>
      <w:spacing w:line="413" w:lineRule="auto"/>
    </w:pPr>
    <w:rPr>
      <w:rFonts w:ascii="Arial" w:hAnsi="Arial"/>
      <w:kern w:val="0"/>
    </w:rPr>
  </w:style>
  <w:style w:type="character" w:customStyle="1" w:styleId="122">
    <w:name w:val="批注主题 Char1"/>
    <w:qFormat/>
    <w:uiPriority w:val="99"/>
    <w:rPr>
      <w:rFonts w:ascii="Times New Roman" w:hAnsi="Times New Roman" w:eastAsia="宋体" w:cs="Times New Roman"/>
      <w:b/>
      <w:bCs/>
      <w:sz w:val="24"/>
      <w:szCs w:val="24"/>
    </w:rPr>
  </w:style>
  <w:style w:type="character" w:customStyle="1" w:styleId="123">
    <w:name w:val="Char Char24"/>
    <w:qFormat/>
    <w:uiPriority w:val="99"/>
    <w:rPr>
      <w:rFonts w:eastAsia="宋体"/>
      <w:b/>
      <w:bCs/>
      <w:kern w:val="44"/>
      <w:sz w:val="44"/>
      <w:szCs w:val="44"/>
      <w:lang w:val="en-US" w:eastAsia="zh-CN"/>
    </w:rPr>
  </w:style>
  <w:style w:type="character" w:customStyle="1" w:styleId="124">
    <w:name w:val="Footer Char"/>
    <w:qFormat/>
    <w:uiPriority w:val="99"/>
    <w:rPr>
      <w:rFonts w:eastAsia="宋体"/>
      <w:kern w:val="2"/>
      <w:sz w:val="18"/>
      <w:szCs w:val="18"/>
      <w:lang w:val="en-US" w:eastAsia="zh-CN"/>
    </w:rPr>
  </w:style>
  <w:style w:type="character" w:customStyle="1" w:styleId="125">
    <w:name w:val="Char Char9"/>
    <w:qFormat/>
    <w:uiPriority w:val="99"/>
    <w:rPr>
      <w:rFonts w:eastAsia="宋体"/>
      <w:b/>
      <w:bCs/>
      <w:kern w:val="44"/>
      <w:sz w:val="44"/>
      <w:szCs w:val="44"/>
      <w:lang w:val="en-US" w:eastAsia="zh-CN"/>
    </w:rPr>
  </w:style>
  <w:style w:type="character" w:customStyle="1" w:styleId="126">
    <w:name w:val="Heading 3 Char1"/>
    <w:qFormat/>
    <w:uiPriority w:val="99"/>
    <w:rPr>
      <w:rFonts w:eastAsia="宋体"/>
      <w:b/>
      <w:bCs/>
      <w:kern w:val="2"/>
      <w:sz w:val="32"/>
      <w:szCs w:val="32"/>
      <w:lang w:val="en-US" w:eastAsia="zh-CN"/>
    </w:rPr>
  </w:style>
  <w:style w:type="character" w:customStyle="1" w:styleId="127">
    <w:name w:val="Document Map Char"/>
    <w:qFormat/>
    <w:uiPriority w:val="99"/>
    <w:rPr>
      <w:rFonts w:eastAsia="宋体"/>
      <w:kern w:val="2"/>
      <w:sz w:val="24"/>
      <w:szCs w:val="24"/>
      <w:lang w:val="en-US" w:eastAsia="zh-CN"/>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Char Char22"/>
    <w:qFormat/>
    <w:uiPriority w:val="99"/>
    <w:rPr>
      <w:rFonts w:ascii="Times New Roman" w:hAnsi="Times New Roman" w:eastAsia="宋体" w:cs="Times New Roman"/>
      <w:b/>
      <w:bCs/>
      <w:kern w:val="44"/>
      <w:sz w:val="44"/>
      <w:szCs w:val="44"/>
    </w:rPr>
  </w:style>
  <w:style w:type="character" w:customStyle="1" w:styleId="130">
    <w:name w:val="明显引用 Char"/>
    <w:link w:val="131"/>
    <w:qFormat/>
    <w:locked/>
    <w:uiPriority w:val="99"/>
    <w:rPr>
      <w:b/>
      <w:bCs/>
      <w:i/>
      <w:iCs/>
      <w:color w:val="4F81BD"/>
    </w:rPr>
  </w:style>
  <w:style w:type="paragraph" w:customStyle="1" w:styleId="131">
    <w:name w:val="明显引用1"/>
    <w:basedOn w:val="1"/>
    <w:next w:val="1"/>
    <w:link w:val="13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2">
    <w:name w:val="标题4 Char Char"/>
    <w:link w:val="133"/>
    <w:qFormat/>
    <w:locked/>
    <w:uiPriority w:val="99"/>
    <w:rPr>
      <w:rFonts w:ascii="Arial" w:hAnsi="Arial" w:cs="Arial"/>
      <w:b/>
      <w:bCs/>
      <w:sz w:val="32"/>
      <w:szCs w:val="32"/>
    </w:rPr>
  </w:style>
  <w:style w:type="paragraph" w:customStyle="1" w:styleId="133">
    <w:name w:val="标题4"/>
    <w:basedOn w:val="3"/>
    <w:next w:val="22"/>
    <w:link w:val="132"/>
    <w:qFormat/>
    <w:uiPriority w:val="99"/>
    <w:pPr>
      <w:spacing w:before="60" w:after="60" w:line="413" w:lineRule="auto"/>
    </w:pPr>
    <w:rPr>
      <w:rFonts w:ascii="Arial" w:hAnsi="Arial"/>
      <w:kern w:val="0"/>
    </w:rPr>
  </w:style>
  <w:style w:type="character" w:customStyle="1" w:styleId="134">
    <w:name w:val="Header Char"/>
    <w:qFormat/>
    <w:uiPriority w:val="99"/>
    <w:rPr>
      <w:rFonts w:eastAsia="宋体"/>
      <w:kern w:val="2"/>
      <w:sz w:val="18"/>
      <w:szCs w:val="18"/>
      <w:lang w:val="en-US" w:eastAsia="zh-CN"/>
    </w:rPr>
  </w:style>
  <w:style w:type="character" w:customStyle="1" w:styleId="135">
    <w:name w:val="明显引用 Char1"/>
    <w:qFormat/>
    <w:uiPriority w:val="99"/>
    <w:rPr>
      <w:rFonts w:ascii="Times New Roman" w:hAnsi="Times New Roman" w:eastAsia="宋体" w:cs="Times New Roman"/>
      <w:b/>
      <w:bCs/>
      <w:i/>
      <w:iCs/>
      <w:color w:val="4F81BD"/>
      <w:sz w:val="24"/>
      <w:szCs w:val="24"/>
    </w:rPr>
  </w:style>
  <w:style w:type="character" w:customStyle="1" w:styleId="136">
    <w:name w:val="Comment Text Char"/>
    <w:qFormat/>
    <w:uiPriority w:val="99"/>
    <w:rPr>
      <w:sz w:val="24"/>
      <w:szCs w:val="24"/>
    </w:rPr>
  </w:style>
  <w:style w:type="character" w:customStyle="1" w:styleId="137">
    <w:name w:val="明显参考1"/>
    <w:qFormat/>
    <w:uiPriority w:val="99"/>
    <w:rPr>
      <w:b/>
      <w:bCs/>
      <w:smallCaps/>
      <w:color w:val="auto"/>
      <w:spacing w:val="5"/>
      <w:u w:val="single"/>
    </w:rPr>
  </w:style>
  <w:style w:type="character" w:customStyle="1" w:styleId="138">
    <w:name w:val="明显强调1"/>
    <w:qFormat/>
    <w:uiPriority w:val="99"/>
    <w:rPr>
      <w:b/>
      <w:bCs/>
      <w:i/>
      <w:iCs/>
      <w:color w:val="4F81BD"/>
    </w:rPr>
  </w:style>
  <w:style w:type="character" w:customStyle="1" w:styleId="139">
    <w:name w:val="引用 Char1"/>
    <w:qFormat/>
    <w:uiPriority w:val="99"/>
    <w:rPr>
      <w:rFonts w:ascii="Times New Roman" w:hAnsi="Times New Roman" w:eastAsia="宋体" w:cs="Times New Roman"/>
      <w:i/>
      <w:iCs/>
      <w:color w:val="000000"/>
      <w:sz w:val="24"/>
      <w:szCs w:val="24"/>
    </w:rPr>
  </w:style>
  <w:style w:type="character" w:customStyle="1" w:styleId="140">
    <w:name w:val="引用 Char"/>
    <w:link w:val="141"/>
    <w:qFormat/>
    <w:locked/>
    <w:uiPriority w:val="99"/>
    <w:rPr>
      <w:i/>
      <w:iCs/>
      <w:color w:val="000000"/>
    </w:rPr>
  </w:style>
  <w:style w:type="paragraph" w:customStyle="1" w:styleId="141">
    <w:name w:val="引用1"/>
    <w:basedOn w:val="1"/>
    <w:next w:val="1"/>
    <w:link w:val="140"/>
    <w:qFormat/>
    <w:uiPriority w:val="99"/>
    <w:rPr>
      <w:i/>
      <w:iCs/>
      <w:color w:val="000000"/>
      <w:kern w:val="0"/>
      <w:sz w:val="20"/>
      <w:szCs w:val="20"/>
    </w:rPr>
  </w:style>
  <w:style w:type="character" w:customStyle="1" w:styleId="142">
    <w:name w:val="标题 Char2"/>
    <w:qFormat/>
    <w:uiPriority w:val="99"/>
    <w:rPr>
      <w:rFonts w:ascii="Cambria" w:hAnsi="Cambria" w:eastAsia="宋体" w:cs="Cambria"/>
      <w:b/>
      <w:bCs/>
      <w:sz w:val="32"/>
      <w:szCs w:val="32"/>
    </w:rPr>
  </w:style>
  <w:style w:type="character" w:customStyle="1" w:styleId="143">
    <w:name w:val="Char Char23"/>
    <w:qFormat/>
    <w:uiPriority w:val="99"/>
    <w:rPr>
      <w:rFonts w:eastAsia="宋体"/>
      <w:b/>
      <w:bCs/>
      <w:kern w:val="44"/>
      <w:sz w:val="44"/>
      <w:szCs w:val="44"/>
      <w:lang w:val="en-US" w:eastAsia="zh-CN"/>
    </w:rPr>
  </w:style>
  <w:style w:type="character" w:customStyle="1" w:styleId="144">
    <w:name w:val="Plain Text Char"/>
    <w:qFormat/>
    <w:uiPriority w:val="99"/>
    <w:rPr>
      <w:rFonts w:ascii="宋体" w:hAnsi="Courier New" w:eastAsia="宋体" w:cs="宋体"/>
      <w:sz w:val="24"/>
      <w:szCs w:val="24"/>
    </w:rPr>
  </w:style>
  <w:style w:type="character" w:customStyle="1" w:styleId="145">
    <w:name w:val="Char Char91"/>
    <w:qFormat/>
    <w:uiPriority w:val="99"/>
    <w:rPr>
      <w:rFonts w:eastAsia="宋体"/>
      <w:b/>
      <w:bCs/>
      <w:kern w:val="44"/>
      <w:sz w:val="44"/>
      <w:szCs w:val="44"/>
      <w:lang w:val="en-US" w:eastAsia="zh-CN"/>
    </w:rPr>
  </w:style>
  <w:style w:type="character" w:customStyle="1" w:styleId="146">
    <w:name w:val="Char Char181"/>
    <w:qFormat/>
    <w:uiPriority w:val="99"/>
    <w:rPr>
      <w:b/>
      <w:bCs/>
      <w:kern w:val="44"/>
      <w:sz w:val="44"/>
      <w:szCs w:val="44"/>
    </w:rPr>
  </w:style>
  <w:style w:type="character" w:customStyle="1" w:styleId="147">
    <w:name w:val="Heading 5 Char"/>
    <w:qFormat/>
    <w:uiPriority w:val="99"/>
    <w:rPr>
      <w:rFonts w:eastAsia="宋体"/>
      <w:b/>
      <w:bCs/>
      <w:kern w:val="2"/>
      <w:sz w:val="28"/>
      <w:szCs w:val="28"/>
      <w:lang w:val="en-US" w:eastAsia="zh-CN"/>
    </w:rPr>
  </w:style>
  <w:style w:type="character" w:customStyle="1" w:styleId="148">
    <w:name w:val="Char Char19"/>
    <w:qFormat/>
    <w:uiPriority w:val="99"/>
    <w:rPr>
      <w:rFonts w:ascii="Arial" w:hAnsi="Arial" w:eastAsia="宋体" w:cs="Arial"/>
      <w:b/>
      <w:bCs/>
      <w:sz w:val="28"/>
      <w:szCs w:val="28"/>
    </w:rPr>
  </w:style>
  <w:style w:type="character" w:customStyle="1" w:styleId="149">
    <w:name w:val="日期 Char1"/>
    <w:qFormat/>
    <w:uiPriority w:val="99"/>
    <w:rPr>
      <w:rFonts w:ascii="Times New Roman" w:hAnsi="Times New Roman" w:eastAsia="宋体" w:cs="Times New Roman"/>
      <w:sz w:val="24"/>
      <w:szCs w:val="24"/>
    </w:rPr>
  </w:style>
  <w:style w:type="character" w:customStyle="1" w:styleId="150">
    <w:name w:val="Date Char"/>
    <w:qFormat/>
    <w:uiPriority w:val="99"/>
    <w:rPr>
      <w:rFonts w:eastAsia="宋体"/>
      <w:kern w:val="2"/>
      <w:sz w:val="24"/>
      <w:szCs w:val="24"/>
      <w:lang w:val="en-US" w:eastAsia="zh-CN"/>
    </w:rPr>
  </w:style>
  <w:style w:type="character" w:customStyle="1" w:styleId="151">
    <w:name w:val="Title Char"/>
    <w:qFormat/>
    <w:uiPriority w:val="99"/>
    <w:rPr>
      <w:rFonts w:ascii="Cambria" w:hAnsi="Cambria" w:cs="Cambria"/>
      <w:b/>
      <w:bCs/>
      <w:sz w:val="32"/>
      <w:szCs w:val="32"/>
    </w:rPr>
  </w:style>
  <w:style w:type="character" w:customStyle="1" w:styleId="152">
    <w:name w:val="书籍标题1"/>
    <w:qFormat/>
    <w:uiPriority w:val="99"/>
    <w:rPr>
      <w:b/>
      <w:bCs/>
      <w:smallCaps/>
      <w:spacing w:val="5"/>
    </w:rPr>
  </w:style>
  <w:style w:type="character" w:customStyle="1" w:styleId="153">
    <w:name w:val="不明显强调1"/>
    <w:qFormat/>
    <w:uiPriority w:val="99"/>
    <w:rPr>
      <w:i/>
      <w:iCs/>
      <w:color w:val="808080"/>
    </w:rPr>
  </w:style>
  <w:style w:type="paragraph" w:customStyle="1" w:styleId="154">
    <w:name w:val="样式1"/>
    <w:basedOn w:val="1"/>
    <w:next w:val="5"/>
    <w:qFormat/>
    <w:uiPriority w:val="99"/>
    <w:pPr>
      <w:spacing w:line="360" w:lineRule="auto"/>
      <w:ind w:firstLine="420" w:firstLineChars="200"/>
    </w:pPr>
    <w:rPr>
      <w:rFonts w:ascii="宋体" w:hAnsi="宋体" w:cs="宋体"/>
      <w:szCs w:val="21"/>
    </w:rPr>
  </w:style>
  <w:style w:type="paragraph" w:customStyle="1" w:styleId="155">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56">
    <w:name w:val="Char Char Char Char Char Char Char"/>
    <w:basedOn w:val="1"/>
    <w:qFormat/>
    <w:uiPriority w:val="99"/>
    <w:pPr>
      <w:widowControl/>
      <w:spacing w:after="160" w:line="240" w:lineRule="exact"/>
      <w:jc w:val="left"/>
    </w:pPr>
    <w:rPr>
      <w:szCs w:val="21"/>
    </w:rPr>
  </w:style>
  <w:style w:type="paragraph" w:customStyle="1" w:styleId="15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TOC 标题1"/>
    <w:basedOn w:val="2"/>
    <w:next w:val="1"/>
    <w:qFormat/>
    <w:uiPriority w:val="99"/>
    <w:pPr>
      <w:spacing w:line="576" w:lineRule="auto"/>
      <w:outlineLvl w:val="9"/>
    </w:pPr>
    <w:rPr>
      <w:rFonts w:ascii="Calibri" w:hAnsi="Calibri" w:eastAsia="黑体" w:cs="Calibri"/>
      <w:lang w:val="zh-CN"/>
    </w:rPr>
  </w:style>
  <w:style w:type="paragraph" w:customStyle="1" w:styleId="16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1">
    <w:name w:val="p0"/>
    <w:basedOn w:val="1"/>
    <w:qFormat/>
    <w:uiPriority w:val="0"/>
    <w:pPr>
      <w:widowControl/>
    </w:pPr>
    <w:rPr>
      <w:rFonts w:ascii="Calibri" w:hAnsi="Calibri" w:cs="Calibri"/>
      <w:kern w:val="0"/>
      <w:szCs w:val="21"/>
    </w:rPr>
  </w:style>
  <w:style w:type="paragraph" w:customStyle="1" w:styleId="162">
    <w:name w:val="Char"/>
    <w:basedOn w:val="1"/>
    <w:qFormat/>
    <w:uiPriority w:val="99"/>
    <w:pPr>
      <w:widowControl/>
      <w:spacing w:after="160" w:line="240" w:lineRule="exact"/>
      <w:jc w:val="left"/>
    </w:pPr>
    <w:rPr>
      <w:szCs w:val="21"/>
    </w:rPr>
  </w:style>
  <w:style w:type="paragraph" w:customStyle="1" w:styleId="163">
    <w:name w:val="1"/>
    <w:basedOn w:val="1"/>
    <w:next w:val="1"/>
    <w:qFormat/>
    <w:uiPriority w:val="99"/>
    <w:rPr>
      <w:szCs w:val="21"/>
    </w:rPr>
  </w:style>
  <w:style w:type="paragraph" w:customStyle="1" w:styleId="164">
    <w:name w:val="列出段落2"/>
    <w:basedOn w:val="1"/>
    <w:qFormat/>
    <w:uiPriority w:val="99"/>
    <w:pPr>
      <w:ind w:firstLine="420" w:firstLineChars="200"/>
    </w:pPr>
    <w:rPr>
      <w:rFonts w:ascii="Calibri" w:hAnsi="Calibri" w:cs="Calibri"/>
      <w:szCs w:val="21"/>
    </w:rPr>
  </w:style>
  <w:style w:type="paragraph" w:customStyle="1" w:styleId="165">
    <w:name w:val="_Style 163"/>
    <w:qFormat/>
    <w:uiPriority w:val="99"/>
    <w:rPr>
      <w:rFonts w:ascii="Times New Roman" w:hAnsi="Times New Roman" w:eastAsia="宋体" w:cs="Times New Roman"/>
      <w:kern w:val="2"/>
      <w:sz w:val="21"/>
      <w:szCs w:val="21"/>
      <w:lang w:val="en-US" w:eastAsia="zh-CN" w:bidi="ar-SA"/>
    </w:rPr>
  </w:style>
  <w:style w:type="paragraph" w:customStyle="1" w:styleId="16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7">
    <w:name w:val="修订1"/>
    <w:qFormat/>
    <w:uiPriority w:val="99"/>
    <w:rPr>
      <w:rFonts w:ascii="Times New Roman" w:hAnsi="Times New Roman" w:eastAsia="宋体" w:cs="Times New Roman"/>
      <w:kern w:val="2"/>
      <w:sz w:val="21"/>
      <w:szCs w:val="21"/>
      <w:lang w:val="en-US" w:eastAsia="zh-CN" w:bidi="ar-SA"/>
    </w:rPr>
  </w:style>
  <w:style w:type="paragraph" w:customStyle="1" w:styleId="16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69">
    <w:name w:val="2-2ji"/>
    <w:basedOn w:val="3"/>
    <w:qFormat/>
    <w:uiPriority w:val="99"/>
    <w:pPr>
      <w:spacing w:before="0" w:after="0" w:line="360" w:lineRule="auto"/>
      <w:jc w:val="center"/>
    </w:pPr>
    <w:rPr>
      <w:rFonts w:ascii="宋体" w:hAnsi="宋体" w:cs="宋体"/>
      <w:sz w:val="36"/>
      <w:szCs w:val="36"/>
      <w:lang w:val="zh-CN"/>
    </w:rPr>
  </w:style>
  <w:style w:type="paragraph" w:customStyle="1" w:styleId="170">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72">
    <w:name w:val="列出段落1"/>
    <w:basedOn w:val="1"/>
    <w:qFormat/>
    <w:uiPriority w:val="99"/>
    <w:pPr>
      <w:ind w:firstLine="420" w:firstLineChars="200"/>
    </w:pPr>
    <w:rPr>
      <w:rFonts w:ascii="Calibri" w:hAnsi="Calibri" w:cs="Calibri"/>
      <w:szCs w:val="21"/>
    </w:rPr>
  </w:style>
  <w:style w:type="paragraph" w:customStyle="1" w:styleId="17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4">
    <w:name w:val="Char1"/>
    <w:basedOn w:val="1"/>
    <w:qFormat/>
    <w:uiPriority w:val="99"/>
    <w:pPr>
      <w:widowControl/>
      <w:spacing w:after="160" w:line="240" w:lineRule="exact"/>
      <w:jc w:val="left"/>
    </w:pPr>
    <w:rPr>
      <w:szCs w:val="21"/>
    </w:rPr>
  </w:style>
  <w:style w:type="paragraph" w:customStyle="1" w:styleId="175">
    <w:name w:val="_Style 37"/>
    <w:basedOn w:val="1"/>
    <w:next w:val="1"/>
    <w:qFormat/>
    <w:uiPriority w:val="99"/>
    <w:rPr>
      <w:szCs w:val="21"/>
    </w:rPr>
  </w:style>
  <w:style w:type="paragraph" w:customStyle="1" w:styleId="176">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Body text|1"/>
    <w:basedOn w:val="1"/>
    <w:link w:val="179"/>
    <w:qFormat/>
    <w:uiPriority w:val="0"/>
    <w:pPr>
      <w:spacing w:line="360" w:lineRule="auto"/>
      <w:ind w:firstLine="400"/>
    </w:pPr>
    <w:rPr>
      <w:rFonts w:ascii="宋体" w:hAnsi="宋体" w:cs="宋体"/>
      <w:szCs w:val="20"/>
      <w:lang w:val="zh-CN" w:bidi="zh-CN"/>
    </w:rPr>
  </w:style>
  <w:style w:type="character" w:customStyle="1" w:styleId="179">
    <w:name w:val="Body text|1_"/>
    <w:link w:val="178"/>
    <w:qFormat/>
    <w:uiPriority w:val="0"/>
    <w:rPr>
      <w:rFonts w:ascii="宋体" w:hAnsi="宋体" w:cs="宋体"/>
      <w:kern w:val="2"/>
      <w:sz w:val="21"/>
      <w:lang w:val="zh-CN" w:bidi="zh-CN"/>
    </w:rPr>
  </w:style>
  <w:style w:type="character" w:customStyle="1" w:styleId="180">
    <w:name w:val="Body text|3_"/>
    <w:link w:val="181"/>
    <w:qFormat/>
    <w:uiPriority w:val="0"/>
    <w:rPr>
      <w:rFonts w:ascii="宋体" w:hAnsi="宋体" w:cs="宋体"/>
      <w:lang w:val="zh-CN" w:bidi="zh-CN"/>
    </w:rPr>
  </w:style>
  <w:style w:type="paragraph" w:customStyle="1" w:styleId="181">
    <w:name w:val="Body text|3"/>
    <w:basedOn w:val="1"/>
    <w:link w:val="180"/>
    <w:qFormat/>
    <w:uiPriority w:val="0"/>
    <w:pPr>
      <w:spacing w:after="340"/>
      <w:jc w:val="left"/>
    </w:pPr>
    <w:rPr>
      <w:rFonts w:ascii="宋体" w:hAnsi="宋体" w:cs="宋体"/>
      <w:kern w:val="0"/>
      <w:sz w:val="20"/>
      <w:szCs w:val="20"/>
      <w:lang w:val="zh-CN" w:bidi="zh-CN"/>
    </w:rPr>
  </w:style>
  <w:style w:type="character" w:customStyle="1" w:styleId="182">
    <w:name w:val="Other|1_"/>
    <w:link w:val="183"/>
    <w:qFormat/>
    <w:uiPriority w:val="0"/>
    <w:rPr>
      <w:rFonts w:ascii="宋体" w:hAnsi="宋体" w:cs="宋体"/>
      <w:lang w:val="zh-CN" w:bidi="zh-CN"/>
    </w:rPr>
  </w:style>
  <w:style w:type="paragraph" w:customStyle="1" w:styleId="183">
    <w:name w:val="Other|1"/>
    <w:basedOn w:val="1"/>
    <w:link w:val="182"/>
    <w:qFormat/>
    <w:uiPriority w:val="0"/>
    <w:pPr>
      <w:spacing w:line="360" w:lineRule="auto"/>
      <w:ind w:firstLine="400"/>
      <w:jc w:val="left"/>
    </w:pPr>
    <w:rPr>
      <w:rFonts w:ascii="宋体" w:hAnsi="宋体" w:cs="宋体"/>
      <w:kern w:val="0"/>
      <w:sz w:val="20"/>
      <w:szCs w:val="20"/>
      <w:lang w:val="zh-CN" w:bidi="zh-CN"/>
    </w:rPr>
  </w:style>
  <w:style w:type="character" w:customStyle="1" w:styleId="184">
    <w:name w:val="Table of contents|1_"/>
    <w:link w:val="185"/>
    <w:qFormat/>
    <w:uiPriority w:val="0"/>
    <w:rPr>
      <w:rFonts w:ascii="宋体" w:hAnsi="宋体" w:cs="宋体"/>
      <w:lang w:val="zh-CN" w:bidi="zh-CN"/>
    </w:rPr>
  </w:style>
  <w:style w:type="paragraph" w:customStyle="1" w:styleId="185">
    <w:name w:val="Table of contents|1"/>
    <w:basedOn w:val="1"/>
    <w:link w:val="184"/>
    <w:qFormat/>
    <w:uiPriority w:val="0"/>
    <w:pPr>
      <w:spacing w:after="100"/>
      <w:ind w:firstLine="600"/>
      <w:jc w:val="left"/>
    </w:pPr>
    <w:rPr>
      <w:rFonts w:ascii="宋体" w:hAnsi="宋体" w:cs="宋体"/>
      <w:kern w:val="0"/>
      <w:sz w:val="20"/>
      <w:szCs w:val="20"/>
      <w:lang w:val="zh-CN" w:bidi="zh-CN"/>
    </w:rPr>
  </w:style>
  <w:style w:type="character" w:customStyle="1" w:styleId="186">
    <w:name w:val="Header or footer|1_"/>
    <w:link w:val="187"/>
    <w:qFormat/>
    <w:uiPriority w:val="0"/>
    <w:rPr>
      <w:sz w:val="17"/>
      <w:szCs w:val="17"/>
      <w:lang w:val="zh-CN" w:bidi="zh-CN"/>
    </w:rPr>
  </w:style>
  <w:style w:type="paragraph" w:customStyle="1" w:styleId="187">
    <w:name w:val="Header or footer|1"/>
    <w:basedOn w:val="1"/>
    <w:link w:val="186"/>
    <w:qFormat/>
    <w:uiPriority w:val="0"/>
    <w:pPr>
      <w:jc w:val="center"/>
    </w:pPr>
    <w:rPr>
      <w:kern w:val="0"/>
      <w:sz w:val="17"/>
      <w:szCs w:val="17"/>
      <w:lang w:val="zh-CN" w:bidi="zh-CN"/>
    </w:rPr>
  </w:style>
  <w:style w:type="character" w:customStyle="1" w:styleId="188">
    <w:name w:val="Heading #3|1_"/>
    <w:link w:val="189"/>
    <w:qFormat/>
    <w:uiPriority w:val="0"/>
    <w:rPr>
      <w:rFonts w:ascii="宋体" w:hAnsi="宋体" w:cs="宋体"/>
      <w:sz w:val="28"/>
      <w:szCs w:val="28"/>
      <w:lang w:val="zh-CN" w:bidi="zh-CN"/>
    </w:rPr>
  </w:style>
  <w:style w:type="paragraph" w:customStyle="1" w:styleId="189">
    <w:name w:val="Heading #3|1"/>
    <w:basedOn w:val="1"/>
    <w:link w:val="188"/>
    <w:qFormat/>
    <w:uiPriority w:val="0"/>
    <w:pPr>
      <w:spacing w:after="570"/>
      <w:jc w:val="center"/>
      <w:outlineLvl w:val="2"/>
    </w:pPr>
    <w:rPr>
      <w:rFonts w:ascii="宋体" w:hAnsi="宋体" w:cs="宋体"/>
      <w:kern w:val="0"/>
      <w:sz w:val="28"/>
      <w:szCs w:val="28"/>
      <w:lang w:val="zh-CN" w:bidi="zh-CN"/>
    </w:rPr>
  </w:style>
  <w:style w:type="character" w:customStyle="1" w:styleId="190">
    <w:name w:val="Body text|7_"/>
    <w:link w:val="191"/>
    <w:qFormat/>
    <w:uiPriority w:val="0"/>
    <w:rPr>
      <w:rFonts w:ascii="Courier New" w:hAnsi="Courier New" w:eastAsia="Courier New" w:cs="Courier New"/>
      <w:b/>
      <w:bCs/>
      <w:sz w:val="8"/>
      <w:szCs w:val="8"/>
      <w:lang w:val="zh-CN"/>
    </w:rPr>
  </w:style>
  <w:style w:type="paragraph" w:customStyle="1" w:styleId="191">
    <w:name w:val="Body text|7"/>
    <w:basedOn w:val="1"/>
    <w:link w:val="190"/>
    <w:qFormat/>
    <w:uiPriority w:val="0"/>
    <w:pPr>
      <w:ind w:hanging="1760"/>
      <w:jc w:val="left"/>
    </w:pPr>
    <w:rPr>
      <w:rFonts w:ascii="Courier New" w:hAnsi="Courier New" w:eastAsia="Courier New"/>
      <w:b/>
      <w:bCs/>
      <w:kern w:val="0"/>
      <w:sz w:val="8"/>
      <w:szCs w:val="8"/>
      <w:lang w:val="zh-CN"/>
    </w:rPr>
  </w:style>
  <w:style w:type="character" w:customStyle="1" w:styleId="192">
    <w:name w:val="Body text|4_"/>
    <w:link w:val="193"/>
    <w:qFormat/>
    <w:uiPriority w:val="0"/>
    <w:rPr>
      <w:rFonts w:ascii="宋体" w:hAnsi="宋体" w:cs="宋体"/>
      <w:b/>
      <w:bCs/>
      <w:sz w:val="17"/>
      <w:szCs w:val="17"/>
      <w:lang w:val="zh-CN" w:bidi="zh-CN"/>
    </w:rPr>
  </w:style>
  <w:style w:type="paragraph" w:customStyle="1" w:styleId="193">
    <w:name w:val="Body text|4"/>
    <w:basedOn w:val="1"/>
    <w:link w:val="192"/>
    <w:qFormat/>
    <w:uiPriority w:val="0"/>
    <w:pPr>
      <w:spacing w:line="281" w:lineRule="exact"/>
      <w:jc w:val="center"/>
    </w:pPr>
    <w:rPr>
      <w:rFonts w:ascii="宋体" w:hAnsi="宋体" w:cs="宋体"/>
      <w:b/>
      <w:bCs/>
      <w:kern w:val="0"/>
      <w:sz w:val="17"/>
      <w:szCs w:val="17"/>
      <w:lang w:val="zh-CN" w:bidi="zh-CN"/>
    </w:rPr>
  </w:style>
  <w:style w:type="character" w:customStyle="1" w:styleId="194">
    <w:name w:val="Heading #4|1_"/>
    <w:link w:val="195"/>
    <w:qFormat/>
    <w:uiPriority w:val="0"/>
    <w:rPr>
      <w:rFonts w:ascii="宋体" w:hAnsi="宋体" w:cs="宋体"/>
      <w:lang w:val="zh-CN" w:bidi="zh-CN"/>
    </w:rPr>
  </w:style>
  <w:style w:type="paragraph" w:customStyle="1" w:styleId="195">
    <w:name w:val="Heading #4|1"/>
    <w:basedOn w:val="1"/>
    <w:link w:val="194"/>
    <w:qFormat/>
    <w:uiPriority w:val="0"/>
    <w:pPr>
      <w:spacing w:after="120"/>
      <w:jc w:val="left"/>
      <w:outlineLvl w:val="3"/>
    </w:pPr>
    <w:rPr>
      <w:rFonts w:ascii="宋体" w:hAnsi="宋体" w:cs="宋体"/>
      <w:kern w:val="0"/>
      <w:sz w:val="20"/>
      <w:szCs w:val="20"/>
      <w:lang w:val="zh-CN" w:bidi="zh-CN"/>
    </w:rPr>
  </w:style>
  <w:style w:type="character" w:customStyle="1" w:styleId="196">
    <w:name w:val="Body text|5_"/>
    <w:link w:val="197"/>
    <w:qFormat/>
    <w:uiPriority w:val="0"/>
    <w:rPr>
      <w:rFonts w:ascii="宋体" w:hAnsi="宋体" w:cs="宋体"/>
      <w:sz w:val="52"/>
      <w:szCs w:val="52"/>
      <w:lang w:val="zh-CN" w:bidi="zh-CN"/>
    </w:rPr>
  </w:style>
  <w:style w:type="paragraph" w:customStyle="1" w:styleId="197">
    <w:name w:val="Body text|5"/>
    <w:basedOn w:val="1"/>
    <w:link w:val="196"/>
    <w:qFormat/>
    <w:uiPriority w:val="0"/>
    <w:pPr>
      <w:jc w:val="center"/>
    </w:pPr>
    <w:rPr>
      <w:rFonts w:ascii="宋体" w:hAnsi="宋体" w:cs="宋体"/>
      <w:kern w:val="0"/>
      <w:sz w:val="52"/>
      <w:szCs w:val="52"/>
      <w:lang w:val="zh-CN" w:bidi="zh-CN"/>
    </w:rPr>
  </w:style>
  <w:style w:type="character" w:customStyle="1" w:styleId="198">
    <w:name w:val="Header or footer|2_"/>
    <w:link w:val="199"/>
    <w:qFormat/>
    <w:uiPriority w:val="0"/>
    <w:rPr>
      <w:lang w:val="zh-CN" w:bidi="zh-CN"/>
    </w:rPr>
  </w:style>
  <w:style w:type="paragraph" w:customStyle="1" w:styleId="199">
    <w:name w:val="Header or footer|2"/>
    <w:basedOn w:val="1"/>
    <w:link w:val="198"/>
    <w:qFormat/>
    <w:uiPriority w:val="0"/>
    <w:pPr>
      <w:jc w:val="left"/>
    </w:pPr>
    <w:rPr>
      <w:kern w:val="0"/>
      <w:sz w:val="20"/>
      <w:szCs w:val="20"/>
      <w:lang w:val="zh-CN" w:bidi="zh-CN"/>
    </w:rPr>
  </w:style>
  <w:style w:type="character" w:customStyle="1" w:styleId="200">
    <w:name w:val="Heading #2|1_"/>
    <w:link w:val="201"/>
    <w:qFormat/>
    <w:uiPriority w:val="0"/>
    <w:rPr>
      <w:rFonts w:ascii="宋体" w:hAnsi="宋体" w:cs="宋体"/>
      <w:sz w:val="34"/>
      <w:szCs w:val="34"/>
      <w:lang w:val="zh-CN" w:bidi="zh-CN"/>
    </w:rPr>
  </w:style>
  <w:style w:type="paragraph" w:customStyle="1" w:styleId="201">
    <w:name w:val="Heading #2|1"/>
    <w:basedOn w:val="1"/>
    <w:link w:val="200"/>
    <w:qFormat/>
    <w:uiPriority w:val="0"/>
    <w:pPr>
      <w:spacing w:after="900"/>
      <w:jc w:val="center"/>
      <w:outlineLvl w:val="1"/>
    </w:pPr>
    <w:rPr>
      <w:rFonts w:ascii="宋体" w:hAnsi="宋体" w:cs="宋体"/>
      <w:kern w:val="0"/>
      <w:sz w:val="34"/>
      <w:szCs w:val="34"/>
      <w:lang w:val="zh-CN" w:bidi="zh-CN"/>
    </w:rPr>
  </w:style>
  <w:style w:type="character" w:customStyle="1" w:styleId="202">
    <w:name w:val="Table caption|1_"/>
    <w:link w:val="203"/>
    <w:qFormat/>
    <w:uiPriority w:val="0"/>
    <w:rPr>
      <w:rFonts w:ascii="宋体" w:hAnsi="宋体" w:cs="宋体"/>
      <w:lang w:val="zh-CN" w:bidi="zh-CN"/>
    </w:rPr>
  </w:style>
  <w:style w:type="paragraph" w:customStyle="1" w:styleId="203">
    <w:name w:val="Table caption|1"/>
    <w:basedOn w:val="1"/>
    <w:link w:val="202"/>
    <w:qFormat/>
    <w:uiPriority w:val="0"/>
    <w:pPr>
      <w:jc w:val="left"/>
    </w:pPr>
    <w:rPr>
      <w:rFonts w:ascii="宋体" w:hAnsi="宋体" w:cs="宋体"/>
      <w:kern w:val="0"/>
      <w:sz w:val="20"/>
      <w:szCs w:val="20"/>
      <w:lang w:val="zh-CN" w:bidi="zh-CN"/>
    </w:rPr>
  </w:style>
  <w:style w:type="character" w:customStyle="1" w:styleId="204">
    <w:name w:val="Body text|6_"/>
    <w:link w:val="205"/>
    <w:qFormat/>
    <w:uiPriority w:val="0"/>
    <w:rPr>
      <w:rFonts w:ascii="Arial" w:hAnsi="Arial" w:eastAsia="Arial" w:cs="Arial"/>
      <w:lang w:val="zh-CN"/>
    </w:rPr>
  </w:style>
  <w:style w:type="paragraph" w:customStyle="1" w:styleId="205">
    <w:name w:val="Body text|6"/>
    <w:basedOn w:val="1"/>
    <w:link w:val="204"/>
    <w:qFormat/>
    <w:uiPriority w:val="0"/>
    <w:pPr>
      <w:ind w:hanging="2220"/>
      <w:jc w:val="left"/>
    </w:pPr>
    <w:rPr>
      <w:rFonts w:ascii="Arial" w:hAnsi="Arial" w:eastAsia="Arial"/>
      <w:kern w:val="0"/>
      <w:sz w:val="20"/>
      <w:szCs w:val="20"/>
      <w:lang w:val="zh-CN"/>
    </w:rPr>
  </w:style>
  <w:style w:type="character" w:customStyle="1" w:styleId="206">
    <w:name w:val="Heading #1|1_"/>
    <w:link w:val="207"/>
    <w:qFormat/>
    <w:uiPriority w:val="0"/>
    <w:rPr>
      <w:rFonts w:ascii="宋体" w:hAnsi="宋体" w:cs="宋体"/>
      <w:sz w:val="38"/>
      <w:szCs w:val="38"/>
      <w:lang w:val="zh-CN" w:bidi="zh-CN"/>
    </w:rPr>
  </w:style>
  <w:style w:type="paragraph" w:customStyle="1" w:styleId="207">
    <w:name w:val="Heading #1|1"/>
    <w:basedOn w:val="1"/>
    <w:link w:val="206"/>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208">
    <w:name w:val="Body text|2_"/>
    <w:link w:val="209"/>
    <w:qFormat/>
    <w:uiPriority w:val="0"/>
    <w:rPr>
      <w:sz w:val="21"/>
    </w:rPr>
  </w:style>
  <w:style w:type="paragraph" w:customStyle="1" w:styleId="209">
    <w:name w:val="Body text|2"/>
    <w:basedOn w:val="1"/>
    <w:link w:val="208"/>
    <w:qFormat/>
    <w:uiPriority w:val="0"/>
    <w:pPr>
      <w:spacing w:after="30"/>
      <w:ind w:firstLine="420"/>
      <w:jc w:val="left"/>
    </w:pPr>
    <w:rPr>
      <w:kern w:val="0"/>
      <w:szCs w:val="20"/>
    </w:rPr>
  </w:style>
  <w:style w:type="character" w:styleId="210">
    <w:name w:val="Placeholder Text"/>
    <w:unhideWhenUsed/>
    <w:qFormat/>
    <w:uiPriority w:val="99"/>
    <w:rPr>
      <w:color w:val="808080"/>
    </w:rPr>
  </w:style>
  <w:style w:type="paragraph" w:customStyle="1" w:styleId="211">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2">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3">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115</Pages>
  <Words>6661</Words>
  <Characters>7235</Characters>
  <Lines>509</Lines>
  <Paragraphs>143</Paragraphs>
  <TotalTime>21</TotalTime>
  <ScaleCrop>false</ScaleCrop>
  <LinksUpToDate>false</LinksUpToDate>
  <CharactersWithSpaces>7341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2025-07-10T08:06:00Z</dcterms:created>
  <dc:creator>唐冰</dc:creator>
  <cp:lastModifiedBy>阿正阿正</cp:lastModifiedBy>
  <cp:lastPrinted>2020-04-03T16:20:00Z</cp:lastPrinted>
  <dcterms:modified xsi:type="dcterms:W3CDTF">2025-12-19T13:49:42Z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E2B6D14B6EF54601882267E13E787B33_13</vt:lpwstr>
  </property>
  <property fmtid="{D5CDD505-2E9C-101B-9397-08002B2CF9AE}" pid="4" name="KSOTemplateDocerSaveRecord">
    <vt:lpwstr>eyJoZGlkIjoiMTU1ODFjMTZhYTA2MTdlYTZkMjI0MTk1NzcwMzQ1MDQiLCJ1c2VySWQiOiI1MjMyNDM4MjIifQ==</vt:lpwstr>
  </property>
</Properties>
</file>