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C94BD4">
      <w:pPr>
        <w:spacing w:line="360" w:lineRule="auto"/>
        <w:jc w:val="center"/>
        <w:rPr>
          <w:rFonts w:ascii="宋体" w:hAnsi="宋体"/>
          <w:i/>
          <w:color w:val="auto"/>
          <w:sz w:val="52"/>
          <w:szCs w:val="52"/>
          <w:highlight w:val="none"/>
        </w:rPr>
      </w:pPr>
      <w:r>
        <w:rPr>
          <w:rFonts w:hint="eastAsia" w:ascii="宋体" w:hAnsi="宋体" w:cs="宋体"/>
          <w:color w:val="auto"/>
          <w:kern w:val="0"/>
          <w:szCs w:val="21"/>
          <w:highlight w:val="none"/>
        </w:rPr>
        <w:drawing>
          <wp:anchor distT="0" distB="0" distL="114300" distR="114300" simplePos="0" relativeHeight="251661312" behindDoc="0" locked="0" layoutInCell="1" allowOverlap="1">
            <wp:simplePos x="0" y="0"/>
            <wp:positionH relativeFrom="column">
              <wp:posOffset>181610</wp:posOffset>
            </wp:positionH>
            <wp:positionV relativeFrom="paragraph">
              <wp:posOffset>-34925</wp:posOffset>
            </wp:positionV>
            <wp:extent cx="5113655" cy="1041400"/>
            <wp:effectExtent l="0" t="0" r="10795" b="0"/>
            <wp:wrapNone/>
            <wp:docPr id="2" name="图片 2" descr="I:\03★工作★（硬盘）\2018年项目-2022年项目-招标\5、2022年项目\（2.28投标入库）南宁轨道地产集团有限责任公司2022-2025年招标代理服务\招标公司-名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03★工作★（硬盘）\2018年项目-2022年项目-招标\5、2022年项目\（2.28投标入库）南宁轨道地产集团有限责任公司2022-2025年招标代理服务\招标公司-名称.png"/>
                    <pic:cNvPicPr>
                      <a:picLocks noChangeAspect="1"/>
                    </pic:cNvPicPr>
                  </pic:nvPicPr>
                  <pic:blipFill>
                    <a:blip r:embed="rId12"/>
                    <a:srcRect r="6451"/>
                    <a:stretch>
                      <a:fillRect/>
                    </a:stretch>
                  </pic:blipFill>
                  <pic:spPr>
                    <a:xfrm>
                      <a:off x="0" y="0"/>
                      <a:ext cx="5113655" cy="1041400"/>
                    </a:xfrm>
                    <a:prstGeom prst="rect">
                      <a:avLst/>
                    </a:prstGeom>
                    <a:noFill/>
                    <a:ln>
                      <a:noFill/>
                    </a:ln>
                  </pic:spPr>
                </pic:pic>
              </a:graphicData>
            </a:graphic>
          </wp:anchor>
        </w:drawing>
      </w:r>
    </w:p>
    <w:p w14:paraId="6A588F69">
      <w:pPr>
        <w:spacing w:line="360" w:lineRule="auto"/>
        <w:jc w:val="center"/>
        <w:rPr>
          <w:rFonts w:hint="eastAsia" w:ascii="方正小标宋简体" w:hAnsi="方正小标宋简体" w:eastAsia="方正小标宋简体" w:cs="方正小标宋简体"/>
          <w:b/>
          <w:color w:val="auto"/>
          <w:sz w:val="44"/>
          <w:szCs w:val="44"/>
          <w:highlight w:val="none"/>
        </w:rPr>
      </w:pPr>
    </w:p>
    <w:p w14:paraId="477FD019">
      <w:pPr>
        <w:spacing w:line="360" w:lineRule="auto"/>
        <w:jc w:val="center"/>
        <w:rPr>
          <w:rFonts w:hint="eastAsia" w:ascii="方正小标宋简体" w:hAnsi="方正小标宋简体" w:eastAsia="方正小标宋简体" w:cs="方正小标宋简体"/>
          <w:b/>
          <w:color w:val="auto"/>
          <w:sz w:val="44"/>
          <w:szCs w:val="44"/>
          <w:highlight w:val="none"/>
        </w:rPr>
      </w:pPr>
    </w:p>
    <w:p w14:paraId="55A471CF">
      <w:pPr>
        <w:snapToGrid w:val="0"/>
        <w:spacing w:before="156" w:beforeLines="50" w:line="360" w:lineRule="auto"/>
        <w:jc w:val="center"/>
        <w:rPr>
          <w:rFonts w:hint="eastAsia" w:asciiTheme="minorEastAsia" w:hAnsiTheme="minorEastAsia" w:eastAsiaTheme="minorEastAsia" w:cstheme="minorEastAsia"/>
          <w:color w:val="auto"/>
          <w:sz w:val="112"/>
          <w:szCs w:val="112"/>
          <w:highlight w:val="none"/>
        </w:rPr>
      </w:pPr>
      <w:r>
        <w:rPr>
          <w:rFonts w:hint="eastAsia" w:asciiTheme="minorEastAsia" w:hAnsiTheme="minorEastAsia" w:eastAsiaTheme="minorEastAsia" w:cstheme="minorEastAsia"/>
          <w:color w:val="auto"/>
          <w:sz w:val="112"/>
          <w:szCs w:val="112"/>
          <w:highlight w:val="none"/>
        </w:rPr>
        <w:t>竞争性磋商文件</w:t>
      </w:r>
    </w:p>
    <w:p w14:paraId="062D9388">
      <w:pPr>
        <w:snapToGrid w:val="0"/>
        <w:spacing w:before="156" w:beforeLines="50" w:line="360" w:lineRule="auto"/>
        <w:jc w:val="center"/>
        <w:rPr>
          <w:rFonts w:ascii="仿宋_GB2312" w:hAnsi="宋体" w:eastAsia="仿宋_GB2312"/>
          <w:b/>
          <w:color w:val="auto"/>
          <w:sz w:val="30"/>
          <w:szCs w:val="72"/>
          <w:highlight w:val="none"/>
        </w:rPr>
      </w:pPr>
      <w:r>
        <w:rPr>
          <w:rFonts w:hint="eastAsia" w:ascii="仿宋_GB2312" w:hAnsi="宋体" w:eastAsia="仿宋_GB2312"/>
          <w:b/>
          <w:color w:val="auto"/>
          <w:sz w:val="48"/>
          <w:szCs w:val="48"/>
          <w:highlight w:val="none"/>
        </w:rPr>
        <w:t>（全流程电子化采购）</w:t>
      </w:r>
    </w:p>
    <w:p w14:paraId="14938635">
      <w:pPr>
        <w:snapToGrid w:val="0"/>
        <w:spacing w:line="360" w:lineRule="auto"/>
        <w:rPr>
          <w:rFonts w:ascii="仿宋_GB2312" w:hAnsi="宋体" w:eastAsia="仿宋_GB2312"/>
          <w:color w:val="auto"/>
          <w:sz w:val="30"/>
          <w:szCs w:val="72"/>
          <w:highlight w:val="none"/>
        </w:rPr>
      </w:pPr>
    </w:p>
    <w:p w14:paraId="3EC61FB6">
      <w:pPr>
        <w:snapToGrid w:val="0"/>
        <w:spacing w:line="360" w:lineRule="auto"/>
        <w:rPr>
          <w:rFonts w:ascii="仿宋_GB2312" w:hAnsi="宋体" w:eastAsia="仿宋_GB2312"/>
          <w:color w:val="auto"/>
          <w:sz w:val="30"/>
          <w:szCs w:val="72"/>
          <w:highlight w:val="none"/>
        </w:rPr>
      </w:pPr>
    </w:p>
    <w:p w14:paraId="56ACD1F3">
      <w:pPr>
        <w:pStyle w:val="13"/>
        <w:rPr>
          <w:color w:val="auto"/>
          <w:highlight w:val="none"/>
        </w:rPr>
      </w:pPr>
    </w:p>
    <w:p w14:paraId="62199920">
      <w:pPr>
        <w:pStyle w:val="29"/>
        <w:snapToGrid w:val="0"/>
        <w:spacing w:line="360" w:lineRule="auto"/>
        <w:ind w:firstLine="596" w:firstLineChars="198"/>
        <w:rPr>
          <w:rFonts w:hint="eastAsia" w:asciiTheme="minorEastAsia" w:hAnsiTheme="minorEastAsia" w:eastAsiaTheme="minorEastAsia" w:cstheme="minorEastAsia"/>
          <w:b/>
          <w:bCs/>
          <w:color w:val="auto"/>
          <w:sz w:val="30"/>
          <w:szCs w:val="30"/>
          <w:highlight w:val="none"/>
          <w:lang w:eastAsia="zh-CN"/>
        </w:rPr>
      </w:pPr>
      <w:r>
        <w:rPr>
          <w:rFonts w:hint="eastAsia" w:asciiTheme="minorEastAsia" w:hAnsiTheme="minorEastAsia" w:eastAsiaTheme="minorEastAsia" w:cstheme="minorEastAsia"/>
          <w:b/>
          <w:bCs/>
          <w:color w:val="auto"/>
          <w:sz w:val="30"/>
          <w:szCs w:val="30"/>
          <w:highlight w:val="none"/>
        </w:rPr>
        <w:t>项目</w:t>
      </w:r>
      <w:r>
        <w:rPr>
          <w:rFonts w:hint="eastAsia" w:asciiTheme="minorEastAsia" w:hAnsiTheme="minorEastAsia" w:eastAsiaTheme="minorEastAsia" w:cstheme="minorEastAsia"/>
          <w:b/>
          <w:bCs/>
          <w:color w:val="auto"/>
          <w:w w:val="95"/>
          <w:sz w:val="30"/>
          <w:szCs w:val="30"/>
          <w:highlight w:val="none"/>
        </w:rPr>
        <w:t>名称</w:t>
      </w:r>
      <w:r>
        <w:rPr>
          <w:rFonts w:hint="eastAsia" w:asciiTheme="minorEastAsia" w:hAnsiTheme="minorEastAsia" w:eastAsiaTheme="minorEastAsia" w:cstheme="minorEastAsia"/>
          <w:b/>
          <w:bCs/>
          <w:color w:val="auto"/>
          <w:sz w:val="30"/>
          <w:szCs w:val="30"/>
          <w:highlight w:val="none"/>
        </w:rPr>
        <w:t>：</w:t>
      </w:r>
      <w:r>
        <w:rPr>
          <w:rFonts w:hint="eastAsia" w:asciiTheme="minorEastAsia" w:hAnsiTheme="minorEastAsia" w:eastAsiaTheme="minorEastAsia" w:cstheme="minorEastAsia"/>
          <w:b/>
          <w:bCs/>
          <w:color w:val="auto"/>
          <w:sz w:val="30"/>
          <w:szCs w:val="30"/>
          <w:highlight w:val="none"/>
          <w:lang w:eastAsia="zh-CN"/>
        </w:rPr>
        <w:t>广西幼儿师范高等专科学校平果校区室外风雨球场建设项目</w:t>
      </w:r>
    </w:p>
    <w:p w14:paraId="35D4C77F">
      <w:pPr>
        <w:snapToGrid w:val="0"/>
        <w:spacing w:line="360" w:lineRule="auto"/>
        <w:ind w:firstLine="564" w:firstLineChars="197"/>
        <w:rPr>
          <w:rFonts w:hint="eastAsia" w:asciiTheme="minorEastAsia" w:hAnsiTheme="minorEastAsia" w:eastAsiaTheme="minorEastAsia" w:cstheme="minorEastAsia"/>
          <w:color w:val="auto"/>
          <w:sz w:val="30"/>
          <w:szCs w:val="72"/>
          <w:highlight w:val="none"/>
          <w:u w:val="none"/>
          <w:lang w:eastAsia="zh-CN"/>
        </w:rPr>
      </w:pPr>
      <w:r>
        <w:rPr>
          <w:rFonts w:hint="eastAsia" w:asciiTheme="minorEastAsia" w:hAnsiTheme="minorEastAsia" w:eastAsiaTheme="minorEastAsia" w:cstheme="minorEastAsia"/>
          <w:b/>
          <w:bCs/>
          <w:color w:val="auto"/>
          <w:w w:val="95"/>
          <w:sz w:val="30"/>
          <w:szCs w:val="30"/>
          <w:highlight w:val="none"/>
        </w:rPr>
        <w:t>项目</w:t>
      </w:r>
      <w:r>
        <w:rPr>
          <w:rFonts w:hint="eastAsia" w:asciiTheme="minorEastAsia" w:hAnsiTheme="minorEastAsia" w:eastAsiaTheme="minorEastAsia" w:cstheme="minorEastAsia"/>
          <w:b/>
          <w:bCs/>
          <w:color w:val="auto"/>
          <w:sz w:val="30"/>
          <w:szCs w:val="30"/>
          <w:highlight w:val="none"/>
        </w:rPr>
        <w:t>编号</w:t>
      </w:r>
      <w:r>
        <w:rPr>
          <w:rFonts w:hint="eastAsia" w:asciiTheme="minorEastAsia" w:hAnsiTheme="minorEastAsia" w:eastAsiaTheme="minorEastAsia" w:cstheme="minorEastAsia"/>
          <w:b/>
          <w:bCs/>
          <w:color w:val="auto"/>
          <w:w w:val="95"/>
          <w:sz w:val="30"/>
          <w:szCs w:val="30"/>
          <w:highlight w:val="none"/>
        </w:rPr>
        <w:t>：GXZC2026-C2-000103-JDZB</w:t>
      </w:r>
    </w:p>
    <w:p w14:paraId="710A5870">
      <w:pPr>
        <w:pStyle w:val="29"/>
        <w:snapToGrid w:val="0"/>
        <w:spacing w:line="360" w:lineRule="auto"/>
        <w:ind w:firstLine="564" w:firstLineChars="197"/>
        <w:rPr>
          <w:rFonts w:hint="eastAsia" w:asciiTheme="minorEastAsia" w:hAnsiTheme="minorEastAsia" w:eastAsiaTheme="minorEastAsia" w:cstheme="minorEastAsia"/>
          <w:b/>
          <w:bCs/>
          <w:color w:val="auto"/>
          <w:w w:val="95"/>
          <w:sz w:val="30"/>
          <w:szCs w:val="30"/>
          <w:highlight w:val="none"/>
          <w:lang w:eastAsia="zh-CN"/>
        </w:rPr>
      </w:pPr>
      <w:r>
        <w:rPr>
          <w:rFonts w:hint="eastAsia" w:asciiTheme="minorEastAsia" w:hAnsiTheme="minorEastAsia" w:eastAsiaTheme="minorEastAsia" w:cstheme="minorEastAsia"/>
          <w:b/>
          <w:bCs/>
          <w:color w:val="auto"/>
          <w:w w:val="95"/>
          <w:sz w:val="30"/>
          <w:szCs w:val="30"/>
          <w:highlight w:val="none"/>
        </w:rPr>
        <w:t>采 购 人：</w:t>
      </w:r>
      <w:r>
        <w:rPr>
          <w:rFonts w:hint="eastAsia" w:asciiTheme="minorEastAsia" w:hAnsiTheme="minorEastAsia" w:eastAsiaTheme="minorEastAsia" w:cstheme="minorEastAsia"/>
          <w:b/>
          <w:bCs/>
          <w:color w:val="auto"/>
          <w:w w:val="95"/>
          <w:sz w:val="30"/>
          <w:szCs w:val="30"/>
          <w:highlight w:val="none"/>
          <w:lang w:eastAsia="zh-CN"/>
        </w:rPr>
        <w:t>广西幼儿师范高等专科学校</w:t>
      </w:r>
    </w:p>
    <w:p w14:paraId="157ABCB9">
      <w:pPr>
        <w:pStyle w:val="29"/>
        <w:snapToGrid w:val="0"/>
        <w:spacing w:line="360" w:lineRule="auto"/>
        <w:ind w:firstLine="564" w:firstLineChars="197"/>
        <w:rPr>
          <w:rFonts w:hint="eastAsia" w:asciiTheme="minorEastAsia" w:hAnsiTheme="minorEastAsia" w:eastAsiaTheme="minorEastAsia" w:cstheme="minorEastAsia"/>
          <w:b/>
          <w:bCs/>
          <w:color w:val="auto"/>
          <w:w w:val="95"/>
          <w:sz w:val="30"/>
          <w:szCs w:val="30"/>
          <w:highlight w:val="none"/>
          <w:lang w:eastAsia="zh-CN"/>
        </w:rPr>
      </w:pPr>
      <w:r>
        <w:rPr>
          <w:rFonts w:hint="eastAsia" w:asciiTheme="minorEastAsia" w:hAnsiTheme="minorEastAsia" w:eastAsiaTheme="minorEastAsia" w:cstheme="minorEastAsia"/>
          <w:b/>
          <w:bCs/>
          <w:color w:val="auto"/>
          <w:w w:val="95"/>
          <w:sz w:val="30"/>
          <w:szCs w:val="30"/>
          <w:highlight w:val="none"/>
        </w:rPr>
        <w:t>采购代理机构：</w:t>
      </w:r>
      <w:r>
        <w:rPr>
          <w:rFonts w:hint="eastAsia" w:asciiTheme="minorEastAsia" w:hAnsiTheme="minorEastAsia" w:eastAsiaTheme="minorEastAsia" w:cstheme="minorEastAsia"/>
          <w:b/>
          <w:bCs/>
          <w:color w:val="auto"/>
          <w:w w:val="95"/>
          <w:sz w:val="30"/>
          <w:szCs w:val="30"/>
          <w:highlight w:val="none"/>
          <w:lang w:eastAsia="zh-CN"/>
        </w:rPr>
        <w:t>广西建设工程机电设备招标中心有限公司</w:t>
      </w:r>
    </w:p>
    <w:p w14:paraId="6A5CA71C">
      <w:pPr>
        <w:pStyle w:val="29"/>
        <w:snapToGrid w:val="0"/>
        <w:spacing w:line="360" w:lineRule="auto"/>
        <w:ind w:firstLine="1125" w:firstLineChars="393"/>
        <w:rPr>
          <w:rFonts w:hint="eastAsia" w:asciiTheme="minorEastAsia" w:hAnsiTheme="minorEastAsia" w:eastAsiaTheme="minorEastAsia" w:cstheme="minorEastAsia"/>
          <w:b/>
          <w:bCs/>
          <w:color w:val="auto"/>
          <w:w w:val="95"/>
          <w:sz w:val="30"/>
          <w:szCs w:val="30"/>
          <w:highlight w:val="none"/>
        </w:rPr>
      </w:pPr>
    </w:p>
    <w:p w14:paraId="3C299618">
      <w:pPr>
        <w:pStyle w:val="29"/>
        <w:tabs>
          <w:tab w:val="left" w:pos="6657"/>
        </w:tabs>
        <w:snapToGrid w:val="0"/>
        <w:spacing w:line="360" w:lineRule="auto"/>
        <w:ind w:firstLine="1125" w:firstLineChars="393"/>
        <w:rPr>
          <w:rFonts w:hint="eastAsia" w:asciiTheme="minorEastAsia" w:hAnsiTheme="minorEastAsia" w:eastAsiaTheme="minorEastAsia" w:cstheme="minorEastAsia"/>
          <w:b/>
          <w:bCs/>
          <w:color w:val="auto"/>
          <w:w w:val="95"/>
          <w:sz w:val="30"/>
          <w:szCs w:val="30"/>
          <w:highlight w:val="none"/>
          <w:lang w:eastAsia="zh-CN"/>
        </w:rPr>
      </w:pPr>
      <w:r>
        <w:rPr>
          <w:rFonts w:hint="eastAsia" w:asciiTheme="minorEastAsia" w:hAnsiTheme="minorEastAsia" w:eastAsiaTheme="minorEastAsia" w:cstheme="minorEastAsia"/>
          <w:b/>
          <w:bCs/>
          <w:color w:val="auto"/>
          <w:w w:val="95"/>
          <w:sz w:val="30"/>
          <w:szCs w:val="30"/>
          <w:highlight w:val="none"/>
          <w:lang w:eastAsia="zh-CN"/>
        </w:rPr>
        <w:tab/>
      </w:r>
    </w:p>
    <w:p w14:paraId="78DAA5CB">
      <w:pPr>
        <w:pStyle w:val="29"/>
        <w:snapToGrid w:val="0"/>
        <w:spacing w:line="360" w:lineRule="auto"/>
        <w:jc w:val="center"/>
        <w:rPr>
          <w:rFonts w:hint="eastAsia" w:asciiTheme="minorEastAsia" w:hAnsiTheme="minorEastAsia" w:eastAsiaTheme="minorEastAsia" w:cstheme="minorEastAsia"/>
          <w:color w:val="auto"/>
          <w:szCs w:val="20"/>
          <w:highlight w:val="none"/>
        </w:rPr>
      </w:pPr>
      <w:r>
        <w:rPr>
          <w:rFonts w:hint="eastAsia" w:asciiTheme="minorEastAsia" w:hAnsiTheme="minorEastAsia" w:eastAsiaTheme="minorEastAsia" w:cstheme="minorEastAsia"/>
          <w:b/>
          <w:bCs/>
          <w:color w:val="auto"/>
          <w:w w:val="95"/>
          <w:sz w:val="30"/>
          <w:szCs w:val="30"/>
          <w:highlight w:val="none"/>
        </w:rPr>
        <w:t>202</w:t>
      </w:r>
      <w:r>
        <w:rPr>
          <w:rFonts w:hint="eastAsia" w:asciiTheme="minorEastAsia" w:hAnsiTheme="minorEastAsia" w:eastAsiaTheme="minorEastAsia" w:cstheme="minorEastAsia"/>
          <w:b/>
          <w:bCs/>
          <w:color w:val="auto"/>
          <w:w w:val="95"/>
          <w:sz w:val="30"/>
          <w:szCs w:val="30"/>
          <w:highlight w:val="none"/>
          <w:lang w:val="en-US" w:eastAsia="zh-CN"/>
        </w:rPr>
        <w:t>6</w:t>
      </w:r>
      <w:r>
        <w:rPr>
          <w:rFonts w:hint="eastAsia" w:asciiTheme="minorEastAsia" w:hAnsiTheme="minorEastAsia" w:eastAsiaTheme="minorEastAsia" w:cstheme="minorEastAsia"/>
          <w:b/>
          <w:bCs/>
          <w:color w:val="auto"/>
          <w:w w:val="95"/>
          <w:sz w:val="30"/>
          <w:szCs w:val="30"/>
          <w:highlight w:val="none"/>
        </w:rPr>
        <w:t>年</w:t>
      </w:r>
      <w:r>
        <w:rPr>
          <w:rFonts w:hint="eastAsia" w:asciiTheme="minorEastAsia" w:hAnsiTheme="minorEastAsia" w:eastAsiaTheme="minorEastAsia" w:cstheme="minorEastAsia"/>
          <w:b/>
          <w:bCs/>
          <w:color w:val="auto"/>
          <w:w w:val="95"/>
          <w:sz w:val="30"/>
          <w:szCs w:val="30"/>
          <w:highlight w:val="none"/>
          <w:lang w:val="en-US" w:eastAsia="zh-CN"/>
        </w:rPr>
        <w:t>1</w:t>
      </w:r>
      <w:r>
        <w:rPr>
          <w:rFonts w:hint="eastAsia" w:asciiTheme="minorEastAsia" w:hAnsiTheme="minorEastAsia" w:eastAsiaTheme="minorEastAsia" w:cstheme="minorEastAsia"/>
          <w:b/>
          <w:bCs/>
          <w:color w:val="auto"/>
          <w:w w:val="95"/>
          <w:sz w:val="30"/>
          <w:szCs w:val="30"/>
          <w:highlight w:val="none"/>
        </w:rPr>
        <w:t>月</w:t>
      </w:r>
      <w:r>
        <w:rPr>
          <w:rFonts w:hint="eastAsia" w:asciiTheme="minorEastAsia" w:hAnsiTheme="minorEastAsia" w:eastAsiaTheme="minorEastAsia" w:cstheme="minorEastAsia"/>
          <w:b/>
          <w:bCs/>
          <w:color w:val="auto"/>
          <w:w w:val="95"/>
          <w:sz w:val="30"/>
          <w:szCs w:val="30"/>
          <w:highlight w:val="none"/>
          <w:lang w:val="en-US" w:eastAsia="zh-CN"/>
        </w:rPr>
        <w:t>26</w:t>
      </w:r>
      <w:r>
        <w:rPr>
          <w:rFonts w:hint="eastAsia" w:asciiTheme="minorEastAsia" w:hAnsiTheme="minorEastAsia" w:eastAsiaTheme="minorEastAsia" w:cstheme="minorEastAsia"/>
          <w:b/>
          <w:bCs/>
          <w:color w:val="auto"/>
          <w:w w:val="95"/>
          <w:sz w:val="30"/>
          <w:szCs w:val="30"/>
          <w:highlight w:val="none"/>
        </w:rPr>
        <w:t>日</w:t>
      </w:r>
    </w:p>
    <w:p w14:paraId="102DD2C4">
      <w:pPr>
        <w:spacing w:line="360" w:lineRule="auto"/>
        <w:jc w:val="center"/>
        <w:rPr>
          <w:rFonts w:ascii="宋体" w:hAnsi="宋体"/>
          <w:b/>
          <w:color w:val="auto"/>
          <w:sz w:val="44"/>
          <w:szCs w:val="44"/>
          <w:highlight w:val="none"/>
        </w:rPr>
      </w:pPr>
      <w:r>
        <w:rPr>
          <w:rFonts w:hint="eastAsia" w:ascii="黑体" w:hAnsi="黑体" w:eastAsia="黑体" w:cs="宋体"/>
          <w:b/>
          <w:bCs/>
          <w:color w:val="auto"/>
          <w:kern w:val="0"/>
          <w:sz w:val="32"/>
          <w:szCs w:val="32"/>
          <w:highlight w:val="none"/>
        </w:rPr>
        <w:br w:type="page"/>
      </w:r>
    </w:p>
    <w:p w14:paraId="54FCD32D">
      <w:pPr>
        <w:spacing w:line="360" w:lineRule="auto"/>
        <w:jc w:val="center"/>
        <w:rPr>
          <w:rFonts w:ascii="宋体" w:hAnsi="宋体"/>
          <w:b/>
          <w:color w:val="auto"/>
          <w:sz w:val="44"/>
          <w:szCs w:val="44"/>
          <w:highlight w:val="none"/>
        </w:rPr>
      </w:pPr>
      <w:r>
        <w:rPr>
          <w:rFonts w:hint="eastAsia" w:ascii="宋体" w:hAnsi="宋体"/>
          <w:b/>
          <w:color w:val="auto"/>
          <w:sz w:val="44"/>
          <w:szCs w:val="44"/>
          <w:highlight w:val="none"/>
        </w:rPr>
        <w:t>目  录</w:t>
      </w:r>
    </w:p>
    <w:p w14:paraId="3EA51838">
      <w:pPr>
        <w:pStyle w:val="37"/>
        <w:tabs>
          <w:tab w:val="right" w:leader="dot" w:pos="8869"/>
        </w:tabs>
        <w:rPr>
          <w:color w:val="auto"/>
          <w:highlight w:val="none"/>
        </w:rPr>
      </w:pPr>
    </w:p>
    <w:p w14:paraId="7BB74640">
      <w:pPr>
        <w:pStyle w:val="37"/>
        <w:tabs>
          <w:tab w:val="right" w:leader="dot" w:pos="8869"/>
        </w:tabs>
        <w:spacing w:line="480" w:lineRule="auto"/>
        <w:rPr>
          <w:rFonts w:hint="eastAsia" w:asciiTheme="minorEastAsia" w:hAnsiTheme="minorEastAsia" w:eastAsiaTheme="minorEastAsia" w:cstheme="minorEastAsia"/>
          <w:b w:val="0"/>
          <w:bCs w:val="0"/>
          <w:color w:val="auto"/>
          <w:sz w:val="24"/>
          <w:szCs w:val="24"/>
          <w:highlight w:val="none"/>
        </w:rPr>
      </w:pPr>
      <w:r>
        <w:rPr>
          <w:color w:val="auto"/>
          <w:highlight w:val="none"/>
        </w:rPr>
        <w:fldChar w:fldCharType="begin"/>
      </w:r>
      <w:r>
        <w:rPr>
          <w:rFonts w:hint="eastAsia"/>
          <w:color w:val="auto"/>
          <w:highlight w:val="none"/>
        </w:rPr>
        <w:instrText xml:space="preserve">TOC \o "1-3" \h \z \u</w:instrText>
      </w:r>
      <w:r>
        <w:rPr>
          <w:color w:val="auto"/>
          <w:highlight w:val="none"/>
        </w:rPr>
        <w:fldChar w:fldCharType="separate"/>
      </w:r>
      <w:r>
        <w:rPr>
          <w:rFonts w:hint="eastAsia" w:asciiTheme="minorEastAsia" w:hAnsiTheme="minorEastAsia" w:eastAsiaTheme="minorEastAsia" w:cstheme="minorEastAsia"/>
          <w:b w:val="0"/>
          <w:bCs w:val="0"/>
          <w:color w:val="auto"/>
          <w:sz w:val="24"/>
          <w:szCs w:val="24"/>
          <w:highlight w:val="none"/>
        </w:rPr>
        <w:fldChar w:fldCharType="begin"/>
      </w:r>
      <w:r>
        <w:rPr>
          <w:rFonts w:hint="eastAsia" w:asciiTheme="minorEastAsia" w:hAnsiTheme="minorEastAsia" w:eastAsiaTheme="minorEastAsia" w:cstheme="minorEastAsia"/>
          <w:b w:val="0"/>
          <w:bCs w:val="0"/>
          <w:color w:val="auto"/>
          <w:sz w:val="24"/>
          <w:szCs w:val="24"/>
          <w:highlight w:val="none"/>
        </w:rPr>
        <w:instrText xml:space="preserve"> HYPERLINK \l "_Toc185869568" </w:instrText>
      </w:r>
      <w:r>
        <w:rPr>
          <w:rFonts w:hint="eastAsia" w:asciiTheme="minorEastAsia" w:hAnsiTheme="minorEastAsia" w:eastAsiaTheme="minorEastAsia" w:cstheme="minorEastAsia"/>
          <w:b w:val="0"/>
          <w:bCs w:val="0"/>
          <w:color w:val="auto"/>
          <w:sz w:val="24"/>
          <w:szCs w:val="24"/>
          <w:highlight w:val="none"/>
        </w:rPr>
        <w:fldChar w:fldCharType="separate"/>
      </w:r>
      <w:r>
        <w:rPr>
          <w:rFonts w:hint="eastAsia" w:asciiTheme="minorEastAsia" w:hAnsiTheme="minorEastAsia" w:eastAsiaTheme="minorEastAsia" w:cstheme="minorEastAsia"/>
          <w:b w:val="0"/>
          <w:bCs w:val="0"/>
          <w:color w:val="auto"/>
          <w:sz w:val="24"/>
          <w:szCs w:val="24"/>
          <w:highlight w:val="none"/>
        </w:rPr>
        <w:t>第一章竞争性磋商公告</w:t>
      </w:r>
      <w:r>
        <w:rPr>
          <w:rFonts w:hint="eastAsia" w:asciiTheme="minorEastAsia" w:hAnsiTheme="minorEastAsia" w:eastAsiaTheme="minorEastAsia" w:cstheme="minorEastAsia"/>
          <w:b w:val="0"/>
          <w:bCs w:val="0"/>
          <w:color w:val="auto"/>
          <w:sz w:val="24"/>
          <w:szCs w:val="24"/>
          <w:highlight w:val="none"/>
        </w:rPr>
        <w:tab/>
      </w:r>
      <w:r>
        <w:rPr>
          <w:rFonts w:hint="eastAsia" w:asciiTheme="minorEastAsia" w:hAnsiTheme="minorEastAsia" w:eastAsiaTheme="minorEastAsia" w:cstheme="minorEastAsia"/>
          <w:b w:val="0"/>
          <w:bCs w:val="0"/>
          <w:color w:val="auto"/>
          <w:sz w:val="24"/>
          <w:szCs w:val="24"/>
          <w:highlight w:val="none"/>
        </w:rPr>
        <w:fldChar w:fldCharType="begin"/>
      </w:r>
      <w:r>
        <w:rPr>
          <w:rFonts w:hint="eastAsia" w:asciiTheme="minorEastAsia" w:hAnsiTheme="minorEastAsia" w:eastAsiaTheme="minorEastAsia" w:cstheme="minorEastAsia"/>
          <w:b w:val="0"/>
          <w:bCs w:val="0"/>
          <w:color w:val="auto"/>
          <w:sz w:val="24"/>
          <w:szCs w:val="24"/>
          <w:highlight w:val="none"/>
        </w:rPr>
        <w:instrText xml:space="preserve"> PAGEREF _Toc185869568 \h </w:instrText>
      </w:r>
      <w:r>
        <w:rPr>
          <w:rFonts w:hint="eastAsia" w:asciiTheme="minorEastAsia" w:hAnsiTheme="minorEastAsia" w:eastAsiaTheme="minorEastAsia" w:cstheme="minorEastAsia"/>
          <w:b w:val="0"/>
          <w:bCs w:val="0"/>
          <w:color w:val="auto"/>
          <w:sz w:val="24"/>
          <w:szCs w:val="24"/>
          <w:highlight w:val="none"/>
        </w:rPr>
        <w:fldChar w:fldCharType="separate"/>
      </w:r>
      <w:r>
        <w:rPr>
          <w:rFonts w:hint="eastAsia" w:asciiTheme="minorEastAsia" w:hAnsiTheme="minorEastAsia" w:eastAsiaTheme="minorEastAsia" w:cstheme="minorEastAsia"/>
          <w:b w:val="0"/>
          <w:bCs w:val="0"/>
          <w:color w:val="auto"/>
          <w:sz w:val="24"/>
          <w:szCs w:val="24"/>
          <w:highlight w:val="none"/>
        </w:rPr>
        <w:t>1</w:t>
      </w:r>
      <w:r>
        <w:rPr>
          <w:rFonts w:hint="eastAsia" w:asciiTheme="minorEastAsia" w:hAnsiTheme="minorEastAsia" w:eastAsiaTheme="minorEastAsia" w:cstheme="minorEastAsia"/>
          <w:b w:val="0"/>
          <w:bCs w:val="0"/>
          <w:color w:val="auto"/>
          <w:sz w:val="24"/>
          <w:szCs w:val="24"/>
          <w:highlight w:val="none"/>
        </w:rPr>
        <w:fldChar w:fldCharType="end"/>
      </w:r>
      <w:r>
        <w:rPr>
          <w:rFonts w:hint="eastAsia" w:asciiTheme="minorEastAsia" w:hAnsiTheme="minorEastAsia" w:eastAsiaTheme="minorEastAsia" w:cstheme="minorEastAsia"/>
          <w:b w:val="0"/>
          <w:bCs w:val="0"/>
          <w:color w:val="auto"/>
          <w:sz w:val="24"/>
          <w:szCs w:val="24"/>
          <w:highlight w:val="none"/>
        </w:rPr>
        <w:fldChar w:fldCharType="end"/>
      </w:r>
    </w:p>
    <w:p w14:paraId="1BA5F28C">
      <w:pPr>
        <w:pStyle w:val="37"/>
        <w:tabs>
          <w:tab w:val="right" w:leader="dot" w:pos="8869"/>
        </w:tabs>
        <w:spacing w:line="480" w:lineRule="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fldChar w:fldCharType="begin"/>
      </w:r>
      <w:r>
        <w:rPr>
          <w:rFonts w:hint="eastAsia" w:asciiTheme="minorEastAsia" w:hAnsiTheme="minorEastAsia" w:eastAsiaTheme="minorEastAsia" w:cstheme="minorEastAsia"/>
          <w:b w:val="0"/>
          <w:bCs w:val="0"/>
          <w:color w:val="auto"/>
          <w:sz w:val="24"/>
          <w:szCs w:val="24"/>
          <w:highlight w:val="none"/>
        </w:rPr>
        <w:instrText xml:space="preserve"> HYPERLINK \l "_Toc185869569" </w:instrText>
      </w:r>
      <w:r>
        <w:rPr>
          <w:rFonts w:hint="eastAsia" w:asciiTheme="minorEastAsia" w:hAnsiTheme="minorEastAsia" w:eastAsiaTheme="minorEastAsia" w:cstheme="minorEastAsia"/>
          <w:b w:val="0"/>
          <w:bCs w:val="0"/>
          <w:color w:val="auto"/>
          <w:sz w:val="24"/>
          <w:szCs w:val="24"/>
          <w:highlight w:val="none"/>
        </w:rPr>
        <w:fldChar w:fldCharType="separate"/>
      </w:r>
      <w:r>
        <w:rPr>
          <w:rFonts w:hint="eastAsia" w:asciiTheme="minorEastAsia" w:hAnsiTheme="minorEastAsia" w:eastAsiaTheme="minorEastAsia" w:cstheme="minorEastAsia"/>
          <w:b w:val="0"/>
          <w:bCs w:val="0"/>
          <w:color w:val="auto"/>
          <w:sz w:val="24"/>
          <w:szCs w:val="24"/>
          <w:highlight w:val="none"/>
        </w:rPr>
        <w:t>第二章供应商须知</w:t>
      </w:r>
      <w:r>
        <w:rPr>
          <w:rFonts w:hint="eastAsia" w:asciiTheme="minorEastAsia" w:hAnsiTheme="minorEastAsia" w:eastAsiaTheme="minorEastAsia" w:cstheme="minorEastAsia"/>
          <w:b w:val="0"/>
          <w:bCs w:val="0"/>
          <w:color w:val="auto"/>
          <w:sz w:val="24"/>
          <w:szCs w:val="24"/>
          <w:highlight w:val="none"/>
        </w:rPr>
        <w:tab/>
      </w:r>
      <w:r>
        <w:rPr>
          <w:rFonts w:hint="eastAsia" w:asciiTheme="minorEastAsia" w:hAnsiTheme="minorEastAsia" w:eastAsiaTheme="minorEastAsia" w:cstheme="minorEastAsia"/>
          <w:b w:val="0"/>
          <w:bCs w:val="0"/>
          <w:color w:val="auto"/>
          <w:sz w:val="24"/>
          <w:szCs w:val="24"/>
          <w:highlight w:val="none"/>
        </w:rPr>
        <w:fldChar w:fldCharType="begin"/>
      </w:r>
      <w:r>
        <w:rPr>
          <w:rFonts w:hint="eastAsia" w:asciiTheme="minorEastAsia" w:hAnsiTheme="minorEastAsia" w:eastAsiaTheme="minorEastAsia" w:cstheme="minorEastAsia"/>
          <w:b w:val="0"/>
          <w:bCs w:val="0"/>
          <w:color w:val="auto"/>
          <w:sz w:val="24"/>
          <w:szCs w:val="24"/>
          <w:highlight w:val="none"/>
        </w:rPr>
        <w:instrText xml:space="preserve"> PAGEREF _Toc185869569 \h </w:instrText>
      </w:r>
      <w:r>
        <w:rPr>
          <w:rFonts w:hint="eastAsia" w:asciiTheme="minorEastAsia" w:hAnsiTheme="minorEastAsia" w:eastAsiaTheme="minorEastAsia" w:cstheme="minorEastAsia"/>
          <w:b w:val="0"/>
          <w:bCs w:val="0"/>
          <w:color w:val="auto"/>
          <w:sz w:val="24"/>
          <w:szCs w:val="24"/>
          <w:highlight w:val="none"/>
        </w:rPr>
        <w:fldChar w:fldCharType="separate"/>
      </w:r>
      <w:r>
        <w:rPr>
          <w:rFonts w:hint="eastAsia" w:asciiTheme="minorEastAsia" w:hAnsiTheme="minorEastAsia" w:eastAsiaTheme="minorEastAsia" w:cstheme="minorEastAsia"/>
          <w:b w:val="0"/>
          <w:bCs w:val="0"/>
          <w:color w:val="auto"/>
          <w:sz w:val="24"/>
          <w:szCs w:val="24"/>
          <w:highlight w:val="none"/>
        </w:rPr>
        <w:t>5</w:t>
      </w:r>
      <w:r>
        <w:rPr>
          <w:rFonts w:hint="eastAsia" w:asciiTheme="minorEastAsia" w:hAnsiTheme="minorEastAsia" w:eastAsiaTheme="minorEastAsia" w:cstheme="minorEastAsia"/>
          <w:b w:val="0"/>
          <w:bCs w:val="0"/>
          <w:color w:val="auto"/>
          <w:sz w:val="24"/>
          <w:szCs w:val="24"/>
          <w:highlight w:val="none"/>
        </w:rPr>
        <w:fldChar w:fldCharType="end"/>
      </w:r>
      <w:r>
        <w:rPr>
          <w:rFonts w:hint="eastAsia" w:asciiTheme="minorEastAsia" w:hAnsiTheme="minorEastAsia" w:eastAsiaTheme="minorEastAsia" w:cstheme="minorEastAsia"/>
          <w:b w:val="0"/>
          <w:bCs w:val="0"/>
          <w:color w:val="auto"/>
          <w:sz w:val="24"/>
          <w:szCs w:val="24"/>
          <w:highlight w:val="none"/>
        </w:rPr>
        <w:fldChar w:fldCharType="end"/>
      </w:r>
    </w:p>
    <w:p w14:paraId="6B9C8DE6">
      <w:pPr>
        <w:pStyle w:val="37"/>
        <w:tabs>
          <w:tab w:val="right" w:leader="dot" w:pos="8869"/>
        </w:tabs>
        <w:spacing w:line="480" w:lineRule="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fldChar w:fldCharType="begin"/>
      </w:r>
      <w:r>
        <w:rPr>
          <w:rFonts w:hint="eastAsia" w:asciiTheme="minorEastAsia" w:hAnsiTheme="minorEastAsia" w:eastAsiaTheme="minorEastAsia" w:cstheme="minorEastAsia"/>
          <w:b w:val="0"/>
          <w:bCs w:val="0"/>
          <w:color w:val="auto"/>
          <w:sz w:val="24"/>
          <w:szCs w:val="24"/>
          <w:highlight w:val="none"/>
        </w:rPr>
        <w:instrText xml:space="preserve"> HYPERLINK \l "_Toc185869570" </w:instrText>
      </w:r>
      <w:r>
        <w:rPr>
          <w:rFonts w:hint="eastAsia" w:asciiTheme="minorEastAsia" w:hAnsiTheme="minorEastAsia" w:eastAsiaTheme="minorEastAsia" w:cstheme="minorEastAsia"/>
          <w:b w:val="0"/>
          <w:bCs w:val="0"/>
          <w:color w:val="auto"/>
          <w:sz w:val="24"/>
          <w:szCs w:val="24"/>
          <w:highlight w:val="none"/>
        </w:rPr>
        <w:fldChar w:fldCharType="separate"/>
      </w:r>
      <w:r>
        <w:rPr>
          <w:rFonts w:hint="eastAsia" w:asciiTheme="minorEastAsia" w:hAnsiTheme="minorEastAsia" w:eastAsiaTheme="minorEastAsia" w:cstheme="minorEastAsia"/>
          <w:b w:val="0"/>
          <w:bCs w:val="0"/>
          <w:color w:val="auto"/>
          <w:sz w:val="24"/>
          <w:szCs w:val="24"/>
          <w:highlight w:val="none"/>
        </w:rPr>
        <w:t>第三章 采购需求</w:t>
      </w:r>
      <w:r>
        <w:rPr>
          <w:rFonts w:hint="eastAsia" w:asciiTheme="minorEastAsia" w:hAnsiTheme="minorEastAsia" w:eastAsiaTheme="minorEastAsia" w:cstheme="minorEastAsia"/>
          <w:b w:val="0"/>
          <w:bCs w:val="0"/>
          <w:color w:val="auto"/>
          <w:sz w:val="24"/>
          <w:szCs w:val="24"/>
          <w:highlight w:val="none"/>
        </w:rPr>
        <w:tab/>
      </w:r>
      <w:r>
        <w:rPr>
          <w:rFonts w:hint="eastAsia" w:asciiTheme="minorEastAsia" w:hAnsiTheme="minorEastAsia" w:eastAsiaTheme="minorEastAsia" w:cstheme="minorEastAsia"/>
          <w:b w:val="0"/>
          <w:bCs w:val="0"/>
          <w:color w:val="auto"/>
          <w:sz w:val="24"/>
          <w:szCs w:val="24"/>
          <w:highlight w:val="none"/>
        </w:rPr>
        <w:fldChar w:fldCharType="begin"/>
      </w:r>
      <w:r>
        <w:rPr>
          <w:rFonts w:hint="eastAsia" w:asciiTheme="minorEastAsia" w:hAnsiTheme="minorEastAsia" w:eastAsiaTheme="minorEastAsia" w:cstheme="minorEastAsia"/>
          <w:b w:val="0"/>
          <w:bCs w:val="0"/>
          <w:color w:val="auto"/>
          <w:sz w:val="24"/>
          <w:szCs w:val="24"/>
          <w:highlight w:val="none"/>
        </w:rPr>
        <w:instrText xml:space="preserve"> PAGEREF _Toc185869570 \h </w:instrText>
      </w:r>
      <w:r>
        <w:rPr>
          <w:rFonts w:hint="eastAsia" w:asciiTheme="minorEastAsia" w:hAnsiTheme="minorEastAsia" w:eastAsiaTheme="minorEastAsia" w:cstheme="minorEastAsia"/>
          <w:b w:val="0"/>
          <w:bCs w:val="0"/>
          <w:color w:val="auto"/>
          <w:sz w:val="24"/>
          <w:szCs w:val="24"/>
          <w:highlight w:val="none"/>
        </w:rPr>
        <w:fldChar w:fldCharType="separate"/>
      </w:r>
      <w:r>
        <w:rPr>
          <w:rFonts w:hint="eastAsia" w:asciiTheme="minorEastAsia" w:hAnsiTheme="minorEastAsia" w:eastAsiaTheme="minorEastAsia" w:cstheme="minorEastAsia"/>
          <w:b w:val="0"/>
          <w:bCs w:val="0"/>
          <w:color w:val="auto"/>
          <w:sz w:val="24"/>
          <w:szCs w:val="24"/>
          <w:highlight w:val="none"/>
        </w:rPr>
        <w:t>25</w:t>
      </w:r>
      <w:r>
        <w:rPr>
          <w:rFonts w:hint="eastAsia" w:asciiTheme="minorEastAsia" w:hAnsiTheme="minorEastAsia" w:eastAsiaTheme="minorEastAsia" w:cstheme="minorEastAsia"/>
          <w:b w:val="0"/>
          <w:bCs w:val="0"/>
          <w:color w:val="auto"/>
          <w:sz w:val="24"/>
          <w:szCs w:val="24"/>
          <w:highlight w:val="none"/>
        </w:rPr>
        <w:fldChar w:fldCharType="end"/>
      </w:r>
      <w:r>
        <w:rPr>
          <w:rFonts w:hint="eastAsia" w:asciiTheme="minorEastAsia" w:hAnsiTheme="minorEastAsia" w:eastAsiaTheme="minorEastAsia" w:cstheme="minorEastAsia"/>
          <w:b w:val="0"/>
          <w:bCs w:val="0"/>
          <w:color w:val="auto"/>
          <w:sz w:val="24"/>
          <w:szCs w:val="24"/>
          <w:highlight w:val="none"/>
        </w:rPr>
        <w:fldChar w:fldCharType="end"/>
      </w:r>
    </w:p>
    <w:p w14:paraId="05F6479A">
      <w:pPr>
        <w:pStyle w:val="37"/>
        <w:tabs>
          <w:tab w:val="right" w:leader="dot" w:pos="8869"/>
        </w:tabs>
        <w:spacing w:line="480" w:lineRule="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fldChar w:fldCharType="begin"/>
      </w:r>
      <w:r>
        <w:rPr>
          <w:rFonts w:hint="eastAsia" w:asciiTheme="minorEastAsia" w:hAnsiTheme="minorEastAsia" w:eastAsiaTheme="minorEastAsia" w:cstheme="minorEastAsia"/>
          <w:b w:val="0"/>
          <w:bCs w:val="0"/>
          <w:color w:val="auto"/>
          <w:sz w:val="24"/>
          <w:szCs w:val="24"/>
          <w:highlight w:val="none"/>
        </w:rPr>
        <w:instrText xml:space="preserve"> HYPERLINK \l "_Toc185869571" </w:instrText>
      </w:r>
      <w:r>
        <w:rPr>
          <w:rFonts w:hint="eastAsia" w:asciiTheme="minorEastAsia" w:hAnsiTheme="minorEastAsia" w:eastAsiaTheme="minorEastAsia" w:cstheme="minorEastAsia"/>
          <w:b w:val="0"/>
          <w:bCs w:val="0"/>
          <w:color w:val="auto"/>
          <w:sz w:val="24"/>
          <w:szCs w:val="24"/>
          <w:highlight w:val="none"/>
        </w:rPr>
        <w:fldChar w:fldCharType="separate"/>
      </w:r>
      <w:r>
        <w:rPr>
          <w:rFonts w:hint="eastAsia" w:asciiTheme="minorEastAsia" w:hAnsiTheme="minorEastAsia" w:eastAsiaTheme="minorEastAsia" w:cstheme="minorEastAsia"/>
          <w:b w:val="0"/>
          <w:bCs w:val="0"/>
          <w:color w:val="auto"/>
          <w:sz w:val="24"/>
          <w:szCs w:val="24"/>
          <w:highlight w:val="none"/>
        </w:rPr>
        <w:t>第四章 评审程序、评审方法和评审标准</w:t>
      </w:r>
      <w:r>
        <w:rPr>
          <w:rFonts w:hint="eastAsia" w:asciiTheme="minorEastAsia" w:hAnsiTheme="minorEastAsia" w:eastAsiaTheme="minorEastAsia" w:cstheme="minorEastAsia"/>
          <w:b w:val="0"/>
          <w:bCs w:val="0"/>
          <w:color w:val="auto"/>
          <w:sz w:val="24"/>
          <w:szCs w:val="24"/>
          <w:highlight w:val="none"/>
        </w:rPr>
        <w:tab/>
      </w:r>
      <w:r>
        <w:rPr>
          <w:rFonts w:hint="eastAsia" w:asciiTheme="minorEastAsia" w:hAnsiTheme="minorEastAsia" w:eastAsiaTheme="minorEastAsia" w:cstheme="minorEastAsia"/>
          <w:b w:val="0"/>
          <w:bCs w:val="0"/>
          <w:color w:val="auto"/>
          <w:sz w:val="24"/>
          <w:szCs w:val="24"/>
          <w:highlight w:val="none"/>
        </w:rPr>
        <w:fldChar w:fldCharType="begin"/>
      </w:r>
      <w:r>
        <w:rPr>
          <w:rFonts w:hint="eastAsia" w:asciiTheme="minorEastAsia" w:hAnsiTheme="minorEastAsia" w:eastAsiaTheme="minorEastAsia" w:cstheme="minorEastAsia"/>
          <w:b w:val="0"/>
          <w:bCs w:val="0"/>
          <w:color w:val="auto"/>
          <w:sz w:val="24"/>
          <w:szCs w:val="24"/>
          <w:highlight w:val="none"/>
        </w:rPr>
        <w:instrText xml:space="preserve"> PAGEREF _Toc185869571 \h </w:instrText>
      </w:r>
      <w:r>
        <w:rPr>
          <w:rFonts w:hint="eastAsia" w:asciiTheme="minorEastAsia" w:hAnsiTheme="minorEastAsia" w:eastAsiaTheme="minorEastAsia" w:cstheme="minorEastAsia"/>
          <w:b w:val="0"/>
          <w:bCs w:val="0"/>
          <w:color w:val="auto"/>
          <w:sz w:val="24"/>
          <w:szCs w:val="24"/>
          <w:highlight w:val="none"/>
        </w:rPr>
        <w:fldChar w:fldCharType="separate"/>
      </w:r>
      <w:r>
        <w:rPr>
          <w:rFonts w:hint="eastAsia" w:asciiTheme="minorEastAsia" w:hAnsiTheme="minorEastAsia" w:eastAsiaTheme="minorEastAsia" w:cstheme="minorEastAsia"/>
          <w:b w:val="0"/>
          <w:bCs w:val="0"/>
          <w:color w:val="auto"/>
          <w:sz w:val="24"/>
          <w:szCs w:val="24"/>
          <w:highlight w:val="none"/>
        </w:rPr>
        <w:t>28</w:t>
      </w:r>
      <w:r>
        <w:rPr>
          <w:rFonts w:hint="eastAsia" w:asciiTheme="minorEastAsia" w:hAnsiTheme="minorEastAsia" w:eastAsiaTheme="minorEastAsia" w:cstheme="minorEastAsia"/>
          <w:b w:val="0"/>
          <w:bCs w:val="0"/>
          <w:color w:val="auto"/>
          <w:sz w:val="24"/>
          <w:szCs w:val="24"/>
          <w:highlight w:val="none"/>
        </w:rPr>
        <w:fldChar w:fldCharType="end"/>
      </w:r>
      <w:r>
        <w:rPr>
          <w:rFonts w:hint="eastAsia" w:asciiTheme="minorEastAsia" w:hAnsiTheme="minorEastAsia" w:eastAsiaTheme="minorEastAsia" w:cstheme="minorEastAsia"/>
          <w:b w:val="0"/>
          <w:bCs w:val="0"/>
          <w:color w:val="auto"/>
          <w:sz w:val="24"/>
          <w:szCs w:val="24"/>
          <w:highlight w:val="none"/>
        </w:rPr>
        <w:fldChar w:fldCharType="end"/>
      </w:r>
    </w:p>
    <w:p w14:paraId="3136A7F2">
      <w:pPr>
        <w:pStyle w:val="37"/>
        <w:tabs>
          <w:tab w:val="right" w:leader="dot" w:pos="8869"/>
        </w:tabs>
        <w:spacing w:line="480" w:lineRule="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fldChar w:fldCharType="begin"/>
      </w:r>
      <w:r>
        <w:rPr>
          <w:rFonts w:hint="eastAsia" w:asciiTheme="minorEastAsia" w:hAnsiTheme="minorEastAsia" w:eastAsiaTheme="minorEastAsia" w:cstheme="minorEastAsia"/>
          <w:b w:val="0"/>
          <w:bCs w:val="0"/>
          <w:color w:val="auto"/>
          <w:sz w:val="24"/>
          <w:szCs w:val="24"/>
          <w:highlight w:val="none"/>
        </w:rPr>
        <w:instrText xml:space="preserve"> HYPERLINK \l "_Toc185869572" </w:instrText>
      </w:r>
      <w:r>
        <w:rPr>
          <w:rFonts w:hint="eastAsia" w:asciiTheme="minorEastAsia" w:hAnsiTheme="minorEastAsia" w:eastAsiaTheme="minorEastAsia" w:cstheme="minorEastAsia"/>
          <w:b w:val="0"/>
          <w:bCs w:val="0"/>
          <w:color w:val="auto"/>
          <w:sz w:val="24"/>
          <w:szCs w:val="24"/>
          <w:highlight w:val="none"/>
        </w:rPr>
        <w:fldChar w:fldCharType="separate"/>
      </w:r>
      <w:r>
        <w:rPr>
          <w:rFonts w:hint="eastAsia" w:asciiTheme="minorEastAsia" w:hAnsiTheme="minorEastAsia" w:eastAsiaTheme="minorEastAsia" w:cstheme="minorEastAsia"/>
          <w:b w:val="0"/>
          <w:bCs w:val="0"/>
          <w:color w:val="auto"/>
          <w:sz w:val="24"/>
          <w:szCs w:val="24"/>
          <w:highlight w:val="none"/>
        </w:rPr>
        <w:t>第五章</w:t>
      </w:r>
      <w:r>
        <w:rPr>
          <w:rFonts w:hint="eastAsia" w:asciiTheme="minorEastAsia" w:hAnsiTheme="minorEastAsia" w:eastAsiaTheme="minorEastAsia" w:cstheme="minorEastAsia"/>
          <w:b w:val="0"/>
          <w:bCs w:val="0"/>
          <w:color w:val="auto"/>
          <w:sz w:val="24"/>
          <w:szCs w:val="24"/>
          <w:highlight w:val="none"/>
          <w:lang w:val="en-US" w:eastAsia="zh-CN"/>
        </w:rPr>
        <w:t xml:space="preserve"> </w:t>
      </w:r>
      <w:r>
        <w:rPr>
          <w:rFonts w:hint="eastAsia" w:asciiTheme="minorEastAsia" w:hAnsiTheme="minorEastAsia" w:eastAsiaTheme="minorEastAsia" w:cstheme="minorEastAsia"/>
          <w:b w:val="0"/>
          <w:bCs w:val="0"/>
          <w:color w:val="auto"/>
          <w:sz w:val="24"/>
          <w:szCs w:val="24"/>
          <w:highlight w:val="none"/>
        </w:rPr>
        <w:t>工程量清单及图纸</w:t>
      </w:r>
      <w:r>
        <w:rPr>
          <w:rFonts w:hint="eastAsia" w:asciiTheme="minorEastAsia" w:hAnsiTheme="minorEastAsia" w:eastAsiaTheme="minorEastAsia" w:cstheme="minorEastAsia"/>
          <w:b w:val="0"/>
          <w:bCs w:val="0"/>
          <w:color w:val="auto"/>
          <w:sz w:val="24"/>
          <w:szCs w:val="24"/>
          <w:highlight w:val="none"/>
        </w:rPr>
        <w:tab/>
      </w:r>
      <w:r>
        <w:rPr>
          <w:rFonts w:hint="eastAsia" w:asciiTheme="minorEastAsia" w:hAnsiTheme="minorEastAsia" w:eastAsiaTheme="minorEastAsia" w:cstheme="minorEastAsia"/>
          <w:b w:val="0"/>
          <w:bCs w:val="0"/>
          <w:color w:val="auto"/>
          <w:sz w:val="24"/>
          <w:szCs w:val="24"/>
          <w:highlight w:val="none"/>
        </w:rPr>
        <w:fldChar w:fldCharType="begin"/>
      </w:r>
      <w:r>
        <w:rPr>
          <w:rFonts w:hint="eastAsia" w:asciiTheme="minorEastAsia" w:hAnsiTheme="minorEastAsia" w:eastAsiaTheme="minorEastAsia" w:cstheme="minorEastAsia"/>
          <w:b w:val="0"/>
          <w:bCs w:val="0"/>
          <w:color w:val="auto"/>
          <w:sz w:val="24"/>
          <w:szCs w:val="24"/>
          <w:highlight w:val="none"/>
        </w:rPr>
        <w:instrText xml:space="preserve"> PAGEREF _Toc185869572 \h </w:instrText>
      </w:r>
      <w:r>
        <w:rPr>
          <w:rFonts w:hint="eastAsia" w:asciiTheme="minorEastAsia" w:hAnsiTheme="minorEastAsia" w:eastAsiaTheme="minorEastAsia" w:cstheme="minorEastAsia"/>
          <w:b w:val="0"/>
          <w:bCs w:val="0"/>
          <w:color w:val="auto"/>
          <w:sz w:val="24"/>
          <w:szCs w:val="24"/>
          <w:highlight w:val="none"/>
        </w:rPr>
        <w:fldChar w:fldCharType="separate"/>
      </w:r>
      <w:r>
        <w:rPr>
          <w:rFonts w:hint="eastAsia" w:asciiTheme="minorEastAsia" w:hAnsiTheme="minorEastAsia" w:eastAsiaTheme="minorEastAsia" w:cstheme="minorEastAsia"/>
          <w:b w:val="0"/>
          <w:bCs w:val="0"/>
          <w:color w:val="auto"/>
          <w:sz w:val="24"/>
          <w:szCs w:val="24"/>
          <w:highlight w:val="none"/>
        </w:rPr>
        <w:t>39</w:t>
      </w:r>
      <w:r>
        <w:rPr>
          <w:rFonts w:hint="eastAsia" w:asciiTheme="minorEastAsia" w:hAnsiTheme="minorEastAsia" w:eastAsiaTheme="minorEastAsia" w:cstheme="minorEastAsia"/>
          <w:b w:val="0"/>
          <w:bCs w:val="0"/>
          <w:color w:val="auto"/>
          <w:sz w:val="24"/>
          <w:szCs w:val="24"/>
          <w:highlight w:val="none"/>
        </w:rPr>
        <w:fldChar w:fldCharType="end"/>
      </w:r>
      <w:r>
        <w:rPr>
          <w:rFonts w:hint="eastAsia" w:asciiTheme="minorEastAsia" w:hAnsiTheme="minorEastAsia" w:eastAsiaTheme="minorEastAsia" w:cstheme="minorEastAsia"/>
          <w:b w:val="0"/>
          <w:bCs w:val="0"/>
          <w:color w:val="auto"/>
          <w:sz w:val="24"/>
          <w:szCs w:val="24"/>
          <w:highlight w:val="none"/>
        </w:rPr>
        <w:fldChar w:fldCharType="end"/>
      </w:r>
    </w:p>
    <w:p w14:paraId="73E4C702">
      <w:pPr>
        <w:pStyle w:val="37"/>
        <w:tabs>
          <w:tab w:val="right" w:leader="dot" w:pos="8869"/>
        </w:tabs>
        <w:spacing w:line="480" w:lineRule="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fldChar w:fldCharType="begin"/>
      </w:r>
      <w:r>
        <w:rPr>
          <w:rFonts w:hint="eastAsia" w:asciiTheme="minorEastAsia" w:hAnsiTheme="minorEastAsia" w:eastAsiaTheme="minorEastAsia" w:cstheme="minorEastAsia"/>
          <w:b w:val="0"/>
          <w:bCs w:val="0"/>
          <w:color w:val="auto"/>
          <w:sz w:val="24"/>
          <w:szCs w:val="24"/>
          <w:highlight w:val="none"/>
        </w:rPr>
        <w:instrText xml:space="preserve"> HYPERLINK \l "_Toc185869577" </w:instrText>
      </w:r>
      <w:r>
        <w:rPr>
          <w:rFonts w:hint="eastAsia" w:asciiTheme="minorEastAsia" w:hAnsiTheme="minorEastAsia" w:eastAsiaTheme="minorEastAsia" w:cstheme="minorEastAsia"/>
          <w:b w:val="0"/>
          <w:bCs w:val="0"/>
          <w:color w:val="auto"/>
          <w:sz w:val="24"/>
          <w:szCs w:val="24"/>
          <w:highlight w:val="none"/>
        </w:rPr>
        <w:fldChar w:fldCharType="separate"/>
      </w:r>
      <w:r>
        <w:rPr>
          <w:rFonts w:hint="eastAsia" w:asciiTheme="minorEastAsia" w:hAnsiTheme="minorEastAsia" w:eastAsiaTheme="minorEastAsia" w:cstheme="minorEastAsia"/>
          <w:b w:val="0"/>
          <w:bCs w:val="0"/>
          <w:color w:val="auto"/>
          <w:sz w:val="24"/>
          <w:szCs w:val="24"/>
          <w:highlight w:val="none"/>
        </w:rPr>
        <w:t>第六章响应文件格式</w:t>
      </w:r>
      <w:r>
        <w:rPr>
          <w:rFonts w:hint="eastAsia" w:asciiTheme="minorEastAsia" w:hAnsiTheme="minorEastAsia" w:eastAsiaTheme="minorEastAsia" w:cstheme="minorEastAsia"/>
          <w:b w:val="0"/>
          <w:bCs w:val="0"/>
          <w:color w:val="auto"/>
          <w:sz w:val="24"/>
          <w:szCs w:val="24"/>
          <w:highlight w:val="none"/>
        </w:rPr>
        <w:tab/>
      </w:r>
      <w:r>
        <w:rPr>
          <w:rFonts w:hint="eastAsia" w:asciiTheme="minorEastAsia" w:hAnsiTheme="minorEastAsia" w:eastAsiaTheme="minorEastAsia" w:cstheme="minorEastAsia"/>
          <w:b w:val="0"/>
          <w:bCs w:val="0"/>
          <w:color w:val="auto"/>
          <w:sz w:val="24"/>
          <w:szCs w:val="24"/>
          <w:highlight w:val="none"/>
        </w:rPr>
        <w:fldChar w:fldCharType="begin"/>
      </w:r>
      <w:r>
        <w:rPr>
          <w:rFonts w:hint="eastAsia" w:asciiTheme="minorEastAsia" w:hAnsiTheme="minorEastAsia" w:eastAsiaTheme="minorEastAsia" w:cstheme="minorEastAsia"/>
          <w:b w:val="0"/>
          <w:bCs w:val="0"/>
          <w:color w:val="auto"/>
          <w:sz w:val="24"/>
          <w:szCs w:val="24"/>
          <w:highlight w:val="none"/>
        </w:rPr>
        <w:instrText xml:space="preserve"> PAGEREF _Toc185869577 \h </w:instrText>
      </w:r>
      <w:r>
        <w:rPr>
          <w:rFonts w:hint="eastAsia" w:asciiTheme="minorEastAsia" w:hAnsiTheme="minorEastAsia" w:eastAsiaTheme="minorEastAsia" w:cstheme="minorEastAsia"/>
          <w:b w:val="0"/>
          <w:bCs w:val="0"/>
          <w:color w:val="auto"/>
          <w:sz w:val="24"/>
          <w:szCs w:val="24"/>
          <w:highlight w:val="none"/>
        </w:rPr>
        <w:fldChar w:fldCharType="separate"/>
      </w:r>
      <w:r>
        <w:rPr>
          <w:rFonts w:hint="eastAsia" w:asciiTheme="minorEastAsia" w:hAnsiTheme="minorEastAsia" w:eastAsiaTheme="minorEastAsia" w:cstheme="minorEastAsia"/>
          <w:b w:val="0"/>
          <w:bCs w:val="0"/>
          <w:color w:val="auto"/>
          <w:sz w:val="24"/>
          <w:szCs w:val="24"/>
          <w:highlight w:val="none"/>
        </w:rPr>
        <w:t>44</w:t>
      </w:r>
      <w:r>
        <w:rPr>
          <w:rFonts w:hint="eastAsia" w:asciiTheme="minorEastAsia" w:hAnsiTheme="minorEastAsia" w:eastAsiaTheme="minorEastAsia" w:cstheme="minorEastAsia"/>
          <w:b w:val="0"/>
          <w:bCs w:val="0"/>
          <w:color w:val="auto"/>
          <w:sz w:val="24"/>
          <w:szCs w:val="24"/>
          <w:highlight w:val="none"/>
        </w:rPr>
        <w:fldChar w:fldCharType="end"/>
      </w:r>
      <w:r>
        <w:rPr>
          <w:rFonts w:hint="eastAsia" w:asciiTheme="minorEastAsia" w:hAnsiTheme="minorEastAsia" w:eastAsiaTheme="minorEastAsia" w:cstheme="minorEastAsia"/>
          <w:b w:val="0"/>
          <w:bCs w:val="0"/>
          <w:color w:val="auto"/>
          <w:sz w:val="24"/>
          <w:szCs w:val="24"/>
          <w:highlight w:val="none"/>
        </w:rPr>
        <w:fldChar w:fldCharType="end"/>
      </w:r>
    </w:p>
    <w:p w14:paraId="2887C277">
      <w:pPr>
        <w:pStyle w:val="37"/>
        <w:tabs>
          <w:tab w:val="right" w:leader="dot" w:pos="8869"/>
        </w:tabs>
        <w:spacing w:line="480" w:lineRule="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fldChar w:fldCharType="begin"/>
      </w:r>
      <w:r>
        <w:rPr>
          <w:rFonts w:hint="eastAsia" w:asciiTheme="minorEastAsia" w:hAnsiTheme="minorEastAsia" w:eastAsiaTheme="minorEastAsia" w:cstheme="minorEastAsia"/>
          <w:b w:val="0"/>
          <w:bCs w:val="0"/>
          <w:color w:val="auto"/>
          <w:sz w:val="24"/>
          <w:szCs w:val="24"/>
          <w:highlight w:val="none"/>
        </w:rPr>
        <w:instrText xml:space="preserve"> HYPERLINK \l "_Toc185869578" </w:instrText>
      </w:r>
      <w:r>
        <w:rPr>
          <w:rFonts w:hint="eastAsia" w:asciiTheme="minorEastAsia" w:hAnsiTheme="minorEastAsia" w:eastAsiaTheme="minorEastAsia" w:cstheme="minorEastAsia"/>
          <w:b w:val="0"/>
          <w:bCs w:val="0"/>
          <w:color w:val="auto"/>
          <w:sz w:val="24"/>
          <w:szCs w:val="24"/>
          <w:highlight w:val="none"/>
        </w:rPr>
        <w:fldChar w:fldCharType="separate"/>
      </w:r>
      <w:r>
        <w:rPr>
          <w:rFonts w:hint="eastAsia" w:asciiTheme="minorEastAsia" w:hAnsiTheme="minorEastAsia" w:eastAsiaTheme="minorEastAsia" w:cstheme="minorEastAsia"/>
          <w:b w:val="0"/>
          <w:bCs w:val="0"/>
          <w:color w:val="auto"/>
          <w:sz w:val="24"/>
          <w:szCs w:val="24"/>
          <w:highlight w:val="none"/>
        </w:rPr>
        <w:t>第七章合同文本</w:t>
      </w:r>
      <w:r>
        <w:rPr>
          <w:rFonts w:hint="eastAsia" w:asciiTheme="minorEastAsia" w:hAnsiTheme="minorEastAsia" w:eastAsiaTheme="minorEastAsia" w:cstheme="minorEastAsia"/>
          <w:b w:val="0"/>
          <w:bCs w:val="0"/>
          <w:color w:val="auto"/>
          <w:sz w:val="24"/>
          <w:szCs w:val="24"/>
          <w:highlight w:val="none"/>
        </w:rPr>
        <w:tab/>
      </w:r>
      <w:r>
        <w:rPr>
          <w:rFonts w:hint="eastAsia" w:asciiTheme="minorEastAsia" w:hAnsiTheme="minorEastAsia" w:eastAsiaTheme="minorEastAsia" w:cstheme="minorEastAsia"/>
          <w:b w:val="0"/>
          <w:bCs w:val="0"/>
          <w:color w:val="auto"/>
          <w:sz w:val="24"/>
          <w:szCs w:val="24"/>
          <w:highlight w:val="none"/>
        </w:rPr>
        <w:fldChar w:fldCharType="begin"/>
      </w:r>
      <w:r>
        <w:rPr>
          <w:rFonts w:hint="eastAsia" w:asciiTheme="minorEastAsia" w:hAnsiTheme="minorEastAsia" w:eastAsiaTheme="minorEastAsia" w:cstheme="minorEastAsia"/>
          <w:b w:val="0"/>
          <w:bCs w:val="0"/>
          <w:color w:val="auto"/>
          <w:sz w:val="24"/>
          <w:szCs w:val="24"/>
          <w:highlight w:val="none"/>
        </w:rPr>
        <w:instrText xml:space="preserve"> PAGEREF _Toc185869578 \h </w:instrText>
      </w:r>
      <w:r>
        <w:rPr>
          <w:rFonts w:hint="eastAsia" w:asciiTheme="minorEastAsia" w:hAnsiTheme="minorEastAsia" w:eastAsiaTheme="minorEastAsia" w:cstheme="minorEastAsia"/>
          <w:b w:val="0"/>
          <w:bCs w:val="0"/>
          <w:color w:val="auto"/>
          <w:sz w:val="24"/>
          <w:szCs w:val="24"/>
          <w:highlight w:val="none"/>
        </w:rPr>
        <w:fldChar w:fldCharType="separate"/>
      </w:r>
      <w:r>
        <w:rPr>
          <w:rFonts w:hint="eastAsia" w:asciiTheme="minorEastAsia" w:hAnsiTheme="minorEastAsia" w:eastAsiaTheme="minorEastAsia" w:cstheme="minorEastAsia"/>
          <w:b w:val="0"/>
          <w:bCs w:val="0"/>
          <w:color w:val="auto"/>
          <w:sz w:val="24"/>
          <w:szCs w:val="24"/>
          <w:highlight w:val="none"/>
        </w:rPr>
        <w:t>78</w:t>
      </w:r>
      <w:r>
        <w:rPr>
          <w:rFonts w:hint="eastAsia" w:asciiTheme="minorEastAsia" w:hAnsiTheme="minorEastAsia" w:eastAsiaTheme="minorEastAsia" w:cstheme="minorEastAsia"/>
          <w:b w:val="0"/>
          <w:bCs w:val="0"/>
          <w:color w:val="auto"/>
          <w:sz w:val="24"/>
          <w:szCs w:val="24"/>
          <w:highlight w:val="none"/>
        </w:rPr>
        <w:fldChar w:fldCharType="end"/>
      </w:r>
      <w:r>
        <w:rPr>
          <w:rFonts w:hint="eastAsia" w:asciiTheme="minorEastAsia" w:hAnsiTheme="minorEastAsia" w:eastAsiaTheme="minorEastAsia" w:cstheme="minorEastAsia"/>
          <w:b w:val="0"/>
          <w:bCs w:val="0"/>
          <w:color w:val="auto"/>
          <w:sz w:val="24"/>
          <w:szCs w:val="24"/>
          <w:highlight w:val="none"/>
        </w:rPr>
        <w:fldChar w:fldCharType="end"/>
      </w:r>
    </w:p>
    <w:p w14:paraId="1812346D">
      <w:pPr>
        <w:pStyle w:val="37"/>
        <w:tabs>
          <w:tab w:val="right" w:leader="dot" w:pos="8869"/>
        </w:tabs>
        <w:spacing w:line="480" w:lineRule="auto"/>
        <w:rPr>
          <w:color w:val="auto"/>
          <w:highlight w:val="none"/>
        </w:rPr>
      </w:pPr>
    </w:p>
    <w:p w14:paraId="3AF6711D">
      <w:pPr>
        <w:pStyle w:val="37"/>
        <w:tabs>
          <w:tab w:val="right" w:leader="dot" w:pos="8869"/>
        </w:tabs>
        <w:spacing w:line="480" w:lineRule="auto"/>
        <w:rPr>
          <w:rFonts w:ascii="宋体" w:hAnsi="宋体"/>
          <w:b/>
          <w:color w:val="auto"/>
          <w:sz w:val="24"/>
          <w:highlight w:val="none"/>
        </w:rPr>
      </w:pPr>
      <w:r>
        <w:rPr>
          <w:color w:val="auto"/>
          <w:highlight w:val="none"/>
        </w:rPr>
        <w:fldChar w:fldCharType="end"/>
      </w:r>
    </w:p>
    <w:p w14:paraId="0BE68F46">
      <w:pPr>
        <w:spacing w:line="400" w:lineRule="exact"/>
        <w:jc w:val="left"/>
        <w:rPr>
          <w:rFonts w:ascii="宋体" w:hAnsi="宋体"/>
          <w:b/>
          <w:color w:val="auto"/>
          <w:sz w:val="32"/>
          <w:szCs w:val="32"/>
          <w:highlight w:val="none"/>
        </w:rPr>
      </w:pPr>
    </w:p>
    <w:p w14:paraId="682A0D67">
      <w:pPr>
        <w:spacing w:line="400" w:lineRule="exact"/>
        <w:jc w:val="center"/>
        <w:rPr>
          <w:rFonts w:ascii="宋体" w:hAnsi="宋体"/>
          <w:b/>
          <w:color w:val="auto"/>
          <w:sz w:val="32"/>
          <w:szCs w:val="32"/>
          <w:highlight w:val="none"/>
        </w:rPr>
      </w:pPr>
    </w:p>
    <w:p w14:paraId="00C22164">
      <w:pPr>
        <w:spacing w:line="400" w:lineRule="exact"/>
        <w:jc w:val="center"/>
        <w:rPr>
          <w:rFonts w:ascii="宋体" w:hAnsi="宋体"/>
          <w:b/>
          <w:color w:val="auto"/>
          <w:sz w:val="32"/>
          <w:szCs w:val="32"/>
          <w:highlight w:val="none"/>
        </w:rPr>
      </w:pPr>
    </w:p>
    <w:p w14:paraId="0050069F">
      <w:pPr>
        <w:spacing w:line="400" w:lineRule="exact"/>
        <w:jc w:val="center"/>
        <w:rPr>
          <w:rFonts w:ascii="宋体" w:hAnsi="宋体"/>
          <w:b/>
          <w:color w:val="auto"/>
          <w:sz w:val="32"/>
          <w:szCs w:val="32"/>
          <w:highlight w:val="none"/>
        </w:rPr>
      </w:pPr>
    </w:p>
    <w:p w14:paraId="1E16F4D8">
      <w:pPr>
        <w:spacing w:line="400" w:lineRule="exact"/>
        <w:jc w:val="center"/>
        <w:rPr>
          <w:rFonts w:ascii="宋体" w:hAnsi="宋体"/>
          <w:b/>
          <w:color w:val="auto"/>
          <w:sz w:val="32"/>
          <w:szCs w:val="32"/>
          <w:highlight w:val="none"/>
        </w:rPr>
      </w:pPr>
    </w:p>
    <w:p w14:paraId="3B4251E4">
      <w:pPr>
        <w:spacing w:line="400" w:lineRule="exact"/>
        <w:rPr>
          <w:rFonts w:ascii="宋体" w:hAnsi="宋体"/>
          <w:b/>
          <w:color w:val="auto"/>
          <w:sz w:val="32"/>
          <w:szCs w:val="32"/>
          <w:highlight w:val="none"/>
        </w:rPr>
        <w:sectPr>
          <w:headerReference r:id="rId4" w:type="first"/>
          <w:footerReference r:id="rId6" w:type="first"/>
          <w:headerReference r:id="rId3" w:type="default"/>
          <w:footerReference r:id="rId5" w:type="default"/>
          <w:pgSz w:w="11906" w:h="16838"/>
          <w:pgMar w:top="1440" w:right="1440" w:bottom="1440" w:left="1587" w:header="851" w:footer="992" w:gutter="0"/>
          <w:pgNumType w:start="0"/>
          <w:cols w:space="720" w:num="1"/>
          <w:titlePg/>
          <w:docGrid w:type="lines" w:linePitch="312" w:charSpace="0"/>
        </w:sectPr>
      </w:pPr>
    </w:p>
    <w:p w14:paraId="68733749">
      <w:pPr>
        <w:pStyle w:val="2"/>
        <w:spacing w:after="340" w:line="360" w:lineRule="auto"/>
        <w:jc w:val="center"/>
        <w:rPr>
          <w:color w:val="auto"/>
          <w:highlight w:val="none"/>
        </w:rPr>
      </w:pPr>
      <w:bookmarkStart w:id="0" w:name="_Toc185869568"/>
      <w:r>
        <w:rPr>
          <w:rFonts w:hint="eastAsia"/>
          <w:color w:val="auto"/>
          <w:highlight w:val="none"/>
        </w:rPr>
        <w:t>第一章</w:t>
      </w:r>
      <w:r>
        <w:rPr>
          <w:rFonts w:hint="eastAsia"/>
          <w:color w:val="auto"/>
          <w:highlight w:val="none"/>
          <w:lang w:val="en-US" w:eastAsia="zh-CN"/>
        </w:rPr>
        <w:t xml:space="preserve"> </w:t>
      </w:r>
      <w:r>
        <w:rPr>
          <w:rFonts w:hint="eastAsia"/>
          <w:color w:val="auto"/>
          <w:highlight w:val="none"/>
        </w:rPr>
        <w:t>竞争性磋商公告</w:t>
      </w:r>
      <w:bookmarkEnd w:id="0"/>
    </w:p>
    <w:p w14:paraId="1959DF4A">
      <w:pPr>
        <w:spacing w:line="400" w:lineRule="exact"/>
        <w:jc w:val="center"/>
        <w:rPr>
          <w:rFonts w:hint="eastAsia" w:asciiTheme="minorEastAsia" w:hAnsiTheme="minorEastAsia" w:eastAsiaTheme="minorEastAsia" w:cstheme="minorEastAsia"/>
          <w:b/>
          <w:bCs/>
          <w:color w:val="auto"/>
          <w:sz w:val="32"/>
          <w:szCs w:val="32"/>
          <w:highlight w:val="none"/>
        </w:rPr>
      </w:pPr>
    </w:p>
    <w:p w14:paraId="5C765F96">
      <w:pPr>
        <w:spacing w:line="360" w:lineRule="auto"/>
        <w:rPr>
          <w:rFonts w:hint="eastAsia" w:asciiTheme="minorEastAsia" w:hAnsiTheme="minorEastAsia" w:eastAsiaTheme="minorEastAsia" w:cstheme="minorEastAsia"/>
          <w:color w:val="auto"/>
          <w:sz w:val="21"/>
          <w:szCs w:val="21"/>
          <w:highlight w:val="none"/>
        </w:rPr>
      </w:pPr>
    </w:p>
    <w:p w14:paraId="66C42F32">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Theme="minorEastAsia" w:hAnsiTheme="minorEastAsia" w:eastAsiaTheme="minorEastAsia" w:cstheme="minorEastAsia"/>
          <w:color w:val="auto"/>
          <w:sz w:val="21"/>
          <w:szCs w:val="21"/>
          <w:highlight w:val="none"/>
        </w:rPr>
      </w:pPr>
      <w:bookmarkStart w:id="1" w:name="_Hlk37430271"/>
      <w:r>
        <w:rPr>
          <w:rFonts w:hint="eastAsia" w:asciiTheme="minorEastAsia" w:hAnsiTheme="minorEastAsia" w:eastAsiaTheme="minorEastAsia" w:cstheme="minorEastAsia"/>
          <w:color w:val="auto"/>
          <w:sz w:val="21"/>
          <w:szCs w:val="21"/>
          <w:highlight w:val="none"/>
        </w:rPr>
        <w:t>项目概况</w:t>
      </w:r>
    </w:p>
    <w:p w14:paraId="429FAA00">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u w:val="single"/>
          <w:lang w:eastAsia="zh-CN"/>
        </w:rPr>
        <w:t>广西幼儿师范高等专科学校平果校区室外风雨球场建设项目</w:t>
      </w:r>
      <w:r>
        <w:rPr>
          <w:rFonts w:hint="eastAsia" w:asciiTheme="minorEastAsia" w:hAnsiTheme="minorEastAsia" w:eastAsiaTheme="minorEastAsia" w:cstheme="minorEastAsia"/>
          <w:color w:val="auto"/>
          <w:sz w:val="21"/>
          <w:szCs w:val="21"/>
          <w:highlight w:val="none"/>
        </w:rPr>
        <w:t>采购项目的潜在供应商应在广西政府采购云平台（https://www.gcy.zfcg.gxzf.gov.cn/）  获取（下载）竞争性磋商文件，并于</w:t>
      </w:r>
      <w:r>
        <w:rPr>
          <w:rFonts w:hint="eastAsia" w:asciiTheme="minorEastAsia" w:hAnsiTheme="minorEastAsia" w:eastAsiaTheme="minorEastAsia" w:cstheme="minorEastAsia"/>
          <w:bCs/>
          <w:color w:val="auto"/>
          <w:sz w:val="21"/>
          <w:szCs w:val="21"/>
          <w:highlight w:val="none"/>
          <w:u w:val="single"/>
        </w:rPr>
        <w:t>202</w:t>
      </w:r>
      <w:r>
        <w:rPr>
          <w:rFonts w:hint="eastAsia" w:asciiTheme="minorEastAsia" w:hAnsiTheme="minorEastAsia" w:eastAsiaTheme="minorEastAsia" w:cstheme="minorEastAsia"/>
          <w:bCs/>
          <w:color w:val="auto"/>
          <w:sz w:val="21"/>
          <w:szCs w:val="21"/>
          <w:highlight w:val="none"/>
          <w:u w:val="single"/>
          <w:lang w:val="en-US" w:eastAsia="zh-CN"/>
        </w:rPr>
        <w:t>6</w:t>
      </w:r>
      <w:r>
        <w:rPr>
          <w:rFonts w:hint="eastAsia" w:asciiTheme="minorEastAsia" w:hAnsiTheme="minorEastAsia" w:eastAsiaTheme="minorEastAsia" w:cstheme="minorEastAsia"/>
          <w:bCs/>
          <w:color w:val="auto"/>
          <w:sz w:val="21"/>
          <w:szCs w:val="21"/>
          <w:highlight w:val="none"/>
        </w:rPr>
        <w:t>年</w:t>
      </w:r>
      <w:r>
        <w:rPr>
          <w:rFonts w:hint="eastAsia" w:asciiTheme="minorEastAsia" w:hAnsiTheme="minorEastAsia" w:eastAsiaTheme="minorEastAsia" w:cstheme="minorEastAsia"/>
          <w:bCs/>
          <w:color w:val="auto"/>
          <w:sz w:val="21"/>
          <w:szCs w:val="21"/>
          <w:highlight w:val="none"/>
          <w:u w:val="single"/>
          <w:lang w:val="en-US" w:eastAsia="zh-CN"/>
        </w:rPr>
        <w:t>2</w:t>
      </w:r>
      <w:r>
        <w:rPr>
          <w:rFonts w:hint="eastAsia" w:asciiTheme="minorEastAsia" w:hAnsiTheme="minorEastAsia" w:eastAsiaTheme="minorEastAsia" w:cstheme="minorEastAsia"/>
          <w:bCs/>
          <w:color w:val="auto"/>
          <w:sz w:val="21"/>
          <w:szCs w:val="21"/>
          <w:highlight w:val="none"/>
        </w:rPr>
        <w:t>月</w:t>
      </w:r>
      <w:r>
        <w:rPr>
          <w:rFonts w:hint="eastAsia" w:asciiTheme="minorEastAsia" w:hAnsiTheme="minorEastAsia" w:eastAsiaTheme="minorEastAsia" w:cstheme="minorEastAsia"/>
          <w:bCs/>
          <w:color w:val="auto"/>
          <w:sz w:val="21"/>
          <w:szCs w:val="21"/>
          <w:highlight w:val="none"/>
          <w:u w:val="single"/>
          <w:lang w:val="en-US" w:eastAsia="zh-CN"/>
        </w:rPr>
        <w:t>6</w:t>
      </w:r>
      <w:r>
        <w:rPr>
          <w:rFonts w:hint="eastAsia" w:asciiTheme="minorEastAsia" w:hAnsiTheme="minorEastAsia" w:eastAsiaTheme="minorEastAsia" w:cstheme="minorEastAsia"/>
          <w:bCs/>
          <w:color w:val="auto"/>
          <w:sz w:val="21"/>
          <w:szCs w:val="21"/>
          <w:highlight w:val="none"/>
        </w:rPr>
        <w:t>日</w:t>
      </w:r>
      <w:r>
        <w:rPr>
          <w:rFonts w:hint="eastAsia" w:asciiTheme="minorEastAsia" w:hAnsiTheme="minorEastAsia" w:eastAsiaTheme="minorEastAsia" w:cstheme="minorEastAsia"/>
          <w:bCs/>
          <w:color w:val="auto"/>
          <w:sz w:val="21"/>
          <w:szCs w:val="21"/>
          <w:highlight w:val="none"/>
          <w:u w:val="single"/>
        </w:rPr>
        <w:t>9</w:t>
      </w:r>
      <w:r>
        <w:rPr>
          <w:rFonts w:hint="eastAsia" w:asciiTheme="minorEastAsia" w:hAnsiTheme="minorEastAsia" w:eastAsiaTheme="minorEastAsia" w:cstheme="minorEastAsia"/>
          <w:bCs/>
          <w:color w:val="auto"/>
          <w:sz w:val="21"/>
          <w:szCs w:val="21"/>
          <w:highlight w:val="none"/>
        </w:rPr>
        <w:t>时</w:t>
      </w:r>
      <w:r>
        <w:rPr>
          <w:rFonts w:hint="eastAsia" w:asciiTheme="minorEastAsia" w:hAnsiTheme="minorEastAsia" w:eastAsiaTheme="minorEastAsia" w:cstheme="minorEastAsia"/>
          <w:bCs/>
          <w:color w:val="auto"/>
          <w:sz w:val="21"/>
          <w:szCs w:val="21"/>
          <w:highlight w:val="none"/>
          <w:u w:val="single"/>
        </w:rPr>
        <w:t>30</w:t>
      </w:r>
      <w:r>
        <w:rPr>
          <w:rFonts w:hint="eastAsia" w:asciiTheme="minorEastAsia" w:hAnsiTheme="minorEastAsia" w:eastAsiaTheme="minorEastAsia" w:cstheme="minorEastAsia"/>
          <w:bCs/>
          <w:color w:val="auto"/>
          <w:sz w:val="21"/>
          <w:szCs w:val="21"/>
          <w:highlight w:val="none"/>
        </w:rPr>
        <w:t>分（北京时间）前提交（上传）</w:t>
      </w:r>
      <w:r>
        <w:rPr>
          <w:rFonts w:hint="eastAsia" w:asciiTheme="minorEastAsia" w:hAnsiTheme="minorEastAsia" w:eastAsiaTheme="minorEastAsia" w:cstheme="minorEastAsia"/>
          <w:color w:val="auto"/>
          <w:sz w:val="21"/>
          <w:szCs w:val="21"/>
          <w:highlight w:val="none"/>
        </w:rPr>
        <w:t>响应</w:t>
      </w:r>
      <w:r>
        <w:rPr>
          <w:rFonts w:hint="eastAsia" w:asciiTheme="minorEastAsia" w:hAnsiTheme="minorEastAsia" w:eastAsiaTheme="minorEastAsia" w:cstheme="minorEastAsia"/>
          <w:bCs/>
          <w:color w:val="auto"/>
          <w:sz w:val="21"/>
          <w:szCs w:val="21"/>
          <w:highlight w:val="none"/>
        </w:rPr>
        <w:t>文件</w:t>
      </w:r>
      <w:r>
        <w:rPr>
          <w:rFonts w:hint="eastAsia" w:asciiTheme="minorEastAsia" w:hAnsiTheme="minorEastAsia" w:eastAsiaTheme="minorEastAsia" w:cstheme="minorEastAsia"/>
          <w:color w:val="auto"/>
          <w:sz w:val="21"/>
          <w:szCs w:val="21"/>
          <w:highlight w:val="none"/>
        </w:rPr>
        <w:t>。</w:t>
      </w:r>
    </w:p>
    <w:p w14:paraId="79892E1C">
      <w:pPr>
        <w:spacing w:line="360" w:lineRule="auto"/>
        <w:rPr>
          <w:rFonts w:hint="eastAsia" w:asciiTheme="minorEastAsia" w:hAnsiTheme="minorEastAsia" w:eastAsiaTheme="minorEastAsia" w:cstheme="minorEastAsia"/>
          <w:color w:val="auto"/>
          <w:sz w:val="21"/>
          <w:szCs w:val="21"/>
          <w:highlight w:val="none"/>
        </w:rPr>
      </w:pPr>
    </w:p>
    <w:p w14:paraId="3F211ACE">
      <w:pPr>
        <w:spacing w:line="360" w:lineRule="auto"/>
        <w:ind w:firstLine="310" w:firstLineChars="147"/>
        <w:rPr>
          <w:rFonts w:hint="eastAsia" w:asciiTheme="minorEastAsia" w:hAnsiTheme="minorEastAsia" w:eastAsiaTheme="minorEastAsia" w:cstheme="minorEastAsia"/>
          <w:b/>
          <w:color w:val="auto"/>
          <w:sz w:val="21"/>
          <w:szCs w:val="21"/>
          <w:highlight w:val="none"/>
        </w:rPr>
      </w:pPr>
      <w:bookmarkStart w:id="2" w:name="_Toc28359012"/>
      <w:bookmarkStart w:id="3" w:name="_Toc35393629"/>
      <w:bookmarkStart w:id="4" w:name="_Toc28359089"/>
      <w:bookmarkStart w:id="5" w:name="_Toc35393798"/>
      <w:bookmarkStart w:id="6" w:name="_Toc71365905"/>
      <w:bookmarkStart w:id="7" w:name="_Toc44229878"/>
      <w:r>
        <w:rPr>
          <w:rFonts w:hint="eastAsia" w:asciiTheme="minorEastAsia" w:hAnsiTheme="minorEastAsia" w:eastAsiaTheme="minorEastAsia" w:cstheme="minorEastAsia"/>
          <w:b/>
          <w:color w:val="auto"/>
          <w:sz w:val="21"/>
          <w:szCs w:val="21"/>
          <w:highlight w:val="none"/>
        </w:rPr>
        <w:t>一、项目基本情况</w:t>
      </w:r>
      <w:bookmarkEnd w:id="2"/>
      <w:bookmarkEnd w:id="3"/>
      <w:bookmarkEnd w:id="4"/>
      <w:bookmarkEnd w:id="5"/>
      <w:bookmarkEnd w:id="6"/>
      <w:bookmarkEnd w:id="7"/>
    </w:p>
    <w:p w14:paraId="1AAEB0ED">
      <w:pPr>
        <w:spacing w:line="360" w:lineRule="auto"/>
        <w:ind w:firstLine="420" w:firstLineChars="200"/>
        <w:rPr>
          <w:rFonts w:hint="eastAsia" w:asciiTheme="minorEastAsia" w:hAnsiTheme="minorEastAsia" w:eastAsiaTheme="minorEastAsia" w:cstheme="minorEastAsia"/>
          <w:b w:val="0"/>
          <w:bCs w:val="0"/>
          <w:color w:val="auto"/>
          <w:sz w:val="21"/>
          <w:szCs w:val="21"/>
          <w:highlight w:val="none"/>
          <w:u w:val="none"/>
          <w:lang w:eastAsia="zh-CN"/>
        </w:rPr>
      </w:pPr>
      <w:r>
        <w:rPr>
          <w:rFonts w:hint="eastAsia" w:asciiTheme="minorEastAsia" w:hAnsiTheme="minorEastAsia" w:eastAsiaTheme="minorEastAsia" w:cstheme="minorEastAsia"/>
          <w:b w:val="0"/>
          <w:bCs w:val="0"/>
          <w:color w:val="auto"/>
          <w:sz w:val="21"/>
          <w:szCs w:val="21"/>
          <w:highlight w:val="none"/>
          <w:u w:val="none"/>
        </w:rPr>
        <w:t>项目编号：GXZC2026-C2-000103-JDZB</w:t>
      </w:r>
      <w:r>
        <w:rPr>
          <w:rFonts w:hint="eastAsia" w:asciiTheme="minorEastAsia" w:hAnsiTheme="minorEastAsia" w:eastAsiaTheme="minorEastAsia" w:cstheme="minorEastAsia"/>
          <w:b w:val="0"/>
          <w:bCs w:val="0"/>
          <w:color w:val="auto"/>
          <w:sz w:val="21"/>
          <w:szCs w:val="21"/>
          <w:highlight w:val="none"/>
          <w:u w:val="none"/>
          <w:lang w:eastAsia="zh-CN"/>
        </w:rPr>
        <w:t>（政府采购计划编号：广西政采[2026]183号）</w:t>
      </w:r>
    </w:p>
    <w:p w14:paraId="680F93BC">
      <w:pPr>
        <w:spacing w:line="360" w:lineRule="auto"/>
        <w:ind w:firstLine="420" w:firstLineChars="200"/>
        <w:rPr>
          <w:rFonts w:hint="eastAsia" w:asciiTheme="minorEastAsia" w:hAnsiTheme="minorEastAsia" w:eastAsiaTheme="minorEastAsia" w:cstheme="minorEastAsia"/>
          <w:b w:val="0"/>
          <w:bCs w:val="0"/>
          <w:color w:val="auto"/>
          <w:sz w:val="21"/>
          <w:szCs w:val="21"/>
          <w:highlight w:val="none"/>
          <w:u w:val="none"/>
          <w:lang w:eastAsia="zh-CN"/>
        </w:rPr>
      </w:pPr>
      <w:r>
        <w:rPr>
          <w:rFonts w:hint="eastAsia" w:asciiTheme="minorEastAsia" w:hAnsiTheme="minorEastAsia" w:eastAsiaTheme="minorEastAsia" w:cstheme="minorEastAsia"/>
          <w:b w:val="0"/>
          <w:bCs w:val="0"/>
          <w:color w:val="auto"/>
          <w:sz w:val="21"/>
          <w:szCs w:val="21"/>
          <w:highlight w:val="none"/>
          <w:u w:val="none"/>
        </w:rPr>
        <w:t>项目名称：</w:t>
      </w:r>
      <w:r>
        <w:rPr>
          <w:rFonts w:hint="eastAsia" w:asciiTheme="minorEastAsia" w:hAnsiTheme="minorEastAsia" w:eastAsiaTheme="minorEastAsia" w:cstheme="minorEastAsia"/>
          <w:b w:val="0"/>
          <w:bCs w:val="0"/>
          <w:color w:val="auto"/>
          <w:sz w:val="21"/>
          <w:szCs w:val="21"/>
          <w:highlight w:val="none"/>
          <w:u w:val="none"/>
          <w:lang w:eastAsia="zh-CN"/>
        </w:rPr>
        <w:t>广西幼儿师范高等专科学校平果校区室外风雨球场建设项目</w:t>
      </w:r>
    </w:p>
    <w:p w14:paraId="366CFA72">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采购方式：竞争性磋商</w:t>
      </w:r>
    </w:p>
    <w:p w14:paraId="02B7727F">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预算金额：1609160.59元。</w:t>
      </w:r>
    </w:p>
    <w:p w14:paraId="38D9FB11">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最高限价：1609160.59元。</w:t>
      </w:r>
    </w:p>
    <w:p w14:paraId="474902CE">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采购需求：</w:t>
      </w:r>
    </w:p>
    <w:tbl>
      <w:tblPr>
        <w:tblStyle w:val="55"/>
        <w:tblW w:w="817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2"/>
        <w:gridCol w:w="1613"/>
        <w:gridCol w:w="667"/>
        <w:gridCol w:w="640"/>
        <w:gridCol w:w="4552"/>
      </w:tblGrid>
      <w:tr w14:paraId="0ABC6C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8" w:hRule="atLeast"/>
          <w:jc w:val="center"/>
        </w:trPr>
        <w:tc>
          <w:tcPr>
            <w:tcW w:w="702" w:type="dxa"/>
            <w:tcBorders>
              <w:top w:val="single" w:color="auto" w:sz="4" w:space="0"/>
              <w:left w:val="single" w:color="auto" w:sz="4" w:space="0"/>
              <w:bottom w:val="single" w:color="auto" w:sz="4" w:space="0"/>
              <w:right w:val="single" w:color="auto" w:sz="4" w:space="0"/>
            </w:tcBorders>
            <w:vAlign w:val="center"/>
          </w:tcPr>
          <w:p w14:paraId="64BDB3C3">
            <w:pPr>
              <w:snapToGrid w:val="0"/>
              <w:spacing w:line="24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序号</w:t>
            </w:r>
          </w:p>
        </w:tc>
        <w:tc>
          <w:tcPr>
            <w:tcW w:w="1613" w:type="dxa"/>
            <w:tcBorders>
              <w:top w:val="single" w:color="auto" w:sz="4" w:space="0"/>
              <w:left w:val="single" w:color="auto" w:sz="4" w:space="0"/>
              <w:bottom w:val="single" w:color="auto" w:sz="4" w:space="0"/>
              <w:right w:val="single" w:color="auto" w:sz="4" w:space="0"/>
            </w:tcBorders>
            <w:vAlign w:val="center"/>
          </w:tcPr>
          <w:p w14:paraId="7482C108">
            <w:pPr>
              <w:snapToGrid w:val="0"/>
              <w:spacing w:line="24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标的</w:t>
            </w:r>
            <w:r>
              <w:rPr>
                <w:rFonts w:hint="eastAsia" w:asciiTheme="minorEastAsia" w:hAnsiTheme="minorEastAsia" w:eastAsiaTheme="minorEastAsia" w:cstheme="minorEastAsia"/>
                <w:color w:val="auto"/>
                <w:sz w:val="21"/>
                <w:szCs w:val="21"/>
                <w:highlight w:val="none"/>
              </w:rPr>
              <w:t>名称</w:t>
            </w:r>
          </w:p>
        </w:tc>
        <w:tc>
          <w:tcPr>
            <w:tcW w:w="667" w:type="dxa"/>
            <w:tcBorders>
              <w:top w:val="single" w:color="auto" w:sz="4" w:space="0"/>
              <w:left w:val="single" w:color="auto" w:sz="4" w:space="0"/>
              <w:bottom w:val="single" w:color="auto" w:sz="4" w:space="0"/>
              <w:right w:val="single" w:color="auto" w:sz="4" w:space="0"/>
            </w:tcBorders>
            <w:vAlign w:val="center"/>
          </w:tcPr>
          <w:p w14:paraId="40E8FF9F">
            <w:pPr>
              <w:snapToGrid w:val="0"/>
              <w:spacing w:line="24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单位</w:t>
            </w:r>
          </w:p>
        </w:tc>
        <w:tc>
          <w:tcPr>
            <w:tcW w:w="640" w:type="dxa"/>
            <w:tcBorders>
              <w:top w:val="single" w:color="auto" w:sz="4" w:space="0"/>
              <w:left w:val="single" w:color="auto" w:sz="4" w:space="0"/>
              <w:bottom w:val="single" w:color="auto" w:sz="4" w:space="0"/>
              <w:right w:val="single" w:color="auto" w:sz="4" w:space="0"/>
            </w:tcBorders>
            <w:vAlign w:val="center"/>
          </w:tcPr>
          <w:p w14:paraId="621734F1">
            <w:pPr>
              <w:snapToGrid w:val="0"/>
              <w:spacing w:line="24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数量</w:t>
            </w:r>
          </w:p>
        </w:tc>
        <w:tc>
          <w:tcPr>
            <w:tcW w:w="4552" w:type="dxa"/>
            <w:tcBorders>
              <w:top w:val="single" w:color="auto" w:sz="4" w:space="0"/>
              <w:left w:val="single" w:color="auto" w:sz="4" w:space="0"/>
              <w:bottom w:val="single" w:color="auto" w:sz="4" w:space="0"/>
              <w:right w:val="single" w:color="auto" w:sz="4" w:space="0"/>
            </w:tcBorders>
            <w:vAlign w:val="center"/>
          </w:tcPr>
          <w:p w14:paraId="5A406465">
            <w:pPr>
              <w:snapToGrid w:val="0"/>
              <w:spacing w:line="24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采购范围</w:t>
            </w:r>
          </w:p>
        </w:tc>
      </w:tr>
      <w:tr w14:paraId="467CEE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55" w:hRule="atLeast"/>
          <w:jc w:val="center"/>
        </w:trPr>
        <w:tc>
          <w:tcPr>
            <w:tcW w:w="702" w:type="dxa"/>
            <w:tcBorders>
              <w:top w:val="single" w:color="auto" w:sz="4" w:space="0"/>
              <w:left w:val="single" w:color="auto" w:sz="4" w:space="0"/>
              <w:bottom w:val="single" w:color="auto" w:sz="4" w:space="0"/>
              <w:right w:val="single" w:color="auto" w:sz="4" w:space="0"/>
            </w:tcBorders>
            <w:vAlign w:val="center"/>
          </w:tcPr>
          <w:p w14:paraId="3BD3E798">
            <w:pPr>
              <w:snapToGrid w:val="0"/>
              <w:spacing w:line="24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p>
        </w:tc>
        <w:tc>
          <w:tcPr>
            <w:tcW w:w="1613" w:type="dxa"/>
            <w:tcBorders>
              <w:top w:val="single" w:color="auto" w:sz="4" w:space="0"/>
              <w:left w:val="single" w:color="auto" w:sz="4" w:space="0"/>
              <w:bottom w:val="single" w:color="auto" w:sz="4" w:space="0"/>
              <w:right w:val="single" w:color="auto" w:sz="4" w:space="0"/>
            </w:tcBorders>
            <w:vAlign w:val="center"/>
          </w:tcPr>
          <w:p w14:paraId="332B1D9F">
            <w:pPr>
              <w:snapToGrid w:val="0"/>
              <w:spacing w:line="240"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广西幼儿师范高等专科学校平果校区室外风雨球场建设项目</w:t>
            </w:r>
          </w:p>
        </w:tc>
        <w:tc>
          <w:tcPr>
            <w:tcW w:w="667" w:type="dxa"/>
            <w:tcBorders>
              <w:top w:val="single" w:color="auto" w:sz="4" w:space="0"/>
              <w:left w:val="single" w:color="auto" w:sz="4" w:space="0"/>
              <w:bottom w:val="single" w:color="auto" w:sz="4" w:space="0"/>
              <w:right w:val="single" w:color="auto" w:sz="4" w:space="0"/>
            </w:tcBorders>
            <w:vAlign w:val="center"/>
          </w:tcPr>
          <w:p w14:paraId="68F6B10E">
            <w:pPr>
              <w:snapToGrid w:val="0"/>
              <w:spacing w:line="24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p>
        </w:tc>
        <w:tc>
          <w:tcPr>
            <w:tcW w:w="640" w:type="dxa"/>
            <w:tcBorders>
              <w:top w:val="single" w:color="auto" w:sz="4" w:space="0"/>
              <w:left w:val="single" w:color="auto" w:sz="4" w:space="0"/>
              <w:bottom w:val="single" w:color="auto" w:sz="4" w:space="0"/>
              <w:right w:val="single" w:color="auto" w:sz="4" w:space="0"/>
            </w:tcBorders>
            <w:vAlign w:val="center"/>
          </w:tcPr>
          <w:p w14:paraId="4A254EDB">
            <w:pPr>
              <w:snapToGrid w:val="0"/>
              <w:spacing w:line="24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项</w:t>
            </w:r>
          </w:p>
        </w:tc>
        <w:tc>
          <w:tcPr>
            <w:tcW w:w="4552" w:type="dxa"/>
            <w:tcBorders>
              <w:top w:val="single" w:color="auto" w:sz="4" w:space="0"/>
              <w:left w:val="single" w:color="auto" w:sz="4" w:space="0"/>
              <w:bottom w:val="single" w:color="auto" w:sz="4" w:space="0"/>
              <w:right w:val="single" w:color="auto" w:sz="4" w:space="0"/>
            </w:tcBorders>
            <w:vAlign w:val="center"/>
          </w:tcPr>
          <w:p w14:paraId="07DCFAC3">
            <w:pPr>
              <w:snapToGrid w:val="0"/>
              <w:spacing w:line="24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1.主要建设内容为：拆除工程，独立基础，砼工程，硅PU地面，钢结构，压型钢板屋面等。建筑面积3100平方米。具体内容以施工图设计及工程量清单为准。</w:t>
            </w:r>
          </w:p>
          <w:p w14:paraId="05809E50">
            <w:pPr>
              <w:snapToGrid w:val="0"/>
              <w:spacing w:line="24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2.按照法律规定及合同约定组织完成工程施工，确保工程质量和安全。</w:t>
            </w:r>
          </w:p>
        </w:tc>
      </w:tr>
    </w:tbl>
    <w:p w14:paraId="2F4BE331">
      <w:pPr>
        <w:spacing w:line="360" w:lineRule="auto"/>
        <w:ind w:firstLine="420" w:firstLineChars="200"/>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合同工期履行期限：</w:t>
      </w:r>
      <w:bookmarkStart w:id="8" w:name="工期"/>
      <w:bookmarkEnd w:id="8"/>
      <w:r>
        <w:rPr>
          <w:rFonts w:hint="eastAsia" w:asciiTheme="minorEastAsia" w:hAnsiTheme="minorEastAsia" w:eastAsiaTheme="minorEastAsia" w:cstheme="minorEastAsia"/>
          <w:color w:val="auto"/>
          <w:sz w:val="21"/>
          <w:szCs w:val="21"/>
          <w:highlight w:val="none"/>
          <w:lang w:val="en-US" w:eastAsia="zh-CN"/>
        </w:rPr>
        <w:t>120日历天，以发包人书面通知为准。</w:t>
      </w:r>
    </w:p>
    <w:p w14:paraId="38EFFD9E">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本项目不接受联合体。</w:t>
      </w:r>
    </w:p>
    <w:p w14:paraId="03F1AB9D">
      <w:pPr>
        <w:spacing w:line="360" w:lineRule="auto"/>
        <w:ind w:firstLine="310" w:firstLineChars="147"/>
        <w:rPr>
          <w:rFonts w:hint="eastAsia" w:asciiTheme="minorEastAsia" w:hAnsiTheme="minorEastAsia" w:eastAsiaTheme="minorEastAsia" w:cstheme="minorEastAsia"/>
          <w:b/>
          <w:color w:val="auto"/>
          <w:sz w:val="21"/>
          <w:szCs w:val="21"/>
          <w:highlight w:val="none"/>
        </w:rPr>
      </w:pPr>
      <w:bookmarkStart w:id="9" w:name="_Toc35393799"/>
      <w:bookmarkStart w:id="10" w:name="_Toc28359013"/>
      <w:bookmarkStart w:id="11" w:name="_Toc35393630"/>
      <w:bookmarkStart w:id="12" w:name="_Toc71365906"/>
      <w:bookmarkStart w:id="13" w:name="_Toc44229879"/>
      <w:bookmarkStart w:id="14" w:name="_Toc28359090"/>
      <w:r>
        <w:rPr>
          <w:rFonts w:hint="eastAsia" w:asciiTheme="minorEastAsia" w:hAnsiTheme="minorEastAsia" w:eastAsiaTheme="minorEastAsia" w:cstheme="minorEastAsia"/>
          <w:b/>
          <w:color w:val="auto"/>
          <w:sz w:val="21"/>
          <w:szCs w:val="21"/>
          <w:highlight w:val="none"/>
        </w:rPr>
        <w:t>二、申请人的资格条件：</w:t>
      </w:r>
      <w:bookmarkEnd w:id="9"/>
      <w:bookmarkEnd w:id="10"/>
      <w:bookmarkEnd w:id="11"/>
      <w:bookmarkEnd w:id="12"/>
      <w:bookmarkEnd w:id="13"/>
      <w:bookmarkEnd w:id="14"/>
    </w:p>
    <w:p w14:paraId="08EACC3F">
      <w:pPr>
        <w:spacing w:line="360" w:lineRule="auto"/>
        <w:ind w:firstLine="420" w:firstLineChars="200"/>
        <w:rPr>
          <w:rFonts w:hint="eastAsia" w:asciiTheme="minorEastAsia" w:hAnsiTheme="minorEastAsia" w:eastAsiaTheme="minorEastAsia" w:cstheme="minorEastAsia"/>
          <w:color w:val="auto"/>
          <w:sz w:val="21"/>
          <w:szCs w:val="21"/>
          <w:highlight w:val="none"/>
        </w:rPr>
      </w:pPr>
      <w:bookmarkStart w:id="15" w:name="_Toc35393800"/>
      <w:bookmarkStart w:id="16" w:name="_Toc44229880"/>
      <w:bookmarkStart w:id="17" w:name="_Toc28359014"/>
      <w:bookmarkStart w:id="18" w:name="_Toc28359091"/>
      <w:bookmarkStart w:id="19" w:name="_Toc35393631"/>
      <w:r>
        <w:rPr>
          <w:rFonts w:hint="eastAsia" w:asciiTheme="minorEastAsia" w:hAnsiTheme="minorEastAsia" w:eastAsiaTheme="minorEastAsia" w:cstheme="minorEastAsia"/>
          <w:color w:val="auto"/>
          <w:sz w:val="21"/>
          <w:szCs w:val="21"/>
          <w:highlight w:val="none"/>
        </w:rPr>
        <w:t>1.满足《中华人民共和国政府采购法》第二十二条规定；</w:t>
      </w:r>
    </w:p>
    <w:p w14:paraId="66E8FDDB">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2.落实政府采购政策需满足的资格要求：</w:t>
      </w:r>
    </w:p>
    <w:p w14:paraId="7D93A7AA">
      <w:pPr>
        <w:spacing w:line="360" w:lineRule="auto"/>
        <w:ind w:firstLine="420" w:firstLineChars="200"/>
        <w:rPr>
          <w:rFonts w:hint="eastAsia" w:ascii="宋体" w:hAnsi="宋体"/>
          <w:strike w:val="0"/>
          <w:color w:val="auto"/>
          <w:szCs w:val="21"/>
          <w:highlight w:val="none"/>
        </w:rPr>
      </w:pPr>
      <w:r>
        <w:rPr>
          <w:rFonts w:hint="eastAsia" w:ascii="宋体" w:hAnsi="宋体"/>
          <w:strike w:val="0"/>
          <w:color w:val="auto"/>
          <w:szCs w:val="21"/>
          <w:highlight w:val="none"/>
          <w:lang w:eastAsia="zh-CN"/>
        </w:rPr>
        <w:t>☑</w:t>
      </w:r>
      <w:r>
        <w:rPr>
          <w:rFonts w:hint="eastAsia" w:ascii="宋体" w:hAnsi="宋体"/>
          <w:strike w:val="0"/>
          <w:color w:val="auto"/>
          <w:szCs w:val="21"/>
          <w:highlight w:val="none"/>
        </w:rPr>
        <w:t>专门面向中小企业采购的项目（供应商应为中小微企业、监狱企业、残疾人福利性单位</w:t>
      </w:r>
      <w:r>
        <w:rPr>
          <w:rFonts w:hint="eastAsia" w:ascii="宋体" w:hAnsi="宋体"/>
          <w:strike w:val="0"/>
          <w:color w:val="auto"/>
          <w:szCs w:val="21"/>
          <w:highlight w:val="none"/>
          <w:lang w:eastAsia="zh-CN"/>
        </w:rPr>
        <w:t>）</w:t>
      </w:r>
    </w:p>
    <w:p w14:paraId="5D030A9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非专门面向中小企业采购的项目</w:t>
      </w:r>
    </w:p>
    <w:p w14:paraId="77FF17AE">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3.本项目的特定资格要求：</w:t>
      </w:r>
    </w:p>
    <w:p w14:paraId="2C51824B">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（1）供应商具有建设行政主管部门核发的</w:t>
      </w:r>
      <w:r>
        <w:rPr>
          <w:rFonts w:hint="eastAsia" w:ascii="宋体" w:hAnsi="宋体" w:eastAsia="宋体" w:cs="宋体"/>
          <w:i w:val="0"/>
          <w:iCs w:val="0"/>
          <w:caps w:val="0"/>
          <w:color w:val="auto"/>
          <w:spacing w:val="0"/>
          <w:sz w:val="21"/>
          <w:szCs w:val="21"/>
          <w:highlight w:val="none"/>
          <w:shd w:val="clear" w:fill="FFFFFF"/>
        </w:rPr>
        <w:t>建筑工程施工总承包三级</w:t>
      </w:r>
      <w:r>
        <w:rPr>
          <w:rFonts w:hint="eastAsia" w:ascii="宋体" w:hAnsi="宋体" w:cs="宋体"/>
          <w:i w:val="0"/>
          <w:iCs w:val="0"/>
          <w:caps w:val="0"/>
          <w:color w:val="auto"/>
          <w:spacing w:val="0"/>
          <w:sz w:val="21"/>
          <w:szCs w:val="21"/>
          <w:highlight w:val="none"/>
          <w:shd w:val="clear" w:fill="FFFFFF"/>
          <w:lang w:val="en-US" w:eastAsia="zh-CN"/>
        </w:rPr>
        <w:t>（含）</w:t>
      </w:r>
      <w:r>
        <w:rPr>
          <w:rFonts w:hint="eastAsia" w:ascii="宋体" w:hAnsi="宋体" w:eastAsia="宋体" w:cs="宋体"/>
          <w:i w:val="0"/>
          <w:iCs w:val="0"/>
          <w:caps w:val="0"/>
          <w:color w:val="auto"/>
          <w:spacing w:val="0"/>
          <w:sz w:val="21"/>
          <w:szCs w:val="21"/>
          <w:highlight w:val="none"/>
          <w:shd w:val="clear" w:fill="FFFFFF"/>
        </w:rPr>
        <w:t>以上资质</w:t>
      </w:r>
      <w:r>
        <w:rPr>
          <w:rFonts w:hint="eastAsia" w:ascii="宋体" w:hAnsi="宋体" w:cs="宋体"/>
          <w:i w:val="0"/>
          <w:iCs w:val="0"/>
          <w:caps w:val="0"/>
          <w:color w:val="auto"/>
          <w:spacing w:val="0"/>
          <w:sz w:val="21"/>
          <w:szCs w:val="21"/>
          <w:highlight w:val="none"/>
          <w:shd w:val="clear" w:fill="FFFFFF"/>
          <w:lang w:val="en-US" w:eastAsia="zh-CN"/>
        </w:rPr>
        <w:t>及钢结构工程专业承包二级（含）以上资质</w:t>
      </w:r>
      <w:r>
        <w:rPr>
          <w:rFonts w:hint="eastAsia" w:asciiTheme="minorEastAsia" w:hAnsiTheme="minorEastAsia" w:eastAsiaTheme="minorEastAsia" w:cstheme="minorEastAsia"/>
          <w:color w:val="auto"/>
          <w:sz w:val="21"/>
          <w:szCs w:val="21"/>
          <w:highlight w:val="none"/>
        </w:rPr>
        <w:t>，且具有有效的安全生产许可证。</w:t>
      </w:r>
    </w:p>
    <w:p w14:paraId="72BB37A8">
      <w:pPr>
        <w:spacing w:line="360" w:lineRule="auto"/>
        <w:ind w:firstLine="420" w:firstLineChars="200"/>
        <w:rPr>
          <w:rFonts w:hint="eastAsia" w:asciiTheme="minorEastAsia" w:hAnsiTheme="minorEastAsia" w:eastAsiaTheme="minorEastAsia" w:cstheme="minorEastAsia"/>
          <w:color w:val="auto"/>
          <w:sz w:val="21"/>
          <w:szCs w:val="21"/>
          <w:highlight w:val="none"/>
        </w:rPr>
      </w:pPr>
      <w:bookmarkStart w:id="20" w:name="资格要求"/>
      <w:r>
        <w:rPr>
          <w:rFonts w:hint="eastAsia" w:asciiTheme="minorEastAsia" w:hAnsiTheme="minorEastAsia" w:eastAsiaTheme="minorEastAsia" w:cstheme="minorEastAsia"/>
          <w:color w:val="auto"/>
          <w:sz w:val="21"/>
          <w:szCs w:val="21"/>
          <w:highlight w:val="none"/>
        </w:rPr>
        <w:t>（2）供应商拟派项目经理须具有建设行政主管部门颁发的建筑工程专业二级及以上注册建造师资格，已录入“桂建云”并处于有效状态</w:t>
      </w:r>
      <w:bookmarkEnd w:id="20"/>
      <w:r>
        <w:rPr>
          <w:rFonts w:hint="eastAsia" w:asciiTheme="minorEastAsia" w:hAnsiTheme="minorEastAsia" w:eastAsiaTheme="minorEastAsia" w:cstheme="minorEastAsia"/>
          <w:color w:val="auto"/>
          <w:sz w:val="21"/>
          <w:szCs w:val="21"/>
          <w:highlight w:val="none"/>
        </w:rPr>
        <w:t>，且具备有效的安全生产考核合格证书（B类），项目经理不得存在其他在施在建项目</w:t>
      </w:r>
      <w:r>
        <w:rPr>
          <w:rFonts w:hint="eastAsia" w:asciiTheme="minorEastAsia" w:hAnsiTheme="minorEastAsia" w:eastAsiaTheme="minorEastAsia" w:cstheme="minorEastAsia"/>
          <w:color w:val="auto"/>
          <w:sz w:val="21"/>
          <w:szCs w:val="21"/>
          <w:highlight w:val="none"/>
          <w:lang w:eastAsia="zh-CN"/>
        </w:rPr>
        <w:t>，在</w:t>
      </w:r>
      <w:r>
        <w:rPr>
          <w:rFonts w:hint="eastAsia" w:asciiTheme="minorEastAsia" w:hAnsiTheme="minorEastAsia" w:eastAsiaTheme="minorEastAsia" w:cstheme="minorEastAsia"/>
          <w:color w:val="auto"/>
          <w:sz w:val="21"/>
          <w:szCs w:val="21"/>
          <w:highlight w:val="none"/>
        </w:rPr>
        <w:t>响应文件中提供承诺函。拟任项目经理为本单位员工</w:t>
      </w:r>
      <w:r>
        <w:rPr>
          <w:rFonts w:hint="eastAsia" w:asciiTheme="minorEastAsia" w:hAnsiTheme="minorEastAsia" w:eastAsiaTheme="minorEastAsia" w:cstheme="minorEastAsia"/>
          <w:color w:val="auto"/>
          <w:sz w:val="21"/>
          <w:szCs w:val="21"/>
          <w:highlight w:val="none"/>
          <w:lang w:eastAsia="zh-CN"/>
        </w:rPr>
        <w:t>，在</w:t>
      </w:r>
      <w:r>
        <w:rPr>
          <w:rFonts w:hint="eastAsia" w:asciiTheme="minorEastAsia" w:hAnsiTheme="minorEastAsia" w:eastAsiaTheme="minorEastAsia" w:cstheme="minorEastAsia"/>
          <w:color w:val="auto"/>
          <w:sz w:val="21"/>
          <w:szCs w:val="21"/>
          <w:highlight w:val="none"/>
        </w:rPr>
        <w:t>响应文件中提供社保证明。本项目不接受有在建、已中标未开工或已列为其他项目中标候选人第一名的建造师作为项目经理（符合《广西壮族自治区建筑市场诚信卡管理暂行办法》第十六条第一款及桂建管</w:t>
      </w:r>
      <w:r>
        <w:rPr>
          <w:rFonts w:hint="eastAsia" w:asciiTheme="minorEastAsia" w:hAnsiTheme="minorEastAsia" w:eastAsiaTheme="minorEastAsia" w:cstheme="minorEastAsia"/>
          <w:color w:val="auto"/>
          <w:sz w:val="21"/>
          <w:szCs w:val="21"/>
          <w:highlight w:val="none"/>
          <w:lang w:eastAsia="zh-CN"/>
        </w:rPr>
        <w:t>〔2016〕70号</w:t>
      </w:r>
      <w:r>
        <w:rPr>
          <w:rFonts w:hint="eastAsia" w:asciiTheme="minorEastAsia" w:hAnsiTheme="minorEastAsia" w:eastAsiaTheme="minorEastAsia" w:cstheme="minorEastAsia"/>
          <w:color w:val="auto"/>
          <w:sz w:val="21"/>
          <w:szCs w:val="21"/>
          <w:highlight w:val="none"/>
        </w:rPr>
        <w:t>文 除外）。</w:t>
      </w:r>
      <w:r>
        <w:rPr>
          <w:rFonts w:hint="eastAsia" w:asciiTheme="minorEastAsia" w:hAnsiTheme="minorEastAsia" w:eastAsiaTheme="minorEastAsia" w:cstheme="minorEastAsia"/>
          <w:color w:val="auto"/>
          <w:sz w:val="21"/>
          <w:szCs w:val="21"/>
          <w:highlight w:val="none"/>
        </w:rPr>
        <w:br w:type="textWrapping"/>
      </w:r>
      <w:r>
        <w:rPr>
          <w:rFonts w:hint="eastAsia" w:asciiTheme="minorEastAsia" w:hAnsiTheme="minorEastAsia" w:eastAsiaTheme="minorEastAsia" w:cstheme="minorEastAsia"/>
          <w:color w:val="auto"/>
          <w:sz w:val="21"/>
          <w:szCs w:val="21"/>
          <w:highlight w:val="none"/>
        </w:rPr>
        <w:t xml:space="preserve">    （3）供应商拟派专职安全生产管理人员要求：须具备有效的安全生产考核合格证书（C类），已录入“桂建云”并处于有效状态，人数符合住房和城乡建设部《建筑施工企业安全生产管理机构设置及专职安全生产管理人员配备办法》（建质〔2008〕91号）的规定不少于1人。</w:t>
      </w:r>
    </w:p>
    <w:p w14:paraId="3DAAEE8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4.本项目的特定条件：无。</w:t>
      </w:r>
    </w:p>
    <w:p w14:paraId="03D537B7">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739A86AE">
      <w:pPr>
        <w:spacing w:line="360" w:lineRule="auto"/>
        <w:ind w:firstLine="420" w:firstLineChars="200"/>
        <w:rPr>
          <w:rFonts w:hint="eastAsia"/>
          <w:color w:val="auto"/>
          <w:highlight w:val="none"/>
        </w:rPr>
      </w:pPr>
      <w:r>
        <w:rPr>
          <w:rFonts w:hint="eastAsia" w:ascii="宋体" w:hAnsi="宋体"/>
          <w:color w:val="auto"/>
          <w:szCs w:val="21"/>
          <w:highlight w:val="none"/>
        </w:rPr>
        <w:t>6.对在“信用中国”网站</w:t>
      </w:r>
      <w:r>
        <w:rPr>
          <w:rFonts w:hint="eastAsia" w:ascii="宋体" w:hAnsi="宋体"/>
          <w:color w:val="auto"/>
          <w:szCs w:val="21"/>
          <w:highlight w:val="none"/>
          <w:lang w:eastAsia="zh-CN"/>
        </w:rPr>
        <w:t>（</w:t>
      </w:r>
      <w:r>
        <w:rPr>
          <w:rFonts w:hint="eastAsia" w:ascii="宋体" w:hAnsi="宋体"/>
          <w:color w:val="auto"/>
          <w:szCs w:val="21"/>
          <w:highlight w:val="none"/>
        </w:rPr>
        <w:t>www.creditchina.gov.cn</w:t>
      </w:r>
      <w:r>
        <w:rPr>
          <w:rFonts w:hint="eastAsia" w:ascii="宋体" w:hAnsi="宋体"/>
          <w:color w:val="auto"/>
          <w:szCs w:val="21"/>
          <w:highlight w:val="none"/>
          <w:lang w:eastAsia="zh-CN"/>
        </w:rPr>
        <w:t>）</w:t>
      </w:r>
      <w:r>
        <w:rPr>
          <w:rFonts w:hint="eastAsia" w:ascii="宋体" w:hAnsi="宋体"/>
          <w:color w:val="auto"/>
          <w:szCs w:val="21"/>
          <w:highlight w:val="none"/>
        </w:rPr>
        <w:t xml:space="preserve"> 、中国政府采购网</w:t>
      </w:r>
      <w:r>
        <w:rPr>
          <w:rFonts w:hint="eastAsia" w:ascii="宋体" w:hAnsi="宋体"/>
          <w:color w:val="auto"/>
          <w:szCs w:val="21"/>
          <w:highlight w:val="none"/>
          <w:lang w:eastAsia="zh-CN"/>
        </w:rPr>
        <w:t>（</w:t>
      </w:r>
      <w:r>
        <w:rPr>
          <w:rFonts w:hint="eastAsia" w:ascii="宋体" w:hAnsi="宋体"/>
          <w:color w:val="auto"/>
          <w:szCs w:val="21"/>
          <w:highlight w:val="none"/>
        </w:rPr>
        <w:t>www.ccgp.gov.cn</w:t>
      </w:r>
      <w:r>
        <w:rPr>
          <w:rFonts w:hint="eastAsia" w:ascii="宋体" w:hAnsi="宋体"/>
          <w:color w:val="auto"/>
          <w:szCs w:val="21"/>
          <w:highlight w:val="none"/>
          <w:lang w:eastAsia="zh-CN"/>
        </w:rPr>
        <w:t>）</w:t>
      </w:r>
      <w:r>
        <w:rPr>
          <w:rFonts w:hint="eastAsia" w:ascii="宋体" w:hAnsi="宋体"/>
          <w:color w:val="auto"/>
          <w:szCs w:val="21"/>
          <w:highlight w:val="none"/>
        </w:rPr>
        <w:t>被列入失信被执行人、重大税收违法失信主体、政府采购严重违法失信行为记录名单及其他不符合《中华人民共和国政府采购法》第二十二条规定条件的供应商，不得参与政府采购活动。</w:t>
      </w:r>
    </w:p>
    <w:p w14:paraId="296DBD7B">
      <w:pPr>
        <w:spacing w:line="360" w:lineRule="auto"/>
        <w:ind w:firstLine="310" w:firstLineChars="147"/>
        <w:rPr>
          <w:rFonts w:hint="eastAsia" w:asciiTheme="minorEastAsia" w:hAnsiTheme="minorEastAsia" w:eastAsiaTheme="minorEastAsia" w:cstheme="minorEastAsia"/>
          <w:b/>
          <w:color w:val="auto"/>
          <w:sz w:val="21"/>
          <w:szCs w:val="21"/>
          <w:highlight w:val="none"/>
        </w:rPr>
      </w:pPr>
      <w:bookmarkStart w:id="21" w:name="_Toc71365907"/>
      <w:r>
        <w:rPr>
          <w:rFonts w:hint="eastAsia" w:asciiTheme="minorEastAsia" w:hAnsiTheme="minorEastAsia" w:eastAsiaTheme="minorEastAsia" w:cstheme="minorEastAsia"/>
          <w:b/>
          <w:color w:val="auto"/>
          <w:sz w:val="21"/>
          <w:szCs w:val="21"/>
          <w:highlight w:val="none"/>
        </w:rPr>
        <w:t>三、获取竞争性磋商文件</w:t>
      </w:r>
      <w:bookmarkEnd w:id="15"/>
      <w:bookmarkEnd w:id="16"/>
      <w:bookmarkEnd w:id="17"/>
      <w:bookmarkEnd w:id="18"/>
      <w:bookmarkEnd w:id="19"/>
      <w:bookmarkEnd w:id="21"/>
    </w:p>
    <w:p w14:paraId="4FFF6BC8">
      <w:pPr>
        <w:spacing w:line="360" w:lineRule="auto"/>
        <w:ind w:firstLine="420" w:firstLineChars="200"/>
        <w:rPr>
          <w:rFonts w:hint="eastAsia" w:asciiTheme="minorEastAsia" w:hAnsiTheme="minorEastAsia" w:eastAsiaTheme="minorEastAsia" w:cstheme="minorEastAsia"/>
          <w:bCs/>
          <w:color w:val="auto"/>
          <w:kern w:val="0"/>
          <w:sz w:val="21"/>
          <w:szCs w:val="21"/>
          <w:highlight w:val="none"/>
        </w:rPr>
      </w:pPr>
      <w:bookmarkStart w:id="22" w:name="_Toc44229881"/>
      <w:bookmarkStart w:id="23" w:name="_Toc28359092"/>
      <w:bookmarkStart w:id="24" w:name="_Toc35393632"/>
      <w:bookmarkStart w:id="25" w:name="_Toc35393801"/>
      <w:bookmarkStart w:id="26" w:name="_Toc28359015"/>
      <w:r>
        <w:rPr>
          <w:rFonts w:hint="eastAsia" w:asciiTheme="minorEastAsia" w:hAnsiTheme="minorEastAsia" w:eastAsiaTheme="minorEastAsia" w:cstheme="minorEastAsia"/>
          <w:bCs/>
          <w:color w:val="auto"/>
          <w:kern w:val="0"/>
          <w:sz w:val="21"/>
          <w:szCs w:val="21"/>
          <w:highlight w:val="none"/>
        </w:rPr>
        <w:t>时间：</w:t>
      </w:r>
      <w:r>
        <w:rPr>
          <w:rFonts w:hint="eastAsia" w:ascii="宋体" w:hAnsi="宋体"/>
          <w:bCs/>
          <w:color w:val="auto"/>
          <w:szCs w:val="21"/>
          <w:highlight w:val="none"/>
          <w:u w:val="none"/>
        </w:rPr>
        <w:t>自公告发布之日</w:t>
      </w:r>
      <w:r>
        <w:rPr>
          <w:rFonts w:hint="eastAsia" w:ascii="宋体" w:hAnsi="宋体" w:cs="宋体"/>
          <w:bCs/>
          <w:color w:val="auto"/>
          <w:kern w:val="0"/>
          <w:szCs w:val="21"/>
          <w:highlight w:val="none"/>
        </w:rPr>
        <w:t>至</w:t>
      </w:r>
      <w:r>
        <w:rPr>
          <w:rFonts w:hint="eastAsia" w:ascii="宋体" w:hAnsi="宋体"/>
          <w:bCs/>
          <w:color w:val="auto"/>
          <w:szCs w:val="21"/>
          <w:highlight w:val="none"/>
          <w:u w:val="single"/>
        </w:rPr>
        <w:t>202</w:t>
      </w:r>
      <w:r>
        <w:rPr>
          <w:rFonts w:hint="eastAsia" w:ascii="宋体" w:hAnsi="宋体"/>
          <w:bCs/>
          <w:color w:val="auto"/>
          <w:szCs w:val="21"/>
          <w:highlight w:val="none"/>
          <w:u w:val="single"/>
          <w:lang w:val="en-US" w:eastAsia="zh-CN"/>
        </w:rPr>
        <w:t>6</w:t>
      </w:r>
      <w:r>
        <w:rPr>
          <w:rFonts w:hint="eastAsia" w:ascii="宋体" w:hAnsi="宋体"/>
          <w:bCs/>
          <w:color w:val="auto"/>
          <w:szCs w:val="21"/>
          <w:highlight w:val="none"/>
          <w:u w:val="single"/>
        </w:rPr>
        <w:t>年</w:t>
      </w:r>
      <w:r>
        <w:rPr>
          <w:rFonts w:hint="eastAsia" w:ascii="宋体" w:hAnsi="宋体"/>
          <w:bCs/>
          <w:color w:val="auto"/>
          <w:szCs w:val="21"/>
          <w:highlight w:val="none"/>
          <w:u w:val="single"/>
          <w:lang w:val="en-US" w:eastAsia="zh-CN"/>
        </w:rPr>
        <w:t>2</w:t>
      </w:r>
      <w:r>
        <w:rPr>
          <w:rFonts w:hint="eastAsia" w:ascii="宋体" w:hAnsi="宋体"/>
          <w:bCs/>
          <w:color w:val="auto"/>
          <w:szCs w:val="21"/>
          <w:highlight w:val="none"/>
          <w:u w:val="single"/>
        </w:rPr>
        <w:t>月</w:t>
      </w:r>
      <w:r>
        <w:rPr>
          <w:rFonts w:hint="eastAsia" w:ascii="宋体" w:hAnsi="宋体"/>
          <w:bCs/>
          <w:color w:val="auto"/>
          <w:szCs w:val="21"/>
          <w:highlight w:val="none"/>
          <w:u w:val="single"/>
          <w:lang w:val="en-US" w:eastAsia="zh-CN"/>
        </w:rPr>
        <w:t>2</w:t>
      </w:r>
      <w:r>
        <w:rPr>
          <w:rFonts w:hint="eastAsia" w:ascii="宋体" w:hAnsi="宋体"/>
          <w:bCs/>
          <w:color w:val="auto"/>
          <w:szCs w:val="21"/>
          <w:highlight w:val="none"/>
          <w:u w:val="single"/>
        </w:rPr>
        <w:t>日</w:t>
      </w:r>
      <w:r>
        <w:rPr>
          <w:rFonts w:hint="eastAsia" w:asciiTheme="minorEastAsia" w:hAnsiTheme="minorEastAsia" w:eastAsiaTheme="minorEastAsia" w:cstheme="minorEastAsia"/>
          <w:bCs/>
          <w:color w:val="auto"/>
          <w:kern w:val="0"/>
          <w:sz w:val="21"/>
          <w:szCs w:val="21"/>
          <w:highlight w:val="none"/>
        </w:rPr>
        <w:t>，每天上午</w:t>
      </w:r>
      <w:r>
        <w:rPr>
          <w:rFonts w:hint="eastAsia" w:asciiTheme="minorEastAsia" w:hAnsiTheme="minorEastAsia" w:eastAsiaTheme="minorEastAsia" w:cstheme="minorEastAsia"/>
          <w:bCs/>
          <w:color w:val="auto"/>
          <w:kern w:val="0"/>
          <w:sz w:val="21"/>
          <w:szCs w:val="21"/>
          <w:highlight w:val="none"/>
          <w:u w:val="single"/>
        </w:rPr>
        <w:t>0时00分</w:t>
      </w:r>
      <w:r>
        <w:rPr>
          <w:rFonts w:hint="eastAsia" w:asciiTheme="minorEastAsia" w:hAnsiTheme="minorEastAsia" w:eastAsiaTheme="minorEastAsia" w:cstheme="minorEastAsia"/>
          <w:bCs/>
          <w:color w:val="auto"/>
          <w:kern w:val="0"/>
          <w:sz w:val="21"/>
          <w:szCs w:val="21"/>
          <w:highlight w:val="none"/>
        </w:rPr>
        <w:t>至</w:t>
      </w:r>
      <w:r>
        <w:rPr>
          <w:rFonts w:hint="eastAsia" w:asciiTheme="minorEastAsia" w:hAnsiTheme="minorEastAsia" w:eastAsiaTheme="minorEastAsia" w:cstheme="minorEastAsia"/>
          <w:bCs/>
          <w:color w:val="auto"/>
          <w:kern w:val="0"/>
          <w:sz w:val="21"/>
          <w:szCs w:val="21"/>
          <w:highlight w:val="none"/>
          <w:u w:val="single"/>
        </w:rPr>
        <w:t>12时00分</w:t>
      </w:r>
      <w:r>
        <w:rPr>
          <w:rFonts w:hint="eastAsia" w:asciiTheme="minorEastAsia" w:hAnsiTheme="minorEastAsia" w:eastAsiaTheme="minorEastAsia" w:cstheme="minorEastAsia"/>
          <w:bCs/>
          <w:color w:val="auto"/>
          <w:kern w:val="0"/>
          <w:sz w:val="21"/>
          <w:szCs w:val="21"/>
          <w:highlight w:val="none"/>
        </w:rPr>
        <w:t>，下午</w:t>
      </w:r>
      <w:r>
        <w:rPr>
          <w:rFonts w:hint="eastAsia" w:asciiTheme="minorEastAsia" w:hAnsiTheme="minorEastAsia" w:eastAsiaTheme="minorEastAsia" w:cstheme="minorEastAsia"/>
          <w:bCs/>
          <w:color w:val="auto"/>
          <w:kern w:val="0"/>
          <w:sz w:val="21"/>
          <w:szCs w:val="21"/>
          <w:highlight w:val="none"/>
          <w:u w:val="single"/>
        </w:rPr>
        <w:t>12时00分</w:t>
      </w:r>
      <w:r>
        <w:rPr>
          <w:rFonts w:hint="eastAsia" w:asciiTheme="minorEastAsia" w:hAnsiTheme="minorEastAsia" w:eastAsiaTheme="minorEastAsia" w:cstheme="minorEastAsia"/>
          <w:bCs/>
          <w:color w:val="auto"/>
          <w:kern w:val="0"/>
          <w:sz w:val="21"/>
          <w:szCs w:val="21"/>
          <w:highlight w:val="none"/>
        </w:rPr>
        <w:t>至</w:t>
      </w:r>
      <w:r>
        <w:rPr>
          <w:rFonts w:hint="eastAsia" w:asciiTheme="minorEastAsia" w:hAnsiTheme="minorEastAsia" w:eastAsiaTheme="minorEastAsia" w:cstheme="minorEastAsia"/>
          <w:bCs/>
          <w:color w:val="auto"/>
          <w:kern w:val="0"/>
          <w:sz w:val="21"/>
          <w:szCs w:val="21"/>
          <w:highlight w:val="none"/>
          <w:u w:val="single"/>
        </w:rPr>
        <w:t>23时59分</w:t>
      </w:r>
      <w:r>
        <w:rPr>
          <w:rFonts w:hint="eastAsia" w:asciiTheme="minorEastAsia" w:hAnsiTheme="minorEastAsia" w:eastAsiaTheme="minorEastAsia" w:cstheme="minorEastAsia"/>
          <w:bCs/>
          <w:color w:val="auto"/>
          <w:kern w:val="0"/>
          <w:sz w:val="21"/>
          <w:szCs w:val="21"/>
          <w:highlight w:val="none"/>
        </w:rPr>
        <w:t>（北京时间，法定节假日除外）</w:t>
      </w:r>
    </w:p>
    <w:p w14:paraId="777A26B6">
      <w:pPr>
        <w:spacing w:line="360" w:lineRule="auto"/>
        <w:ind w:firstLine="420" w:firstLineChars="200"/>
        <w:rPr>
          <w:rFonts w:hint="eastAsia" w:asciiTheme="minorEastAsia" w:hAnsiTheme="minorEastAsia" w:eastAsiaTheme="minorEastAsia" w:cstheme="minorEastAsia"/>
          <w:bCs/>
          <w:color w:val="auto"/>
          <w:kern w:val="0"/>
          <w:sz w:val="21"/>
          <w:szCs w:val="21"/>
          <w:highlight w:val="none"/>
        </w:rPr>
      </w:pPr>
      <w:r>
        <w:rPr>
          <w:rFonts w:hint="eastAsia" w:asciiTheme="minorEastAsia" w:hAnsiTheme="minorEastAsia" w:eastAsiaTheme="minorEastAsia" w:cstheme="minorEastAsia"/>
          <w:bCs/>
          <w:color w:val="auto"/>
          <w:kern w:val="0"/>
          <w:sz w:val="21"/>
          <w:szCs w:val="21"/>
          <w:highlight w:val="none"/>
        </w:rPr>
        <w:t xml:space="preserve">地点：广西政府采购云平台（https://www.gcy.zfcg.gxzf.gov.cn/）  </w:t>
      </w:r>
    </w:p>
    <w:p w14:paraId="56174FFA">
      <w:pPr>
        <w:spacing w:line="360" w:lineRule="auto"/>
        <w:ind w:firstLine="420" w:firstLineChars="200"/>
        <w:rPr>
          <w:rFonts w:hint="eastAsia" w:asciiTheme="minorEastAsia" w:hAnsiTheme="minorEastAsia" w:eastAsiaTheme="minorEastAsia" w:cstheme="minorEastAsia"/>
          <w:bCs/>
          <w:color w:val="auto"/>
          <w:kern w:val="0"/>
          <w:sz w:val="21"/>
          <w:szCs w:val="21"/>
          <w:highlight w:val="none"/>
        </w:rPr>
      </w:pPr>
      <w:r>
        <w:rPr>
          <w:rFonts w:hint="eastAsia" w:asciiTheme="minorEastAsia" w:hAnsiTheme="minorEastAsia" w:eastAsiaTheme="minorEastAsia" w:cstheme="minorEastAsia"/>
          <w:bCs/>
          <w:color w:val="auto"/>
          <w:kern w:val="0"/>
          <w:sz w:val="21"/>
          <w:szCs w:val="21"/>
          <w:highlight w:val="none"/>
        </w:rPr>
        <w:t xml:space="preserve">方式：网上下载。本项目不提供纸质文件，潜在供应商需使用账号登录或者使用CA登录广西政府采购云平台（https://www.gcy.zfcg.gxzf.gov.cn/）  </w:t>
      </w:r>
      <w:r>
        <w:rPr>
          <w:rFonts w:hint="eastAsia" w:asciiTheme="minorEastAsia" w:hAnsiTheme="minorEastAsia" w:eastAsiaTheme="minorEastAsia" w:cstheme="minorEastAsia"/>
          <w:bCs/>
          <w:color w:val="auto"/>
          <w:kern w:val="0"/>
          <w:sz w:val="21"/>
          <w:szCs w:val="21"/>
          <w:highlight w:val="none"/>
          <w:lang w:eastAsia="zh-CN"/>
        </w:rPr>
        <w:t>－</w:t>
      </w:r>
      <w:r>
        <w:rPr>
          <w:rFonts w:hint="eastAsia" w:asciiTheme="minorEastAsia" w:hAnsiTheme="minorEastAsia" w:eastAsiaTheme="minorEastAsia" w:cstheme="minorEastAsia"/>
          <w:bCs/>
          <w:color w:val="auto"/>
          <w:kern w:val="0"/>
          <w:sz w:val="21"/>
          <w:szCs w:val="21"/>
          <w:highlight w:val="none"/>
        </w:rPr>
        <w:t>进入“项目采购”应用，在获取采购文件菜单中选择项目，获取竞争性磋商文件。</w:t>
      </w:r>
      <w:r>
        <w:rPr>
          <w:rFonts w:hint="eastAsia" w:asciiTheme="minorEastAsia" w:hAnsiTheme="minorEastAsia" w:eastAsiaTheme="minorEastAsia" w:cstheme="minorEastAsia"/>
          <w:color w:val="auto"/>
          <w:sz w:val="21"/>
          <w:szCs w:val="21"/>
          <w:highlight w:val="none"/>
        </w:rPr>
        <w:t>电子响应文件制作需要基于广西政府采购云平台获取的磋商文件编制，</w:t>
      </w:r>
      <w:r>
        <w:rPr>
          <w:rFonts w:hint="eastAsia" w:asciiTheme="minorEastAsia" w:hAnsiTheme="minorEastAsia" w:eastAsiaTheme="minorEastAsia" w:cstheme="minorEastAsia"/>
          <w:bCs/>
          <w:color w:val="auto"/>
          <w:kern w:val="0"/>
          <w:sz w:val="21"/>
          <w:szCs w:val="21"/>
          <w:highlight w:val="none"/>
        </w:rPr>
        <w:t>通过其他方式获取磋商文件的，将有可能导致供应商无法在广西政府采购云平台编制及上传响应文件。</w:t>
      </w:r>
    </w:p>
    <w:p w14:paraId="62BA694D">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kern w:val="0"/>
          <w:sz w:val="21"/>
          <w:szCs w:val="21"/>
          <w:highlight w:val="none"/>
        </w:rPr>
        <w:t>售价：</w:t>
      </w:r>
      <w:r>
        <w:rPr>
          <w:rFonts w:hint="eastAsia" w:asciiTheme="minorEastAsia" w:hAnsiTheme="minorEastAsia" w:eastAsiaTheme="minorEastAsia" w:cstheme="minorEastAsia"/>
          <w:color w:val="auto"/>
          <w:sz w:val="21"/>
          <w:szCs w:val="21"/>
          <w:highlight w:val="none"/>
          <w:u w:val="single"/>
        </w:rPr>
        <w:t>0</w:t>
      </w:r>
      <w:r>
        <w:rPr>
          <w:rFonts w:hint="eastAsia" w:asciiTheme="minorEastAsia" w:hAnsiTheme="minorEastAsia" w:eastAsiaTheme="minorEastAsia" w:cstheme="minorEastAsia"/>
          <w:color w:val="auto"/>
          <w:sz w:val="21"/>
          <w:szCs w:val="21"/>
          <w:highlight w:val="none"/>
        </w:rPr>
        <w:t>元</w:t>
      </w:r>
    </w:p>
    <w:p w14:paraId="4ED64117">
      <w:pPr>
        <w:spacing w:line="360" w:lineRule="auto"/>
        <w:ind w:firstLine="310" w:firstLineChars="147"/>
        <w:rPr>
          <w:rFonts w:hint="eastAsia" w:asciiTheme="minorEastAsia" w:hAnsiTheme="minorEastAsia" w:eastAsiaTheme="minorEastAsia" w:cstheme="minorEastAsia"/>
          <w:b/>
          <w:color w:val="auto"/>
          <w:sz w:val="21"/>
          <w:szCs w:val="21"/>
          <w:highlight w:val="none"/>
        </w:rPr>
      </w:pPr>
      <w:bookmarkStart w:id="27" w:name="_Toc71365908"/>
      <w:r>
        <w:rPr>
          <w:rFonts w:hint="eastAsia" w:asciiTheme="minorEastAsia" w:hAnsiTheme="minorEastAsia" w:eastAsiaTheme="minorEastAsia" w:cstheme="minorEastAsia"/>
          <w:b/>
          <w:color w:val="auto"/>
          <w:sz w:val="21"/>
          <w:szCs w:val="21"/>
          <w:highlight w:val="none"/>
        </w:rPr>
        <w:t>四、响应文件提交</w:t>
      </w:r>
      <w:bookmarkEnd w:id="22"/>
      <w:bookmarkEnd w:id="23"/>
      <w:bookmarkEnd w:id="24"/>
      <w:bookmarkEnd w:id="25"/>
      <w:bookmarkEnd w:id="26"/>
      <w:bookmarkEnd w:id="27"/>
    </w:p>
    <w:p w14:paraId="68010225">
      <w:pPr>
        <w:spacing w:line="360" w:lineRule="auto"/>
        <w:ind w:firstLine="420" w:firstLineChars="200"/>
        <w:rPr>
          <w:rFonts w:hint="eastAsia" w:asciiTheme="minorEastAsia" w:hAnsiTheme="minorEastAsia" w:eastAsiaTheme="minorEastAsia" w:cstheme="minorEastAsia"/>
          <w:bCs/>
          <w:color w:val="auto"/>
          <w:sz w:val="21"/>
          <w:szCs w:val="21"/>
          <w:highlight w:val="none"/>
        </w:rPr>
      </w:pPr>
      <w:bookmarkStart w:id="28" w:name="_Toc28359093"/>
      <w:bookmarkStart w:id="29" w:name="_Toc35393633"/>
      <w:bookmarkStart w:id="30" w:name="_Toc35393802"/>
      <w:bookmarkStart w:id="31" w:name="_Toc44229882"/>
      <w:bookmarkStart w:id="32" w:name="_Toc28359016"/>
      <w:r>
        <w:rPr>
          <w:rFonts w:hint="eastAsia" w:asciiTheme="minorEastAsia" w:hAnsiTheme="minorEastAsia" w:eastAsiaTheme="minorEastAsia" w:cstheme="minorEastAsia"/>
          <w:color w:val="auto"/>
          <w:sz w:val="21"/>
          <w:szCs w:val="21"/>
          <w:highlight w:val="none"/>
        </w:rPr>
        <w:t>截止时间：</w:t>
      </w:r>
      <w:r>
        <w:rPr>
          <w:rFonts w:hint="eastAsia" w:ascii="宋体" w:hAnsi="宋体"/>
          <w:bCs/>
          <w:color w:val="auto"/>
          <w:szCs w:val="21"/>
          <w:highlight w:val="none"/>
          <w:u w:val="single"/>
        </w:rPr>
        <w:t>202</w:t>
      </w:r>
      <w:r>
        <w:rPr>
          <w:rFonts w:hint="eastAsia" w:ascii="宋体" w:hAnsi="宋体"/>
          <w:bCs/>
          <w:color w:val="auto"/>
          <w:szCs w:val="21"/>
          <w:highlight w:val="none"/>
          <w:u w:val="single"/>
          <w:lang w:val="en-US" w:eastAsia="zh-CN"/>
        </w:rPr>
        <w:t>6</w:t>
      </w:r>
      <w:r>
        <w:rPr>
          <w:rFonts w:hint="eastAsia" w:ascii="宋体" w:hAnsi="宋体"/>
          <w:bCs/>
          <w:color w:val="auto"/>
          <w:szCs w:val="21"/>
          <w:highlight w:val="none"/>
          <w:u w:val="single"/>
        </w:rPr>
        <w:t>年</w:t>
      </w:r>
      <w:r>
        <w:rPr>
          <w:rFonts w:hint="eastAsia" w:ascii="宋体" w:hAnsi="宋体"/>
          <w:bCs/>
          <w:color w:val="auto"/>
          <w:szCs w:val="21"/>
          <w:highlight w:val="none"/>
          <w:u w:val="single"/>
          <w:lang w:val="en-US" w:eastAsia="zh-CN"/>
        </w:rPr>
        <w:t>2</w:t>
      </w:r>
      <w:r>
        <w:rPr>
          <w:rFonts w:hint="eastAsia" w:ascii="宋体" w:hAnsi="宋体"/>
          <w:bCs/>
          <w:color w:val="auto"/>
          <w:szCs w:val="21"/>
          <w:highlight w:val="none"/>
          <w:u w:val="single"/>
        </w:rPr>
        <w:t>月</w:t>
      </w:r>
      <w:r>
        <w:rPr>
          <w:rFonts w:hint="eastAsia" w:ascii="宋体" w:hAnsi="宋体"/>
          <w:bCs/>
          <w:color w:val="auto"/>
          <w:szCs w:val="21"/>
          <w:highlight w:val="none"/>
          <w:u w:val="single"/>
          <w:lang w:val="en-US" w:eastAsia="zh-CN"/>
        </w:rPr>
        <w:t>6</w:t>
      </w:r>
      <w:r>
        <w:rPr>
          <w:rFonts w:hint="eastAsia" w:ascii="宋体" w:hAnsi="宋体"/>
          <w:bCs/>
          <w:color w:val="auto"/>
          <w:szCs w:val="21"/>
          <w:highlight w:val="none"/>
          <w:u w:val="single"/>
        </w:rPr>
        <w:t>日</w:t>
      </w:r>
      <w:r>
        <w:rPr>
          <w:rFonts w:hint="eastAsia" w:asciiTheme="minorEastAsia" w:hAnsiTheme="minorEastAsia" w:eastAsiaTheme="minorEastAsia" w:cstheme="minorEastAsia"/>
          <w:bCs/>
          <w:color w:val="auto"/>
          <w:sz w:val="21"/>
          <w:szCs w:val="21"/>
          <w:highlight w:val="none"/>
          <w:u w:val="single"/>
        </w:rPr>
        <w:t>9</w:t>
      </w:r>
      <w:r>
        <w:rPr>
          <w:rFonts w:hint="eastAsia" w:asciiTheme="minorEastAsia" w:hAnsiTheme="minorEastAsia" w:eastAsiaTheme="minorEastAsia" w:cstheme="minorEastAsia"/>
          <w:bCs/>
          <w:color w:val="auto"/>
          <w:sz w:val="21"/>
          <w:szCs w:val="21"/>
          <w:highlight w:val="none"/>
        </w:rPr>
        <w:t>时</w:t>
      </w:r>
      <w:r>
        <w:rPr>
          <w:rFonts w:hint="eastAsia" w:asciiTheme="minorEastAsia" w:hAnsiTheme="minorEastAsia" w:eastAsiaTheme="minorEastAsia" w:cstheme="minorEastAsia"/>
          <w:bCs/>
          <w:color w:val="auto"/>
          <w:sz w:val="21"/>
          <w:szCs w:val="21"/>
          <w:highlight w:val="none"/>
          <w:u w:val="single"/>
        </w:rPr>
        <w:t>30</w:t>
      </w:r>
      <w:r>
        <w:rPr>
          <w:rFonts w:hint="eastAsia" w:asciiTheme="minorEastAsia" w:hAnsiTheme="minorEastAsia" w:eastAsiaTheme="minorEastAsia" w:cstheme="minorEastAsia"/>
          <w:bCs/>
          <w:color w:val="auto"/>
          <w:sz w:val="21"/>
          <w:szCs w:val="21"/>
          <w:highlight w:val="none"/>
        </w:rPr>
        <w:t>分（北京时间）</w:t>
      </w:r>
    </w:p>
    <w:p w14:paraId="192D4912">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地点：广西政府采购云平台（https://www.gcy.zfcg.gxzf.gov.cn/）  </w:t>
      </w:r>
    </w:p>
    <w:p w14:paraId="06B890AA">
      <w:pPr>
        <w:spacing w:line="360" w:lineRule="auto"/>
        <w:ind w:firstLine="310" w:firstLineChars="147"/>
        <w:rPr>
          <w:rFonts w:hint="eastAsia" w:asciiTheme="minorEastAsia" w:hAnsiTheme="minorEastAsia" w:eastAsiaTheme="minorEastAsia" w:cstheme="minorEastAsia"/>
          <w:b/>
          <w:color w:val="auto"/>
          <w:sz w:val="21"/>
          <w:szCs w:val="21"/>
          <w:highlight w:val="none"/>
        </w:rPr>
      </w:pPr>
      <w:bookmarkStart w:id="33" w:name="_Toc71365909"/>
      <w:r>
        <w:rPr>
          <w:rFonts w:hint="eastAsia" w:asciiTheme="minorEastAsia" w:hAnsiTheme="minorEastAsia" w:eastAsiaTheme="minorEastAsia" w:cstheme="minorEastAsia"/>
          <w:b/>
          <w:color w:val="auto"/>
          <w:sz w:val="21"/>
          <w:szCs w:val="21"/>
          <w:highlight w:val="none"/>
        </w:rPr>
        <w:t>五、开启</w:t>
      </w:r>
      <w:bookmarkEnd w:id="28"/>
      <w:bookmarkEnd w:id="29"/>
      <w:bookmarkEnd w:id="30"/>
      <w:bookmarkEnd w:id="31"/>
      <w:bookmarkEnd w:id="32"/>
      <w:bookmarkEnd w:id="33"/>
    </w:p>
    <w:p w14:paraId="118E8763">
      <w:pPr>
        <w:spacing w:line="360" w:lineRule="auto"/>
        <w:ind w:firstLine="420" w:firstLineChars="200"/>
        <w:rPr>
          <w:rFonts w:hint="eastAsia" w:asciiTheme="minorEastAsia" w:hAnsiTheme="minorEastAsia" w:eastAsiaTheme="minorEastAsia" w:cstheme="minorEastAsia"/>
          <w:bCs/>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1.时间：</w:t>
      </w:r>
      <w:r>
        <w:rPr>
          <w:rFonts w:hint="eastAsia" w:ascii="宋体" w:hAnsi="宋体"/>
          <w:bCs/>
          <w:color w:val="auto"/>
          <w:szCs w:val="21"/>
          <w:highlight w:val="none"/>
          <w:u w:val="single"/>
        </w:rPr>
        <w:t>202</w:t>
      </w:r>
      <w:r>
        <w:rPr>
          <w:rFonts w:hint="eastAsia" w:ascii="宋体" w:hAnsi="宋体"/>
          <w:bCs/>
          <w:color w:val="auto"/>
          <w:szCs w:val="21"/>
          <w:highlight w:val="none"/>
          <w:u w:val="single"/>
          <w:lang w:val="en-US" w:eastAsia="zh-CN"/>
        </w:rPr>
        <w:t>6</w:t>
      </w:r>
      <w:r>
        <w:rPr>
          <w:rFonts w:hint="eastAsia" w:ascii="宋体" w:hAnsi="宋体"/>
          <w:bCs/>
          <w:color w:val="auto"/>
          <w:szCs w:val="21"/>
          <w:highlight w:val="none"/>
          <w:u w:val="single"/>
        </w:rPr>
        <w:t>年</w:t>
      </w:r>
      <w:r>
        <w:rPr>
          <w:rFonts w:hint="eastAsia" w:ascii="宋体" w:hAnsi="宋体"/>
          <w:bCs/>
          <w:color w:val="auto"/>
          <w:szCs w:val="21"/>
          <w:highlight w:val="none"/>
          <w:u w:val="single"/>
          <w:lang w:val="en-US" w:eastAsia="zh-CN"/>
        </w:rPr>
        <w:t>2</w:t>
      </w:r>
      <w:r>
        <w:rPr>
          <w:rFonts w:hint="eastAsia" w:ascii="宋体" w:hAnsi="宋体"/>
          <w:bCs/>
          <w:color w:val="auto"/>
          <w:szCs w:val="21"/>
          <w:highlight w:val="none"/>
          <w:u w:val="single"/>
        </w:rPr>
        <w:t>月</w:t>
      </w:r>
      <w:r>
        <w:rPr>
          <w:rFonts w:hint="eastAsia" w:ascii="宋体" w:hAnsi="宋体"/>
          <w:bCs/>
          <w:color w:val="auto"/>
          <w:szCs w:val="21"/>
          <w:highlight w:val="none"/>
          <w:u w:val="single"/>
          <w:lang w:val="en-US" w:eastAsia="zh-CN"/>
        </w:rPr>
        <w:t>6</w:t>
      </w:r>
      <w:r>
        <w:rPr>
          <w:rFonts w:hint="eastAsia" w:ascii="宋体" w:hAnsi="宋体"/>
          <w:bCs/>
          <w:color w:val="auto"/>
          <w:szCs w:val="21"/>
          <w:highlight w:val="none"/>
          <w:u w:val="single"/>
        </w:rPr>
        <w:t>日</w:t>
      </w:r>
      <w:r>
        <w:rPr>
          <w:rFonts w:hint="eastAsia" w:asciiTheme="minorEastAsia" w:hAnsiTheme="minorEastAsia" w:eastAsiaTheme="minorEastAsia" w:cstheme="minorEastAsia"/>
          <w:bCs/>
          <w:color w:val="auto"/>
          <w:sz w:val="21"/>
          <w:szCs w:val="21"/>
          <w:highlight w:val="none"/>
          <w:u w:val="single"/>
        </w:rPr>
        <w:t>9</w:t>
      </w:r>
      <w:r>
        <w:rPr>
          <w:rFonts w:hint="eastAsia" w:asciiTheme="minorEastAsia" w:hAnsiTheme="minorEastAsia" w:eastAsiaTheme="minorEastAsia" w:cstheme="minorEastAsia"/>
          <w:bCs/>
          <w:color w:val="auto"/>
          <w:sz w:val="21"/>
          <w:szCs w:val="21"/>
          <w:highlight w:val="none"/>
        </w:rPr>
        <w:t>时</w:t>
      </w:r>
      <w:r>
        <w:rPr>
          <w:rFonts w:hint="eastAsia" w:asciiTheme="minorEastAsia" w:hAnsiTheme="minorEastAsia" w:eastAsiaTheme="minorEastAsia" w:cstheme="minorEastAsia"/>
          <w:bCs/>
          <w:color w:val="auto"/>
          <w:sz w:val="21"/>
          <w:szCs w:val="21"/>
          <w:highlight w:val="none"/>
          <w:u w:val="single"/>
        </w:rPr>
        <w:t>30</w:t>
      </w:r>
      <w:r>
        <w:rPr>
          <w:rFonts w:hint="eastAsia" w:asciiTheme="minorEastAsia" w:hAnsiTheme="minorEastAsia" w:eastAsiaTheme="minorEastAsia" w:cstheme="minorEastAsia"/>
          <w:bCs/>
          <w:color w:val="auto"/>
          <w:sz w:val="21"/>
          <w:szCs w:val="21"/>
          <w:highlight w:val="none"/>
        </w:rPr>
        <w:t>分（北京时间）</w:t>
      </w:r>
    </w:p>
    <w:p w14:paraId="5EF0795E">
      <w:pPr>
        <w:spacing w:line="360" w:lineRule="auto"/>
        <w:ind w:firstLine="420" w:firstLineChars="200"/>
        <w:rPr>
          <w:rFonts w:hint="eastAsia" w:asciiTheme="minorEastAsia" w:hAnsiTheme="minorEastAsia" w:eastAsiaTheme="minorEastAsia" w:cstheme="minorEastAsia"/>
          <w:bCs/>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 xml:space="preserve">2.地点：广西政府采购云平台（https://www.gcy.zfcg.gxzf.gov.cn/）  </w:t>
      </w:r>
    </w:p>
    <w:p w14:paraId="2C879ACD">
      <w:pPr>
        <w:spacing w:line="360" w:lineRule="auto"/>
        <w:ind w:firstLine="310" w:firstLineChars="147"/>
        <w:rPr>
          <w:rFonts w:hint="eastAsia" w:asciiTheme="minorEastAsia" w:hAnsiTheme="minorEastAsia" w:eastAsiaTheme="minorEastAsia" w:cstheme="minorEastAsia"/>
          <w:b/>
          <w:color w:val="auto"/>
          <w:sz w:val="21"/>
          <w:szCs w:val="21"/>
          <w:highlight w:val="none"/>
        </w:rPr>
      </w:pPr>
      <w:bookmarkStart w:id="34" w:name="_Toc44229883"/>
      <w:bookmarkStart w:id="35" w:name="_Toc28359017"/>
      <w:bookmarkStart w:id="36" w:name="_Toc35393803"/>
      <w:bookmarkStart w:id="37" w:name="_Toc35393634"/>
      <w:bookmarkStart w:id="38" w:name="_Toc28359094"/>
      <w:bookmarkStart w:id="39" w:name="_Toc71365910"/>
      <w:r>
        <w:rPr>
          <w:rFonts w:hint="eastAsia" w:asciiTheme="minorEastAsia" w:hAnsiTheme="minorEastAsia" w:eastAsiaTheme="minorEastAsia" w:cstheme="minorEastAsia"/>
          <w:b/>
          <w:color w:val="auto"/>
          <w:sz w:val="21"/>
          <w:szCs w:val="21"/>
          <w:highlight w:val="none"/>
        </w:rPr>
        <w:t>六、公告期限</w:t>
      </w:r>
      <w:bookmarkEnd w:id="34"/>
      <w:bookmarkEnd w:id="35"/>
      <w:bookmarkEnd w:id="36"/>
      <w:bookmarkEnd w:id="37"/>
      <w:bookmarkEnd w:id="38"/>
      <w:bookmarkEnd w:id="39"/>
    </w:p>
    <w:p w14:paraId="6937B8E6">
      <w:pPr>
        <w:spacing w:line="360" w:lineRule="auto"/>
        <w:ind w:firstLine="420" w:firstLineChars="20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自本公告发布之日起5个工作日。</w:t>
      </w:r>
    </w:p>
    <w:p w14:paraId="046E7E89">
      <w:pPr>
        <w:spacing w:line="360" w:lineRule="auto"/>
        <w:ind w:firstLine="310" w:firstLineChars="147"/>
        <w:rPr>
          <w:rFonts w:hint="eastAsia" w:asciiTheme="minorEastAsia" w:hAnsiTheme="minorEastAsia" w:eastAsiaTheme="minorEastAsia" w:cstheme="minorEastAsia"/>
          <w:b/>
          <w:color w:val="auto"/>
          <w:sz w:val="21"/>
          <w:szCs w:val="21"/>
          <w:highlight w:val="none"/>
        </w:rPr>
      </w:pPr>
      <w:bookmarkStart w:id="40" w:name="_Toc35393635"/>
      <w:bookmarkStart w:id="41" w:name="_Toc71365911"/>
      <w:bookmarkStart w:id="42" w:name="_Toc35393804"/>
      <w:bookmarkStart w:id="43" w:name="_Toc44229884"/>
      <w:r>
        <w:rPr>
          <w:rFonts w:hint="eastAsia" w:asciiTheme="minorEastAsia" w:hAnsiTheme="minorEastAsia" w:eastAsiaTheme="minorEastAsia" w:cstheme="minorEastAsia"/>
          <w:b/>
          <w:color w:val="auto"/>
          <w:sz w:val="21"/>
          <w:szCs w:val="21"/>
          <w:highlight w:val="none"/>
        </w:rPr>
        <w:t>七、其他补充事宜</w:t>
      </w:r>
      <w:bookmarkEnd w:id="40"/>
      <w:bookmarkEnd w:id="41"/>
      <w:bookmarkEnd w:id="42"/>
      <w:bookmarkEnd w:id="43"/>
    </w:p>
    <w:p w14:paraId="182FE593">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color w:val="auto"/>
          <w:kern w:val="0"/>
          <w:szCs w:val="21"/>
          <w:highlight w:val="none"/>
        </w:rPr>
      </w:pPr>
      <w:bookmarkStart w:id="44" w:name="_Hlk37429674"/>
      <w:bookmarkStart w:id="45" w:name="_Toc28359095"/>
      <w:bookmarkStart w:id="46" w:name="_Toc44229885"/>
      <w:bookmarkStart w:id="47" w:name="_Toc28359018"/>
      <w:bookmarkStart w:id="48" w:name="_Toc35393805"/>
      <w:bookmarkStart w:id="49" w:name="_Toc35393636"/>
      <w:r>
        <w:rPr>
          <w:rFonts w:hint="eastAsia" w:ascii="宋体" w:hAnsi="宋体" w:cs="宋体"/>
          <w:color w:val="auto"/>
          <w:kern w:val="0"/>
          <w:szCs w:val="21"/>
          <w:highlight w:val="none"/>
        </w:rPr>
        <w:t>1.采购意向公开链接：https://zfcg.gxzf.gov.cn/luban/detail?parentId=66485&amp;articleId=ann_PdnWvyTAvuiDf5z+xsDUFtD5ndTMr3NGt5TILBJnhQo=&amp;utm=app-announcement-front.5cc075f2.0.0.00b7da30f76211f0bd87b1910d89b82e</w:t>
      </w:r>
    </w:p>
    <w:p w14:paraId="6DDA7F33">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2.网上查询地址</w:t>
      </w:r>
    </w:p>
    <w:p w14:paraId="436A76C5">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http</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//www.ccgp.gov.cn（中国政府采购网）、http</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//zfcg.gxzf.gov.cn（广西壮族自治区政府采购网）、http://www.guangxibid.com.cn/（广西招标网）</w:t>
      </w:r>
      <w:r>
        <w:rPr>
          <w:rFonts w:hint="eastAsia" w:ascii="宋体" w:hAnsi="宋体"/>
          <w:color w:val="auto"/>
          <w:szCs w:val="21"/>
          <w:highlight w:val="none"/>
        </w:rPr>
        <w:t>。</w:t>
      </w:r>
    </w:p>
    <w:p w14:paraId="0C19E146">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3.本项目需要落实的政府采购政策</w:t>
      </w:r>
    </w:p>
    <w:p w14:paraId="7BE7ECC9">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（1）政府采购促进中小企业发展。</w:t>
      </w:r>
    </w:p>
    <w:p w14:paraId="410D38C8">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（2）政府采购支持采用本国产品的政策。</w:t>
      </w:r>
    </w:p>
    <w:p w14:paraId="5495743B">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（3）政府采购促进残疾人就业政策。</w:t>
      </w:r>
    </w:p>
    <w:p w14:paraId="1DD86029">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i/>
          <w:iCs/>
          <w:color w:val="auto"/>
          <w:kern w:val="0"/>
          <w:szCs w:val="21"/>
          <w:highlight w:val="none"/>
        </w:rPr>
      </w:pPr>
      <w:r>
        <w:rPr>
          <w:rFonts w:hint="eastAsia" w:ascii="宋体" w:hAnsi="宋体" w:cs="宋体"/>
          <w:color w:val="auto"/>
          <w:kern w:val="0"/>
          <w:szCs w:val="21"/>
          <w:highlight w:val="none"/>
        </w:rPr>
        <w:t>（4）政府采购支持监狱企业发展。</w:t>
      </w:r>
    </w:p>
    <w:bookmarkEnd w:id="44"/>
    <w:p w14:paraId="7E1C5BB1">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color w:val="auto"/>
          <w:sz w:val="21"/>
          <w:szCs w:val="21"/>
          <w:highlight w:val="none"/>
        </w:rPr>
      </w:pPr>
      <w:r>
        <w:rPr>
          <w:rFonts w:hint="eastAsia" w:ascii="宋体" w:hAnsi="宋体" w:cs="宋体"/>
          <w:color w:val="auto"/>
          <w:kern w:val="0"/>
          <w:szCs w:val="21"/>
          <w:highlight w:val="none"/>
        </w:rPr>
        <w:t>4.供应商</w:t>
      </w:r>
      <w:r>
        <w:rPr>
          <w:rFonts w:hint="eastAsia" w:ascii="宋体" w:hAnsi="宋体"/>
          <w:color w:val="auto"/>
          <w:szCs w:val="21"/>
          <w:highlight w:val="none"/>
        </w:rPr>
        <w:t>竞标注意事项</w:t>
      </w:r>
    </w:p>
    <w:p w14:paraId="0FB5AA45">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（1）本项目为全流程电子化采购项目，通过广西政府采购云平台（https://www.gcy.zfcg.gxzf.gov.cn/）  实行在线电子竞标，供应商应先安装“广西政府采购云电子交易客户端”（请自行前往广西政府采购云平台进行下载），并按照本项目竞争性磋商文件和广西政府采购云平台的要求编制、加密后在提交响应文件截止时间前通过网络上传至 广西政府采购云平台（加密的电子响应文件是指后缀名为“jmbs”的文件），供应商在广西政府采购云平台提交电子响应文件时，请填写参加远程采购活动经办人联系方式。供应商登录广西政府采购云平台，依次进入“服务中心</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项目采购</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操作流程</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电子招投标</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政府采购项目电子交易管理操作指南</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供应商”查看电子竞标具体操作流程。</w:t>
      </w:r>
    </w:p>
    <w:p w14:paraId="265A1145">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未进行网上注册并办理数字证书（CA认证）的供应商将无法参与本项目政府采购活动，供应商应当在提交响应文件截止时间前，完成电子交易平台上的CA数字证书办理及响应文件的提交（供应商可登录“广西政府采购网”，依次进入“办事服务</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下载专区”或者登录</w:t>
      </w:r>
      <w:r>
        <w:rPr>
          <w:rFonts w:hint="eastAsia" w:asciiTheme="minorEastAsia" w:hAnsiTheme="minorEastAsia" w:eastAsiaTheme="minorEastAsia" w:cstheme="minorEastAsia"/>
          <w:color w:val="auto"/>
          <w:kern w:val="0"/>
          <w:sz w:val="21"/>
          <w:szCs w:val="21"/>
          <w:highlight w:val="none"/>
        </w:rPr>
        <w:t>广西政府采购云平台，</w:t>
      </w:r>
      <w:r>
        <w:rPr>
          <w:rFonts w:hint="eastAsia" w:asciiTheme="minorEastAsia" w:hAnsiTheme="minorEastAsia" w:eastAsiaTheme="minorEastAsia" w:cstheme="minorEastAsia"/>
          <w:color w:val="auto"/>
          <w:sz w:val="21"/>
          <w:szCs w:val="21"/>
          <w:highlight w:val="none"/>
        </w:rPr>
        <w:t>依次进入“服务中心</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入驻与配置”中查看CA数字证书办理操作流程。如在操作过程中遇到问题或者需要技术支持，请致电客服热线：95763）。</w:t>
      </w:r>
    </w:p>
    <w:p w14:paraId="10B95D55">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sz w:val="21"/>
          <w:szCs w:val="21"/>
          <w:highlight w:val="none"/>
        </w:rPr>
        <w:t>（3）CA证书在线解密：首次响应文件开启时，需携带制作响应文件时用来加密的有效数字证书（CA认证）登录广西政府采购云平台</w:t>
      </w:r>
      <w:r>
        <w:rPr>
          <w:rFonts w:hint="eastAsia" w:asciiTheme="minorEastAsia" w:hAnsiTheme="minorEastAsia" w:eastAsiaTheme="minorEastAsia" w:cstheme="minorEastAsia"/>
          <w:color w:val="auto"/>
          <w:kern w:val="0"/>
          <w:sz w:val="21"/>
          <w:szCs w:val="21"/>
          <w:highlight w:val="none"/>
        </w:rPr>
        <w:t>电子开标大厅现场按规定时间对加密的响应文件进行解密，否则后果自负。</w:t>
      </w:r>
    </w:p>
    <w:p w14:paraId="6CA16977">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color w:val="auto"/>
          <w:sz w:val="21"/>
          <w:szCs w:val="21"/>
          <w:highlight w:val="none"/>
        </w:rPr>
        <w:t>注：1）为确保网上操作合法、有效和安全，请供应商确保在电子竞标过程中能够对相关数据电文进行加密和使用电子签章，妥善保管CA数字证书并使用有效的CA数字证书参与整个采购活动。2）</w:t>
      </w:r>
      <w:r>
        <w:rPr>
          <w:rFonts w:hint="eastAsia" w:asciiTheme="minorEastAsia" w:hAnsiTheme="minorEastAsia" w:eastAsiaTheme="minorEastAsia" w:cstheme="minorEastAsia"/>
          <w:bCs/>
          <w:color w:val="auto"/>
          <w:sz w:val="21"/>
          <w:szCs w:val="21"/>
          <w:highlight w:val="none"/>
        </w:rPr>
        <w:t>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前未完成提交（上传）的，视为撤回响应文件。提交响应文件截止时间以后提交（上传）的响应文件，广西政府采购云平台将予以拒收。</w:t>
      </w:r>
    </w:p>
    <w:p w14:paraId="3B0C6AEC">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kern w:val="0"/>
          <w:sz w:val="21"/>
          <w:szCs w:val="21"/>
          <w:highlight w:val="none"/>
        </w:rPr>
        <w:t>（4）供应商需要在具备有摄像头及语音功能且互联网网络状况良好的电脑登录广西政府采购云平台远程开标大厅参与本次磋商，否则后果自负。</w:t>
      </w:r>
    </w:p>
    <w:p w14:paraId="38D3294D">
      <w:pPr>
        <w:spacing w:line="360" w:lineRule="auto"/>
        <w:ind w:firstLine="310" w:firstLineChars="147"/>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八、凡对本次采购提出询问，请按以下方式联系。</w:t>
      </w:r>
      <w:bookmarkEnd w:id="45"/>
      <w:bookmarkEnd w:id="46"/>
      <w:bookmarkEnd w:id="47"/>
      <w:bookmarkEnd w:id="48"/>
      <w:bookmarkEnd w:id="49"/>
    </w:p>
    <w:bookmarkEnd w:id="1"/>
    <w:p w14:paraId="7A3C702F">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1.采购人信息</w:t>
      </w:r>
    </w:p>
    <w:p w14:paraId="16A9CEF6">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名    称：广西幼儿师范高等专科学校</w:t>
      </w:r>
    </w:p>
    <w:p w14:paraId="3F7C880D">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地    址：南宁市民族大道77号</w:t>
      </w:r>
    </w:p>
    <w:p w14:paraId="49592159">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联系人：古老师</w:t>
      </w:r>
    </w:p>
    <w:p w14:paraId="3D9D53B3">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联系方式：0771-5712442</w:t>
      </w:r>
    </w:p>
    <w:p w14:paraId="1140E37E">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2.采购代理机构信息</w:t>
      </w:r>
    </w:p>
    <w:p w14:paraId="5A512DC6">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名    称：广西建设工程机电设备招标中心有限公司</w:t>
      </w:r>
    </w:p>
    <w:p w14:paraId="3790194A">
      <w:pPr>
        <w:spacing w:line="360" w:lineRule="auto"/>
        <w:ind w:firstLine="420" w:firstLineChars="20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地　　址：</w:t>
      </w:r>
      <w:r>
        <w:rPr>
          <w:rFonts w:hint="eastAsia" w:asciiTheme="minorEastAsia" w:hAnsiTheme="minorEastAsia" w:eastAsiaTheme="minorEastAsia" w:cstheme="minorEastAsia"/>
          <w:color w:val="auto"/>
          <w:sz w:val="21"/>
          <w:szCs w:val="21"/>
          <w:highlight w:val="none"/>
          <w:lang w:eastAsia="zh-CN"/>
        </w:rPr>
        <w:t>南宁市青秀区枫林路18号广西国控大厦裙楼三层</w:t>
      </w:r>
    </w:p>
    <w:p w14:paraId="618CA87E">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联系方式：0771-2808057</w:t>
      </w:r>
    </w:p>
    <w:p w14:paraId="7FEE267A">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3.项目联系方式</w:t>
      </w:r>
    </w:p>
    <w:p w14:paraId="6B7C1E3A">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项目联系人：陈秋蓉、方芳</w:t>
      </w:r>
    </w:p>
    <w:p w14:paraId="79FA4A03">
      <w:pPr>
        <w:spacing w:line="360" w:lineRule="auto"/>
        <w:ind w:firstLine="420" w:firstLineChars="200"/>
        <w:rPr>
          <w:rFonts w:ascii="方正小标宋简体" w:eastAsia="方正小标宋简体"/>
          <w:color w:val="auto"/>
          <w:sz w:val="32"/>
          <w:szCs w:val="32"/>
          <w:highlight w:val="none"/>
        </w:rPr>
      </w:pPr>
      <w:r>
        <w:rPr>
          <w:rFonts w:hint="eastAsia" w:asciiTheme="minorEastAsia" w:hAnsiTheme="minorEastAsia" w:eastAsiaTheme="minorEastAsia" w:cstheme="minorEastAsia"/>
          <w:color w:val="auto"/>
          <w:sz w:val="21"/>
          <w:szCs w:val="21"/>
          <w:highlight w:val="none"/>
        </w:rPr>
        <w:t>电　　话：0771-2808057</w:t>
      </w:r>
      <w:r>
        <w:rPr>
          <w:rFonts w:hint="eastAsia" w:asciiTheme="minorEastAsia" w:hAnsiTheme="minorEastAsia" w:eastAsiaTheme="minorEastAsia" w:cstheme="minorEastAsia"/>
          <w:color w:val="auto"/>
          <w:sz w:val="21"/>
          <w:szCs w:val="21"/>
          <w:highlight w:val="none"/>
        </w:rPr>
        <w:br w:type="page"/>
      </w:r>
    </w:p>
    <w:p w14:paraId="7991047C">
      <w:pPr>
        <w:pStyle w:val="2"/>
        <w:spacing w:after="340" w:line="360" w:lineRule="auto"/>
        <w:jc w:val="center"/>
        <w:rPr>
          <w:color w:val="auto"/>
          <w:highlight w:val="none"/>
        </w:rPr>
      </w:pPr>
      <w:bookmarkStart w:id="50" w:name="_Toc185869569"/>
      <w:r>
        <w:rPr>
          <w:rFonts w:hint="eastAsia"/>
          <w:color w:val="auto"/>
          <w:highlight w:val="none"/>
        </w:rPr>
        <w:t>第二章供应商须知</w:t>
      </w:r>
      <w:bookmarkEnd w:id="50"/>
    </w:p>
    <w:p w14:paraId="79113E5D">
      <w:pPr>
        <w:spacing w:line="400" w:lineRule="exact"/>
        <w:jc w:val="center"/>
        <w:rPr>
          <w:rFonts w:ascii="宋体" w:hAnsi="宋体"/>
          <w:b/>
          <w:color w:val="auto"/>
          <w:sz w:val="32"/>
          <w:szCs w:val="32"/>
          <w:highlight w:val="none"/>
        </w:rPr>
      </w:pPr>
      <w:r>
        <w:rPr>
          <w:rFonts w:hint="eastAsia" w:ascii="宋体" w:hAnsi="宋体"/>
          <w:b/>
          <w:color w:val="auto"/>
          <w:sz w:val="32"/>
          <w:szCs w:val="32"/>
          <w:highlight w:val="none"/>
        </w:rPr>
        <w:t>供应商须知前附表</w:t>
      </w:r>
    </w:p>
    <w:p w14:paraId="7B422F32">
      <w:pPr>
        <w:spacing w:line="400" w:lineRule="exact"/>
        <w:jc w:val="center"/>
        <w:rPr>
          <w:rFonts w:ascii="宋体" w:hAnsi="宋体"/>
          <w:b/>
          <w:color w:val="auto"/>
          <w:sz w:val="32"/>
          <w:szCs w:val="32"/>
          <w:highlight w:val="none"/>
        </w:rPr>
      </w:pPr>
    </w:p>
    <w:tbl>
      <w:tblPr>
        <w:tblStyle w:val="55"/>
        <w:tblW w:w="89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7912"/>
      </w:tblGrid>
      <w:tr w14:paraId="47EF65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Pr>
          <w:p w14:paraId="7A2F98D9">
            <w:pPr>
              <w:spacing w:line="360" w:lineRule="auto"/>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条款号</w:t>
            </w:r>
          </w:p>
        </w:tc>
        <w:tc>
          <w:tcPr>
            <w:tcW w:w="7912" w:type="dxa"/>
          </w:tcPr>
          <w:p w14:paraId="29832BAC">
            <w:pPr>
              <w:spacing w:line="360" w:lineRule="auto"/>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内    容</w:t>
            </w:r>
          </w:p>
        </w:tc>
      </w:tr>
      <w:tr w14:paraId="269282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1BEE9E6">
            <w:pPr>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7912" w:type="dxa"/>
            <w:vAlign w:val="center"/>
          </w:tcPr>
          <w:p w14:paraId="749089C9">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rPr>
              <w:t>1.供应商的资格条件</w:t>
            </w:r>
            <w:r>
              <w:rPr>
                <w:rFonts w:hint="eastAsia" w:asciiTheme="minorEastAsia" w:hAnsiTheme="minorEastAsia" w:eastAsiaTheme="minorEastAsia" w:cstheme="minorEastAsia"/>
                <w:color w:val="auto"/>
                <w:sz w:val="21"/>
                <w:szCs w:val="21"/>
                <w:highlight w:val="none"/>
              </w:rPr>
              <w:t>：详见竞争性磋商公告</w:t>
            </w:r>
          </w:p>
          <w:p w14:paraId="083AC372">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r>
              <w:rPr>
                <w:rFonts w:hint="eastAsia" w:asciiTheme="minorEastAsia" w:hAnsiTheme="minorEastAsia" w:eastAsiaTheme="minorEastAsia" w:cstheme="minorEastAsia"/>
                <w:bCs/>
                <w:color w:val="auto"/>
                <w:sz w:val="21"/>
                <w:szCs w:val="21"/>
                <w:highlight w:val="none"/>
              </w:rPr>
              <w:t>供应商</w:t>
            </w:r>
            <w:r>
              <w:rPr>
                <w:rFonts w:hint="eastAsia" w:asciiTheme="minorEastAsia" w:hAnsiTheme="minorEastAsia" w:eastAsiaTheme="minorEastAsia" w:cstheme="minorEastAsia"/>
                <w:color w:val="auto"/>
                <w:sz w:val="21"/>
                <w:szCs w:val="21"/>
                <w:highlight w:val="none"/>
              </w:rPr>
              <w:t>出现下列情形之一的，不得参加政府采购活动：</w:t>
            </w:r>
          </w:p>
          <w:p w14:paraId="27702BEF">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1EC8AE7D">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2.2对在“信用中国”网站（www.creditchina.gov.cn）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tc>
      </w:tr>
      <w:tr w14:paraId="3390E1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6B0B48C">
            <w:pPr>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5.1</w:t>
            </w:r>
          </w:p>
        </w:tc>
        <w:tc>
          <w:tcPr>
            <w:tcW w:w="7912" w:type="dxa"/>
            <w:vAlign w:val="center"/>
          </w:tcPr>
          <w:p w14:paraId="4710CD06">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是否接受联合体竞标： 详见竞争性磋商公告</w:t>
            </w:r>
          </w:p>
        </w:tc>
      </w:tr>
      <w:tr w14:paraId="542545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93AC65B">
            <w:pPr>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5.2</w:t>
            </w:r>
          </w:p>
        </w:tc>
        <w:tc>
          <w:tcPr>
            <w:tcW w:w="7912" w:type="dxa"/>
            <w:vAlign w:val="center"/>
          </w:tcPr>
          <w:p w14:paraId="1CBC1FBC">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如接受联合体竞标，联合体竞标要求如下：</w:t>
            </w:r>
          </w:p>
          <w:p w14:paraId="62EE6DFD">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1.两个以上供应商可以组成一个竞标联合体，以一个供应商的身份共同参加竞标。联合体竞标的，须提供《联合体竞标协议书》（格式后附）。</w:t>
            </w:r>
          </w:p>
          <w:p w14:paraId="05E12C0B">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以联合体形式参加竞标的，联合体各方均必须具备《中华人民共和国政府采购法》第二十二条第一款规定的基本条件（涉及行政许可范围的内容，联合体各方均应具备相应资质）。本项目有特殊要求规定供应商特定条件的，联合体各方中至少有一方必须符合磋商文件规定的特定条件。</w:t>
            </w:r>
          </w:p>
          <w:p w14:paraId="46540E0C">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3.联合体各方之间必须签订联合竞标协议，协议书必须明确主体方（或者牵头方）并明确约定联合体各方承担的工作和相应的责任（</w:t>
            </w:r>
            <w:r>
              <w:rPr>
                <w:rFonts w:hint="eastAsia" w:asciiTheme="minorEastAsia" w:hAnsiTheme="minorEastAsia" w:eastAsiaTheme="minorEastAsia" w:cstheme="minorEastAsia"/>
                <w:b/>
                <w:color w:val="auto"/>
                <w:sz w:val="21"/>
                <w:szCs w:val="21"/>
                <w:highlight w:val="none"/>
              </w:rPr>
              <w:t>各方承担责任与义务的分工必须符合采购需求，否则，联合体竞标无效</w:t>
            </w:r>
            <w:r>
              <w:rPr>
                <w:rFonts w:hint="eastAsia" w:asciiTheme="minorEastAsia" w:hAnsiTheme="minorEastAsia" w:eastAsiaTheme="minorEastAsia" w:cstheme="minorEastAsia"/>
                <w:color w:val="auto"/>
                <w:sz w:val="21"/>
                <w:szCs w:val="21"/>
                <w:highlight w:val="none"/>
              </w:rPr>
              <w:t>），并将联合竞标协议放入响应文件。联合体各方必须共同与采购人签订采购合同，就采购合同约定的事项对采购人承担连带责任。</w:t>
            </w:r>
          </w:p>
          <w:p w14:paraId="1434EDCE">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4.以联合体形式参加政府采购活动的，联合体各方不得再单独参加或者与其他供应商另外组成联合体参加同一合同项下的政府采购活动。</w:t>
            </w:r>
          </w:p>
          <w:p w14:paraId="5722A07F">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5.联合体中有同类资质的供应商按照联合体分工承担相同工作的，应当按照资质等级较低的供应商确定资质等级。</w:t>
            </w:r>
          </w:p>
          <w:p w14:paraId="1C10656F">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6.联合体竞标业绩、履约能力按照联合体各方中较高的一方认定并计算（磋商文件另有规定的除外）。</w:t>
            </w:r>
          </w:p>
          <w:p w14:paraId="3FCC8874">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7.供应商为联合体的，可以由联合体中的一方或者多方共同交纳磋商保证金，其交纳的保证金对联合体各方均具有约束力。</w:t>
            </w:r>
          </w:p>
          <w:p w14:paraId="19BE50C6">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8.联合体各方均应按照磋商文件的规定提交资格证明文件。</w:t>
            </w:r>
          </w:p>
        </w:tc>
      </w:tr>
      <w:tr w14:paraId="53478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7" w:hRule="atLeast"/>
          <w:jc w:val="center"/>
        </w:trPr>
        <w:tc>
          <w:tcPr>
            <w:tcW w:w="992" w:type="dxa"/>
            <w:vAlign w:val="center"/>
          </w:tcPr>
          <w:p w14:paraId="02E2BEFA">
            <w:pPr>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6.2</w:t>
            </w:r>
          </w:p>
        </w:tc>
        <w:tc>
          <w:tcPr>
            <w:tcW w:w="7912" w:type="dxa"/>
            <w:vAlign w:val="center"/>
          </w:tcPr>
          <w:p w14:paraId="4B37CD55">
            <w:pPr>
              <w:pStyle w:val="18"/>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sym w:font="Wingdings 2" w:char="F052"/>
            </w:r>
            <w:r>
              <w:rPr>
                <w:rFonts w:hint="eastAsia" w:asciiTheme="minorEastAsia" w:hAnsiTheme="minorEastAsia" w:eastAsiaTheme="minorEastAsia" w:cstheme="minorEastAsia"/>
                <w:color w:val="auto"/>
                <w:sz w:val="21"/>
                <w:szCs w:val="21"/>
                <w:highlight w:val="none"/>
              </w:rPr>
              <w:t>不允许分包</w:t>
            </w:r>
          </w:p>
          <w:p w14:paraId="0721E801">
            <w:pPr>
              <w:pStyle w:val="18"/>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□允许分包</w:t>
            </w:r>
          </w:p>
          <w:p w14:paraId="5E92CD79">
            <w:pPr>
              <w:pStyle w:val="18"/>
              <w:spacing w:line="360" w:lineRule="auto"/>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分包内容：/。</w:t>
            </w:r>
          </w:p>
          <w:p w14:paraId="1D0E397F">
            <w:pPr>
              <w:pStyle w:val="18"/>
              <w:spacing w:line="360" w:lineRule="auto"/>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分包金额或者比例：/。</w:t>
            </w:r>
          </w:p>
          <w:p w14:paraId="55CAF1C9">
            <w:pPr>
              <w:pStyle w:val="18"/>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分包供应商必须具备的资质：/。</w:t>
            </w:r>
          </w:p>
        </w:tc>
      </w:tr>
      <w:tr w14:paraId="3CFF9B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C96C5FA">
            <w:pPr>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12.1.1</w:t>
            </w:r>
          </w:p>
        </w:tc>
        <w:tc>
          <w:tcPr>
            <w:tcW w:w="7912" w:type="dxa"/>
            <w:vAlign w:val="center"/>
          </w:tcPr>
          <w:p w14:paraId="0F1C553C">
            <w:pPr>
              <w:snapToGrid w:val="0"/>
              <w:spacing w:line="360" w:lineRule="auto"/>
              <w:jc w:val="left"/>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资格证明文件</w:t>
            </w:r>
          </w:p>
          <w:p w14:paraId="5B5BEA91">
            <w:pPr>
              <w:pStyle w:val="18"/>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1.供应商为法人或者其他组织的提供其营业执照等证明文件扫描件（如营业执照或者事业单位法人证书或者执业许可证或者登记证书等）；（</w:t>
            </w:r>
            <w:r>
              <w:rPr>
                <w:rFonts w:hint="eastAsia" w:asciiTheme="minorEastAsia" w:hAnsiTheme="minorEastAsia" w:eastAsiaTheme="minorEastAsia" w:cstheme="minorEastAsia"/>
                <w:b/>
                <w:color w:val="auto"/>
                <w:sz w:val="21"/>
                <w:szCs w:val="21"/>
                <w:highlight w:val="none"/>
              </w:rPr>
              <w:t>必须提供，否则响应文件按无效处理</w:t>
            </w:r>
            <w:r>
              <w:rPr>
                <w:rFonts w:hint="eastAsia" w:asciiTheme="minorEastAsia" w:hAnsiTheme="minorEastAsia" w:eastAsiaTheme="minorEastAsia" w:cstheme="minorEastAsia"/>
                <w:color w:val="auto"/>
                <w:sz w:val="21"/>
                <w:szCs w:val="21"/>
                <w:highlight w:val="none"/>
              </w:rPr>
              <w:t>）</w:t>
            </w:r>
          </w:p>
          <w:p w14:paraId="2B4F2A20">
            <w:pPr>
              <w:spacing w:line="360" w:lineRule="auto"/>
              <w:contextualSpacing/>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2.供应商依法缴纳税收的相关材料（</w:t>
            </w:r>
            <w:r>
              <w:rPr>
                <w:rFonts w:hint="eastAsia" w:asciiTheme="minorEastAsia" w:hAnsiTheme="minorEastAsia" w:eastAsiaTheme="minorEastAsia" w:cstheme="minorEastAsia"/>
                <w:color w:val="auto"/>
                <w:sz w:val="21"/>
                <w:szCs w:val="21"/>
                <w:highlight w:val="none"/>
                <w:u w:val="single"/>
              </w:rPr>
              <w:t>202</w:t>
            </w:r>
            <w:r>
              <w:rPr>
                <w:rFonts w:hint="eastAsia" w:asciiTheme="minorEastAsia" w:hAnsiTheme="minorEastAsia" w:eastAsiaTheme="minorEastAsia" w:cstheme="minorEastAsia"/>
                <w:color w:val="auto"/>
                <w:sz w:val="21"/>
                <w:szCs w:val="21"/>
                <w:highlight w:val="none"/>
                <w:u w:val="single"/>
                <w:lang w:val="en-US" w:eastAsia="zh-CN"/>
              </w:rPr>
              <w:t>5</w:t>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u w:val="single"/>
                <w:lang w:val="en-US" w:eastAsia="zh-CN"/>
              </w:rPr>
              <w:t>6</w:t>
            </w:r>
            <w:r>
              <w:rPr>
                <w:rFonts w:hint="eastAsia" w:asciiTheme="minorEastAsia" w:hAnsiTheme="minorEastAsia" w:eastAsiaTheme="minorEastAsia" w:cstheme="minorEastAsia"/>
                <w:color w:val="auto"/>
                <w:sz w:val="21"/>
                <w:szCs w:val="21"/>
                <w:highlight w:val="none"/>
              </w:rPr>
              <w:t>月至</w:t>
            </w:r>
            <w:r>
              <w:rPr>
                <w:rFonts w:hint="eastAsia" w:asciiTheme="minorEastAsia" w:hAnsiTheme="minorEastAsia" w:eastAsiaTheme="minorEastAsia" w:cstheme="minorEastAsia"/>
                <w:color w:val="auto"/>
                <w:sz w:val="21"/>
                <w:szCs w:val="21"/>
                <w:highlight w:val="none"/>
                <w:u w:val="single"/>
              </w:rPr>
              <w:t>202</w:t>
            </w:r>
            <w:r>
              <w:rPr>
                <w:rFonts w:hint="eastAsia" w:asciiTheme="minorEastAsia" w:hAnsiTheme="minorEastAsia" w:eastAsiaTheme="minorEastAsia" w:cstheme="minorEastAsia"/>
                <w:color w:val="auto"/>
                <w:sz w:val="21"/>
                <w:szCs w:val="21"/>
                <w:highlight w:val="none"/>
                <w:u w:val="single"/>
                <w:lang w:val="en-US" w:eastAsia="zh-CN"/>
              </w:rPr>
              <w:t>5</w:t>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u w:val="single"/>
                <w:lang w:val="en-US" w:eastAsia="zh-CN"/>
              </w:rPr>
              <w:t>12</w:t>
            </w:r>
            <w:r>
              <w:rPr>
                <w:rFonts w:hint="eastAsia" w:asciiTheme="minorEastAsia" w:hAnsiTheme="minorEastAsia" w:eastAsiaTheme="minorEastAsia" w:cstheme="minorEastAsia"/>
                <w:color w:val="auto"/>
                <w:sz w:val="21"/>
                <w:szCs w:val="21"/>
                <w:highlight w:val="none"/>
              </w:rPr>
              <w:t>月内连续</w:t>
            </w:r>
            <w:r>
              <w:rPr>
                <w:rFonts w:hint="eastAsia" w:asciiTheme="minorEastAsia" w:hAnsiTheme="minorEastAsia" w:eastAsiaTheme="minorEastAsia" w:cstheme="minorEastAsia"/>
                <w:color w:val="auto"/>
                <w:sz w:val="21"/>
                <w:szCs w:val="21"/>
                <w:highlight w:val="none"/>
                <w:u w:val="single"/>
              </w:rPr>
              <w:t>三</w:t>
            </w:r>
            <w:r>
              <w:rPr>
                <w:rFonts w:hint="eastAsia" w:asciiTheme="minorEastAsia" w:hAnsiTheme="minorEastAsia" w:eastAsiaTheme="minorEastAsia" w:cstheme="minorEastAsia"/>
                <w:color w:val="auto"/>
                <w:sz w:val="21"/>
                <w:szCs w:val="21"/>
                <w:highlight w:val="none"/>
              </w:rPr>
              <w:t>个月的依法缴纳税收的凭据扫描件；依法免税的，必须提供相应文件证明其依法免税。从成立之日起到响应文件提交截止时间止不足要求月数的，只需提供从成立之日起的依法缴纳税收相应证明文件）；（</w:t>
            </w:r>
            <w:r>
              <w:rPr>
                <w:rFonts w:hint="eastAsia" w:asciiTheme="minorEastAsia" w:hAnsiTheme="minorEastAsia" w:eastAsiaTheme="minorEastAsia" w:cstheme="minorEastAsia"/>
                <w:b/>
                <w:color w:val="auto"/>
                <w:sz w:val="21"/>
                <w:szCs w:val="21"/>
                <w:highlight w:val="none"/>
              </w:rPr>
              <w:t>必须提供，否则响应文件按无效处理</w:t>
            </w:r>
            <w:r>
              <w:rPr>
                <w:rFonts w:hint="eastAsia" w:asciiTheme="minorEastAsia" w:hAnsiTheme="minorEastAsia" w:eastAsiaTheme="minorEastAsia" w:cstheme="minorEastAsia"/>
                <w:color w:val="auto"/>
                <w:sz w:val="21"/>
                <w:szCs w:val="21"/>
                <w:highlight w:val="none"/>
              </w:rPr>
              <w:t>）</w:t>
            </w:r>
          </w:p>
          <w:p w14:paraId="39644065">
            <w:pPr>
              <w:spacing w:line="360" w:lineRule="auto"/>
              <w:contextualSpacing/>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3.供应商依法缴纳社会保障资金的相关材料[</w:t>
            </w:r>
            <w:r>
              <w:rPr>
                <w:rFonts w:hint="eastAsia" w:asciiTheme="minorEastAsia" w:hAnsiTheme="minorEastAsia" w:eastAsiaTheme="minorEastAsia" w:cstheme="minorEastAsia"/>
                <w:color w:val="auto"/>
                <w:sz w:val="21"/>
                <w:szCs w:val="21"/>
                <w:highlight w:val="none"/>
                <w:u w:val="single"/>
              </w:rPr>
              <w:t>202</w:t>
            </w:r>
            <w:r>
              <w:rPr>
                <w:rFonts w:hint="eastAsia" w:asciiTheme="minorEastAsia" w:hAnsiTheme="minorEastAsia" w:eastAsiaTheme="minorEastAsia" w:cstheme="minorEastAsia"/>
                <w:color w:val="auto"/>
                <w:sz w:val="21"/>
                <w:szCs w:val="21"/>
                <w:highlight w:val="none"/>
                <w:u w:val="single"/>
                <w:lang w:val="en-US" w:eastAsia="zh-CN"/>
              </w:rPr>
              <w:t>5</w:t>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u w:val="single"/>
                <w:lang w:val="en-US" w:eastAsia="zh-CN"/>
              </w:rPr>
              <w:t>6</w:t>
            </w:r>
            <w:r>
              <w:rPr>
                <w:rFonts w:hint="eastAsia" w:asciiTheme="minorEastAsia" w:hAnsiTheme="minorEastAsia" w:eastAsiaTheme="minorEastAsia" w:cstheme="minorEastAsia"/>
                <w:color w:val="auto"/>
                <w:sz w:val="21"/>
                <w:szCs w:val="21"/>
                <w:highlight w:val="none"/>
              </w:rPr>
              <w:t>月至</w:t>
            </w:r>
            <w:r>
              <w:rPr>
                <w:rFonts w:hint="eastAsia" w:asciiTheme="minorEastAsia" w:hAnsiTheme="minorEastAsia" w:eastAsiaTheme="minorEastAsia" w:cstheme="minorEastAsia"/>
                <w:color w:val="auto"/>
                <w:sz w:val="21"/>
                <w:szCs w:val="21"/>
                <w:highlight w:val="none"/>
                <w:u w:val="single"/>
              </w:rPr>
              <w:t>202</w:t>
            </w:r>
            <w:r>
              <w:rPr>
                <w:rFonts w:hint="eastAsia" w:asciiTheme="minorEastAsia" w:hAnsiTheme="minorEastAsia" w:eastAsiaTheme="minorEastAsia" w:cstheme="minorEastAsia"/>
                <w:color w:val="auto"/>
                <w:sz w:val="21"/>
                <w:szCs w:val="21"/>
                <w:highlight w:val="none"/>
                <w:u w:val="single"/>
                <w:lang w:val="en-US" w:eastAsia="zh-CN"/>
              </w:rPr>
              <w:t>5</w:t>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u w:val="single"/>
                <w:lang w:val="en-US" w:eastAsia="zh-CN"/>
              </w:rPr>
              <w:t>12</w:t>
            </w:r>
            <w:r>
              <w:rPr>
                <w:rFonts w:hint="eastAsia" w:asciiTheme="minorEastAsia" w:hAnsiTheme="minorEastAsia" w:eastAsiaTheme="minorEastAsia" w:cstheme="minorEastAsia"/>
                <w:color w:val="auto"/>
                <w:sz w:val="21"/>
                <w:szCs w:val="21"/>
                <w:highlight w:val="none"/>
              </w:rPr>
              <w:t>月</w:t>
            </w:r>
            <w:r>
              <w:rPr>
                <w:rFonts w:hint="eastAsia" w:asciiTheme="minorEastAsia" w:hAnsiTheme="minorEastAsia" w:eastAsiaTheme="minorEastAsia" w:cstheme="minorEastAsia"/>
                <w:b/>
                <w:color w:val="auto"/>
                <w:sz w:val="21"/>
                <w:szCs w:val="21"/>
                <w:highlight w:val="none"/>
                <w:u w:val="single"/>
              </w:rPr>
              <w:t>内</w:t>
            </w:r>
            <w:r>
              <w:rPr>
                <w:rFonts w:hint="eastAsia" w:asciiTheme="minorEastAsia" w:hAnsiTheme="minorEastAsia" w:eastAsiaTheme="minorEastAsia" w:cstheme="minorEastAsia"/>
                <w:color w:val="auto"/>
                <w:sz w:val="21"/>
                <w:szCs w:val="21"/>
                <w:highlight w:val="none"/>
              </w:rPr>
              <w:t>连续</w:t>
            </w:r>
            <w:r>
              <w:rPr>
                <w:rFonts w:hint="eastAsia" w:asciiTheme="minorEastAsia" w:hAnsiTheme="minorEastAsia" w:eastAsiaTheme="minorEastAsia" w:cstheme="minorEastAsia"/>
                <w:color w:val="auto"/>
                <w:sz w:val="21"/>
                <w:szCs w:val="21"/>
                <w:highlight w:val="none"/>
                <w:u w:val="single"/>
              </w:rPr>
              <w:t>三</w:t>
            </w:r>
            <w:r>
              <w:rPr>
                <w:rFonts w:hint="eastAsia" w:asciiTheme="minorEastAsia" w:hAnsiTheme="minorEastAsia" w:eastAsiaTheme="minorEastAsia" w:cstheme="minorEastAsia"/>
                <w:color w:val="auto"/>
                <w:sz w:val="21"/>
                <w:szCs w:val="21"/>
                <w:highlight w:val="none"/>
              </w:rPr>
              <w:t>个月的依法缴纳社会保障资金的缴费凭证（专用收据或者社会保险缴纳清单）扫描件；依法不需要缴纳社会保障资金的，必须提供相应文件证明不需要缴纳社会保障资金。从成立之日起到响应文件提交截止时间止不足要求月数的只需提供从成立之日起的依法缴纳社会保障资金的相应证明文件]；（</w:t>
            </w:r>
            <w:r>
              <w:rPr>
                <w:rFonts w:hint="eastAsia" w:asciiTheme="minorEastAsia" w:hAnsiTheme="minorEastAsia" w:eastAsiaTheme="minorEastAsia" w:cstheme="minorEastAsia"/>
                <w:b/>
                <w:color w:val="auto"/>
                <w:sz w:val="21"/>
                <w:szCs w:val="21"/>
                <w:highlight w:val="none"/>
              </w:rPr>
              <w:t>必须提供，否则响应文件按无效处理</w:t>
            </w:r>
            <w:r>
              <w:rPr>
                <w:rFonts w:hint="eastAsia" w:asciiTheme="minorEastAsia" w:hAnsiTheme="minorEastAsia" w:eastAsiaTheme="minorEastAsia" w:cstheme="minorEastAsia"/>
                <w:color w:val="auto"/>
                <w:sz w:val="21"/>
                <w:szCs w:val="21"/>
                <w:highlight w:val="none"/>
              </w:rPr>
              <w:t>）</w:t>
            </w:r>
          </w:p>
          <w:p w14:paraId="1E61E978">
            <w:pPr>
              <w:spacing w:line="360" w:lineRule="auto"/>
              <w:contextualSpacing/>
              <w:jc w:val="left"/>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color w:val="auto"/>
                <w:sz w:val="21"/>
                <w:szCs w:val="21"/>
                <w:highlight w:val="none"/>
              </w:rPr>
              <w:t>4.供应商财务状况报告（202</w:t>
            </w:r>
            <w:r>
              <w:rPr>
                <w:rFonts w:hint="eastAsia" w:asciiTheme="minorEastAsia" w:hAnsiTheme="minorEastAsia" w:eastAsiaTheme="minorEastAsia" w:cstheme="minorEastAsia"/>
                <w:color w:val="auto"/>
                <w:sz w:val="21"/>
                <w:szCs w:val="21"/>
                <w:highlight w:val="none"/>
                <w:lang w:val="en-US" w:eastAsia="zh-CN"/>
              </w:rPr>
              <w:t>4</w:t>
            </w:r>
            <w:r>
              <w:rPr>
                <w:rFonts w:hint="eastAsia" w:asciiTheme="minorEastAsia" w:hAnsiTheme="minorEastAsia" w:eastAsiaTheme="minorEastAsia" w:cstheme="minorEastAsia"/>
                <w:color w:val="auto"/>
                <w:sz w:val="21"/>
                <w:szCs w:val="21"/>
                <w:highlight w:val="none"/>
              </w:rPr>
              <w:t>年度财务报表扫描件，或者银行出具的资信证明，或者中国人民银行征信中心出具的信用报告；供应商属于成立时间</w:t>
            </w:r>
            <w:r>
              <w:rPr>
                <w:rFonts w:hint="eastAsia" w:asciiTheme="minorEastAsia" w:hAnsiTheme="minorEastAsia" w:eastAsiaTheme="minorEastAsia" w:cstheme="minorEastAsia"/>
                <w:color w:val="auto"/>
                <w:kern w:val="0"/>
                <w:sz w:val="21"/>
                <w:szCs w:val="21"/>
                <w:highlight w:val="none"/>
              </w:rPr>
              <w:t>在规定年度之后</w:t>
            </w:r>
            <w:r>
              <w:rPr>
                <w:rFonts w:hint="eastAsia" w:asciiTheme="minorEastAsia" w:hAnsiTheme="minorEastAsia" w:eastAsiaTheme="minorEastAsia" w:cstheme="minorEastAsia"/>
                <w:color w:val="auto"/>
                <w:sz w:val="21"/>
                <w:szCs w:val="21"/>
                <w:highlight w:val="none"/>
              </w:rPr>
              <w:t>的法人或其他组织，需提供成立之日起至响应文件提交截止时间前的月报表或银行出具的资信证明或者中国人民银行征信中心出具的企业信用报告；资信证明应在有效期内，未注明有效期的，银行出具时间至响应文件提交截止时间不得超过一年）；</w:t>
            </w:r>
            <w:r>
              <w:rPr>
                <w:rFonts w:hint="eastAsia" w:asciiTheme="minorEastAsia" w:hAnsiTheme="minorEastAsia" w:eastAsiaTheme="minorEastAsia" w:cstheme="minorEastAsia"/>
                <w:bCs/>
                <w:color w:val="auto"/>
                <w:sz w:val="21"/>
                <w:szCs w:val="21"/>
                <w:highlight w:val="none"/>
              </w:rPr>
              <w:t>（</w:t>
            </w:r>
            <w:r>
              <w:rPr>
                <w:rFonts w:hint="eastAsia" w:asciiTheme="minorEastAsia" w:hAnsiTheme="minorEastAsia" w:eastAsiaTheme="minorEastAsia" w:cstheme="minorEastAsia"/>
                <w:b/>
                <w:color w:val="auto"/>
                <w:sz w:val="21"/>
                <w:szCs w:val="21"/>
                <w:highlight w:val="none"/>
              </w:rPr>
              <w:t>必须提供，否则响应文件按无效处理</w:t>
            </w:r>
            <w:r>
              <w:rPr>
                <w:rFonts w:hint="eastAsia" w:asciiTheme="minorEastAsia" w:hAnsiTheme="minorEastAsia" w:eastAsiaTheme="minorEastAsia" w:cstheme="minorEastAsia"/>
                <w:bCs/>
                <w:color w:val="auto"/>
                <w:sz w:val="21"/>
                <w:szCs w:val="21"/>
                <w:highlight w:val="none"/>
              </w:rPr>
              <w:t>）</w:t>
            </w:r>
          </w:p>
          <w:p w14:paraId="20FA5752">
            <w:pPr>
              <w:snapToGrid w:val="0"/>
              <w:spacing w:line="360" w:lineRule="auto"/>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5.供应商直接控股、管理关系信息表（格式后附）；（</w:t>
            </w:r>
            <w:r>
              <w:rPr>
                <w:rFonts w:hint="eastAsia" w:asciiTheme="minorEastAsia" w:hAnsiTheme="minorEastAsia" w:eastAsiaTheme="minorEastAsia" w:cstheme="minorEastAsia"/>
                <w:b/>
                <w:color w:val="auto"/>
                <w:sz w:val="21"/>
                <w:szCs w:val="21"/>
                <w:highlight w:val="none"/>
              </w:rPr>
              <w:t>必须提供，否则响应文件按无效处理</w:t>
            </w:r>
            <w:r>
              <w:rPr>
                <w:rFonts w:hint="eastAsia" w:asciiTheme="minorEastAsia" w:hAnsiTheme="minorEastAsia" w:eastAsiaTheme="minorEastAsia" w:cstheme="minorEastAsia"/>
                <w:color w:val="auto"/>
                <w:sz w:val="21"/>
                <w:szCs w:val="21"/>
                <w:highlight w:val="none"/>
              </w:rPr>
              <w:t>）</w:t>
            </w:r>
          </w:p>
          <w:p w14:paraId="160375D7">
            <w:pPr>
              <w:snapToGrid w:val="0"/>
              <w:spacing w:line="360" w:lineRule="auto"/>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6.竞标声明（格式后附）；（</w:t>
            </w:r>
            <w:r>
              <w:rPr>
                <w:rFonts w:hint="eastAsia" w:asciiTheme="minorEastAsia" w:hAnsiTheme="minorEastAsia" w:eastAsiaTheme="minorEastAsia" w:cstheme="minorEastAsia"/>
                <w:b/>
                <w:color w:val="auto"/>
                <w:sz w:val="21"/>
                <w:szCs w:val="21"/>
                <w:highlight w:val="none"/>
              </w:rPr>
              <w:t>必须提供，否则响应文件按无效处理</w:t>
            </w:r>
            <w:r>
              <w:rPr>
                <w:rFonts w:hint="eastAsia" w:asciiTheme="minorEastAsia" w:hAnsiTheme="minorEastAsia" w:eastAsiaTheme="minorEastAsia" w:cstheme="minorEastAsia"/>
                <w:color w:val="auto"/>
                <w:sz w:val="21"/>
                <w:szCs w:val="21"/>
                <w:highlight w:val="none"/>
              </w:rPr>
              <w:t>）</w:t>
            </w:r>
          </w:p>
          <w:p w14:paraId="683F7054">
            <w:pPr>
              <w:snapToGrid w:val="0"/>
              <w:spacing w:line="360" w:lineRule="auto"/>
              <w:jc w:val="left"/>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7.</w:t>
            </w:r>
            <w:r>
              <w:rPr>
                <w:rFonts w:hint="eastAsia" w:asciiTheme="minorEastAsia" w:hAnsiTheme="minorEastAsia" w:eastAsiaTheme="minorEastAsia" w:cstheme="minorEastAsia"/>
                <w:color w:val="auto"/>
                <w:sz w:val="21"/>
                <w:szCs w:val="21"/>
                <w:highlight w:val="none"/>
                <w:lang w:val="en-US" w:eastAsia="zh-CN"/>
              </w:rPr>
              <w:t>特定资质要求：</w:t>
            </w:r>
          </w:p>
          <w:p w14:paraId="5BDE71E1">
            <w:pPr>
              <w:snapToGrid w:val="0"/>
              <w:spacing w:line="360" w:lineRule="auto"/>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供应商具有建设行政主管部门核发的建筑工程施工总承包三级（含）以上资质及钢结构工程专业承包二级（含）以上资质，且具有有效的安全生产许可证；（</w:t>
            </w:r>
            <w:r>
              <w:rPr>
                <w:rFonts w:hint="eastAsia" w:asciiTheme="minorEastAsia" w:hAnsiTheme="minorEastAsia" w:eastAsiaTheme="minorEastAsia" w:cstheme="minorEastAsia"/>
                <w:b/>
                <w:color w:val="auto"/>
                <w:sz w:val="21"/>
                <w:szCs w:val="21"/>
                <w:highlight w:val="none"/>
              </w:rPr>
              <w:t>必须提供，否则响应文件按无效处理</w:t>
            </w:r>
            <w:r>
              <w:rPr>
                <w:rFonts w:hint="eastAsia" w:asciiTheme="minorEastAsia" w:hAnsiTheme="minorEastAsia" w:eastAsiaTheme="minorEastAsia" w:cstheme="minorEastAsia"/>
                <w:color w:val="auto"/>
                <w:sz w:val="21"/>
                <w:szCs w:val="21"/>
                <w:highlight w:val="none"/>
              </w:rPr>
              <w:t>）</w:t>
            </w:r>
          </w:p>
          <w:p w14:paraId="75F4878E">
            <w:pPr>
              <w:snapToGrid w:val="0"/>
              <w:spacing w:line="360" w:lineRule="auto"/>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供应商拟派项目经理须具有建设行政主管部门颁发的建筑工程专业二级及以上注册建造师资格，已录入“桂建云”并处于有效状态，且具备有效的安全生产考核合格证书（B类），项目经理不得存在其他在施在建项目</w:t>
            </w:r>
            <w:r>
              <w:rPr>
                <w:rFonts w:hint="eastAsia" w:asciiTheme="minorEastAsia" w:hAnsiTheme="minorEastAsia" w:eastAsiaTheme="minorEastAsia" w:cstheme="minorEastAsia"/>
                <w:color w:val="auto"/>
                <w:sz w:val="21"/>
                <w:szCs w:val="21"/>
                <w:highlight w:val="none"/>
                <w:lang w:eastAsia="zh-CN"/>
              </w:rPr>
              <w:t>，在</w:t>
            </w:r>
            <w:r>
              <w:rPr>
                <w:rFonts w:hint="eastAsia" w:asciiTheme="minorEastAsia" w:hAnsiTheme="minorEastAsia" w:eastAsiaTheme="minorEastAsia" w:cstheme="minorEastAsia"/>
                <w:color w:val="auto"/>
                <w:sz w:val="21"/>
                <w:szCs w:val="21"/>
                <w:highlight w:val="none"/>
              </w:rPr>
              <w:t>响应文件中提供承诺函。拟任项目经理为本单位员工</w:t>
            </w:r>
            <w:r>
              <w:rPr>
                <w:rFonts w:hint="eastAsia" w:asciiTheme="minorEastAsia" w:hAnsiTheme="minorEastAsia" w:eastAsiaTheme="minorEastAsia" w:cstheme="minorEastAsia"/>
                <w:color w:val="auto"/>
                <w:sz w:val="21"/>
                <w:szCs w:val="21"/>
                <w:highlight w:val="none"/>
                <w:lang w:eastAsia="zh-CN"/>
              </w:rPr>
              <w:t>，在</w:t>
            </w:r>
            <w:r>
              <w:rPr>
                <w:rFonts w:hint="eastAsia" w:asciiTheme="minorEastAsia" w:hAnsiTheme="minorEastAsia" w:eastAsiaTheme="minorEastAsia" w:cstheme="minorEastAsia"/>
                <w:color w:val="auto"/>
                <w:sz w:val="21"/>
                <w:szCs w:val="21"/>
                <w:highlight w:val="none"/>
              </w:rPr>
              <w:t>响应文件中提供社保证明。本项目不接受有在建、已中标未开工或已列为其他项目中标候选人第一名的建造师作为项目经理（符合《广西壮族自治区建筑市场诚信卡管理暂行办法》第十六条第一款及桂建管</w:t>
            </w:r>
            <w:r>
              <w:rPr>
                <w:rFonts w:hint="eastAsia" w:asciiTheme="minorEastAsia" w:hAnsiTheme="minorEastAsia" w:eastAsiaTheme="minorEastAsia" w:cstheme="minorEastAsia"/>
                <w:color w:val="auto"/>
                <w:sz w:val="21"/>
                <w:szCs w:val="21"/>
                <w:highlight w:val="none"/>
                <w:lang w:eastAsia="zh-CN"/>
              </w:rPr>
              <w:t>〔2016〕70号</w:t>
            </w:r>
            <w:r>
              <w:rPr>
                <w:rFonts w:hint="eastAsia" w:asciiTheme="minorEastAsia" w:hAnsiTheme="minorEastAsia" w:eastAsiaTheme="minorEastAsia" w:cstheme="minorEastAsia"/>
                <w:color w:val="auto"/>
                <w:sz w:val="21"/>
                <w:szCs w:val="21"/>
                <w:highlight w:val="none"/>
              </w:rPr>
              <w:t>文 除外）；（</w:t>
            </w:r>
            <w:r>
              <w:rPr>
                <w:rFonts w:hint="eastAsia" w:asciiTheme="minorEastAsia" w:hAnsiTheme="minorEastAsia" w:eastAsiaTheme="minorEastAsia" w:cstheme="minorEastAsia"/>
                <w:b/>
                <w:color w:val="auto"/>
                <w:sz w:val="21"/>
                <w:szCs w:val="21"/>
                <w:highlight w:val="none"/>
              </w:rPr>
              <w:t>必须提供，否则响应文件按无效处理</w:t>
            </w:r>
            <w:r>
              <w:rPr>
                <w:rFonts w:hint="eastAsia" w:asciiTheme="minorEastAsia" w:hAnsiTheme="minorEastAsia" w:eastAsiaTheme="minorEastAsia" w:cstheme="minorEastAsia"/>
                <w:color w:val="auto"/>
                <w:sz w:val="21"/>
                <w:szCs w:val="21"/>
                <w:highlight w:val="none"/>
              </w:rPr>
              <w:t>）</w:t>
            </w:r>
          </w:p>
          <w:p w14:paraId="54F6EDBE">
            <w:pPr>
              <w:snapToGrid w:val="0"/>
              <w:spacing w:line="360" w:lineRule="auto"/>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rPr>
              <w:t>供应商拟派专职安全生产管理人员要求：须具备有效的安全生产考核合格证书（C类），已录入“桂建云”并处于有效状态，人数符合住房和城乡建设部《建筑施工企业安全生产管理机构设置及专职安全生产管理人员配备办法》（建质〔2008〕91号）的规定不少于1人；（</w:t>
            </w:r>
            <w:r>
              <w:rPr>
                <w:rFonts w:hint="eastAsia" w:asciiTheme="minorEastAsia" w:hAnsiTheme="minorEastAsia" w:eastAsiaTheme="minorEastAsia" w:cstheme="minorEastAsia"/>
                <w:b/>
                <w:color w:val="auto"/>
                <w:sz w:val="21"/>
                <w:szCs w:val="21"/>
                <w:highlight w:val="none"/>
              </w:rPr>
              <w:t>必须提供，否则响应文件按无效处理</w:t>
            </w:r>
            <w:r>
              <w:rPr>
                <w:rFonts w:hint="eastAsia" w:asciiTheme="minorEastAsia" w:hAnsiTheme="minorEastAsia" w:eastAsiaTheme="minorEastAsia" w:cstheme="minorEastAsia"/>
                <w:color w:val="auto"/>
                <w:sz w:val="21"/>
                <w:szCs w:val="21"/>
                <w:highlight w:val="none"/>
              </w:rPr>
              <w:t>）</w:t>
            </w:r>
          </w:p>
          <w:p w14:paraId="2128EC02">
            <w:pPr>
              <w:snapToGrid w:val="0"/>
              <w:spacing w:line="360" w:lineRule="auto"/>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8.供应商应为中小微企业、监狱企业、残疾人福利性单位声明函</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b/>
                <w:color w:val="auto"/>
                <w:sz w:val="21"/>
                <w:szCs w:val="21"/>
                <w:highlight w:val="none"/>
              </w:rPr>
              <w:t>必须提供，否则响应文件按无效处理</w:t>
            </w:r>
            <w:r>
              <w:rPr>
                <w:rFonts w:hint="eastAsia" w:asciiTheme="minorEastAsia" w:hAnsiTheme="minorEastAsia" w:eastAsiaTheme="minorEastAsia" w:cstheme="minorEastAsia"/>
                <w:color w:val="auto"/>
                <w:sz w:val="21"/>
                <w:szCs w:val="21"/>
                <w:highlight w:val="none"/>
              </w:rPr>
              <w:t>）</w:t>
            </w:r>
          </w:p>
          <w:p w14:paraId="3E54845F">
            <w:pPr>
              <w:snapToGrid w:val="0"/>
              <w:spacing w:line="360" w:lineRule="auto"/>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9.</w:t>
            </w:r>
            <w:r>
              <w:rPr>
                <w:rFonts w:hint="eastAsia" w:asciiTheme="minorEastAsia" w:hAnsiTheme="minorEastAsia" w:eastAsiaTheme="minorEastAsia" w:cstheme="minorEastAsia"/>
                <w:color w:val="auto"/>
                <w:sz w:val="21"/>
                <w:szCs w:val="21"/>
                <w:highlight w:val="none"/>
              </w:rPr>
              <w:t>除磋商文件规定必须提供以外，供应商认为需要提供的其他证明材料；</w:t>
            </w:r>
          </w:p>
          <w:p w14:paraId="76DE7520">
            <w:pPr>
              <w:snapToGrid w:val="0"/>
              <w:spacing w:line="360" w:lineRule="auto"/>
              <w:jc w:val="left"/>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注：以上标明“必须提供”的材料属于扫描件的，必须加盖供应商电子签章，否则响应文件按无效处理。</w:t>
            </w:r>
          </w:p>
        </w:tc>
      </w:tr>
      <w:tr w14:paraId="40BAF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0A6A72B">
            <w:pPr>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12.1.2</w:t>
            </w:r>
          </w:p>
        </w:tc>
        <w:tc>
          <w:tcPr>
            <w:tcW w:w="7912" w:type="dxa"/>
            <w:vAlign w:val="center"/>
          </w:tcPr>
          <w:p w14:paraId="60B009EF">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报价文件</w:t>
            </w:r>
          </w:p>
          <w:p w14:paraId="37AA2B5A">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1.竞标函及竞标函附录（格式后附）；（</w:t>
            </w:r>
            <w:r>
              <w:rPr>
                <w:rFonts w:hint="eastAsia" w:asciiTheme="minorEastAsia" w:hAnsiTheme="minorEastAsia" w:eastAsiaTheme="minorEastAsia" w:cstheme="minorEastAsia"/>
                <w:b/>
                <w:color w:val="auto"/>
                <w:sz w:val="21"/>
                <w:szCs w:val="21"/>
                <w:highlight w:val="none"/>
              </w:rPr>
              <w:t>必须提供，否则响应文件按无效处理</w:t>
            </w:r>
            <w:r>
              <w:rPr>
                <w:rFonts w:hint="eastAsia" w:asciiTheme="minorEastAsia" w:hAnsiTheme="minorEastAsia" w:eastAsiaTheme="minorEastAsia" w:cstheme="minorEastAsia"/>
                <w:color w:val="auto"/>
                <w:sz w:val="21"/>
                <w:szCs w:val="21"/>
                <w:highlight w:val="none"/>
              </w:rPr>
              <w:t>）</w:t>
            </w:r>
          </w:p>
          <w:p w14:paraId="19DCD449">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2.竞标报价表（格式后附）；（</w:t>
            </w:r>
            <w:r>
              <w:rPr>
                <w:rFonts w:hint="eastAsia" w:asciiTheme="minorEastAsia" w:hAnsiTheme="minorEastAsia" w:eastAsiaTheme="minorEastAsia" w:cstheme="minorEastAsia"/>
                <w:b/>
                <w:color w:val="auto"/>
                <w:sz w:val="21"/>
                <w:szCs w:val="21"/>
                <w:highlight w:val="none"/>
              </w:rPr>
              <w:t>必须提供，否则响应文件按无效处理</w:t>
            </w:r>
            <w:r>
              <w:rPr>
                <w:rFonts w:hint="eastAsia" w:asciiTheme="minorEastAsia" w:hAnsiTheme="minorEastAsia" w:eastAsiaTheme="minorEastAsia" w:cstheme="minorEastAsia"/>
                <w:color w:val="auto"/>
                <w:sz w:val="21"/>
                <w:szCs w:val="21"/>
                <w:highlight w:val="none"/>
              </w:rPr>
              <w:t>）</w:t>
            </w:r>
          </w:p>
          <w:p w14:paraId="300DA3E4">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3.已标价工程量清单；（</w:t>
            </w:r>
            <w:r>
              <w:rPr>
                <w:rFonts w:hint="eastAsia" w:asciiTheme="minorEastAsia" w:hAnsiTheme="minorEastAsia" w:eastAsiaTheme="minorEastAsia" w:cstheme="minorEastAsia"/>
                <w:b/>
                <w:color w:val="auto"/>
                <w:sz w:val="21"/>
                <w:szCs w:val="21"/>
                <w:highlight w:val="none"/>
              </w:rPr>
              <w:t>必须提供，否则响应文件按无效处理</w:t>
            </w:r>
            <w:r>
              <w:rPr>
                <w:rFonts w:hint="eastAsia" w:asciiTheme="minorEastAsia" w:hAnsiTheme="minorEastAsia" w:eastAsiaTheme="minorEastAsia" w:cstheme="minorEastAsia"/>
                <w:color w:val="auto"/>
                <w:sz w:val="21"/>
                <w:szCs w:val="21"/>
                <w:highlight w:val="none"/>
              </w:rPr>
              <w:t>）</w:t>
            </w:r>
          </w:p>
          <w:p w14:paraId="2D64A3FF">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4.供应商认为需要提供的其他有关资料。</w:t>
            </w:r>
          </w:p>
        </w:tc>
      </w:tr>
      <w:tr w14:paraId="0A251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4892195">
            <w:pPr>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12.1.3</w:t>
            </w:r>
          </w:p>
        </w:tc>
        <w:tc>
          <w:tcPr>
            <w:tcW w:w="7912" w:type="dxa"/>
            <w:vAlign w:val="center"/>
          </w:tcPr>
          <w:p w14:paraId="221F220C">
            <w:pPr>
              <w:spacing w:line="360" w:lineRule="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商务技术文件</w:t>
            </w:r>
          </w:p>
          <w:p w14:paraId="2271E9A4">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1.无串通竞标行为的承诺函（格式后附）；（</w:t>
            </w:r>
            <w:r>
              <w:rPr>
                <w:rFonts w:hint="eastAsia" w:asciiTheme="minorEastAsia" w:hAnsiTheme="minorEastAsia" w:eastAsiaTheme="minorEastAsia" w:cstheme="minorEastAsia"/>
                <w:b/>
                <w:color w:val="auto"/>
                <w:sz w:val="21"/>
                <w:szCs w:val="21"/>
                <w:highlight w:val="none"/>
              </w:rPr>
              <w:t>必须提供，否则响应文件按无效处理</w:t>
            </w:r>
            <w:r>
              <w:rPr>
                <w:rFonts w:hint="eastAsia" w:asciiTheme="minorEastAsia" w:hAnsiTheme="minorEastAsia" w:eastAsiaTheme="minorEastAsia" w:cstheme="minorEastAsia"/>
                <w:color w:val="auto"/>
                <w:sz w:val="21"/>
                <w:szCs w:val="21"/>
                <w:highlight w:val="none"/>
              </w:rPr>
              <w:t>）</w:t>
            </w:r>
          </w:p>
          <w:p w14:paraId="25E7E086">
            <w:pPr>
              <w:snapToGrid w:val="0"/>
              <w:spacing w:line="360" w:lineRule="auto"/>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2.法定代表人身份证明书及法定代表人有效身份证正反面扫描件（格式后附）；（</w:t>
            </w:r>
            <w:r>
              <w:rPr>
                <w:rFonts w:hint="eastAsia" w:asciiTheme="minorEastAsia" w:hAnsiTheme="minorEastAsia" w:eastAsiaTheme="minorEastAsia" w:cstheme="minorEastAsia"/>
                <w:b/>
                <w:color w:val="auto"/>
                <w:sz w:val="21"/>
                <w:szCs w:val="21"/>
                <w:highlight w:val="none"/>
              </w:rPr>
              <w:t>必须提供，否则响应文件按无效处理</w:t>
            </w:r>
            <w:r>
              <w:rPr>
                <w:rFonts w:hint="eastAsia" w:asciiTheme="minorEastAsia" w:hAnsiTheme="minorEastAsia" w:eastAsiaTheme="minorEastAsia" w:cstheme="minorEastAsia"/>
                <w:color w:val="auto"/>
                <w:sz w:val="21"/>
                <w:szCs w:val="21"/>
                <w:highlight w:val="none"/>
              </w:rPr>
              <w:t>）</w:t>
            </w:r>
          </w:p>
          <w:p w14:paraId="2F5B1A78">
            <w:pPr>
              <w:spacing w:line="360" w:lineRule="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color w:val="auto"/>
                <w:sz w:val="21"/>
                <w:szCs w:val="21"/>
                <w:highlight w:val="none"/>
              </w:rPr>
              <w:t>3.授权委托书及委托代理人有效身份证正反面扫描件（格式后附）；（</w:t>
            </w:r>
            <w:r>
              <w:rPr>
                <w:rFonts w:hint="eastAsia" w:asciiTheme="minorEastAsia" w:hAnsiTheme="minorEastAsia" w:eastAsiaTheme="minorEastAsia" w:cstheme="minorEastAsia"/>
                <w:b/>
                <w:color w:val="auto"/>
                <w:sz w:val="21"/>
                <w:szCs w:val="21"/>
                <w:highlight w:val="none"/>
              </w:rPr>
              <w:t>委托时必须提供，否则响应文件按无效处理</w:t>
            </w:r>
            <w:r>
              <w:rPr>
                <w:rFonts w:hint="eastAsia" w:asciiTheme="minorEastAsia" w:hAnsiTheme="minorEastAsia" w:eastAsiaTheme="minorEastAsia" w:cstheme="minorEastAsia"/>
                <w:color w:val="auto"/>
                <w:sz w:val="21"/>
                <w:szCs w:val="21"/>
                <w:highlight w:val="none"/>
              </w:rPr>
              <w:t>）</w:t>
            </w:r>
          </w:p>
          <w:p w14:paraId="5A5BDC29">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4.磋商保证金提交凭证；（</w:t>
            </w:r>
            <w:r>
              <w:rPr>
                <w:rFonts w:hint="eastAsia" w:asciiTheme="minorEastAsia" w:hAnsiTheme="minorEastAsia" w:eastAsiaTheme="minorEastAsia" w:cstheme="minorEastAsia"/>
                <w:b/>
                <w:bCs/>
                <w:color w:val="auto"/>
                <w:sz w:val="21"/>
                <w:szCs w:val="21"/>
                <w:highlight w:val="none"/>
              </w:rPr>
              <w:t>必须提供</w:t>
            </w:r>
            <w:r>
              <w:rPr>
                <w:rFonts w:hint="eastAsia" w:asciiTheme="minorEastAsia" w:hAnsiTheme="minorEastAsia" w:eastAsiaTheme="minorEastAsia" w:cstheme="minorEastAsia"/>
                <w:b/>
                <w:color w:val="auto"/>
                <w:sz w:val="21"/>
                <w:szCs w:val="21"/>
                <w:highlight w:val="none"/>
              </w:rPr>
              <w:t>，否则响应文件按无效处理</w:t>
            </w:r>
            <w:r>
              <w:rPr>
                <w:rFonts w:hint="eastAsia" w:asciiTheme="minorEastAsia" w:hAnsiTheme="minorEastAsia" w:eastAsiaTheme="minorEastAsia" w:cstheme="minorEastAsia"/>
                <w:color w:val="auto"/>
                <w:sz w:val="21"/>
                <w:szCs w:val="21"/>
                <w:highlight w:val="none"/>
              </w:rPr>
              <w:t>）</w:t>
            </w:r>
          </w:p>
          <w:p w14:paraId="576CAEB5">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5.施工组织设计（格式自拟）；（</w:t>
            </w:r>
            <w:r>
              <w:rPr>
                <w:rFonts w:hint="eastAsia" w:asciiTheme="minorEastAsia" w:hAnsiTheme="minorEastAsia" w:eastAsiaTheme="minorEastAsia" w:cstheme="minorEastAsia"/>
                <w:b/>
                <w:color w:val="auto"/>
                <w:sz w:val="21"/>
                <w:szCs w:val="21"/>
                <w:highlight w:val="none"/>
              </w:rPr>
              <w:t>必须提供，否则响应文件按无效处理</w:t>
            </w:r>
            <w:r>
              <w:rPr>
                <w:rFonts w:hint="eastAsia" w:asciiTheme="minorEastAsia" w:hAnsiTheme="minorEastAsia" w:eastAsiaTheme="minorEastAsia" w:cstheme="minorEastAsia"/>
                <w:color w:val="auto"/>
                <w:sz w:val="21"/>
                <w:szCs w:val="21"/>
                <w:highlight w:val="none"/>
              </w:rPr>
              <w:t>）</w:t>
            </w:r>
          </w:p>
          <w:p w14:paraId="497C370A">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6.项目管理机构配备情况表及主要人员简历表（格式后附）；（</w:t>
            </w:r>
            <w:r>
              <w:rPr>
                <w:rFonts w:hint="eastAsia" w:asciiTheme="minorEastAsia" w:hAnsiTheme="minorEastAsia" w:eastAsiaTheme="minorEastAsia" w:cstheme="minorEastAsia"/>
                <w:b/>
                <w:color w:val="auto"/>
                <w:sz w:val="21"/>
                <w:szCs w:val="21"/>
                <w:highlight w:val="none"/>
              </w:rPr>
              <w:t>必须提供，否则响应文件按无效处理</w:t>
            </w:r>
            <w:r>
              <w:rPr>
                <w:rFonts w:hint="eastAsia" w:asciiTheme="minorEastAsia" w:hAnsiTheme="minorEastAsia" w:eastAsiaTheme="minorEastAsia" w:cstheme="minorEastAsia"/>
                <w:color w:val="auto"/>
                <w:sz w:val="21"/>
                <w:szCs w:val="21"/>
                <w:highlight w:val="none"/>
              </w:rPr>
              <w:t xml:space="preserve">） </w:t>
            </w:r>
          </w:p>
          <w:p w14:paraId="670CABE6">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7.拟分包项目情况表（格式后附）；（如有）</w:t>
            </w:r>
          </w:p>
          <w:p w14:paraId="68862AA0">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8.供应商认为需要提供的其他有关资料。</w:t>
            </w:r>
          </w:p>
          <w:p w14:paraId="7DA6973A">
            <w:pPr>
              <w:spacing w:line="360" w:lineRule="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注：以上标明“必须提供”的材料属于扫描件的，必须加盖供应商电子签章，否则响应文件按无效处理。</w:t>
            </w:r>
          </w:p>
        </w:tc>
      </w:tr>
      <w:tr w14:paraId="16FCF2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506BE8D">
            <w:pPr>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15.1</w:t>
            </w:r>
          </w:p>
        </w:tc>
        <w:tc>
          <w:tcPr>
            <w:tcW w:w="7912" w:type="dxa"/>
            <w:vAlign w:val="center"/>
          </w:tcPr>
          <w:p w14:paraId="7AE9FBED">
            <w:pPr>
              <w:spacing w:line="360" w:lineRule="auto"/>
              <w:contextualSpacing/>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竞标报价应按磋商文件中“竞标报价表”及“已标价工程量清单”格式填写。</w:t>
            </w:r>
          </w:p>
        </w:tc>
      </w:tr>
      <w:tr w14:paraId="2A77E9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6D1FC20">
            <w:pPr>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15.2</w:t>
            </w:r>
          </w:p>
        </w:tc>
        <w:tc>
          <w:tcPr>
            <w:tcW w:w="7912" w:type="dxa"/>
            <w:vAlign w:val="center"/>
          </w:tcPr>
          <w:p w14:paraId="6CC7F1B5">
            <w:pPr>
              <w:spacing w:line="360" w:lineRule="auto"/>
              <w:contextualSpacing/>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竞标报价是履行合同的最终价格，包括了为实施和完成合同工程所需的劳务、材料、机械、质检（自检）、安装、缺陷修复、管理、保险、税费、利润等费用，以及合同明示或暗示的所有责任、义务和一般风险。</w:t>
            </w:r>
          </w:p>
        </w:tc>
      </w:tr>
      <w:tr w14:paraId="311429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E29839B">
            <w:pPr>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15.3</w:t>
            </w:r>
          </w:p>
        </w:tc>
        <w:tc>
          <w:tcPr>
            <w:tcW w:w="7912" w:type="dxa"/>
            <w:vAlign w:val="center"/>
          </w:tcPr>
          <w:p w14:paraId="7FF9454E">
            <w:pPr>
              <w:spacing w:line="360" w:lineRule="auto"/>
              <w:contextualSpacing/>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本工程增值税计税方法：</w:t>
            </w:r>
            <w:r>
              <w:rPr>
                <w:rFonts w:hint="eastAsia" w:asciiTheme="minorEastAsia" w:hAnsiTheme="minorEastAsia" w:eastAsiaTheme="minorEastAsia" w:cstheme="minorEastAsia"/>
                <w:color w:val="auto"/>
                <w:sz w:val="21"/>
                <w:szCs w:val="21"/>
                <w:highlight w:val="none"/>
              </w:rPr>
              <w:sym w:font="Wingdings 2" w:char="F052"/>
            </w:r>
            <w:r>
              <w:rPr>
                <w:rFonts w:hint="eastAsia" w:asciiTheme="minorEastAsia" w:hAnsiTheme="minorEastAsia" w:eastAsiaTheme="minorEastAsia" w:cstheme="minorEastAsia"/>
                <w:color w:val="auto"/>
                <w:sz w:val="21"/>
                <w:szCs w:val="21"/>
                <w:highlight w:val="none"/>
              </w:rPr>
              <w:t>一般计税法；□简易计税法</w:t>
            </w:r>
          </w:p>
        </w:tc>
      </w:tr>
      <w:tr w14:paraId="373CE9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3946C66">
            <w:pPr>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16.2</w:t>
            </w:r>
          </w:p>
        </w:tc>
        <w:tc>
          <w:tcPr>
            <w:tcW w:w="7912" w:type="dxa"/>
            <w:vAlign w:val="center"/>
          </w:tcPr>
          <w:p w14:paraId="04CEB54A">
            <w:pPr>
              <w:pStyle w:val="15"/>
              <w:widowControl w:val="0"/>
              <w:tabs>
                <w:tab w:val="clear" w:pos="454"/>
              </w:tabs>
              <w:snapToGrid w:val="0"/>
              <w:spacing w:afterLines="0" w:line="360" w:lineRule="auto"/>
              <w:ind w:left="283" w:hanging="283" w:hangingChars="135"/>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竞标有效期：自首次响应文件提交截止之日起</w:t>
            </w:r>
            <w:r>
              <w:rPr>
                <w:rFonts w:hint="eastAsia" w:asciiTheme="minorEastAsia" w:hAnsiTheme="minorEastAsia" w:eastAsiaTheme="minorEastAsia" w:cstheme="minorEastAsia"/>
                <w:color w:val="auto"/>
                <w:kern w:val="2"/>
                <w:sz w:val="21"/>
                <w:szCs w:val="21"/>
                <w:highlight w:val="none"/>
                <w:u w:val="single"/>
              </w:rPr>
              <w:t>60</w:t>
            </w:r>
            <w:r>
              <w:rPr>
                <w:rFonts w:hint="eastAsia" w:asciiTheme="minorEastAsia" w:hAnsiTheme="minorEastAsia" w:eastAsiaTheme="minorEastAsia" w:cstheme="minorEastAsia"/>
                <w:color w:val="auto"/>
                <w:kern w:val="2"/>
                <w:sz w:val="21"/>
                <w:szCs w:val="21"/>
                <w:highlight w:val="none"/>
              </w:rPr>
              <w:t>日。</w:t>
            </w:r>
          </w:p>
        </w:tc>
      </w:tr>
      <w:tr w14:paraId="11AA0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B2C9643">
            <w:pPr>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17.1</w:t>
            </w:r>
          </w:p>
        </w:tc>
        <w:tc>
          <w:tcPr>
            <w:tcW w:w="7912" w:type="dxa"/>
            <w:vAlign w:val="center"/>
          </w:tcPr>
          <w:p w14:paraId="1F5DCE43">
            <w:pPr>
              <w:autoSpaceDE w:val="0"/>
              <w:autoSpaceDN w:val="0"/>
              <w:snapToGrid w:val="0"/>
              <w:spacing w:line="360" w:lineRule="auto"/>
              <w:textAlignment w:val="bottom"/>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□本项目不收取磋商保证金。</w:t>
            </w:r>
          </w:p>
          <w:p w14:paraId="306B0224">
            <w:pPr>
              <w:snapToGrid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sym w:font="Wingdings 2" w:char="F052"/>
            </w:r>
            <w:r>
              <w:rPr>
                <w:rFonts w:hint="eastAsia" w:asciiTheme="minorEastAsia" w:hAnsiTheme="minorEastAsia" w:eastAsiaTheme="minorEastAsia" w:cstheme="minorEastAsia"/>
                <w:color w:val="auto"/>
                <w:sz w:val="21"/>
                <w:szCs w:val="21"/>
                <w:highlight w:val="none"/>
              </w:rPr>
              <w:t>本项目收取磋商保证金，具体规定如下：</w:t>
            </w:r>
          </w:p>
          <w:p w14:paraId="3004CFAF">
            <w:pPr>
              <w:snapToGrid w:val="0"/>
              <w:spacing w:line="360" w:lineRule="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磋商保证金人民币</w:t>
            </w:r>
            <w:r>
              <w:rPr>
                <w:rFonts w:hint="eastAsia" w:asciiTheme="minorEastAsia" w:hAnsiTheme="minorEastAsia" w:eastAsiaTheme="minorEastAsia" w:cstheme="minorEastAsia"/>
                <w:color w:val="auto"/>
                <w:kern w:val="0"/>
                <w:sz w:val="21"/>
                <w:szCs w:val="21"/>
                <w:highlight w:val="none"/>
                <w:u w:val="single"/>
                <w:lang w:val="en-US" w:eastAsia="zh-CN"/>
              </w:rPr>
              <w:t>15</w:t>
            </w:r>
            <w:r>
              <w:rPr>
                <w:rFonts w:hint="eastAsia" w:asciiTheme="minorEastAsia" w:hAnsiTheme="minorEastAsia" w:eastAsiaTheme="minorEastAsia" w:cstheme="minorEastAsia"/>
                <w:color w:val="auto"/>
                <w:kern w:val="0"/>
                <w:sz w:val="21"/>
                <w:szCs w:val="21"/>
                <w:highlight w:val="none"/>
                <w:u w:val="single"/>
              </w:rPr>
              <w:t>000.00</w:t>
            </w:r>
            <w:r>
              <w:rPr>
                <w:rFonts w:hint="eastAsia" w:asciiTheme="minorEastAsia" w:hAnsiTheme="minorEastAsia" w:eastAsiaTheme="minorEastAsia" w:cstheme="minorEastAsia"/>
                <w:color w:val="auto"/>
                <w:kern w:val="0"/>
                <w:sz w:val="21"/>
                <w:szCs w:val="21"/>
                <w:highlight w:val="none"/>
              </w:rPr>
              <w:t>元。</w:t>
            </w:r>
          </w:p>
          <w:p w14:paraId="5553BCA4">
            <w:pPr>
              <w:snapToGrid w:val="0"/>
              <w:spacing w:line="360" w:lineRule="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磋商保证金的交纳方式：银行转账、支票、汇票、本票或者银行、保险机构出具的保函，禁止采用现钞方式。采用银行转账方式的，在响应文件提交截止时间前交至指定账户并且到账【</w:t>
            </w:r>
            <w:r>
              <w:rPr>
                <w:rFonts w:hint="eastAsia" w:asciiTheme="minorEastAsia" w:hAnsiTheme="minorEastAsia" w:eastAsiaTheme="minorEastAsia" w:cstheme="minorEastAsia"/>
                <w:color w:val="auto"/>
                <w:sz w:val="21"/>
                <w:szCs w:val="21"/>
                <w:highlight w:val="none"/>
              </w:rPr>
              <w:t>开户名称：广西建设工程机电设备招标中心有限公司， 开户银行：招商银行南宁分行营业部， 银行账号：771901423310201</w:t>
            </w:r>
            <w:r>
              <w:rPr>
                <w:rFonts w:hint="eastAsia" w:asciiTheme="minorEastAsia" w:hAnsiTheme="minorEastAsia" w:eastAsiaTheme="minorEastAsia" w:cstheme="minorEastAsia"/>
                <w:color w:val="auto"/>
                <w:kern w:val="0"/>
                <w:sz w:val="21"/>
                <w:szCs w:val="21"/>
                <w:highlight w:val="none"/>
              </w:rPr>
              <w:t>】；采用支票、汇票、本票或者保函等方式的，在响应文件提交截止时间前，供应商必须提交单独密封的支票、汇票、本票或者保函原件。</w:t>
            </w:r>
            <w:r>
              <w:rPr>
                <w:rFonts w:hint="eastAsia" w:asciiTheme="minorEastAsia" w:hAnsiTheme="minorEastAsia" w:eastAsiaTheme="minorEastAsia" w:cstheme="minorEastAsia"/>
                <w:b/>
                <w:color w:val="auto"/>
                <w:kern w:val="0"/>
                <w:sz w:val="21"/>
                <w:szCs w:val="21"/>
                <w:highlight w:val="none"/>
              </w:rPr>
              <w:t>否则视为无效磋商保证金。</w:t>
            </w:r>
          </w:p>
          <w:p w14:paraId="337179CF">
            <w:pPr>
              <w:snapToGrid w:val="0"/>
              <w:spacing w:line="360" w:lineRule="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相关要求：</w:t>
            </w:r>
          </w:p>
          <w:p w14:paraId="7A1BE6AE">
            <w:pPr>
              <w:snapToGrid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1.磋商保证金采用银行转账交纳方式的，在响应文件提交截止时间前交至指定账户并且到账，供应商应将银行转账底单的扫描件作为磋商保证金提交凭证，放置于商务技术文件中，</w:t>
            </w:r>
            <w:r>
              <w:rPr>
                <w:rFonts w:hint="eastAsia" w:asciiTheme="minorEastAsia" w:hAnsiTheme="minorEastAsia" w:eastAsiaTheme="minorEastAsia" w:cstheme="minorEastAsia"/>
                <w:b/>
                <w:color w:val="auto"/>
                <w:sz w:val="21"/>
                <w:szCs w:val="21"/>
                <w:highlight w:val="none"/>
              </w:rPr>
              <w:t>否则响应文件按无效处理</w:t>
            </w:r>
            <w:r>
              <w:rPr>
                <w:rFonts w:hint="eastAsia" w:asciiTheme="minorEastAsia" w:hAnsiTheme="minorEastAsia" w:eastAsiaTheme="minorEastAsia" w:cstheme="minorEastAsia"/>
                <w:color w:val="auto"/>
                <w:sz w:val="21"/>
                <w:szCs w:val="21"/>
                <w:highlight w:val="none"/>
              </w:rPr>
              <w:t>。</w:t>
            </w:r>
          </w:p>
          <w:p w14:paraId="1E695DDE">
            <w:pPr>
              <w:snapToGrid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2.磋商保证金采用支票、汇票、本票或者银行、保险机构出具的保函交纳方式的，供应商应将支票、汇票、本票或者银行、保险机构出具的保函的扫描件作为磋商保证金提交凭证，放置于商务技术文件中，</w:t>
            </w:r>
            <w:r>
              <w:rPr>
                <w:rFonts w:hint="eastAsia" w:asciiTheme="minorEastAsia" w:hAnsiTheme="minorEastAsia" w:eastAsiaTheme="minorEastAsia" w:cstheme="minorEastAsia"/>
                <w:b/>
                <w:color w:val="auto"/>
                <w:sz w:val="21"/>
                <w:szCs w:val="21"/>
                <w:highlight w:val="none"/>
              </w:rPr>
              <w:t>否则响应文件按无效处理</w:t>
            </w:r>
            <w:r>
              <w:rPr>
                <w:rFonts w:hint="eastAsia" w:asciiTheme="minorEastAsia" w:hAnsiTheme="minorEastAsia" w:eastAsiaTheme="minorEastAsia" w:cstheme="minorEastAsia"/>
                <w:color w:val="auto"/>
                <w:sz w:val="21"/>
                <w:szCs w:val="21"/>
                <w:highlight w:val="none"/>
              </w:rPr>
              <w:t>。供应商必须在响应文件提交截止时间前采用现场或邮寄方式（现场提交地址</w:t>
            </w:r>
            <w:r>
              <w:rPr>
                <w:rFonts w:hint="eastAsia" w:asciiTheme="minorEastAsia" w:hAnsiTheme="minorEastAsia" w:eastAsiaTheme="minorEastAsia" w:cstheme="minorEastAsia"/>
                <w:color w:val="auto"/>
                <w:sz w:val="21"/>
                <w:szCs w:val="21"/>
                <w:highlight w:val="none"/>
                <w:lang w:eastAsia="zh-CN"/>
              </w:rPr>
              <w:t>及</w:t>
            </w:r>
            <w:r>
              <w:rPr>
                <w:rFonts w:hint="eastAsia" w:asciiTheme="minorEastAsia" w:hAnsiTheme="minorEastAsia" w:eastAsiaTheme="minorEastAsia" w:cstheme="minorEastAsia"/>
                <w:color w:val="auto"/>
                <w:sz w:val="21"/>
                <w:szCs w:val="21"/>
                <w:highlight w:val="none"/>
              </w:rPr>
              <w:t>邮寄地址：</w:t>
            </w:r>
            <w:r>
              <w:rPr>
                <w:rFonts w:hint="eastAsia" w:asciiTheme="minorEastAsia" w:hAnsiTheme="minorEastAsia" w:eastAsiaTheme="minorEastAsia" w:cstheme="minorEastAsia"/>
                <w:color w:val="auto"/>
                <w:sz w:val="21"/>
                <w:szCs w:val="21"/>
                <w:highlight w:val="none"/>
                <w:lang w:eastAsia="zh-CN"/>
              </w:rPr>
              <w:t>南宁市青秀区枫林路18号广西国控大厦裙楼三层</w:t>
            </w:r>
            <w:r>
              <w:rPr>
                <w:rFonts w:hint="eastAsia" w:asciiTheme="minorEastAsia" w:hAnsiTheme="minorEastAsia" w:eastAsiaTheme="minorEastAsia" w:cstheme="minorEastAsia"/>
                <w:color w:val="auto"/>
                <w:sz w:val="21"/>
                <w:szCs w:val="21"/>
                <w:highlight w:val="none"/>
              </w:rPr>
              <w:t>，收件人：</w:t>
            </w:r>
            <w:r>
              <w:rPr>
                <w:rFonts w:hint="eastAsia" w:asciiTheme="minorEastAsia" w:hAnsiTheme="minorEastAsia" w:eastAsiaTheme="minorEastAsia" w:cstheme="minorEastAsia"/>
                <w:color w:val="auto"/>
                <w:sz w:val="21"/>
                <w:szCs w:val="21"/>
                <w:highlight w:val="none"/>
                <w:u w:val="single"/>
                <w:lang w:eastAsia="zh-CN"/>
              </w:rPr>
              <w:t>陈秋蓉</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，联系方式：</w:t>
            </w:r>
            <w:r>
              <w:rPr>
                <w:rFonts w:hint="eastAsia" w:asciiTheme="minorEastAsia" w:hAnsiTheme="minorEastAsia" w:eastAsiaTheme="minorEastAsia" w:cstheme="minorEastAsia"/>
                <w:color w:val="auto"/>
                <w:sz w:val="21"/>
                <w:szCs w:val="21"/>
                <w:highlight w:val="none"/>
                <w:u w:val="single"/>
              </w:rPr>
              <w:t>0771-</w:t>
            </w:r>
            <w:r>
              <w:rPr>
                <w:rFonts w:hint="eastAsia" w:asciiTheme="minorEastAsia" w:hAnsiTheme="minorEastAsia" w:eastAsiaTheme="minorEastAsia" w:cstheme="minorEastAsia"/>
                <w:color w:val="auto"/>
                <w:sz w:val="21"/>
                <w:szCs w:val="21"/>
                <w:highlight w:val="none"/>
                <w:u w:val="single"/>
                <w:lang w:val="en-US" w:eastAsia="zh-CN"/>
              </w:rPr>
              <w:t>2808057</w:t>
            </w:r>
            <w:r>
              <w:rPr>
                <w:rFonts w:hint="eastAsia" w:asciiTheme="minorEastAsia" w:hAnsiTheme="minorEastAsia" w:eastAsiaTheme="minorEastAsia" w:cstheme="minorEastAsia"/>
                <w:color w:val="auto"/>
                <w:sz w:val="21"/>
                <w:szCs w:val="21"/>
                <w:highlight w:val="none"/>
              </w:rPr>
              <w:t>）将</w:t>
            </w:r>
            <w:r>
              <w:rPr>
                <w:rFonts w:hint="eastAsia" w:asciiTheme="minorEastAsia" w:hAnsiTheme="minorEastAsia" w:eastAsiaTheme="minorEastAsia" w:cstheme="minorEastAsia"/>
                <w:color w:val="auto"/>
                <w:kern w:val="0"/>
                <w:sz w:val="21"/>
                <w:szCs w:val="21"/>
                <w:highlight w:val="none"/>
              </w:rPr>
              <w:t>单独密封的</w:t>
            </w:r>
            <w:r>
              <w:rPr>
                <w:rFonts w:hint="eastAsia" w:asciiTheme="minorEastAsia" w:hAnsiTheme="minorEastAsia" w:eastAsiaTheme="minorEastAsia" w:cstheme="minorEastAsia"/>
                <w:color w:val="auto"/>
                <w:sz w:val="21"/>
                <w:szCs w:val="21"/>
                <w:highlight w:val="none"/>
              </w:rPr>
              <w:t>支票、汇票、本票或者银行、保险机构出具的保函原件提交给采购人或者采购代理机构，由采购人或者采购代理机构向供应商出具回执（邮寄方式的除外），并妥善保管。</w:t>
            </w:r>
          </w:p>
          <w:p w14:paraId="099F997E">
            <w:pPr>
              <w:snapToGrid w:val="0"/>
              <w:spacing w:line="360" w:lineRule="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color w:val="auto"/>
                <w:sz w:val="21"/>
                <w:szCs w:val="21"/>
                <w:highlight w:val="none"/>
              </w:rPr>
              <w:t>3.供应商为联合体的，可以由联合体中的一方或者多方共同交纳磋商保证金，其交纳的保证金对联合体各方均具有约束力。</w:t>
            </w:r>
          </w:p>
          <w:p w14:paraId="11123E6C">
            <w:pPr>
              <w:snapToGrid w:val="0"/>
              <w:spacing w:line="360" w:lineRule="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 xml:space="preserve">备注： </w:t>
            </w:r>
          </w:p>
          <w:p w14:paraId="396267FC">
            <w:pPr>
              <w:snapToGrid w:val="0"/>
              <w:spacing w:line="360" w:lineRule="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1.磋商保证金在响应文件提交截止时间后提交的，或者不按规定交纳方式交纳的，或者未足额交纳的（包含保函额度不足的），视为无效磋商保证金。</w:t>
            </w:r>
          </w:p>
          <w:p w14:paraId="0A9FD21F">
            <w:pPr>
              <w:snapToGrid w:val="0"/>
              <w:spacing w:line="360" w:lineRule="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2.供应商采用现钞方式或者从个人账户转出的磋商保证金，视为无效磋商保证金。</w:t>
            </w:r>
          </w:p>
          <w:p w14:paraId="364A9B09">
            <w:pPr>
              <w:snapToGrid w:val="0"/>
              <w:spacing w:line="360" w:lineRule="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3.支票、汇票或者本票出现无效或者背书情形的，视为无效磋商保证金。</w:t>
            </w:r>
          </w:p>
          <w:p w14:paraId="5D20EE92">
            <w:pPr>
              <w:snapToGrid w:val="0"/>
              <w:spacing w:line="360" w:lineRule="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4.保函有效期低于竞标有效期的，视为无效磋商保证金。</w:t>
            </w:r>
          </w:p>
          <w:p w14:paraId="2725BCA6">
            <w:pPr>
              <w:snapToGrid w:val="0"/>
              <w:spacing w:line="360" w:lineRule="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5.采用银行、保险机构出具保函的，必须为无条件保函，否则视为无效磋商保证金。</w:t>
            </w:r>
          </w:p>
        </w:tc>
      </w:tr>
      <w:tr w14:paraId="583F43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4B44B80">
            <w:pPr>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19</w:t>
            </w:r>
          </w:p>
        </w:tc>
        <w:tc>
          <w:tcPr>
            <w:tcW w:w="7912" w:type="dxa"/>
            <w:vAlign w:val="center"/>
          </w:tcPr>
          <w:p w14:paraId="08205DD7">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本项目不接受电子备份响应文件</w:t>
            </w:r>
          </w:p>
        </w:tc>
      </w:tr>
      <w:tr w14:paraId="3D295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BF9FA3E">
            <w:pPr>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20.1</w:t>
            </w:r>
          </w:p>
        </w:tc>
        <w:tc>
          <w:tcPr>
            <w:tcW w:w="7912" w:type="dxa"/>
            <w:vAlign w:val="center"/>
          </w:tcPr>
          <w:p w14:paraId="28D566CC">
            <w:pPr>
              <w:spacing w:line="360" w:lineRule="auto"/>
              <w:contextualSpacing/>
              <w:jc w:val="left"/>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响应文件提交截止时间：详见竞争性磋商公告</w:t>
            </w:r>
          </w:p>
          <w:p w14:paraId="750EB329">
            <w:pPr>
              <w:spacing w:line="360" w:lineRule="auto"/>
              <w:contextualSpacing/>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响应文件提交地点：详见竞争性磋商公告</w:t>
            </w:r>
          </w:p>
        </w:tc>
      </w:tr>
      <w:tr w14:paraId="4F6C4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1EED9B1">
            <w:pPr>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24.1</w:t>
            </w:r>
          </w:p>
        </w:tc>
        <w:tc>
          <w:tcPr>
            <w:tcW w:w="7912" w:type="dxa"/>
            <w:vAlign w:val="center"/>
          </w:tcPr>
          <w:p w14:paraId="54501EA6">
            <w:pPr>
              <w:snapToGrid w:val="0"/>
              <w:spacing w:line="360" w:lineRule="auto"/>
              <w:jc w:val="left"/>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磋商小组的人数：</w:t>
            </w:r>
            <w:r>
              <w:rPr>
                <w:rFonts w:hint="eastAsia" w:asciiTheme="minorEastAsia" w:hAnsiTheme="minorEastAsia" w:eastAsiaTheme="minorEastAsia" w:cstheme="minorEastAsia"/>
                <w:color w:val="auto"/>
                <w:sz w:val="21"/>
                <w:szCs w:val="21"/>
                <w:highlight w:val="none"/>
                <w:u w:val="single"/>
              </w:rPr>
              <w:t>3</w:t>
            </w:r>
            <w:r>
              <w:rPr>
                <w:rFonts w:hint="eastAsia" w:asciiTheme="minorEastAsia" w:hAnsiTheme="minorEastAsia" w:eastAsiaTheme="minorEastAsia" w:cstheme="minorEastAsia"/>
                <w:color w:val="auto"/>
                <w:sz w:val="21"/>
                <w:szCs w:val="21"/>
                <w:highlight w:val="none"/>
              </w:rPr>
              <w:t>人。</w:t>
            </w:r>
          </w:p>
        </w:tc>
      </w:tr>
      <w:tr w14:paraId="3BC2ED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34EDF78">
            <w:pPr>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25</w:t>
            </w:r>
          </w:p>
        </w:tc>
        <w:tc>
          <w:tcPr>
            <w:tcW w:w="7912" w:type="dxa"/>
            <w:vAlign w:val="center"/>
          </w:tcPr>
          <w:p w14:paraId="15F1BCD0">
            <w:pPr>
              <w:snapToGrid w:val="0"/>
              <w:spacing w:line="360" w:lineRule="auto"/>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首次响应文件开启时间详见“竞争性磋商公告”</w:t>
            </w:r>
          </w:p>
          <w:p w14:paraId="4618DD90">
            <w:pPr>
              <w:snapToGrid w:val="0"/>
              <w:spacing w:line="360" w:lineRule="auto"/>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首次响应文件解密时间：</w:t>
            </w:r>
            <w:r>
              <w:rPr>
                <w:rFonts w:hint="eastAsia" w:asciiTheme="minorEastAsia" w:hAnsiTheme="minorEastAsia" w:eastAsiaTheme="minorEastAsia" w:cstheme="minorEastAsia"/>
                <w:color w:val="auto"/>
                <w:sz w:val="21"/>
                <w:szCs w:val="21"/>
                <w:highlight w:val="none"/>
                <w:u w:val="single"/>
              </w:rPr>
              <w:t>60</w:t>
            </w:r>
            <w:r>
              <w:rPr>
                <w:rFonts w:hint="eastAsia" w:asciiTheme="minorEastAsia" w:hAnsiTheme="minorEastAsia" w:eastAsiaTheme="minorEastAsia" w:cstheme="minorEastAsia"/>
                <w:color w:val="auto"/>
                <w:sz w:val="21"/>
                <w:szCs w:val="21"/>
                <w:highlight w:val="none"/>
              </w:rPr>
              <w:t>分钟</w:t>
            </w:r>
          </w:p>
        </w:tc>
      </w:tr>
      <w:tr w14:paraId="15D33E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92" w:type="dxa"/>
            <w:vAlign w:val="center"/>
          </w:tcPr>
          <w:p w14:paraId="60F66054">
            <w:pPr>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26.3</w:t>
            </w:r>
          </w:p>
        </w:tc>
        <w:tc>
          <w:tcPr>
            <w:tcW w:w="7912" w:type="dxa"/>
            <w:vAlign w:val="center"/>
          </w:tcPr>
          <w:p w14:paraId="54731785">
            <w:pPr>
              <w:snapToGrid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商务要求评审中允许负偏离的条款数为</w:t>
            </w:r>
            <w:r>
              <w:rPr>
                <w:rFonts w:hint="eastAsia" w:asciiTheme="minorEastAsia" w:hAnsiTheme="minorEastAsia" w:eastAsiaTheme="minorEastAsia" w:cstheme="minorEastAsia"/>
                <w:color w:val="auto"/>
                <w:sz w:val="21"/>
                <w:szCs w:val="21"/>
                <w:highlight w:val="none"/>
                <w:u w:val="single"/>
              </w:rPr>
              <w:t>0</w:t>
            </w:r>
            <w:r>
              <w:rPr>
                <w:rFonts w:hint="eastAsia" w:asciiTheme="minorEastAsia" w:hAnsiTheme="minorEastAsia" w:eastAsiaTheme="minorEastAsia" w:cstheme="minorEastAsia"/>
                <w:color w:val="auto"/>
                <w:sz w:val="21"/>
                <w:szCs w:val="21"/>
                <w:highlight w:val="none"/>
              </w:rPr>
              <w:t>项。</w:t>
            </w:r>
          </w:p>
          <w:p w14:paraId="64B04AE1">
            <w:pPr>
              <w:snapToGrid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技术要求评审中允许负偏离的条款数为</w:t>
            </w:r>
            <w:r>
              <w:rPr>
                <w:rFonts w:hint="eastAsia" w:asciiTheme="minorEastAsia" w:hAnsiTheme="minorEastAsia" w:eastAsiaTheme="minorEastAsia" w:cstheme="minorEastAsia"/>
                <w:color w:val="auto"/>
                <w:sz w:val="21"/>
                <w:szCs w:val="21"/>
                <w:highlight w:val="none"/>
                <w:u w:val="single"/>
              </w:rPr>
              <w:t>0</w:t>
            </w:r>
            <w:r>
              <w:rPr>
                <w:rFonts w:hint="eastAsia" w:asciiTheme="minorEastAsia" w:hAnsiTheme="minorEastAsia" w:eastAsiaTheme="minorEastAsia" w:cstheme="minorEastAsia"/>
                <w:color w:val="auto"/>
                <w:sz w:val="21"/>
                <w:szCs w:val="21"/>
                <w:highlight w:val="none"/>
              </w:rPr>
              <w:t>项。</w:t>
            </w:r>
          </w:p>
        </w:tc>
      </w:tr>
      <w:tr w14:paraId="5F85AD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DCE7C5A">
            <w:pPr>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28.1</w:t>
            </w:r>
          </w:p>
        </w:tc>
        <w:tc>
          <w:tcPr>
            <w:tcW w:w="7912" w:type="dxa"/>
            <w:vAlign w:val="center"/>
          </w:tcPr>
          <w:p w14:paraId="0560E84D">
            <w:pPr>
              <w:autoSpaceDE w:val="0"/>
              <w:autoSpaceDN w:val="0"/>
              <w:snapToGrid w:val="0"/>
              <w:spacing w:line="360" w:lineRule="auto"/>
              <w:textAlignment w:val="bottom"/>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□本项目不收取履约保证金。</w:t>
            </w:r>
          </w:p>
          <w:p w14:paraId="42988552">
            <w:pPr>
              <w:autoSpaceDE w:val="0"/>
              <w:autoSpaceDN w:val="0"/>
              <w:snapToGrid w:val="0"/>
              <w:spacing w:line="360" w:lineRule="auto"/>
              <w:textAlignment w:val="bottom"/>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sym w:font="Wingdings 2" w:char="F052"/>
            </w:r>
            <w:r>
              <w:rPr>
                <w:rFonts w:hint="eastAsia" w:asciiTheme="minorEastAsia" w:hAnsiTheme="minorEastAsia" w:eastAsiaTheme="minorEastAsia" w:cstheme="minorEastAsia"/>
                <w:color w:val="auto"/>
                <w:sz w:val="21"/>
                <w:szCs w:val="21"/>
                <w:highlight w:val="none"/>
              </w:rPr>
              <w:t>本项目收取履约保证金，具体规定如下：</w:t>
            </w:r>
          </w:p>
          <w:p w14:paraId="298518B4">
            <w:pPr>
              <w:spacing w:line="360" w:lineRule="auto"/>
              <w:contextualSpacing/>
              <w:rPr>
                <w:rFonts w:hint="eastAsia" w:asciiTheme="minorEastAsia" w:hAnsiTheme="minorEastAsia" w:eastAsiaTheme="minorEastAsia" w:cstheme="minorEastAsia"/>
                <w:b/>
                <w:i/>
                <w:color w:val="auto"/>
                <w:sz w:val="21"/>
                <w:szCs w:val="21"/>
                <w:highlight w:val="none"/>
              </w:rPr>
            </w:pPr>
            <w:r>
              <w:rPr>
                <w:rFonts w:hint="eastAsia" w:asciiTheme="minorEastAsia" w:hAnsiTheme="minorEastAsia" w:eastAsiaTheme="minorEastAsia" w:cstheme="minorEastAsia"/>
                <w:color w:val="auto"/>
                <w:sz w:val="21"/>
                <w:szCs w:val="21"/>
                <w:highlight w:val="none"/>
              </w:rPr>
              <w:t>履约保证金金额：</w:t>
            </w:r>
            <w:bookmarkStart w:id="51" w:name="履约保证金"/>
            <w:r>
              <w:rPr>
                <w:rFonts w:hint="eastAsia" w:asciiTheme="minorEastAsia" w:hAnsiTheme="minorEastAsia" w:eastAsiaTheme="minorEastAsia" w:cstheme="minorEastAsia"/>
                <w:color w:val="auto"/>
                <w:sz w:val="21"/>
                <w:szCs w:val="21"/>
                <w:highlight w:val="none"/>
                <w:u w:val="single"/>
              </w:rPr>
              <w:t>合同价款的2%</w:t>
            </w:r>
            <w:r>
              <w:rPr>
                <w:rFonts w:hint="eastAsia" w:asciiTheme="minorEastAsia" w:hAnsiTheme="minorEastAsia" w:eastAsiaTheme="minorEastAsia" w:cstheme="minorEastAsia"/>
                <w:color w:val="auto"/>
                <w:sz w:val="21"/>
                <w:szCs w:val="21"/>
                <w:highlight w:val="none"/>
              </w:rPr>
              <w:t>。</w:t>
            </w:r>
          </w:p>
          <w:bookmarkEnd w:id="51"/>
          <w:p w14:paraId="4B2946E7">
            <w:pPr>
              <w:spacing w:line="360" w:lineRule="auto"/>
              <w:contextualSpacing/>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履约保证金提交方式：银行转账、支票、汇票、本票或者银行、保险机构出具的保函等非现金方式。在收到成交通知书后，须在15日内提交。逾期不提交的，采购人有权取消其成交资格，磋商保证金不予退还。</w:t>
            </w:r>
          </w:p>
          <w:p w14:paraId="01FBBC51">
            <w:pPr>
              <w:spacing w:line="360" w:lineRule="auto"/>
              <w:contextualSpacing/>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履约保证金退付方式、时间及条件：采购人应在收到申请之日起5个工作日内扣减供应商赔偿金和其他应从供应商扣回的款项后，将履约金退给供应商（无息）。</w:t>
            </w:r>
          </w:p>
          <w:p w14:paraId="1DCB3772">
            <w:pPr>
              <w:spacing w:line="360" w:lineRule="auto"/>
              <w:contextualSpacing/>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履约保证金指定账户：（合同签订前提供）</w:t>
            </w:r>
          </w:p>
          <w:p w14:paraId="6EDCE882">
            <w:pPr>
              <w:spacing w:line="360" w:lineRule="auto"/>
              <w:contextualSpacing/>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备注：</w:t>
            </w:r>
            <w:r>
              <w:rPr>
                <w:rFonts w:hint="eastAsia" w:asciiTheme="minorEastAsia" w:hAnsiTheme="minorEastAsia" w:eastAsiaTheme="minorEastAsia" w:cstheme="minorEastAsia"/>
                <w:color w:val="auto"/>
                <w:sz w:val="21"/>
                <w:szCs w:val="21"/>
                <w:highlight w:val="none"/>
              </w:rPr>
              <w:br w:type="textWrapping"/>
            </w:r>
            <w:r>
              <w:rPr>
                <w:rFonts w:hint="eastAsia" w:asciiTheme="minorEastAsia" w:hAnsiTheme="minorEastAsia" w:eastAsiaTheme="minorEastAsia" w:cstheme="minorEastAsia"/>
                <w:b/>
                <w:color w:val="auto"/>
                <w:sz w:val="21"/>
                <w:szCs w:val="21"/>
                <w:highlight w:val="none"/>
              </w:rPr>
              <w:t>1.履约保证金不足额缴纳的，或者银行、保险机构出具的保函额度不足的或者保函有效期低于合同履行期限（即签订采购合同之日起至履行完合同约定的权利及义务之日止）的，不予签订合同。</w:t>
            </w:r>
            <w:r>
              <w:rPr>
                <w:rFonts w:hint="eastAsia" w:asciiTheme="minorEastAsia" w:hAnsiTheme="minorEastAsia" w:eastAsiaTheme="minorEastAsia" w:cstheme="minorEastAsia"/>
                <w:b/>
                <w:color w:val="auto"/>
                <w:sz w:val="21"/>
                <w:szCs w:val="21"/>
                <w:highlight w:val="none"/>
              </w:rPr>
              <w:br w:type="textWrapping"/>
            </w:r>
            <w:r>
              <w:rPr>
                <w:rFonts w:hint="eastAsia" w:asciiTheme="minorEastAsia" w:hAnsiTheme="minorEastAsia" w:eastAsiaTheme="minorEastAsia" w:cstheme="minorEastAsia"/>
                <w:b/>
                <w:color w:val="auto"/>
                <w:sz w:val="21"/>
                <w:szCs w:val="21"/>
                <w:highlight w:val="none"/>
              </w:rPr>
              <w:t>2.采用银行、保险机构出具的保函的，必须为无条件保函，否则不予签订合同。</w:t>
            </w:r>
          </w:p>
          <w:p w14:paraId="4ADDA398">
            <w:pPr>
              <w:spacing w:line="360" w:lineRule="auto"/>
              <w:contextualSpacing/>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color w:val="auto"/>
                <w:sz w:val="21"/>
                <w:szCs w:val="21"/>
                <w:highlight w:val="none"/>
              </w:rPr>
              <w:t>3.供应商为联合体的，由联合体任意一方按规定提交的履约保证金，视为有效履约保证金。</w:t>
            </w:r>
          </w:p>
        </w:tc>
      </w:tr>
      <w:tr w14:paraId="462F2C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FD85079">
            <w:pPr>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29.1</w:t>
            </w:r>
          </w:p>
        </w:tc>
        <w:tc>
          <w:tcPr>
            <w:tcW w:w="7912" w:type="dxa"/>
            <w:vAlign w:val="center"/>
          </w:tcPr>
          <w:p w14:paraId="09BC9377">
            <w:pPr>
              <w:autoSpaceDE w:val="0"/>
              <w:autoSpaceDN w:val="0"/>
              <w:snapToGrid w:val="0"/>
              <w:spacing w:line="360" w:lineRule="auto"/>
              <w:textAlignment w:val="bottom"/>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签订合同携带的证明材料： </w:t>
            </w:r>
          </w:p>
          <w:p w14:paraId="23DC28A8">
            <w:pPr>
              <w:autoSpaceDE w:val="0"/>
              <w:autoSpaceDN w:val="0"/>
              <w:snapToGrid w:val="0"/>
              <w:spacing w:line="360" w:lineRule="auto"/>
              <w:textAlignment w:val="bottom"/>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委托代理人负责签订合同的，须携带授权委托书及委托代理人身份证原件等其他资格证件。</w:t>
            </w:r>
          </w:p>
          <w:p w14:paraId="4C83D9E5">
            <w:pPr>
              <w:snapToGrid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法定代表人负责签订合同的，须携带法定代表人身份证明原件及身份证原件等其他证明材料。</w:t>
            </w:r>
          </w:p>
        </w:tc>
      </w:tr>
      <w:tr w14:paraId="2EB850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02C6C8C">
            <w:pPr>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31.2</w:t>
            </w:r>
          </w:p>
        </w:tc>
        <w:tc>
          <w:tcPr>
            <w:tcW w:w="7912" w:type="dxa"/>
            <w:vAlign w:val="center"/>
          </w:tcPr>
          <w:p w14:paraId="3138482C">
            <w:pPr>
              <w:snapToGrid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接收质疑函方式：书面形式或者广西政府采购云系统在线形式</w:t>
            </w:r>
          </w:p>
          <w:p w14:paraId="3EE71532">
            <w:pPr>
              <w:pStyle w:val="29"/>
              <w:snapToGrid w:val="0"/>
              <w:spacing w:line="360" w:lineRule="auto"/>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质疑联系部门及联系方式：</w:t>
            </w:r>
            <w:r>
              <w:rPr>
                <w:rFonts w:hint="eastAsia" w:asciiTheme="minorEastAsia" w:hAnsiTheme="minorEastAsia" w:eastAsiaTheme="minorEastAsia" w:cstheme="minorEastAsia"/>
                <w:color w:val="auto"/>
                <w:kern w:val="2"/>
                <w:sz w:val="21"/>
                <w:szCs w:val="21"/>
                <w:highlight w:val="none"/>
                <w:lang w:eastAsia="zh-CN"/>
              </w:rPr>
              <w:t>广西建设工程机电设备招标中心有限公司</w:t>
            </w:r>
            <w:r>
              <w:rPr>
                <w:rFonts w:hint="eastAsia" w:asciiTheme="minorEastAsia" w:hAnsiTheme="minorEastAsia" w:eastAsiaTheme="minorEastAsia" w:cstheme="minorEastAsia"/>
                <w:color w:val="auto"/>
                <w:kern w:val="2"/>
                <w:sz w:val="21"/>
                <w:szCs w:val="21"/>
                <w:highlight w:val="none"/>
              </w:rPr>
              <w:t>，联系电话：0771-2</w:t>
            </w:r>
            <w:r>
              <w:rPr>
                <w:rFonts w:hint="eastAsia" w:asciiTheme="minorEastAsia" w:hAnsiTheme="minorEastAsia" w:eastAsiaTheme="minorEastAsia" w:cstheme="minorEastAsia"/>
                <w:color w:val="auto"/>
                <w:kern w:val="2"/>
                <w:sz w:val="21"/>
                <w:szCs w:val="21"/>
                <w:highlight w:val="none"/>
                <w:lang w:val="en-US" w:eastAsia="zh-CN"/>
              </w:rPr>
              <w:t>808057</w:t>
            </w:r>
            <w:r>
              <w:rPr>
                <w:rFonts w:hint="eastAsia" w:asciiTheme="minorEastAsia" w:hAnsiTheme="minorEastAsia" w:eastAsiaTheme="minorEastAsia" w:cstheme="minorEastAsia"/>
                <w:color w:val="auto"/>
                <w:kern w:val="2"/>
                <w:sz w:val="21"/>
                <w:szCs w:val="21"/>
                <w:highlight w:val="none"/>
              </w:rPr>
              <w:t>，通讯地址：</w:t>
            </w:r>
            <w:r>
              <w:rPr>
                <w:rFonts w:hint="eastAsia" w:asciiTheme="minorEastAsia" w:hAnsiTheme="minorEastAsia" w:eastAsiaTheme="minorEastAsia" w:cstheme="minorEastAsia"/>
                <w:color w:val="auto"/>
                <w:kern w:val="2"/>
                <w:sz w:val="21"/>
                <w:szCs w:val="21"/>
                <w:highlight w:val="none"/>
                <w:lang w:eastAsia="zh-CN"/>
              </w:rPr>
              <w:t>南宁市青秀区枫林路18号广西国控大厦裙楼三层</w:t>
            </w:r>
            <w:r>
              <w:rPr>
                <w:rFonts w:hint="eastAsia" w:asciiTheme="minorEastAsia" w:hAnsiTheme="minorEastAsia" w:eastAsiaTheme="minorEastAsia" w:cstheme="minorEastAsia"/>
                <w:bCs/>
                <w:color w:val="auto"/>
                <w:sz w:val="21"/>
                <w:szCs w:val="21"/>
                <w:highlight w:val="none"/>
              </w:rPr>
              <w:t>。</w:t>
            </w:r>
          </w:p>
          <w:p w14:paraId="605E7783">
            <w:pPr>
              <w:autoSpaceDE w:val="0"/>
              <w:autoSpaceDN w:val="0"/>
              <w:snapToGrid w:val="0"/>
              <w:spacing w:line="360" w:lineRule="auto"/>
              <w:textAlignment w:val="bottom"/>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rPr>
              <w:t>业务时间：工作日每天上午8时00分到12时00分，下午3时00分到6时00分。</w:t>
            </w:r>
          </w:p>
        </w:tc>
      </w:tr>
      <w:tr w14:paraId="02DD3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4DEDDC6">
            <w:pPr>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32.1</w:t>
            </w:r>
          </w:p>
        </w:tc>
        <w:tc>
          <w:tcPr>
            <w:tcW w:w="7912" w:type="dxa"/>
            <w:vAlign w:val="center"/>
          </w:tcPr>
          <w:p w14:paraId="679ED15E">
            <w:pPr>
              <w:pStyle w:val="29"/>
              <w:snapToGrid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1.采购代理费支付方式：</w:t>
            </w:r>
          </w:p>
          <w:p w14:paraId="149DFF77">
            <w:pPr>
              <w:pStyle w:val="29"/>
              <w:snapToGrid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☑本项目代理服务费由成交供应商一次性向采购代理机构支付。</w:t>
            </w:r>
          </w:p>
          <w:p w14:paraId="0E3C5041">
            <w:pPr>
              <w:pStyle w:val="29"/>
              <w:snapToGrid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□采购人支付。</w:t>
            </w:r>
          </w:p>
          <w:p w14:paraId="37235A4E">
            <w:pPr>
              <w:pStyle w:val="29"/>
              <w:snapToGrid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2.采购代理费收取标准：</w:t>
            </w:r>
          </w:p>
          <w:p w14:paraId="5F6C811C">
            <w:pPr>
              <w:pStyle w:val="29"/>
              <w:snapToGrid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☑以成交金额为计费额，按本须知正文第32.2条规定的收费计算标准（工程类）采用差额定率累进法计算出收费基准价格，采购代理收费以收费基准价格下浮 20 %收取。</w:t>
            </w:r>
          </w:p>
          <w:p w14:paraId="42AEFA1F">
            <w:pPr>
              <w:pStyle w:val="29"/>
              <w:snapToGrid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□固定采购代理收费              。</w:t>
            </w:r>
          </w:p>
          <w:p w14:paraId="6C1C5123">
            <w:pPr>
              <w:pStyle w:val="29"/>
              <w:snapToGrid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 采购代理费收取银行账户</w:t>
            </w:r>
          </w:p>
          <w:p w14:paraId="2B9E5F41">
            <w:pPr>
              <w:pStyle w:val="29"/>
              <w:snapToGrid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账户名称：广西建设工程机电设备招标中心有限公司</w:t>
            </w:r>
          </w:p>
          <w:p w14:paraId="7A329341">
            <w:pPr>
              <w:pStyle w:val="29"/>
              <w:snapToGrid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开户银行：招商银行南宁分行营业部</w:t>
            </w:r>
          </w:p>
          <w:p w14:paraId="1F757F33">
            <w:pPr>
              <w:pStyle w:val="29"/>
              <w:snapToGrid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银行账号：771901423310201</w:t>
            </w:r>
          </w:p>
        </w:tc>
      </w:tr>
      <w:tr w14:paraId="38B14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9D254CB">
            <w:pPr>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33.1</w:t>
            </w:r>
          </w:p>
        </w:tc>
        <w:tc>
          <w:tcPr>
            <w:tcW w:w="7912" w:type="dxa"/>
            <w:vAlign w:val="center"/>
          </w:tcPr>
          <w:p w14:paraId="49A180D2">
            <w:pPr>
              <w:pStyle w:val="29"/>
              <w:snapToGrid w:val="0"/>
              <w:spacing w:line="360" w:lineRule="auto"/>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sz w:val="21"/>
                <w:szCs w:val="21"/>
                <w:highlight w:val="none"/>
              </w:rPr>
              <w:t>解释：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由采购人或者采购代理机构负责解释。</w:t>
            </w:r>
          </w:p>
        </w:tc>
      </w:tr>
      <w:tr w14:paraId="5E4F5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CA0D929">
            <w:pPr>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33.2</w:t>
            </w:r>
          </w:p>
        </w:tc>
        <w:tc>
          <w:tcPr>
            <w:tcW w:w="7912" w:type="dxa"/>
            <w:vAlign w:val="center"/>
          </w:tcPr>
          <w:p w14:paraId="4F822231">
            <w:pPr>
              <w:pStyle w:val="29"/>
              <w:snapToGrid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农民工工资保证金：按照《保障农民工工资支付条例》及《广西壮族自治区人力资源和社会保障厅等8部门关于印发广西壮族自治区工程建设领域农民工工资专用账户管理暂行办法实施细则的通知》（桂人社规〔2022〕5号）有关规定执行。如开设了农民工工资专用账户的，应按规定比例足额将农民工工资保证金存入账户，也可以使用银行保函。工程竣工验收结算经审定后，按照规定程序，将农民工工资保证金没有使用或剩余的金额退还给承包人。</w:t>
            </w:r>
          </w:p>
        </w:tc>
      </w:tr>
      <w:tr w14:paraId="174CC0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B2C5DA6">
            <w:pPr>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33.3</w:t>
            </w:r>
          </w:p>
        </w:tc>
        <w:tc>
          <w:tcPr>
            <w:tcW w:w="7912" w:type="dxa"/>
            <w:vAlign w:val="center"/>
          </w:tcPr>
          <w:p w14:paraId="7AAA30FE">
            <w:pPr>
              <w:pStyle w:val="29"/>
              <w:snapToGrid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1.本磋商文件中描述供应商的“公章”是指根据我国对公章的管理规定</w:t>
            </w:r>
            <w:r>
              <w:rPr>
                <w:rFonts w:hint="eastAsia" w:asciiTheme="minorEastAsia" w:hAnsiTheme="minorEastAsia" w:eastAsiaTheme="minorEastAsia" w:cstheme="minorEastAsia"/>
                <w:color w:val="auto"/>
                <w:sz w:val="21"/>
                <w:szCs w:val="21"/>
                <w:highlight w:val="none"/>
                <w:lang w:eastAsia="zh-CN"/>
              </w:rPr>
              <w:t>，使</w:t>
            </w:r>
            <w:r>
              <w:rPr>
                <w:rFonts w:hint="eastAsia" w:asciiTheme="minorEastAsia" w:hAnsiTheme="minorEastAsia" w:eastAsiaTheme="minorEastAsia" w:cstheme="minorEastAsia"/>
                <w:color w:val="auto"/>
                <w:sz w:val="21"/>
                <w:szCs w:val="21"/>
                <w:highlight w:val="none"/>
              </w:rPr>
              <w:t>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7A55F12F">
            <w:pPr>
              <w:pStyle w:val="29"/>
              <w:snapToGrid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rPr>
              <w:t>2.本磋商文件所称的“</w:t>
            </w:r>
            <w:r>
              <w:rPr>
                <w:rFonts w:hint="eastAsia" w:asciiTheme="minorEastAsia" w:hAnsiTheme="minorEastAsia" w:eastAsiaTheme="minorEastAsia" w:cstheme="minorEastAsia"/>
                <w:color w:val="auto"/>
                <w:sz w:val="21"/>
                <w:szCs w:val="21"/>
                <w:highlight w:val="none"/>
              </w:rPr>
              <w:t>电子签章</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电子签名”</w:t>
            </w:r>
            <w:r>
              <w:rPr>
                <w:rFonts w:hint="eastAsia" w:asciiTheme="minorEastAsia" w:hAnsiTheme="minorEastAsia" w:eastAsiaTheme="minorEastAsia" w:cstheme="minorEastAsia"/>
                <w:color w:val="auto"/>
                <w:sz w:val="21"/>
                <w:szCs w:val="21"/>
                <w:highlight w:val="none"/>
              </w:rPr>
              <w:t>，是指经广西政府采购云平台认可的CA认证的电子签名数据为表现形式的印章，可用于签署电子响应文件，电子印章与实物印章具有同等法律效力，不因其采用电子化表现形式而否定其法律效力。</w:t>
            </w:r>
          </w:p>
          <w:p w14:paraId="5BAE3958">
            <w:pPr>
              <w:pStyle w:val="29"/>
              <w:snapToGrid w:val="0"/>
              <w:spacing w:line="360" w:lineRule="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color w:val="auto"/>
                <w:sz w:val="21"/>
                <w:szCs w:val="21"/>
                <w:highlight w:val="none"/>
              </w:rPr>
              <w:t>3.供应商为其他组织时，本磋商文件规定的法定代表人指负责人。本磋商文件所称负责人是指参加竞标的其他组织</w:t>
            </w:r>
            <w:r>
              <w:rPr>
                <w:rFonts w:hint="eastAsia" w:asciiTheme="minorEastAsia" w:hAnsiTheme="minorEastAsia" w:eastAsiaTheme="minorEastAsia" w:cstheme="minorEastAsia"/>
                <w:bCs/>
                <w:color w:val="auto"/>
                <w:sz w:val="21"/>
                <w:szCs w:val="21"/>
                <w:highlight w:val="none"/>
              </w:rPr>
              <w:t>营业执照或者执业许可证等证照上的</w:t>
            </w:r>
            <w:r>
              <w:rPr>
                <w:rFonts w:hint="eastAsia" w:asciiTheme="minorEastAsia" w:hAnsiTheme="minorEastAsia" w:eastAsiaTheme="minorEastAsia" w:cstheme="minorEastAsia"/>
                <w:color w:val="auto"/>
                <w:sz w:val="21"/>
                <w:szCs w:val="21"/>
                <w:highlight w:val="none"/>
              </w:rPr>
              <w:t>负责人</w:t>
            </w:r>
            <w:r>
              <w:rPr>
                <w:rFonts w:hint="eastAsia" w:asciiTheme="minorEastAsia" w:hAnsiTheme="minorEastAsia" w:eastAsiaTheme="minorEastAsia" w:cstheme="minorEastAsia"/>
                <w:bCs/>
                <w:color w:val="auto"/>
                <w:sz w:val="21"/>
                <w:szCs w:val="21"/>
                <w:highlight w:val="none"/>
              </w:rPr>
              <w:t>。</w:t>
            </w:r>
          </w:p>
          <w:p w14:paraId="366D9D0D">
            <w:pPr>
              <w:pStyle w:val="29"/>
              <w:snapToGrid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4.本磋商文件中描述供应商的“签字”是指供应商的法定代表人或者委托代理人亲自在文件规定签署处亲笔写上个人的名字的行为，私章、签字章、印鉴、影印等其他形式均不能代替亲笔签字。</w:t>
            </w:r>
          </w:p>
          <w:p w14:paraId="719ED6A4">
            <w:pPr>
              <w:pStyle w:val="29"/>
              <w:snapToGrid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5.本磋商文件所称的“以上”“以下”“以内”“届满”，包括本数；所称的“不满”“超过”“以外”，不包括本数。</w:t>
            </w:r>
          </w:p>
        </w:tc>
      </w:tr>
    </w:tbl>
    <w:p w14:paraId="68B90C9D">
      <w:pPr>
        <w:spacing w:line="400" w:lineRule="exact"/>
        <w:jc w:val="center"/>
        <w:rPr>
          <w:rFonts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供应商须知正文</w:t>
      </w:r>
    </w:p>
    <w:p w14:paraId="5F279B97">
      <w:pPr>
        <w:spacing w:line="400" w:lineRule="exact"/>
        <w:jc w:val="center"/>
        <w:rPr>
          <w:rFonts w:ascii="宋体" w:hAnsi="宋体"/>
          <w:b/>
          <w:color w:val="auto"/>
          <w:sz w:val="32"/>
          <w:szCs w:val="32"/>
          <w:highlight w:val="none"/>
        </w:rPr>
      </w:pPr>
    </w:p>
    <w:p w14:paraId="4C3ECA1E">
      <w:pPr>
        <w:spacing w:line="400" w:lineRule="exact"/>
        <w:jc w:val="center"/>
        <w:rPr>
          <w:rFonts w:ascii="宋体" w:hAnsi="宋体"/>
          <w:b/>
          <w:color w:val="auto"/>
          <w:sz w:val="32"/>
          <w:szCs w:val="32"/>
          <w:highlight w:val="none"/>
        </w:rPr>
      </w:pPr>
      <w:r>
        <w:rPr>
          <w:rFonts w:hint="eastAsia" w:ascii="宋体" w:hAnsi="宋体"/>
          <w:b/>
          <w:color w:val="auto"/>
          <w:sz w:val="32"/>
          <w:szCs w:val="32"/>
          <w:highlight w:val="none"/>
        </w:rPr>
        <w:t>一、总则</w:t>
      </w:r>
    </w:p>
    <w:p w14:paraId="70FB722D">
      <w:pPr>
        <w:spacing w:line="400" w:lineRule="exact"/>
        <w:rPr>
          <w:rFonts w:ascii="宋体" w:hAnsi="宋体"/>
          <w:color w:val="auto"/>
          <w:szCs w:val="21"/>
          <w:highlight w:val="none"/>
        </w:rPr>
      </w:pPr>
    </w:p>
    <w:p w14:paraId="4312FB37">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1.适用范围</w:t>
      </w:r>
    </w:p>
    <w:p w14:paraId="5B1D1FC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1.1本项目采购人、采购代理机构、供应商、磋商小组的相关行为均受《中华人民共和国政府采购法》《中华人民共和国政府采购法实施条例》</w:t>
      </w:r>
      <w:r>
        <w:rPr>
          <w:rFonts w:hint="eastAsia" w:ascii="宋体" w:hAnsi="宋体"/>
          <w:color w:val="auto"/>
          <w:szCs w:val="21"/>
          <w:highlight w:val="none"/>
        </w:rPr>
        <w:t>《政府采购竞争性磋商采购方式管理暂行办法》《财政部关于政府采购竞争性磋商采购方式管理暂行办法有关问题的补充通知》</w:t>
      </w:r>
      <w:r>
        <w:rPr>
          <w:rFonts w:hint="eastAsia" w:ascii="宋体" w:hAnsi="宋体" w:cs="宋体"/>
          <w:color w:val="auto"/>
          <w:szCs w:val="21"/>
          <w:highlight w:val="none"/>
        </w:rPr>
        <w:t>及本项目本级和上级财政部门政府采购有关规定的约束和保护。</w:t>
      </w:r>
    </w:p>
    <w:p w14:paraId="2E5306A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1.2本竞争性磋商文件（以下简称磋商文件）适用于本项目的所有采购程序和环节（</w:t>
      </w:r>
      <w:r>
        <w:rPr>
          <w:rFonts w:hint="eastAsia" w:ascii="宋体" w:hAnsi="宋体" w:cs="宋体"/>
          <w:color w:val="auto"/>
          <w:szCs w:val="21"/>
          <w:highlight w:val="none"/>
          <w:lang w:eastAsia="zh-CN"/>
        </w:rPr>
        <w:t>法律法规</w:t>
      </w:r>
      <w:r>
        <w:rPr>
          <w:rFonts w:hint="eastAsia" w:ascii="宋体" w:hAnsi="宋体" w:cs="宋体"/>
          <w:color w:val="auto"/>
          <w:szCs w:val="21"/>
          <w:highlight w:val="none"/>
        </w:rPr>
        <w:t>另有规定的，从其规定）</w:t>
      </w:r>
      <w:r>
        <w:rPr>
          <w:rFonts w:hint="eastAsia" w:ascii="宋体" w:hAnsi="宋体" w:cs="宋体"/>
          <w:color w:val="auto"/>
          <w:spacing w:val="-6"/>
          <w:szCs w:val="21"/>
          <w:highlight w:val="none"/>
        </w:rPr>
        <w:t>。</w:t>
      </w:r>
    </w:p>
    <w:p w14:paraId="556FC838">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2.定义</w:t>
      </w:r>
    </w:p>
    <w:p w14:paraId="338B083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2.1“采购人”是指依法进行政府采购的国家机关、事业单位、团体组织。</w:t>
      </w:r>
    </w:p>
    <w:p w14:paraId="77380795">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2.2“采购代理机构”是指政府采购集中采购机构和集中采购机构以外的采购代理机构。</w:t>
      </w:r>
    </w:p>
    <w:p w14:paraId="0CD594F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59B13906">
      <w:pPr>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rPr>
        <w:t>2.4“工程”是指建设工程，包括建筑物和构筑物的新建、改建、扩建、装修、拆除、修缮等。</w:t>
      </w:r>
    </w:p>
    <w:p w14:paraId="01A4053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5</w:t>
      </w:r>
      <w:r>
        <w:rPr>
          <w:rFonts w:hint="eastAsia" w:ascii="宋体" w:hAnsi="宋体" w:cs="宋体"/>
          <w:color w:val="auto"/>
          <w:szCs w:val="21"/>
          <w:highlight w:val="none"/>
        </w:rPr>
        <w:t>“竞标”是指供应商按照本项目竞争性磋商公告规定的方式获取磋商文件、提交响应文件并希望获得标的的行为。</w:t>
      </w:r>
    </w:p>
    <w:p w14:paraId="65D13C20">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2.6“书面形式”是指合同书、信件和数据电文（包括电报、电传、传真、电子数据交换和电子邮件）等可以有形地表现所载内容的形式。</w:t>
      </w:r>
    </w:p>
    <w:p w14:paraId="44572D39">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2.7“响应文件”是指：供应商根据本磋商文件要求，编制包含资格证明、报价、商务技术等所有内容的文件</w:t>
      </w:r>
      <w:r>
        <w:rPr>
          <w:rFonts w:hint="eastAsia" w:ascii="宋体" w:hAnsi="宋体" w:cs="宋体"/>
          <w:color w:val="auto"/>
          <w:spacing w:val="-6"/>
          <w:szCs w:val="21"/>
          <w:highlight w:val="none"/>
        </w:rPr>
        <w:t>。</w:t>
      </w:r>
    </w:p>
    <w:p w14:paraId="07C6F3B0">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2.8“实质性要求”是指磋商文件中已经指明不满足则响应文件按无效处理的条款，或者不能负偏离的条款，或者采购需求中带“▲”的条款。</w:t>
      </w:r>
    </w:p>
    <w:p w14:paraId="2534AAD9">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2.9“正偏离”，是指响应文件对磋商文件“采购需求”中有关条款作出的响应优于条款要求并有利于采购人的情形。</w:t>
      </w:r>
    </w:p>
    <w:p w14:paraId="7BC9FA89">
      <w:pPr>
        <w:spacing w:line="360" w:lineRule="auto"/>
        <w:ind w:firstLine="420" w:firstLineChars="200"/>
        <w:contextualSpacing/>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10“负偏离”，是指响应文件对磋商文件“采购需求”中有关条款作出的响应不满足条款要求，导致采购人要求不能得到满足的情形。</w:t>
      </w:r>
    </w:p>
    <w:p w14:paraId="13F404D9">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2.11“允许负偏离的条款”是指采购需求中的不属于“实质性要求”的条款。</w:t>
      </w:r>
    </w:p>
    <w:p w14:paraId="68E8BD0C">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1</w:t>
      </w:r>
      <w:r>
        <w:rPr>
          <w:rFonts w:hint="eastAsia" w:ascii="宋体" w:hAnsi="宋体" w:cs="宋体"/>
          <w:color w:val="auto"/>
          <w:szCs w:val="21"/>
          <w:highlight w:val="none"/>
        </w:rPr>
        <w:t>2“首次报价”是指供应商提交的首次响应文件中的报价。</w:t>
      </w:r>
    </w:p>
    <w:p w14:paraId="646E76EA">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3.供应商的资格条件</w:t>
      </w:r>
    </w:p>
    <w:p w14:paraId="4991B7A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14:paraId="6D4888C8">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4.竞标费用</w:t>
      </w:r>
    </w:p>
    <w:p w14:paraId="0487938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供应商应承担参与本次采购活动有关的所有费用，包括但不限于获取磋商文件、勘查现场、编制和提交响应文件、参加磋商与应答、签订合同等，不论竞标结果如何，均应自行承担。</w:t>
      </w:r>
    </w:p>
    <w:p w14:paraId="2A4CF141">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5.联合体竞标</w:t>
      </w:r>
    </w:p>
    <w:p w14:paraId="0F3D05F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6CB69CA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color w:val="auto"/>
          <w:highlight w:val="none"/>
        </w:rPr>
        <w:t>如接受联合体竞标，</w:t>
      </w:r>
      <w:r>
        <w:rPr>
          <w:rFonts w:hint="eastAsia" w:ascii="宋体" w:hAnsi="宋体" w:cs="宋体"/>
          <w:color w:val="auto"/>
          <w:szCs w:val="21"/>
          <w:highlight w:val="none"/>
        </w:rPr>
        <w:t>联合体竞标要求详见“供应商须知前附表”。</w:t>
      </w:r>
    </w:p>
    <w:p w14:paraId="4177FE5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5.3</w:t>
      </w:r>
      <w:bookmarkStart w:id="52" w:name="_Hlk66782192"/>
      <w:r>
        <w:rPr>
          <w:rFonts w:hint="eastAsia" w:ascii="宋体" w:hAnsi="宋体"/>
          <w:color w:val="auto"/>
          <w:szCs w:val="21"/>
          <w:highlight w:val="none"/>
        </w:rPr>
        <w:t>根据《政府采购促进中小企业发展管理办法》（财库〔2020〕46号）第九条第二款及《广西壮族自治区财政厅关于持续优化政府采购营商环境推动高质量发展的通知》（桂财采〔2024〕55号）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w:t>
      </w:r>
      <w:r>
        <w:rPr>
          <w:rFonts w:hint="eastAsia" w:ascii="宋体" w:hAnsi="宋体"/>
          <w:color w:val="auto"/>
          <w:szCs w:val="21"/>
          <w:highlight w:val="none"/>
          <w:lang w:eastAsia="zh-CN"/>
        </w:rPr>
        <w:t>1%—2%</w:t>
      </w:r>
      <w:r>
        <w:rPr>
          <w:rFonts w:hint="eastAsia" w:ascii="宋体" w:hAnsi="宋体"/>
          <w:color w:val="auto"/>
          <w:szCs w:val="21"/>
          <w:highlight w:val="none"/>
        </w:rPr>
        <w:t>的扣除，用扣除后的价格参加评审。</w:t>
      </w:r>
      <w:bookmarkEnd w:id="52"/>
    </w:p>
    <w:p w14:paraId="667EE98F">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 xml:space="preserve">6.转包与分包             </w:t>
      </w:r>
    </w:p>
    <w:p w14:paraId="3A069930">
      <w:pPr>
        <w:pStyle w:val="6"/>
        <w:keepNext w:val="0"/>
        <w:keepLines w:val="0"/>
        <w:spacing w:before="0" w:after="0" w:line="360" w:lineRule="auto"/>
        <w:ind w:left="420" w:leftChars="200"/>
        <w:rPr>
          <w:rFonts w:ascii="宋体" w:hAnsi="宋体"/>
          <w:b w:val="0"/>
          <w:color w:val="auto"/>
          <w:sz w:val="21"/>
          <w:szCs w:val="21"/>
          <w:highlight w:val="none"/>
        </w:rPr>
      </w:pPr>
      <w:bookmarkStart w:id="53" w:name="_Toc254970673"/>
      <w:bookmarkStart w:id="54" w:name="_Toc254970532"/>
      <w:r>
        <w:rPr>
          <w:rFonts w:hint="eastAsia" w:ascii="宋体" w:hAnsi="宋体"/>
          <w:b w:val="0"/>
          <w:color w:val="auto"/>
          <w:sz w:val="21"/>
          <w:szCs w:val="21"/>
          <w:highlight w:val="none"/>
        </w:rPr>
        <w:t>6.1本项目不允许转包。</w:t>
      </w:r>
    </w:p>
    <w:p w14:paraId="793A6030">
      <w:pPr>
        <w:pStyle w:val="6"/>
        <w:keepNext w:val="0"/>
        <w:keepLines w:val="0"/>
        <w:spacing w:before="0" w:after="0" w:line="360" w:lineRule="auto"/>
        <w:ind w:firstLine="315" w:firstLineChars="150"/>
        <w:rPr>
          <w:rFonts w:ascii="宋体" w:hAnsi="宋体"/>
          <w:b w:val="0"/>
          <w:color w:val="auto"/>
          <w:sz w:val="21"/>
          <w:szCs w:val="21"/>
          <w:highlight w:val="none"/>
        </w:rPr>
      </w:pPr>
      <w:r>
        <w:rPr>
          <w:rFonts w:hint="eastAsia" w:ascii="宋体" w:hAnsi="宋体"/>
          <w:b w:val="0"/>
          <w:color w:val="auto"/>
          <w:sz w:val="21"/>
          <w:szCs w:val="21"/>
          <w:highlight w:val="none"/>
        </w:rPr>
        <w:t xml:space="preserve"> 6.2本项目是否允许分包详见“供应商须知前附表”，本项目不允许违法分包。允许分包的非主体、非关键性工作，根据法律法规规定承担该工作需要资质或者行政许可的，如该工作由供应商自行承担，供应商应具备相应的资质或者行政许可，如供应商不具备相应的资质或者行政许可必须采用分包的方式，但分包供应商应具备相应资质或者行政许可。</w:t>
      </w:r>
    </w:p>
    <w:p w14:paraId="2AC7233C">
      <w:pPr>
        <w:pStyle w:val="6"/>
        <w:keepNext w:val="0"/>
        <w:keepLines w:val="0"/>
        <w:spacing w:before="0" w:after="0" w:line="360" w:lineRule="auto"/>
        <w:ind w:firstLine="315" w:firstLineChars="150"/>
        <w:rPr>
          <w:rFonts w:ascii="宋体" w:hAnsi="宋体"/>
          <w:b w:val="0"/>
          <w:color w:val="auto"/>
          <w:sz w:val="21"/>
          <w:szCs w:val="21"/>
          <w:highlight w:val="none"/>
        </w:rPr>
      </w:pPr>
      <w:r>
        <w:rPr>
          <w:rFonts w:hint="eastAsia" w:ascii="宋体" w:hAnsi="宋体"/>
          <w:b w:val="0"/>
          <w:color w:val="auto"/>
          <w:sz w:val="21"/>
          <w:szCs w:val="21"/>
          <w:highlight w:val="none"/>
        </w:rPr>
        <w:t xml:space="preserve"> 6.3供应商根据磋商文件的规定和采购项目的实际情况，拟在成交后将成交项目的非主体、非关键性工作分包的，应当在响应文件中载明分包承担主体，分包承担主体应当具备相应资质条件且不得再次分包。</w:t>
      </w:r>
    </w:p>
    <w:p w14:paraId="75C889DE">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7.特别说明</w:t>
      </w:r>
      <w:bookmarkEnd w:id="53"/>
      <w:bookmarkEnd w:id="54"/>
    </w:p>
    <w:p w14:paraId="7C6C1C41">
      <w:pPr>
        <w:spacing w:line="360" w:lineRule="auto"/>
        <w:ind w:firstLine="420" w:firstLineChars="200"/>
        <w:rPr>
          <w:rFonts w:ascii="宋体" w:hAnsi="宋体" w:cs="宋体"/>
          <w:color w:val="auto"/>
          <w:szCs w:val="21"/>
          <w:highlight w:val="none"/>
        </w:rPr>
      </w:pPr>
      <w:bookmarkStart w:id="55" w:name="_8.1提供相同品牌产品且通过资格审查、符合性审查的不同投标人参加同一合"/>
      <w:bookmarkEnd w:id="55"/>
      <w:r>
        <w:rPr>
          <w:rFonts w:hint="eastAsia" w:ascii="宋体" w:hAnsi="宋体" w:cs="宋体"/>
          <w:color w:val="auto"/>
          <w:szCs w:val="21"/>
          <w:highlight w:val="none"/>
        </w:rPr>
        <w:t>7.</w:t>
      </w:r>
      <w:r>
        <w:rPr>
          <w:rFonts w:ascii="宋体" w:hAnsi="宋体" w:cs="宋体"/>
          <w:color w:val="auto"/>
          <w:szCs w:val="21"/>
          <w:highlight w:val="none"/>
        </w:rPr>
        <w:t>1</w:t>
      </w:r>
      <w:bookmarkStart w:id="56" w:name="_Hlk65832145"/>
      <w:r>
        <w:rPr>
          <w:rFonts w:hint="eastAsia" w:ascii="宋体" w:hAnsi="宋体"/>
          <w:color w:val="auto"/>
          <w:szCs w:val="21"/>
          <w:highlight w:val="none"/>
        </w:rPr>
        <w:t xml:space="preserve">如果本磋商文件要求提供供应商或制造商的资格、信誉、荣誉、业绩与企业认证等材料的，资格、信誉、荣誉、业绩与企业认证等必须为供应商或者制造商所拥有或自身获得 </w:t>
      </w:r>
      <w:r>
        <w:rPr>
          <w:rFonts w:hint="eastAsia" w:ascii="宋体" w:hAnsi="宋体" w:cs="宋体"/>
          <w:color w:val="auto"/>
          <w:szCs w:val="21"/>
          <w:highlight w:val="none"/>
        </w:rPr>
        <w:t>。</w:t>
      </w:r>
    </w:p>
    <w:bookmarkEnd w:id="56"/>
    <w:p w14:paraId="654A413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2</w:t>
      </w:r>
      <w:r>
        <w:rPr>
          <w:rFonts w:hint="eastAsia" w:ascii="宋体" w:hAnsi="宋体" w:cs="宋体"/>
          <w:color w:val="auto"/>
          <w:szCs w:val="21"/>
          <w:highlight w:val="none"/>
        </w:rPr>
        <w:t>供应商应仔细阅读磋商文件的所有内容，按照磋商文件的要求提交响应文件，并对所提供的全部资料的真实性承担法律责任。</w:t>
      </w:r>
    </w:p>
    <w:p w14:paraId="17672C1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3</w:t>
      </w:r>
      <w:r>
        <w:rPr>
          <w:rFonts w:hint="eastAsia" w:ascii="宋体" w:hAnsi="宋体" w:cs="宋体"/>
          <w:color w:val="auto"/>
          <w:szCs w:val="21"/>
          <w:highlight w:val="none"/>
        </w:rPr>
        <w:t>供应商在竞标活动中提供任何虚假材料谋取成交的，将报财政部门查处；签订合同后发现的，成交供应商须依照《中华人民共和国消费者权益保护法》规定赔偿采购人，且民事赔偿并不免除违法供应商的行政与刑事责任。</w:t>
      </w:r>
    </w:p>
    <w:p w14:paraId="42C2E4F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4</w:t>
      </w:r>
      <w:r>
        <w:rPr>
          <w:rFonts w:hint="eastAsia" w:ascii="宋体" w:hAnsi="宋体" w:cs="宋体"/>
          <w:color w:val="auto"/>
          <w:szCs w:val="21"/>
          <w:highlight w:val="none"/>
        </w:rPr>
        <w:t>在政府采购活动中，采购人员及相关人员与供应商有下列利害关系之一的，应当回避：</w:t>
      </w:r>
    </w:p>
    <w:p w14:paraId="24E35EA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01A1989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3B06966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3D92EC3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746D504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5BC8EA5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15FF6D0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5</w:t>
      </w:r>
      <w:r>
        <w:rPr>
          <w:rFonts w:hint="eastAsia" w:ascii="宋体" w:hAnsi="宋体" w:cs="宋体"/>
          <w:color w:val="auto"/>
          <w:szCs w:val="21"/>
          <w:highlight w:val="none"/>
        </w:rPr>
        <w:t>有下列情形之一的视为供应商相互串通竞标，响应文件将被视为无效：</w:t>
      </w:r>
    </w:p>
    <w:p w14:paraId="6D08B18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（1）不同供应商的响应文件由同一单位或者个人编制； </w:t>
      </w:r>
    </w:p>
    <w:p w14:paraId="3C064F1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7188BD2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2D78F35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583C3B7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5AD375FC">
      <w:pPr>
        <w:tabs>
          <w:tab w:val="left" w:pos="6931"/>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（6）不同供应商的磋商保证金从同一单位或者个人账户转出。</w:t>
      </w:r>
      <w:r>
        <w:rPr>
          <w:rFonts w:ascii="宋体" w:hAnsi="宋体" w:cs="宋体"/>
          <w:color w:val="auto"/>
          <w:szCs w:val="21"/>
          <w:highlight w:val="none"/>
        </w:rPr>
        <w:tab/>
      </w:r>
    </w:p>
    <w:p w14:paraId="42CA004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6</w:t>
      </w:r>
      <w:r>
        <w:rPr>
          <w:rFonts w:hint="eastAsia" w:ascii="宋体" w:hAnsi="宋体" w:cs="宋体"/>
          <w:color w:val="auto"/>
          <w:szCs w:val="21"/>
          <w:highlight w:val="none"/>
        </w:rPr>
        <w:t>供应商有下列情形之一的，属于恶意串通行为，将报同级监督管理部门：</w:t>
      </w:r>
    </w:p>
    <w:p w14:paraId="0E27FD1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076FB21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502A102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12995AB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6CCC624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6839661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2008ACF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58AAE087">
      <w:pPr>
        <w:spacing w:line="360" w:lineRule="auto"/>
        <w:ind w:firstLine="420" w:firstLineChars="200"/>
        <w:rPr>
          <w:rFonts w:ascii="宋体" w:hAnsi="宋体" w:cs="宋体"/>
          <w:color w:val="auto"/>
          <w:szCs w:val="21"/>
          <w:highlight w:val="none"/>
        </w:rPr>
      </w:pPr>
    </w:p>
    <w:p w14:paraId="4902AE6C">
      <w:pPr>
        <w:spacing w:line="360" w:lineRule="auto"/>
        <w:ind w:left="1" w:firstLine="417" w:firstLineChars="199"/>
        <w:jc w:val="center"/>
        <w:rPr>
          <w:rFonts w:ascii="宋体" w:hAnsi="宋体"/>
          <w:color w:val="auto"/>
          <w:highlight w:val="none"/>
        </w:rPr>
      </w:pPr>
      <w:bookmarkStart w:id="57" w:name="_Toc254970534"/>
      <w:bookmarkStart w:id="58" w:name="_Toc254970675"/>
    </w:p>
    <w:p w14:paraId="7AE7AEFF">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二、磋商文件</w:t>
      </w:r>
      <w:bookmarkEnd w:id="57"/>
      <w:bookmarkEnd w:id="58"/>
    </w:p>
    <w:p w14:paraId="1C38E0EE">
      <w:pPr>
        <w:spacing w:line="360" w:lineRule="auto"/>
        <w:rPr>
          <w:rFonts w:ascii="宋体" w:hAnsi="宋体"/>
          <w:color w:val="auto"/>
          <w:szCs w:val="21"/>
          <w:highlight w:val="none"/>
        </w:rPr>
      </w:pPr>
    </w:p>
    <w:p w14:paraId="5AEA7C5E">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8.磋商文件的构成</w:t>
      </w:r>
    </w:p>
    <w:p w14:paraId="7A6B5A6D">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第一章  竞争性磋商公告；</w:t>
      </w:r>
    </w:p>
    <w:p w14:paraId="7D717BDC">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 xml:space="preserve">第二章  供应商须知； </w:t>
      </w:r>
    </w:p>
    <w:p w14:paraId="60C25ABB">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第三章  采购需求；</w:t>
      </w:r>
    </w:p>
    <w:p w14:paraId="4E37583C">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第四章  评审程序、评审方法和评审标准；</w:t>
      </w:r>
    </w:p>
    <w:p w14:paraId="7978192C">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第五章  工程量清单及图纸；</w:t>
      </w:r>
    </w:p>
    <w:p w14:paraId="3D1A4EE9">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第六章  响应文件格式；</w:t>
      </w:r>
    </w:p>
    <w:p w14:paraId="2C339AB6">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第七章  合同文本。</w:t>
      </w:r>
    </w:p>
    <w:p w14:paraId="41E91DDF">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9.供应商的询问</w:t>
      </w:r>
    </w:p>
    <w:p w14:paraId="665DA15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供应商应认真阅读磋商文件的采购需求，如供应商对磋商文件有疑问的，如要求采购人作出澄清或者修改的，供应商尽可能在</w:t>
      </w:r>
      <w:r>
        <w:rPr>
          <w:rFonts w:ascii="宋体" w:hAnsi="宋体"/>
          <w:color w:val="auto"/>
          <w:szCs w:val="21"/>
          <w:highlight w:val="none"/>
        </w:rPr>
        <w:t>提交首次响应文件截止之日前</w:t>
      </w:r>
      <w:r>
        <w:rPr>
          <w:rFonts w:hint="eastAsia" w:ascii="宋体" w:hAnsi="宋体"/>
          <w:color w:val="auto"/>
          <w:szCs w:val="21"/>
          <w:highlight w:val="none"/>
        </w:rPr>
        <w:t>，以书面形式向</w:t>
      </w:r>
      <w:r>
        <w:rPr>
          <w:rFonts w:ascii="宋体" w:hAnsi="宋体"/>
          <w:color w:val="auto"/>
          <w:szCs w:val="21"/>
          <w:highlight w:val="none"/>
        </w:rPr>
        <w:t>采购人、采购代理机构</w:t>
      </w:r>
      <w:r>
        <w:rPr>
          <w:rFonts w:hint="eastAsia" w:ascii="宋体" w:hAnsi="宋体"/>
          <w:color w:val="auto"/>
          <w:szCs w:val="21"/>
          <w:highlight w:val="none"/>
        </w:rPr>
        <w:t>提出。</w:t>
      </w:r>
    </w:p>
    <w:p w14:paraId="06FEF5D9">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10.磋商文件的澄清和修改</w:t>
      </w:r>
    </w:p>
    <w:p w14:paraId="7734921F">
      <w:pPr>
        <w:spacing w:line="360" w:lineRule="auto"/>
        <w:ind w:firstLine="420" w:firstLineChars="200"/>
        <w:rPr>
          <w:rFonts w:ascii="宋体" w:hAnsi="宋体"/>
          <w:color w:val="auto"/>
          <w:szCs w:val="21"/>
          <w:highlight w:val="none"/>
        </w:rPr>
      </w:pPr>
      <w:r>
        <w:rPr>
          <w:rFonts w:ascii="宋体" w:hAnsi="宋体"/>
          <w:color w:val="auto"/>
          <w:szCs w:val="21"/>
          <w:highlight w:val="none"/>
        </w:rPr>
        <w:t>提交首次响应文件截止之日前，采购人或者采购代理机构可以对已发出的磋商文件进行必要的澄清或者修改，澄清或者修改的内容作为磋商文件的组成部分。澄清或者修改的内容可能影响响应文件编制的，</w:t>
      </w:r>
      <w:r>
        <w:rPr>
          <w:rFonts w:hint="eastAsia" w:ascii="宋体" w:hAnsi="宋体"/>
          <w:color w:val="auto"/>
          <w:szCs w:val="21"/>
          <w:highlight w:val="none"/>
        </w:rPr>
        <w:t>采购人或者采购代理机构应当</w:t>
      </w:r>
      <w:r>
        <w:rPr>
          <w:rFonts w:ascii="宋体" w:hAnsi="宋体"/>
          <w:color w:val="auto"/>
          <w:szCs w:val="21"/>
          <w:highlight w:val="none"/>
        </w:rPr>
        <w:t>在提交首次响应文件截止之日3个工作日前，以书面形式通知所有</w:t>
      </w:r>
      <w:r>
        <w:rPr>
          <w:rFonts w:hint="eastAsia" w:ascii="宋体" w:hAnsi="宋体"/>
          <w:color w:val="auto"/>
          <w:szCs w:val="21"/>
          <w:highlight w:val="none"/>
        </w:rPr>
        <w:t>获取</w:t>
      </w:r>
      <w:r>
        <w:rPr>
          <w:rFonts w:ascii="宋体" w:hAnsi="宋体"/>
          <w:color w:val="auto"/>
          <w:szCs w:val="21"/>
          <w:highlight w:val="none"/>
        </w:rPr>
        <w:t>磋商文件的供应商，不足3个工作日的，应当顺延提交首次响应文件截止之日。</w:t>
      </w:r>
    </w:p>
    <w:p w14:paraId="2D6BBE7F">
      <w:pPr>
        <w:spacing w:line="360" w:lineRule="auto"/>
        <w:rPr>
          <w:rFonts w:ascii="宋体" w:hAnsi="宋体"/>
          <w:color w:val="auto"/>
          <w:szCs w:val="21"/>
          <w:highlight w:val="none"/>
        </w:rPr>
      </w:pPr>
    </w:p>
    <w:p w14:paraId="1DF98E01">
      <w:pPr>
        <w:spacing w:line="360" w:lineRule="auto"/>
        <w:jc w:val="center"/>
        <w:rPr>
          <w:rFonts w:ascii="宋体" w:hAnsi="宋体"/>
          <w:b/>
          <w:bCs/>
          <w:color w:val="auto"/>
          <w:szCs w:val="21"/>
          <w:highlight w:val="none"/>
        </w:rPr>
      </w:pPr>
      <w:r>
        <w:rPr>
          <w:rFonts w:hint="eastAsia" w:ascii="宋体" w:hAnsi="宋体"/>
          <w:b/>
          <w:bCs/>
          <w:color w:val="auto"/>
          <w:sz w:val="32"/>
          <w:szCs w:val="32"/>
          <w:highlight w:val="none"/>
        </w:rPr>
        <w:t>三、响应文件的编制</w:t>
      </w:r>
    </w:p>
    <w:p w14:paraId="7D23C36A">
      <w:pPr>
        <w:spacing w:line="360" w:lineRule="auto"/>
        <w:rPr>
          <w:rFonts w:ascii="宋体" w:hAnsi="宋体"/>
          <w:color w:val="auto"/>
          <w:szCs w:val="21"/>
          <w:highlight w:val="none"/>
        </w:rPr>
      </w:pPr>
    </w:p>
    <w:p w14:paraId="40359C39">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11.响应文件的编制原则</w:t>
      </w:r>
    </w:p>
    <w:p w14:paraId="7202F66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供应商必须按照磋商文件的要求编制响应文件，并对其提交的响应文件的真实性、合法性承担法律责任。响应文件必须对磋商文件作出实质性响应。</w:t>
      </w:r>
    </w:p>
    <w:p w14:paraId="06EF6B41">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12.响应文件的组成</w:t>
      </w:r>
    </w:p>
    <w:p w14:paraId="0425EB8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12.1响应文件由资格证明文件、报价文件、商务技术文件三部分组成。</w:t>
      </w:r>
    </w:p>
    <w:p w14:paraId="708A5F46">
      <w:pPr>
        <w:spacing w:line="360" w:lineRule="auto"/>
        <w:ind w:left="840" w:leftChars="200" w:hanging="420" w:hangingChars="200"/>
        <w:rPr>
          <w:rFonts w:ascii="宋体" w:hAnsi="宋体" w:cs="宋体"/>
          <w:color w:val="auto"/>
          <w:szCs w:val="21"/>
          <w:highlight w:val="none"/>
        </w:rPr>
      </w:pPr>
      <w:r>
        <w:rPr>
          <w:rFonts w:hint="eastAsia" w:ascii="宋体" w:hAnsi="宋体" w:cs="宋体"/>
          <w:color w:val="auto"/>
          <w:szCs w:val="21"/>
          <w:highlight w:val="none"/>
        </w:rPr>
        <w:t>12.1.1资格证明文件：详见“供应商须知前附表”</w:t>
      </w:r>
    </w:p>
    <w:p w14:paraId="583E11D8">
      <w:pPr>
        <w:spacing w:line="360" w:lineRule="auto"/>
        <w:ind w:left="840" w:leftChars="200" w:hanging="420" w:hangingChars="200"/>
        <w:rPr>
          <w:rFonts w:ascii="宋体" w:hAnsi="宋体" w:cs="宋体"/>
          <w:color w:val="auto"/>
          <w:szCs w:val="21"/>
          <w:highlight w:val="none"/>
        </w:rPr>
      </w:pPr>
      <w:r>
        <w:rPr>
          <w:rFonts w:hint="eastAsia" w:ascii="宋体" w:hAnsi="宋体" w:cs="宋体"/>
          <w:color w:val="auto"/>
          <w:szCs w:val="21"/>
          <w:highlight w:val="none"/>
        </w:rPr>
        <w:t>12.1.2报价文件：详见“供应商须知前附表”</w:t>
      </w:r>
    </w:p>
    <w:p w14:paraId="7B29C1BF">
      <w:pPr>
        <w:spacing w:line="360" w:lineRule="auto"/>
        <w:ind w:left="840" w:leftChars="200" w:hanging="420" w:hangingChars="200"/>
        <w:rPr>
          <w:rFonts w:ascii="宋体" w:hAnsi="宋体" w:cs="宋体"/>
          <w:color w:val="auto"/>
          <w:szCs w:val="21"/>
          <w:highlight w:val="none"/>
        </w:rPr>
      </w:pPr>
      <w:r>
        <w:rPr>
          <w:rFonts w:hint="eastAsia" w:ascii="宋体" w:hAnsi="宋体" w:cs="宋体"/>
          <w:color w:val="auto"/>
          <w:szCs w:val="21"/>
          <w:highlight w:val="none"/>
        </w:rPr>
        <w:t>12.1.3商务技术文件：详见“供应商须知前附表”</w:t>
      </w:r>
    </w:p>
    <w:p w14:paraId="41828ECD">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13.计量单位</w:t>
      </w:r>
    </w:p>
    <w:p w14:paraId="3EC6EE6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4048B84D">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14.竞标的风险</w:t>
      </w:r>
    </w:p>
    <w:p w14:paraId="53277C3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184C88C7">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15.竞标报价</w:t>
      </w:r>
    </w:p>
    <w:p w14:paraId="2AE6FFFE">
      <w:pPr>
        <w:tabs>
          <w:tab w:val="left" w:pos="2492"/>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15.1竞标报价应按磋商文件中“竞标报价表”及</w:t>
      </w:r>
      <w:r>
        <w:rPr>
          <w:rFonts w:ascii="宋体" w:hAnsi="宋体" w:cs="宋体"/>
          <w:color w:val="auto"/>
          <w:szCs w:val="21"/>
          <w:highlight w:val="none"/>
        </w:rPr>
        <w:t>“</w:t>
      </w:r>
      <w:r>
        <w:rPr>
          <w:rFonts w:hint="eastAsia" w:ascii="宋体" w:hAnsi="宋体" w:cs="宋体"/>
          <w:color w:val="auto"/>
          <w:szCs w:val="21"/>
          <w:highlight w:val="none"/>
        </w:rPr>
        <w:t>已标价工程量清单</w:t>
      </w:r>
      <w:r>
        <w:rPr>
          <w:rFonts w:ascii="宋体" w:hAnsi="宋体" w:cs="宋体"/>
          <w:color w:val="auto"/>
          <w:szCs w:val="21"/>
          <w:highlight w:val="none"/>
        </w:rPr>
        <w:t>”</w:t>
      </w:r>
      <w:r>
        <w:rPr>
          <w:rFonts w:hint="eastAsia" w:ascii="宋体" w:hAnsi="宋体" w:cs="宋体"/>
          <w:color w:val="auto"/>
          <w:szCs w:val="21"/>
          <w:highlight w:val="none"/>
        </w:rPr>
        <w:t>格式填写。</w:t>
      </w:r>
    </w:p>
    <w:p w14:paraId="7A099965">
      <w:pPr>
        <w:tabs>
          <w:tab w:val="left" w:pos="2492"/>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15.2竞标报价的内容见“供应商须知前附表”。</w:t>
      </w:r>
    </w:p>
    <w:p w14:paraId="2FC47F8A">
      <w:pPr>
        <w:tabs>
          <w:tab w:val="left" w:pos="2492"/>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15.3本项目的增值税计税方法见“供应商须知前附表”。</w:t>
      </w:r>
    </w:p>
    <w:p w14:paraId="529C3993">
      <w:pPr>
        <w:spacing w:line="360" w:lineRule="auto"/>
        <w:ind w:left="426" w:leftChars="203"/>
        <w:rPr>
          <w:rFonts w:ascii="宋体" w:hAnsi="宋体" w:cs="宋体"/>
          <w:color w:val="auto"/>
          <w:szCs w:val="21"/>
          <w:highlight w:val="none"/>
        </w:rPr>
      </w:pPr>
      <w:r>
        <w:rPr>
          <w:rFonts w:hint="eastAsia" w:ascii="宋体" w:hAnsi="宋体" w:cs="宋体"/>
          <w:color w:val="auto"/>
          <w:szCs w:val="21"/>
          <w:highlight w:val="none"/>
        </w:rPr>
        <w:t>15.4竞标报价要求</w:t>
      </w:r>
    </w:p>
    <w:p w14:paraId="204BC11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5.</w:t>
      </w:r>
      <w:r>
        <w:rPr>
          <w:rFonts w:hint="eastAsia" w:ascii="宋体" w:hAnsi="宋体" w:cs="宋体"/>
          <w:color w:val="auto"/>
          <w:szCs w:val="21"/>
          <w:highlight w:val="none"/>
        </w:rPr>
        <w:t>4</w:t>
      </w:r>
      <w:r>
        <w:rPr>
          <w:rFonts w:ascii="宋体" w:hAnsi="宋体" w:cs="宋体"/>
          <w:color w:val="auto"/>
          <w:szCs w:val="21"/>
          <w:highlight w:val="none"/>
        </w:rPr>
        <w:t>.1</w:t>
      </w:r>
      <w:r>
        <w:rPr>
          <w:rFonts w:hint="eastAsia" w:ascii="宋体" w:hAnsi="宋体" w:cs="宋体"/>
          <w:color w:val="auto"/>
          <w:szCs w:val="21"/>
          <w:highlight w:val="none"/>
        </w:rPr>
        <w:t>供应商的竞标报价应符合以下要求，否则响应文件按无效处理：</w:t>
      </w:r>
    </w:p>
    <w:p w14:paraId="4429C900">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（1）供应商必须就“采购需求”中所竞标的每个分标的全部内容分别作完整唯一总价报价，</w:t>
      </w:r>
    </w:p>
    <w:p w14:paraId="677CB933">
      <w:pPr>
        <w:spacing w:line="360" w:lineRule="auto"/>
        <w:rPr>
          <w:rFonts w:ascii="宋体" w:hAnsi="宋体" w:cs="宋体"/>
          <w:color w:val="auto"/>
          <w:szCs w:val="21"/>
          <w:highlight w:val="none"/>
        </w:rPr>
      </w:pPr>
      <w:r>
        <w:rPr>
          <w:rFonts w:hint="eastAsia" w:ascii="宋体" w:hAnsi="宋体" w:cs="宋体"/>
          <w:color w:val="auto"/>
          <w:szCs w:val="21"/>
          <w:highlight w:val="none"/>
        </w:rPr>
        <w:t>不得存在漏项报价；</w:t>
      </w:r>
    </w:p>
    <w:p w14:paraId="5A4F4A76">
      <w:pPr>
        <w:numPr>
          <w:ilvl w:val="0"/>
          <w:numId w:val="1"/>
        </w:num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供应商必须就所竞标的分标的单项内容作唯一报价。</w:t>
      </w:r>
    </w:p>
    <w:p w14:paraId="6AEE36CD">
      <w:pPr>
        <w:numPr>
          <w:ilvl w:val="0"/>
          <w:numId w:val="1"/>
        </w:num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供应商竞标报价（含总报价和单项报价）如明显低于其他通过符合性审查供应商的报价，有可能不能诚信履约的，磋商</w:t>
      </w:r>
      <w:r>
        <w:rPr>
          <w:rFonts w:ascii="宋体" w:hAnsi="宋体" w:cs="宋体"/>
          <w:color w:val="auto"/>
          <w:szCs w:val="21"/>
          <w:highlight w:val="none"/>
        </w:rPr>
        <w:t>小组可</w:t>
      </w:r>
      <w:r>
        <w:rPr>
          <w:rFonts w:ascii="ˎ̥" w:hAnsi="ˎ̥"/>
          <w:color w:val="auto"/>
          <w:sz w:val="22"/>
          <w:szCs w:val="22"/>
          <w:highlight w:val="none"/>
        </w:rPr>
        <w:t>要求其在评标现场合理的时间内提供书面说明</w:t>
      </w:r>
      <w:r>
        <w:rPr>
          <w:rFonts w:hint="eastAsia" w:ascii="宋体" w:hAnsi="宋体" w:cs="宋体"/>
          <w:color w:val="auto"/>
          <w:szCs w:val="21"/>
          <w:highlight w:val="none"/>
        </w:rPr>
        <w:t>。如无法提供说明，或者说明不足以证明合理性的，经磋商小组评定，响应文件按无效处理。</w:t>
      </w:r>
    </w:p>
    <w:p w14:paraId="6A2BF00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15.4.</w:t>
      </w:r>
      <w:r>
        <w:rPr>
          <w:rFonts w:ascii="宋体" w:hAnsi="宋体" w:cs="宋体"/>
          <w:color w:val="auto"/>
          <w:szCs w:val="21"/>
          <w:highlight w:val="none"/>
        </w:rPr>
        <w:t>2</w:t>
      </w:r>
      <w:r>
        <w:rPr>
          <w:rFonts w:hint="eastAsia" w:ascii="宋体" w:hAnsi="宋体" w:cs="宋体"/>
          <w:color w:val="auto"/>
          <w:szCs w:val="21"/>
          <w:highlight w:val="none"/>
        </w:rPr>
        <w:t>竞标报价（包含首次报价、最后报价）超过所竞标分标规定的采购预算金额或者最高限价的，其响应文件将按无效处理。</w:t>
      </w:r>
    </w:p>
    <w:p w14:paraId="2590C2C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15.4.</w:t>
      </w:r>
      <w:r>
        <w:rPr>
          <w:rFonts w:ascii="宋体" w:hAnsi="宋体" w:cs="宋体"/>
          <w:color w:val="auto"/>
          <w:szCs w:val="21"/>
          <w:highlight w:val="none"/>
        </w:rPr>
        <w:t>3</w:t>
      </w:r>
      <w:bookmarkStart w:id="59" w:name="_Hlk42592874"/>
      <w:r>
        <w:rPr>
          <w:rFonts w:hint="eastAsia" w:ascii="宋体" w:hAnsi="宋体" w:cs="宋体"/>
          <w:color w:val="auto"/>
          <w:szCs w:val="21"/>
          <w:highlight w:val="none"/>
        </w:rPr>
        <w:t>竞标报价（包含首次报价、最后报价）超过分项采购预算金额或者最高限价的（如有要求），其响应文件将按无效处理。</w:t>
      </w:r>
    </w:p>
    <w:p w14:paraId="3743612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15.4.4供应商在提交响应文件截止时间前修改竞标函中的竞标总报价，应同时修改响应文件“已标价工程量清单”中的相应报价。此修改须符合本须知正文第20条、第21条的有关要求。</w:t>
      </w:r>
    </w:p>
    <w:bookmarkEnd w:id="59"/>
    <w:p w14:paraId="3DA66D10">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16.竞标有效期</w:t>
      </w:r>
    </w:p>
    <w:p w14:paraId="4B5AF91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4908EB4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p>
    <w:p w14:paraId="133BD82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0E2A775A">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17.磋商保证金</w:t>
      </w:r>
    </w:p>
    <w:p w14:paraId="32053B77">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17.1供应商须按“供应商须知前附表”的规定提交磋商保证金。</w:t>
      </w:r>
    </w:p>
    <w:p w14:paraId="776628D1">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17.2磋商保证金的退还</w:t>
      </w:r>
    </w:p>
    <w:p w14:paraId="52141F83">
      <w:pPr>
        <w:spacing w:line="360" w:lineRule="auto"/>
        <w:ind w:firstLine="420" w:firstLineChars="200"/>
        <w:rPr>
          <w:rFonts w:ascii="宋体" w:hAnsi="宋体" w:cs="宋体"/>
          <w:color w:val="auto"/>
          <w:szCs w:val="21"/>
          <w:highlight w:val="none"/>
        </w:rPr>
      </w:pPr>
      <w:bookmarkStart w:id="60" w:name="_Hlk66782243"/>
      <w:r>
        <w:rPr>
          <w:rFonts w:hint="eastAsia" w:ascii="宋体" w:hAnsi="宋体" w:cs="宋体"/>
          <w:color w:val="auto"/>
          <w:szCs w:val="21"/>
          <w:highlight w:val="none"/>
        </w:rPr>
        <w:t>未成交供应商的磋商保证金自成交通知书发出之日起5个工作日内退还；成交供应商的磋商保证金自签订合同之日起5个工作日内退还或者转为成交供应商的履约保证金。</w:t>
      </w:r>
      <w:bookmarkEnd w:id="60"/>
    </w:p>
    <w:p w14:paraId="7A416AD3">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17.3磋商保证金不计息。</w:t>
      </w:r>
    </w:p>
    <w:p w14:paraId="76EE931E">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 xml:space="preserve">17.4供应商有下列情形之一的，磋商保证金将不予退还： </w:t>
      </w:r>
    </w:p>
    <w:p w14:paraId="4E1F8246">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（1）供应商在提交响应文件截止时间后撤回响应文件的；</w:t>
      </w:r>
    </w:p>
    <w:p w14:paraId="7DE0FA77">
      <w:pPr>
        <w:spacing w:line="360" w:lineRule="auto"/>
        <w:ind w:left="420" w:leftChars="200"/>
        <w:rPr>
          <w:rFonts w:ascii="宋体" w:hAnsi="宋体" w:cs="宋体"/>
          <w:color w:val="auto"/>
          <w:szCs w:val="21"/>
          <w:highlight w:val="none"/>
        </w:rPr>
      </w:pPr>
      <w:r>
        <w:rPr>
          <w:rFonts w:hint="eastAsia" w:ascii="宋体" w:hAnsi="宋体"/>
          <w:color w:val="auto"/>
          <w:szCs w:val="21"/>
          <w:highlight w:val="none"/>
        </w:rPr>
        <w:t>（2）未按规定提交履约保证金的；</w:t>
      </w:r>
    </w:p>
    <w:p w14:paraId="742268BF">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（3）供应商在响应文件中提供虚假材料的；</w:t>
      </w:r>
    </w:p>
    <w:p w14:paraId="542F5F6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（4）除因不可抗力或者磋商文件认可的情形以外，成交供应商不与采购人签订合同的；</w:t>
      </w:r>
    </w:p>
    <w:p w14:paraId="2FB02492">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（5）供应商与采购人、其他供应商或者采购代理机构恶意串通的；</w:t>
      </w:r>
    </w:p>
    <w:p w14:paraId="080097E3">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（6）法律法规规定的其他情形。</w:t>
      </w:r>
    </w:p>
    <w:p w14:paraId="169ADE55">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18.响应文件编制的要求</w:t>
      </w:r>
    </w:p>
    <w:p w14:paraId="7783CA0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18.1供应商应先安装“广西政府采购云电子交易客户端”（请自行前往广西政府采购云平台进行下载），并按照本项目磋商文件规定的格式和顺序和广西政府采购云平台的要求编制并加密。响应文件内容不完整、编排混乱导致响应文件被误读、漏读或者查找不到相关内容的，由此引发的后果由供应商承担。</w:t>
      </w:r>
    </w:p>
    <w:p w14:paraId="099874D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18.2为确保网上操作合法、有效和安全，供应商应当在提交响应文件截止时间前完成在广西政府采购云平台的身份认证，确保在电子竞标过程中能够对相关数据电文进行加密和使用电子签章。</w:t>
      </w:r>
    </w:p>
    <w:p w14:paraId="72800BE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18.3响应文件须由供应商在规定位置签字、盖章（具体以供应商须知前附表或响应文件格式规定为准），否则按无效响应处理。</w:t>
      </w:r>
    </w:p>
    <w:p w14:paraId="217BC71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18.4响应文件中标注的供应商名称应与主体资格证明（如营业执照或者事业单位法人证书或者执业许可证或者登记证书等）及公章一致，否则其响应文件按无效处理。</w:t>
      </w:r>
    </w:p>
    <w:p w14:paraId="66A86AB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18.5响应文件应尽量避免涂改、行间插字或者删除。如果出现上述情况，改动之处应由供应商的法定代表人或者其委托代理人签字（或者电子签名）或者加盖公章或者加盖电子签章。响应文件因涂改、行间插字或者删除导致字迹潦草或者表达不清所引起的后果由供应商承担。</w:t>
      </w:r>
    </w:p>
    <w:p w14:paraId="33A4F28D">
      <w:pPr>
        <w:spacing w:line="360" w:lineRule="auto"/>
        <w:ind w:firstLine="482" w:firstLineChars="200"/>
        <w:rPr>
          <w:rFonts w:ascii="黑体" w:hAnsi="黑体" w:eastAsia="黑体"/>
          <w:color w:val="auto"/>
          <w:sz w:val="24"/>
          <w:highlight w:val="none"/>
        </w:rPr>
      </w:pPr>
      <w:r>
        <w:rPr>
          <w:rFonts w:hint="eastAsia" w:ascii="黑体" w:hAnsi="黑体" w:eastAsia="黑体" w:cs="宋体"/>
          <w:b/>
          <w:bCs/>
          <w:color w:val="auto"/>
          <w:sz w:val="24"/>
          <w:highlight w:val="none"/>
        </w:rPr>
        <w:t>19.电子</w:t>
      </w:r>
      <w:r>
        <w:rPr>
          <w:rFonts w:hint="eastAsia" w:ascii="黑体" w:hAnsi="黑体" w:eastAsia="黑体"/>
          <w:b/>
          <w:color w:val="auto"/>
          <w:sz w:val="24"/>
          <w:highlight w:val="none"/>
        </w:rPr>
        <w:t>备份响应文件</w:t>
      </w:r>
    </w:p>
    <w:p w14:paraId="32CF7F01">
      <w:pPr>
        <w:spacing w:line="360" w:lineRule="auto"/>
        <w:ind w:firstLine="420" w:firstLineChars="200"/>
        <w:rPr>
          <w:rFonts w:ascii="宋体" w:hAnsi="宋体" w:cs="宋体"/>
          <w:color w:val="auto"/>
          <w:szCs w:val="21"/>
          <w:highlight w:val="none"/>
        </w:rPr>
      </w:pPr>
      <w:r>
        <w:rPr>
          <w:rFonts w:hint="eastAsia"/>
          <w:color w:val="auto"/>
          <w:highlight w:val="none"/>
        </w:rPr>
        <w:t>电子备份响应文件是指通过“广西政府采购云电子投标客户端”在线编制生成且后缀名为“</w:t>
      </w:r>
      <w:r>
        <w:rPr>
          <w:color w:val="auto"/>
          <w:highlight w:val="none"/>
        </w:rPr>
        <w:t>bfbs</w:t>
      </w:r>
      <w:r>
        <w:rPr>
          <w:rFonts w:hint="eastAsia"/>
          <w:color w:val="auto"/>
          <w:highlight w:val="none"/>
        </w:rPr>
        <w:t>”的文件，是否接受电子备份响应文件</w:t>
      </w:r>
      <w:r>
        <w:rPr>
          <w:rFonts w:hint="eastAsia"/>
          <w:color w:val="auto"/>
          <w:highlight w:val="none"/>
          <w:lang w:eastAsia="zh-CN"/>
        </w:rPr>
        <w:t>详见</w:t>
      </w:r>
      <w:r>
        <w:rPr>
          <w:rFonts w:hint="eastAsia" w:hAnsi="宋体"/>
          <w:bCs/>
          <w:color w:val="auto"/>
          <w:szCs w:val="21"/>
          <w:highlight w:val="none"/>
        </w:rPr>
        <w:t>“供应商须知前附表”。</w:t>
      </w:r>
    </w:p>
    <w:p w14:paraId="248D3D15">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20.响应文件的提交</w:t>
      </w:r>
    </w:p>
    <w:p w14:paraId="5A4D3D3E">
      <w:pPr>
        <w:spacing w:line="360" w:lineRule="auto"/>
        <w:ind w:firstLine="420" w:firstLineChars="200"/>
        <w:rPr>
          <w:rFonts w:hAnsi="宋体"/>
          <w:b/>
          <w:color w:val="auto"/>
          <w:highlight w:val="none"/>
        </w:rPr>
      </w:pPr>
      <w:r>
        <w:rPr>
          <w:rFonts w:hint="eastAsia" w:hAnsi="宋体"/>
          <w:bCs/>
          <w:color w:val="auto"/>
          <w:szCs w:val="21"/>
          <w:highlight w:val="none"/>
        </w:rPr>
        <w:t>20.1供应商必须按“供应商须知前附表”规定的</w:t>
      </w:r>
      <w:r>
        <w:rPr>
          <w:rFonts w:hint="eastAsia" w:ascii="宋体" w:hAnsi="宋体" w:cs="宋体"/>
          <w:color w:val="auto"/>
          <w:szCs w:val="21"/>
          <w:highlight w:val="none"/>
        </w:rPr>
        <w:t>时间</w:t>
      </w:r>
      <w:r>
        <w:rPr>
          <w:rFonts w:hint="eastAsia" w:ascii="宋体" w:hAnsi="宋体"/>
          <w:color w:val="auto"/>
          <w:szCs w:val="21"/>
          <w:highlight w:val="none"/>
        </w:rPr>
        <w:t>及</w:t>
      </w:r>
      <w:r>
        <w:rPr>
          <w:rFonts w:hint="eastAsia" w:hAnsi="宋体"/>
          <w:bCs/>
          <w:color w:val="auto"/>
          <w:szCs w:val="21"/>
          <w:highlight w:val="none"/>
        </w:rPr>
        <w:t>地点提交响应文件。电子响应文件应在制作完成后，</w:t>
      </w:r>
      <w:r>
        <w:rPr>
          <w:rFonts w:hAnsi="宋体"/>
          <w:bCs/>
          <w:color w:val="auto"/>
          <w:szCs w:val="21"/>
          <w:highlight w:val="none"/>
        </w:rPr>
        <w:t>在</w:t>
      </w:r>
      <w:r>
        <w:rPr>
          <w:rFonts w:hint="eastAsia" w:hAnsi="宋体"/>
          <w:bCs/>
          <w:color w:val="auto"/>
          <w:szCs w:val="21"/>
          <w:highlight w:val="none"/>
        </w:rPr>
        <w:t>提交响应文件截止</w:t>
      </w:r>
      <w:r>
        <w:rPr>
          <w:rFonts w:hAnsi="宋体"/>
          <w:bCs/>
          <w:color w:val="auto"/>
          <w:szCs w:val="21"/>
          <w:highlight w:val="none"/>
        </w:rPr>
        <w:t>时间前</w:t>
      </w:r>
      <w:r>
        <w:rPr>
          <w:rFonts w:hint="eastAsia" w:hAnsi="宋体"/>
          <w:bCs/>
          <w:color w:val="auto"/>
          <w:szCs w:val="21"/>
          <w:highlight w:val="none"/>
        </w:rPr>
        <w:t>通过有效数字证书（CA认证锁）进行电子签章、加密，然后通过网络将加密的电子响应文件提交至</w:t>
      </w:r>
      <w:r>
        <w:rPr>
          <w:rFonts w:hint="eastAsia" w:ascii="宋体" w:hAnsi="宋体"/>
          <w:color w:val="auto"/>
          <w:szCs w:val="21"/>
          <w:highlight w:val="none"/>
        </w:rPr>
        <w:t>广西政府采购云平台</w:t>
      </w:r>
      <w:r>
        <w:rPr>
          <w:rFonts w:hint="eastAsia" w:hAnsi="宋体"/>
          <w:bCs/>
          <w:color w:val="auto"/>
          <w:szCs w:val="21"/>
          <w:highlight w:val="none"/>
        </w:rPr>
        <w:t>。</w:t>
      </w:r>
    </w:p>
    <w:p w14:paraId="21CD2340">
      <w:pPr>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rPr>
        <w:t>20.</w:t>
      </w:r>
      <w:r>
        <w:rPr>
          <w:rFonts w:ascii="宋体" w:hAnsi="宋体"/>
          <w:color w:val="auto"/>
          <w:szCs w:val="21"/>
          <w:highlight w:val="none"/>
        </w:rPr>
        <w:t>2</w:t>
      </w:r>
      <w:r>
        <w:rPr>
          <w:rFonts w:hint="eastAsia" w:ascii="宋体" w:hAnsi="宋体"/>
          <w:color w:val="auto"/>
          <w:szCs w:val="21"/>
          <w:highlight w:val="none"/>
        </w:rPr>
        <w:t>未在规定时间内提交或者未按照磋商文件要求加密的电子响应文件，广西政府采购云平台将拒收。</w:t>
      </w:r>
    </w:p>
    <w:p w14:paraId="548B2A57">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21.首次响应文件的补充、修改与撤回</w:t>
      </w:r>
    </w:p>
    <w:p w14:paraId="2B8A5510">
      <w:pPr>
        <w:spacing w:line="360" w:lineRule="auto"/>
        <w:ind w:firstLine="420" w:firstLineChars="200"/>
        <w:rPr>
          <w:rFonts w:hAnsi="宋体"/>
          <w:bCs/>
          <w:color w:val="auto"/>
          <w:szCs w:val="21"/>
          <w:highlight w:val="none"/>
        </w:rPr>
      </w:pPr>
      <w:bookmarkStart w:id="61" w:name="_Toc254970684"/>
      <w:bookmarkStart w:id="62" w:name="_Toc254970543"/>
      <w:r>
        <w:rPr>
          <w:rFonts w:hAnsi="宋体"/>
          <w:bCs/>
          <w:color w:val="auto"/>
          <w:szCs w:val="21"/>
          <w:highlight w:val="none"/>
        </w:rPr>
        <w:t>2</w:t>
      </w:r>
      <w:r>
        <w:rPr>
          <w:rFonts w:hint="eastAsia" w:hAnsi="宋体"/>
          <w:bCs/>
          <w:color w:val="auto"/>
          <w:szCs w:val="21"/>
          <w:highlight w:val="none"/>
        </w:rPr>
        <w:t>1.1供应商应当在提交响应文件截止</w:t>
      </w:r>
      <w:r>
        <w:rPr>
          <w:rFonts w:hAnsi="宋体"/>
          <w:bCs/>
          <w:color w:val="auto"/>
          <w:szCs w:val="21"/>
          <w:highlight w:val="none"/>
        </w:rPr>
        <w:t>时间</w:t>
      </w:r>
      <w:r>
        <w:rPr>
          <w:rFonts w:hint="eastAsia" w:hAnsi="宋体"/>
          <w:bCs/>
          <w:color w:val="auto"/>
          <w:szCs w:val="21"/>
          <w:highlight w:val="none"/>
        </w:rPr>
        <w:t>前完成电子响应文件的提交（上传），提交响应文件截止</w:t>
      </w:r>
      <w:r>
        <w:rPr>
          <w:rFonts w:hAnsi="宋体"/>
          <w:bCs/>
          <w:color w:val="auto"/>
          <w:szCs w:val="21"/>
          <w:highlight w:val="none"/>
        </w:rPr>
        <w:t>时间</w:t>
      </w:r>
      <w:r>
        <w:rPr>
          <w:rFonts w:hint="eastAsia" w:hAnsi="宋体"/>
          <w:bCs/>
          <w:color w:val="auto"/>
          <w:szCs w:val="21"/>
          <w:highlight w:val="none"/>
        </w:rPr>
        <w:t>前可以补充、修改或者撤回响应文件。补充或者修改响应文件的，应当先行撤回原响应文件，补充、修改后重新提交（上传），提交响应文件截止</w:t>
      </w:r>
      <w:r>
        <w:rPr>
          <w:rFonts w:hAnsi="宋体"/>
          <w:bCs/>
          <w:color w:val="auto"/>
          <w:szCs w:val="21"/>
          <w:highlight w:val="none"/>
        </w:rPr>
        <w:t>时间</w:t>
      </w:r>
      <w:r>
        <w:rPr>
          <w:rFonts w:hint="eastAsia" w:hAnsi="宋体"/>
          <w:bCs/>
          <w:color w:val="auto"/>
          <w:szCs w:val="21"/>
          <w:highlight w:val="none"/>
        </w:rPr>
        <w:t>前未完成提交（上传）的，视为撤回响应文件。提交响应文件截止</w:t>
      </w:r>
      <w:r>
        <w:rPr>
          <w:rFonts w:hAnsi="宋体"/>
          <w:bCs/>
          <w:color w:val="auto"/>
          <w:szCs w:val="21"/>
          <w:highlight w:val="none"/>
        </w:rPr>
        <w:t>时间</w:t>
      </w:r>
      <w:r>
        <w:rPr>
          <w:rFonts w:hint="eastAsia" w:hAnsi="宋体"/>
          <w:bCs/>
          <w:color w:val="auto"/>
          <w:szCs w:val="21"/>
          <w:highlight w:val="none"/>
        </w:rPr>
        <w:t>以后提交（上传）的响应文件，广西政府采购云平台将予以拒收。（注：补充、修改或者撤回方式可登录广西政府采购云平台，进入“服务中心”中查看“电子投标文件制作与投送教程”）</w:t>
      </w:r>
    </w:p>
    <w:bookmarkEnd w:id="61"/>
    <w:bookmarkEnd w:id="62"/>
    <w:p w14:paraId="2DEE776F">
      <w:pPr>
        <w:pStyle w:val="180"/>
        <w:spacing w:before="0"/>
        <w:ind w:firstLine="420"/>
        <w:rPr>
          <w:rFonts w:ascii="宋体" w:hAnsi="宋体" w:cs="宋体"/>
          <w:color w:val="auto"/>
          <w:sz w:val="21"/>
          <w:szCs w:val="21"/>
          <w:highlight w:val="none"/>
        </w:rPr>
      </w:pPr>
      <w:r>
        <w:rPr>
          <w:rFonts w:ascii="宋体" w:hAnsi="宋体" w:cs="宋体"/>
          <w:color w:val="auto"/>
          <w:sz w:val="21"/>
          <w:szCs w:val="21"/>
          <w:highlight w:val="none"/>
        </w:rPr>
        <w:t>2</w:t>
      </w:r>
      <w:r>
        <w:rPr>
          <w:rFonts w:hint="eastAsia" w:ascii="宋体" w:hAnsi="宋体" w:cs="宋体"/>
          <w:color w:val="auto"/>
          <w:sz w:val="21"/>
          <w:szCs w:val="21"/>
          <w:highlight w:val="none"/>
        </w:rPr>
        <w:t>1</w:t>
      </w:r>
      <w:r>
        <w:rPr>
          <w:rFonts w:ascii="宋体" w:hAnsi="宋体" w:cs="宋体"/>
          <w:color w:val="auto"/>
          <w:sz w:val="21"/>
          <w:szCs w:val="21"/>
          <w:highlight w:val="none"/>
        </w:rPr>
        <w:t>.</w:t>
      </w:r>
      <w:r>
        <w:rPr>
          <w:rFonts w:hint="eastAsia" w:ascii="宋体" w:hAnsi="宋体" w:cs="宋体"/>
          <w:color w:val="auto"/>
          <w:sz w:val="21"/>
          <w:szCs w:val="21"/>
          <w:highlight w:val="none"/>
        </w:rPr>
        <w:t>2在提交响应文件截止时间前，除供应商补充、修改或者撤回响应文件外，任何单位和个人不得解密或提取响应文件。</w:t>
      </w:r>
    </w:p>
    <w:p w14:paraId="0A615C89">
      <w:pPr>
        <w:spacing w:line="360" w:lineRule="auto"/>
        <w:ind w:firstLine="482" w:firstLineChars="200"/>
        <w:rPr>
          <w:rFonts w:ascii="黑体" w:hAnsi="黑体" w:eastAsia="黑体" w:cs="宋体"/>
          <w:b/>
          <w:bCs/>
          <w:color w:val="auto"/>
          <w:sz w:val="24"/>
          <w:highlight w:val="none"/>
        </w:rPr>
      </w:pPr>
      <w:bookmarkStart w:id="63" w:name="_Hlk45702405"/>
      <w:r>
        <w:rPr>
          <w:rFonts w:hint="eastAsia" w:ascii="黑体" w:hAnsi="黑体" w:eastAsia="黑体" w:cs="宋体"/>
          <w:b/>
          <w:bCs/>
          <w:color w:val="auto"/>
          <w:sz w:val="24"/>
          <w:highlight w:val="none"/>
        </w:rPr>
        <w:t>22.响应文件的退回</w:t>
      </w:r>
    </w:p>
    <w:p w14:paraId="2D0E815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采购人和采购代理机构对已提交的响应文件概不退回。</w:t>
      </w:r>
    </w:p>
    <w:p w14:paraId="441638B3">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23.截止时间后的撤回</w:t>
      </w:r>
    </w:p>
    <w:p w14:paraId="5CEC7AB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供应商在响应文件提交截止时间后向采购人、采购代理机构书面申请撤回响应文件的，将根据本须知正文第17.4条的规定不予退还其磋商保证金。</w:t>
      </w:r>
    </w:p>
    <w:bookmarkEnd w:id="63"/>
    <w:p w14:paraId="309B1FC0">
      <w:pPr>
        <w:spacing w:line="360" w:lineRule="auto"/>
        <w:rPr>
          <w:rFonts w:ascii="宋体" w:hAnsi="宋体"/>
          <w:color w:val="auto"/>
          <w:szCs w:val="21"/>
          <w:highlight w:val="none"/>
        </w:rPr>
      </w:pPr>
    </w:p>
    <w:p w14:paraId="32C3B9E5">
      <w:pPr>
        <w:spacing w:line="360" w:lineRule="auto"/>
        <w:ind w:left="420" w:firstLine="420"/>
        <w:jc w:val="center"/>
        <w:rPr>
          <w:rFonts w:ascii="宋体" w:hAnsi="宋体"/>
          <w:b/>
          <w:bCs/>
          <w:color w:val="auto"/>
          <w:sz w:val="32"/>
          <w:szCs w:val="32"/>
          <w:highlight w:val="none"/>
        </w:rPr>
      </w:pPr>
      <w:r>
        <w:rPr>
          <w:rFonts w:hint="eastAsia" w:ascii="宋体" w:hAnsi="宋体"/>
          <w:b/>
          <w:bCs/>
          <w:color w:val="auto"/>
          <w:sz w:val="32"/>
          <w:szCs w:val="32"/>
          <w:highlight w:val="none"/>
        </w:rPr>
        <w:t>四、评审及磋商</w:t>
      </w:r>
    </w:p>
    <w:p w14:paraId="2D89F53F">
      <w:pPr>
        <w:spacing w:line="360" w:lineRule="auto"/>
        <w:ind w:left="420" w:firstLine="420"/>
        <w:rPr>
          <w:rFonts w:ascii="宋体" w:hAnsi="宋体"/>
          <w:color w:val="auto"/>
          <w:szCs w:val="21"/>
          <w:highlight w:val="none"/>
        </w:rPr>
      </w:pPr>
    </w:p>
    <w:p w14:paraId="64F535A5">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24.磋商小组成立</w:t>
      </w:r>
    </w:p>
    <w:p w14:paraId="4494FA6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24.1磋商小组由采购人代表和评审专家共3人以上单数组成，具体人数见“供应商须知前附表”，其中评审专家人数不得少于磋商小组成员总数的2/3。采购人代表不得以评审专家身份参加本部门或者本单位采购项目的评审。采购代理机构人员不得参加本机构代理的采购项目的评审。</w:t>
      </w:r>
    </w:p>
    <w:p w14:paraId="667FEE1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1CC5337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24.3</w:t>
      </w:r>
      <w:r>
        <w:rPr>
          <w:rFonts w:hint="eastAsia" w:hAnsi="宋体"/>
          <w:bCs/>
          <w:color w:val="auto"/>
          <w:szCs w:val="21"/>
          <w:highlight w:val="none"/>
        </w:rPr>
        <w:t>采购代理机构</w:t>
      </w:r>
      <w:r>
        <w:rPr>
          <w:rFonts w:hint="eastAsia" w:hAnsi="宋体"/>
          <w:bCs/>
          <w:color w:val="auto"/>
          <w:highlight w:val="none"/>
        </w:rPr>
        <w:t>应当</w:t>
      </w:r>
      <w:r>
        <w:rPr>
          <w:rFonts w:hint="eastAsia" w:hAnsi="宋体"/>
          <w:bCs/>
          <w:color w:val="auto"/>
          <w:szCs w:val="21"/>
          <w:highlight w:val="none"/>
        </w:rPr>
        <w:t>基于广西政府采购云平台</w:t>
      </w:r>
      <w:r>
        <w:rPr>
          <w:rFonts w:hint="eastAsia" w:hAnsi="宋体"/>
          <w:bCs/>
          <w:color w:val="auto"/>
          <w:highlight w:val="none"/>
        </w:rPr>
        <w:t>抽（选）取</w:t>
      </w:r>
      <w:r>
        <w:rPr>
          <w:rFonts w:hint="eastAsia" w:hAnsi="宋体"/>
          <w:bCs/>
          <w:color w:val="auto"/>
          <w:szCs w:val="21"/>
          <w:highlight w:val="none"/>
        </w:rPr>
        <w:t>评审专家。</w:t>
      </w:r>
    </w:p>
    <w:p w14:paraId="411FCF82">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25.</w:t>
      </w:r>
      <w:r>
        <w:rPr>
          <w:rFonts w:hint="eastAsia" w:ascii="黑体" w:hAnsi="黑体" w:eastAsia="黑体" w:cs="宋体"/>
          <w:b/>
          <w:bCs/>
          <w:color w:val="auto"/>
          <w:sz w:val="24"/>
          <w:highlight w:val="none"/>
        </w:rPr>
        <w:t>首次响应文件的开启和解密</w:t>
      </w:r>
    </w:p>
    <w:p w14:paraId="102DAD91">
      <w:pPr>
        <w:spacing w:line="360" w:lineRule="auto"/>
        <w:ind w:firstLine="420" w:firstLineChars="200"/>
        <w:rPr>
          <w:rFonts w:ascii="宋体" w:hAnsi="宋体" w:cs="宋体"/>
          <w:color w:val="auto"/>
          <w:szCs w:val="21"/>
          <w:highlight w:val="none"/>
        </w:rPr>
      </w:pPr>
      <w:r>
        <w:rPr>
          <w:rFonts w:hint="eastAsia" w:hAnsi="宋体"/>
          <w:bCs/>
          <w:color w:val="auto"/>
          <w:highlight w:val="none"/>
        </w:rPr>
        <w:t>采购代理机构将在“供应商须知前附表”规定的时</w:t>
      </w:r>
      <w:r>
        <w:rPr>
          <w:rFonts w:hint="eastAsia" w:hAnsi="宋体"/>
          <w:color w:val="auto"/>
          <w:highlight w:val="none"/>
        </w:rPr>
        <w:t>间通过电子交易平台组织响应文件开启，供应商的法定代表人或其委托代理人须携带加密时所用的CA锁，按平台提示和磋商文件的规定登录到广西政府采购云平台电子开标大厅签到，</w:t>
      </w:r>
      <w:r>
        <w:rPr>
          <w:rFonts w:hint="eastAsia"/>
          <w:color w:val="auto"/>
          <w:highlight w:val="none"/>
        </w:rPr>
        <w:t>采购代理机构依托广西政府采购云平台向各供应商发出电子加密响应文件【开始解密】通知，由供应商按</w:t>
      </w:r>
      <w:r>
        <w:rPr>
          <w:rFonts w:hint="eastAsia" w:hAnsi="宋体"/>
          <w:bCs/>
          <w:color w:val="auto"/>
          <w:szCs w:val="21"/>
          <w:highlight w:val="none"/>
        </w:rPr>
        <w:t>“供应商须知前附表”</w:t>
      </w:r>
      <w:r>
        <w:rPr>
          <w:rFonts w:hint="eastAsia"/>
          <w:color w:val="auto"/>
          <w:highlight w:val="none"/>
        </w:rPr>
        <w:t>规定的时间内自行进行响应文件解密</w:t>
      </w:r>
      <w:r>
        <w:rPr>
          <w:rFonts w:hint="eastAsia" w:hAnsi="宋体"/>
          <w:color w:val="auto"/>
          <w:highlight w:val="none"/>
        </w:rPr>
        <w:t>。</w:t>
      </w:r>
      <w:r>
        <w:rPr>
          <w:rFonts w:hint="eastAsia"/>
          <w:b/>
          <w:color w:val="auto"/>
          <w:highlight w:val="none"/>
        </w:rPr>
        <w:t>供应商未在</w:t>
      </w:r>
      <w:r>
        <w:rPr>
          <w:b/>
          <w:color w:val="auto"/>
          <w:highlight w:val="none"/>
        </w:rPr>
        <w:t>规定的时间内解密</w:t>
      </w:r>
      <w:r>
        <w:rPr>
          <w:rFonts w:hint="eastAsia"/>
          <w:b/>
          <w:color w:val="auto"/>
          <w:highlight w:val="none"/>
        </w:rPr>
        <w:t>响应文件</w:t>
      </w:r>
      <w:r>
        <w:rPr>
          <w:b/>
          <w:color w:val="auto"/>
          <w:highlight w:val="none"/>
        </w:rPr>
        <w:t>或</w:t>
      </w:r>
      <w:r>
        <w:rPr>
          <w:rFonts w:hint="eastAsia"/>
          <w:b/>
          <w:color w:val="auto"/>
          <w:highlight w:val="none"/>
        </w:rPr>
        <w:t>者</w:t>
      </w:r>
      <w:r>
        <w:rPr>
          <w:b/>
          <w:color w:val="auto"/>
          <w:highlight w:val="none"/>
        </w:rPr>
        <w:t>解密失败的</w:t>
      </w:r>
      <w:r>
        <w:rPr>
          <w:rFonts w:hint="eastAsia"/>
          <w:b/>
          <w:color w:val="auto"/>
          <w:highlight w:val="none"/>
        </w:rPr>
        <w:t>，供应商</w:t>
      </w:r>
      <w:r>
        <w:rPr>
          <w:rFonts w:hint="eastAsia" w:ascii="宋体" w:hAnsi="宋体"/>
          <w:b/>
          <w:color w:val="auto"/>
          <w:szCs w:val="21"/>
          <w:highlight w:val="none"/>
        </w:rPr>
        <w:t>的响应文件按无效处理</w:t>
      </w:r>
      <w:r>
        <w:rPr>
          <w:b/>
          <w:color w:val="auto"/>
          <w:highlight w:val="none"/>
        </w:rPr>
        <w:t>。</w:t>
      </w:r>
    </w:p>
    <w:p w14:paraId="3AA5139C">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26</w:t>
      </w:r>
      <w:r>
        <w:rPr>
          <w:rFonts w:hint="eastAsia" w:ascii="黑体" w:hAnsi="黑体" w:eastAsia="黑体" w:cs="宋体"/>
          <w:b/>
          <w:bCs/>
          <w:color w:val="auto"/>
          <w:sz w:val="24"/>
          <w:highlight w:val="none"/>
        </w:rPr>
        <w:t>.评审程序、评审方法和评审标准</w:t>
      </w:r>
    </w:p>
    <w:p w14:paraId="6AF965D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6</w:t>
      </w:r>
      <w:r>
        <w:rPr>
          <w:rFonts w:hint="eastAsia" w:ascii="宋体" w:hAnsi="宋体" w:cs="宋体"/>
          <w:color w:val="auto"/>
          <w:szCs w:val="21"/>
          <w:highlight w:val="none"/>
        </w:rPr>
        <w:t>.1本项目的评审方法为综合评分法。</w:t>
      </w:r>
    </w:p>
    <w:p w14:paraId="3E1C244A">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26.2</w:t>
      </w:r>
      <w:r>
        <w:rPr>
          <w:rFonts w:hint="eastAsia" w:ascii="宋体" w:hAnsi="宋体" w:cs="宋体"/>
          <w:color w:val="auto"/>
          <w:szCs w:val="21"/>
          <w:highlight w:val="none"/>
        </w:rPr>
        <w:t>磋商小组</w:t>
      </w:r>
      <w:r>
        <w:rPr>
          <w:rFonts w:ascii="宋体" w:hAnsi="宋体" w:cs="宋体"/>
          <w:color w:val="auto"/>
          <w:szCs w:val="21"/>
          <w:highlight w:val="none"/>
        </w:rPr>
        <w:t>按照</w:t>
      </w:r>
      <w:r>
        <w:rPr>
          <w:rFonts w:hint="eastAsia" w:ascii="宋体" w:hAnsi="宋体" w:cs="宋体"/>
          <w:color w:val="auto"/>
          <w:szCs w:val="21"/>
          <w:highlight w:val="none"/>
        </w:rPr>
        <w:t>“第四章 评审程序、评审方法和评审标准”</w:t>
      </w:r>
      <w:r>
        <w:rPr>
          <w:rFonts w:ascii="宋体" w:hAnsi="宋体" w:cs="宋体"/>
          <w:color w:val="auto"/>
          <w:szCs w:val="21"/>
          <w:highlight w:val="none"/>
        </w:rPr>
        <w:t>规定的方法、评审因素、标准和程序对</w:t>
      </w:r>
      <w:r>
        <w:rPr>
          <w:rFonts w:hint="eastAsia" w:ascii="宋体" w:hAnsi="宋体" w:cs="宋体"/>
          <w:color w:val="auto"/>
          <w:szCs w:val="21"/>
          <w:highlight w:val="none"/>
        </w:rPr>
        <w:t>响应</w:t>
      </w:r>
      <w:r>
        <w:rPr>
          <w:rFonts w:ascii="宋体" w:hAnsi="宋体" w:cs="宋体"/>
          <w:color w:val="auto"/>
          <w:szCs w:val="21"/>
          <w:highlight w:val="none"/>
        </w:rPr>
        <w:t>文件进行评审</w:t>
      </w:r>
      <w:r>
        <w:rPr>
          <w:rFonts w:hint="eastAsia" w:ascii="宋体" w:hAnsi="宋体" w:cs="宋体"/>
          <w:color w:val="auto"/>
          <w:szCs w:val="21"/>
          <w:highlight w:val="none"/>
        </w:rPr>
        <w:t>并推荐成交候选供应商</w:t>
      </w:r>
      <w:r>
        <w:rPr>
          <w:rFonts w:ascii="宋体" w:hAnsi="宋体" w:cs="宋体"/>
          <w:color w:val="auto"/>
          <w:szCs w:val="21"/>
          <w:highlight w:val="none"/>
        </w:rPr>
        <w:t>。</w:t>
      </w:r>
    </w:p>
    <w:p w14:paraId="44FA4C7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 xml:space="preserve">6.3 </w:t>
      </w:r>
      <w:r>
        <w:rPr>
          <w:rFonts w:hint="eastAsia" w:ascii="宋体" w:hAnsi="宋体"/>
          <w:color w:val="auto"/>
          <w:szCs w:val="21"/>
          <w:highlight w:val="none"/>
        </w:rPr>
        <w:t>商务/技术要求允许负偏离的条款数详见“供应商须知前附表”。</w:t>
      </w:r>
    </w:p>
    <w:p w14:paraId="7FABCB13">
      <w:pPr>
        <w:spacing w:line="360" w:lineRule="auto"/>
        <w:ind w:firstLine="420" w:firstLineChars="200"/>
        <w:rPr>
          <w:rFonts w:ascii="宋体" w:hAnsi="宋体"/>
          <w:color w:val="auto"/>
          <w:szCs w:val="21"/>
          <w:highlight w:val="none"/>
        </w:rPr>
      </w:pPr>
      <w:r>
        <w:rPr>
          <w:rFonts w:hint="eastAsia" w:ascii="宋体" w:hAnsi="宋体" w:cs="宋体"/>
          <w:color w:val="auto"/>
          <w:highlight w:val="none"/>
        </w:rPr>
        <w:t>26.</w:t>
      </w:r>
      <w:r>
        <w:rPr>
          <w:rFonts w:ascii="宋体" w:hAnsi="宋体" w:cs="宋体"/>
          <w:color w:val="auto"/>
          <w:highlight w:val="none"/>
        </w:rPr>
        <w:t>4</w:t>
      </w:r>
      <w:r>
        <w:rPr>
          <w:rFonts w:hint="eastAsia" w:ascii="宋体" w:hAnsi="宋体" w:cs="宋体"/>
          <w:color w:val="auto"/>
          <w:highlight w:val="none"/>
        </w:rPr>
        <w:t>磋商小组成员要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14:paraId="03483FA0">
      <w:pPr>
        <w:spacing w:line="360" w:lineRule="auto"/>
        <w:ind w:firstLine="420" w:firstLineChars="200"/>
        <w:rPr>
          <w:rFonts w:hAnsi="宋体"/>
          <w:color w:val="auto"/>
          <w:highlight w:val="none"/>
        </w:rPr>
      </w:pPr>
      <w:r>
        <w:rPr>
          <w:rFonts w:hint="eastAsia" w:ascii="宋体" w:hAnsi="宋体" w:cs="宋体"/>
          <w:color w:val="auto"/>
          <w:highlight w:val="none"/>
        </w:rPr>
        <w:t>2</w:t>
      </w:r>
      <w:r>
        <w:rPr>
          <w:rFonts w:ascii="宋体" w:hAnsi="宋体" w:cs="宋体"/>
          <w:color w:val="auto"/>
          <w:highlight w:val="none"/>
        </w:rPr>
        <w:t>6.5</w:t>
      </w:r>
      <w:r>
        <w:rPr>
          <w:rFonts w:hint="eastAsia" w:hAnsi="宋体"/>
          <w:color w:val="auto"/>
          <w:highlight w:val="none"/>
        </w:rPr>
        <w:t>电子交易活动的中止。采购过程中出现以下情形，导致电子交易平台无法正常运行，或者无法保证电子交易的公平、公正和安全时，采购机构可中止电子交易活动：</w:t>
      </w:r>
    </w:p>
    <w:p w14:paraId="06B28BAC">
      <w:pPr>
        <w:spacing w:line="360" w:lineRule="auto"/>
        <w:ind w:firstLine="420" w:firstLineChars="200"/>
        <w:rPr>
          <w:rFonts w:hAnsi="宋体"/>
          <w:color w:val="auto"/>
          <w:highlight w:val="none"/>
        </w:rPr>
      </w:pPr>
      <w:r>
        <w:rPr>
          <w:rFonts w:hint="eastAsia" w:hAnsi="宋体"/>
          <w:color w:val="auto"/>
          <w:highlight w:val="none"/>
        </w:rPr>
        <w:t>（1）电子交易平台发生故障而无法登录访问的；</w:t>
      </w:r>
    </w:p>
    <w:p w14:paraId="0F474B8B">
      <w:pPr>
        <w:spacing w:line="360" w:lineRule="auto"/>
        <w:ind w:firstLine="420" w:firstLineChars="200"/>
        <w:rPr>
          <w:rFonts w:hAnsi="宋体"/>
          <w:color w:val="auto"/>
          <w:highlight w:val="none"/>
        </w:rPr>
      </w:pPr>
      <w:r>
        <w:rPr>
          <w:rFonts w:hint="eastAsia" w:hAnsi="宋体"/>
          <w:color w:val="auto"/>
          <w:highlight w:val="none"/>
        </w:rPr>
        <w:t>（2）电子交易平台应用或数据库出现错误，不能进行正常操作的；</w:t>
      </w:r>
    </w:p>
    <w:p w14:paraId="161783F7">
      <w:pPr>
        <w:spacing w:line="360" w:lineRule="auto"/>
        <w:ind w:firstLine="420" w:firstLineChars="200"/>
        <w:rPr>
          <w:rFonts w:hAnsi="宋体"/>
          <w:color w:val="auto"/>
          <w:highlight w:val="none"/>
        </w:rPr>
      </w:pPr>
      <w:r>
        <w:rPr>
          <w:rFonts w:hint="eastAsia" w:hAnsi="宋体"/>
          <w:color w:val="auto"/>
          <w:highlight w:val="none"/>
        </w:rPr>
        <w:t>（3）电子交易平台发现严重安全漏洞，有潜在泄密危险的；</w:t>
      </w:r>
    </w:p>
    <w:p w14:paraId="05660CE4">
      <w:pPr>
        <w:spacing w:line="360" w:lineRule="auto"/>
        <w:ind w:firstLine="420" w:firstLineChars="200"/>
        <w:rPr>
          <w:rFonts w:hAnsi="宋体"/>
          <w:color w:val="auto"/>
          <w:highlight w:val="none"/>
        </w:rPr>
      </w:pPr>
      <w:r>
        <w:rPr>
          <w:rFonts w:hint="eastAsia" w:hAnsi="宋体"/>
          <w:color w:val="auto"/>
          <w:highlight w:val="none"/>
        </w:rPr>
        <w:t>（4）病毒发作导致不能进行正常操作的；</w:t>
      </w:r>
    </w:p>
    <w:p w14:paraId="4ABCC61A">
      <w:pPr>
        <w:spacing w:line="360" w:lineRule="auto"/>
        <w:ind w:firstLine="420" w:firstLineChars="200"/>
        <w:rPr>
          <w:rFonts w:hAnsi="宋体"/>
          <w:color w:val="auto"/>
          <w:highlight w:val="none"/>
        </w:rPr>
      </w:pPr>
      <w:r>
        <w:rPr>
          <w:rFonts w:hint="eastAsia" w:hAnsi="宋体"/>
          <w:color w:val="auto"/>
          <w:highlight w:val="none"/>
        </w:rPr>
        <w:t>（5）其他无法保证电子交易的公平、公正和安全的情况。</w:t>
      </w:r>
    </w:p>
    <w:p w14:paraId="79465F74">
      <w:pPr>
        <w:spacing w:line="360" w:lineRule="auto"/>
        <w:ind w:firstLine="420" w:firstLineChars="200"/>
        <w:rPr>
          <w:rFonts w:ascii="宋体" w:hAnsi="宋体" w:cs="宋体"/>
          <w:color w:val="auto"/>
          <w:szCs w:val="21"/>
          <w:highlight w:val="none"/>
        </w:rPr>
      </w:pPr>
      <w:r>
        <w:rPr>
          <w:rFonts w:hint="eastAsia" w:ascii="宋体" w:hAnsi="宋体"/>
          <w:color w:val="auto"/>
          <w:highlight w:val="none"/>
        </w:rPr>
        <w:t>26.</w:t>
      </w:r>
      <w:r>
        <w:rPr>
          <w:rFonts w:ascii="宋体" w:hAnsi="宋体"/>
          <w:color w:val="auto"/>
          <w:highlight w:val="none"/>
        </w:rPr>
        <w:t>6</w:t>
      </w:r>
      <w:r>
        <w:rPr>
          <w:rFonts w:hint="eastAsia" w:hAnsi="宋体"/>
          <w:color w:val="auto"/>
          <w:highlight w:val="none"/>
        </w:rPr>
        <w:t>出现以上情形，不影响采购公平、公正性的，采购组织机构可以待上述情形消除后继续组织电子交易活动；影响或可能影响采购公平、公正性的，经采购代理机构确认，报采购人同意后，应当重新采购。采购代理机构必须对原有的资料及信息作出妥善保密处理，并报财政部门备案。</w:t>
      </w:r>
    </w:p>
    <w:p w14:paraId="2DBBC0A0">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27</w:t>
      </w:r>
      <w:r>
        <w:rPr>
          <w:rFonts w:hint="eastAsia" w:ascii="黑体" w:hAnsi="黑体" w:eastAsia="黑体" w:cs="宋体"/>
          <w:b/>
          <w:bCs/>
          <w:color w:val="auto"/>
          <w:sz w:val="24"/>
          <w:highlight w:val="none"/>
        </w:rPr>
        <w:t>.确定成交供应商及结果公告</w:t>
      </w:r>
    </w:p>
    <w:p w14:paraId="6BF9F6DC">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27</w:t>
      </w:r>
      <w:r>
        <w:rPr>
          <w:rFonts w:hint="eastAsia" w:ascii="宋体" w:hAnsi="宋体" w:cs="宋体"/>
          <w:color w:val="auto"/>
          <w:szCs w:val="21"/>
          <w:highlight w:val="none"/>
        </w:rPr>
        <w:t>.1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2DB3946C">
      <w:pPr>
        <w:spacing w:line="360" w:lineRule="auto"/>
        <w:ind w:firstLine="420" w:firstLineChars="200"/>
        <w:rPr>
          <w:rFonts w:ascii="宋体" w:hAnsi="宋体" w:cs="Courier New"/>
          <w:color w:val="auto"/>
          <w:szCs w:val="21"/>
          <w:highlight w:val="none"/>
        </w:rPr>
      </w:pPr>
      <w:r>
        <w:rPr>
          <w:rFonts w:ascii="宋体" w:hAnsi="宋体" w:cs="宋体"/>
          <w:color w:val="auto"/>
          <w:szCs w:val="21"/>
          <w:highlight w:val="none"/>
        </w:rPr>
        <w:t>27</w:t>
      </w:r>
      <w:r>
        <w:rPr>
          <w:rFonts w:hint="eastAsia" w:ascii="宋体" w:hAnsi="宋体" w:cs="宋体"/>
          <w:color w:val="auto"/>
          <w:szCs w:val="21"/>
          <w:highlight w:val="none"/>
        </w:rPr>
        <w:t>.2采购代理机构应当在</w:t>
      </w:r>
      <w:r>
        <w:rPr>
          <w:rFonts w:hint="eastAsia" w:ascii="宋体" w:hAnsi="宋体" w:cs="宋体"/>
          <w:color w:val="auto"/>
          <w:kern w:val="0"/>
          <w:szCs w:val="21"/>
          <w:highlight w:val="none"/>
        </w:rPr>
        <w:t>成交</w:t>
      </w:r>
      <w:r>
        <w:rPr>
          <w:rFonts w:hint="eastAsia" w:ascii="宋体" w:hAnsi="宋体" w:cs="宋体"/>
          <w:color w:val="auto"/>
          <w:szCs w:val="21"/>
          <w:highlight w:val="none"/>
        </w:rPr>
        <w:t>供应商确定后2个工作日内，在省级以上财政部门指定的媒体上公告成交结果，同时向成交供应商发出成交通知书。采购人或者采购代理机构发出成交通知书前，应当对成交供应商信用进行查询，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磋商文件一并保存。</w:t>
      </w:r>
      <w:bookmarkStart w:id="64" w:name="_Hlk66782294"/>
      <w:r>
        <w:rPr>
          <w:rFonts w:hint="eastAsia" w:ascii="宋体" w:hAnsi="宋体" w:cs="Courier New"/>
          <w:color w:val="auto"/>
          <w:szCs w:val="21"/>
          <w:highlight w:val="none"/>
        </w:rPr>
        <w:t>成交供应商享受</w:t>
      </w:r>
      <w:r>
        <w:rPr>
          <w:rFonts w:hint="eastAsia" w:ascii="宋体" w:hAnsi="宋体"/>
          <w:color w:val="auto"/>
          <w:szCs w:val="21"/>
          <w:highlight w:val="none"/>
        </w:rPr>
        <w:t>《政府采购促进中小企业发展管理办法》（财库〔2020〕46号）规定的中小企业扶持</w:t>
      </w:r>
      <w:r>
        <w:rPr>
          <w:rFonts w:hint="eastAsia" w:ascii="宋体" w:hAnsi="宋体" w:cs="Courier New"/>
          <w:color w:val="auto"/>
          <w:szCs w:val="21"/>
          <w:highlight w:val="none"/>
        </w:rPr>
        <w:t>政策的，采购人、采购代理机构应当随成交结果公开成交供应商的《中小企业声明函》。</w:t>
      </w:r>
      <w:bookmarkEnd w:id="64"/>
    </w:p>
    <w:p w14:paraId="09C77B37">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27.3出现下列情形之一的，采购人或者采购代理机构应当终止竞争性磋商采购活动，发布项目终止公告并说明原因，重新开展采购活动：</w:t>
      </w:r>
    </w:p>
    <w:p w14:paraId="23F32DE3">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（1）因情况变化，不再符合规定的竞争性磋商采购方式适用情形的；</w:t>
      </w:r>
    </w:p>
    <w:p w14:paraId="705766D4">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（2）出现影响采购公正的违法、违规行为的；</w:t>
      </w:r>
    </w:p>
    <w:p w14:paraId="770A9971">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（3）除“第四章 评审程序、评审方法和评审标准”第4.3条规定的情形外，在采购过程中符合要求的供应商或者报价未超过采购预算的供应商不足3家的。</w:t>
      </w:r>
    </w:p>
    <w:p w14:paraId="6C78F82B">
      <w:pPr>
        <w:spacing w:line="360" w:lineRule="auto"/>
        <w:ind w:firstLine="420" w:firstLineChars="200"/>
        <w:rPr>
          <w:rFonts w:ascii="宋体" w:hAnsi="宋体" w:cs="宋体"/>
          <w:color w:val="auto"/>
          <w:szCs w:val="21"/>
          <w:highlight w:val="none"/>
        </w:rPr>
      </w:pPr>
      <w:r>
        <w:rPr>
          <w:rFonts w:hint="eastAsia" w:ascii="宋体" w:hAnsi="宋体" w:cs="Courier New"/>
          <w:color w:val="auto"/>
          <w:szCs w:val="21"/>
          <w:highlight w:val="none"/>
        </w:rPr>
        <w:t>27.4 在采购活动中因重大变故，采购任务取消的，采购人或者采购代理机构应当终止采购活动，通知所有参加采购活动的供应商，并将项目实施情况和采购任务取消原因报送本级财政部门。</w:t>
      </w:r>
    </w:p>
    <w:p w14:paraId="6BFEF59E">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28</w:t>
      </w:r>
      <w:r>
        <w:rPr>
          <w:rFonts w:hint="eastAsia" w:ascii="黑体" w:hAnsi="黑体" w:eastAsia="黑体" w:cs="宋体"/>
          <w:b/>
          <w:bCs/>
          <w:color w:val="auto"/>
          <w:sz w:val="24"/>
          <w:highlight w:val="none"/>
        </w:rPr>
        <w:t>.履约保证金</w:t>
      </w:r>
    </w:p>
    <w:p w14:paraId="1F49EF8B">
      <w:pPr>
        <w:spacing w:line="360" w:lineRule="auto"/>
        <w:ind w:firstLine="424" w:firstLineChars="202"/>
        <w:rPr>
          <w:rFonts w:ascii="宋体" w:hAnsi="宋体" w:cs="宋体"/>
          <w:color w:val="auto"/>
          <w:szCs w:val="21"/>
          <w:highlight w:val="none"/>
        </w:rPr>
      </w:pPr>
      <w:r>
        <w:rPr>
          <w:rFonts w:ascii="宋体" w:hAnsi="宋体" w:cs="宋体"/>
          <w:color w:val="auto"/>
          <w:szCs w:val="21"/>
          <w:highlight w:val="none"/>
        </w:rPr>
        <w:t>28</w:t>
      </w:r>
      <w:r>
        <w:rPr>
          <w:rFonts w:hint="eastAsia" w:ascii="宋体" w:hAnsi="宋体" w:cs="宋体"/>
          <w:color w:val="auto"/>
          <w:szCs w:val="21"/>
          <w:highlight w:val="none"/>
        </w:rPr>
        <w:t>.1履约保证金的金额、提交方式、退付的时间和条件详见 “供应商须知前附表”。成交供应商未按规定提交履约保证金的，视为拒绝</w:t>
      </w:r>
      <w:r>
        <w:rPr>
          <w:rFonts w:ascii="宋体" w:hAnsi="宋体"/>
          <w:color w:val="auto"/>
          <w:highlight w:val="none"/>
        </w:rPr>
        <w:t>与采购人</w:t>
      </w:r>
      <w:r>
        <w:rPr>
          <w:rFonts w:hint="eastAsia" w:ascii="宋体" w:hAnsi="宋体" w:cs="宋体"/>
          <w:color w:val="auto"/>
          <w:szCs w:val="21"/>
          <w:highlight w:val="none"/>
        </w:rPr>
        <w:t>签订合同。</w:t>
      </w:r>
    </w:p>
    <w:p w14:paraId="6CAFFB04">
      <w:pPr>
        <w:spacing w:line="360" w:lineRule="auto"/>
        <w:ind w:firstLine="424" w:firstLineChars="202"/>
        <w:rPr>
          <w:rFonts w:ascii="宋体" w:hAnsi="宋体" w:cs="宋体"/>
          <w:color w:val="auto"/>
          <w:szCs w:val="21"/>
          <w:highlight w:val="none"/>
        </w:rPr>
      </w:pPr>
      <w:r>
        <w:rPr>
          <w:rFonts w:ascii="宋体" w:hAnsi="宋体" w:cs="宋体"/>
          <w:color w:val="auto"/>
          <w:szCs w:val="21"/>
          <w:highlight w:val="none"/>
        </w:rPr>
        <w:t>28</w:t>
      </w:r>
      <w:r>
        <w:rPr>
          <w:rFonts w:hint="eastAsia" w:ascii="宋体" w:hAnsi="宋体" w:cs="宋体"/>
          <w:color w:val="auto"/>
          <w:szCs w:val="21"/>
          <w:highlight w:val="none"/>
        </w:rPr>
        <w:t>.2在履约保证金退还日期前，若成交供应商的开户名称、开户银行、账号有变动的，请以书面形式通知履约保证金收取单位，否则由此产生的后果由成交供应商自行承担。</w:t>
      </w:r>
    </w:p>
    <w:p w14:paraId="769BA085">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29</w:t>
      </w:r>
      <w:r>
        <w:rPr>
          <w:rFonts w:hint="eastAsia" w:ascii="黑体" w:hAnsi="黑体" w:eastAsia="黑体" w:cs="宋体"/>
          <w:b/>
          <w:bCs/>
          <w:color w:val="auto"/>
          <w:sz w:val="24"/>
          <w:highlight w:val="none"/>
        </w:rPr>
        <w:t>.签订合同</w:t>
      </w:r>
    </w:p>
    <w:p w14:paraId="22715055">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29.1签订电子采购合同：成交供应商领取电子成交通知书后，在</w:t>
      </w:r>
      <w:r>
        <w:rPr>
          <w:rFonts w:hint="eastAsia" w:ascii="宋体" w:hAnsi="宋体" w:cs="宋体"/>
          <w:color w:val="auto"/>
          <w:szCs w:val="21"/>
          <w:highlight w:val="none"/>
          <w:lang w:val="zh-CN"/>
        </w:rPr>
        <w:t>规定的日期、时间、地点，由法定代表人或其授权代表与采购人代表签订电子采购合同。如成交供应商为联合体的，由联合体成员各方法定代表人或其授权代表与采购人代表签订合同。</w:t>
      </w:r>
    </w:p>
    <w:p w14:paraId="46DEBCED">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线下签订纸质合同：供应商领取成交通知书后，按“供应商须知前附表”规定向采购人出示相关证明材料，经采购人核验合格后方可签订合同。</w:t>
      </w:r>
    </w:p>
    <w:p w14:paraId="34229B1E">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29.2签订合同时间：按成交通知书规定的时间与采购人签订合同。</w:t>
      </w:r>
    </w:p>
    <w:p w14:paraId="10FC5E48">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w:t>
      </w:r>
      <w:r>
        <w:rPr>
          <w:rFonts w:ascii="宋体" w:hAnsi="宋体" w:cs="宋体"/>
          <w:color w:val="auto"/>
          <w:szCs w:val="21"/>
          <w:highlight w:val="none"/>
        </w:rPr>
        <w:t>3</w:t>
      </w:r>
      <w:r>
        <w:rPr>
          <w:rFonts w:hint="eastAsia" w:ascii="宋体" w:hAnsi="宋体" w:cs="宋体"/>
          <w:color w:val="auto"/>
          <w:szCs w:val="21"/>
          <w:highlight w:val="none"/>
        </w:rPr>
        <w:t>成交供应商拒绝签订政府采购合同（包括但不限于放弃成交、因不可抗力不能履行合同而放弃签订合同），采购人可以按照评审报告推荐的成交候选人名单排序，确定下一候选人为成交供应商，也可以重新开展政府采购活动。如采购人无正当理由拒签合同的，给成交供应商造成损失的，成交供应商可追究采购人承担相应的法律责任。</w:t>
      </w:r>
    </w:p>
    <w:p w14:paraId="27CA3C1B">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29.4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147C46B1">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29.5采购人或成交供应商不得单方面向合同另一方提出任何磋商文件没有约定的条件或不合理的要求，作为签订合同的条件；也不得协商另行订立背离磋商文件和合同实质性内容的协议。</w:t>
      </w:r>
    </w:p>
    <w:p w14:paraId="4D70607F">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29.6如签订合同并生效后，供应商无故拒绝或延期，除按照合同条款处理外，将承担相应的法律责任。</w:t>
      </w:r>
    </w:p>
    <w:p w14:paraId="3170E8AA">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29.7政府采购合同履行中，采购人需追加与合同标的相同的货物、工程或者服务的，在不改变合同其他条款的前提下，可以与供应商协商签订补充合同，但所有补充合同的采购金额不得超过原合同采购金额的10%。</w:t>
      </w:r>
    </w:p>
    <w:p w14:paraId="5C9F2251">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30</w:t>
      </w:r>
      <w:r>
        <w:rPr>
          <w:rFonts w:hint="eastAsia" w:ascii="黑体" w:hAnsi="黑体" w:eastAsia="黑体" w:cs="宋体"/>
          <w:b/>
          <w:bCs/>
          <w:color w:val="auto"/>
          <w:sz w:val="24"/>
          <w:highlight w:val="none"/>
        </w:rPr>
        <w:t>.政府采购合同公告</w:t>
      </w:r>
    </w:p>
    <w:p w14:paraId="7D5CE4F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38BE16F5">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31</w:t>
      </w:r>
      <w:r>
        <w:rPr>
          <w:rFonts w:hint="eastAsia" w:ascii="黑体" w:hAnsi="黑体" w:eastAsia="黑体" w:cs="宋体"/>
          <w:b/>
          <w:bCs/>
          <w:color w:val="auto"/>
          <w:sz w:val="24"/>
          <w:highlight w:val="none"/>
        </w:rPr>
        <w:t>. 询问、质疑和投诉</w:t>
      </w:r>
    </w:p>
    <w:p w14:paraId="1D1320F7">
      <w:pPr>
        <w:pStyle w:val="7"/>
        <w:spacing w:line="360" w:lineRule="auto"/>
        <w:rPr>
          <w:rFonts w:ascii="宋体" w:hAnsi="宋体"/>
          <w:color w:val="auto"/>
          <w:szCs w:val="21"/>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.1供应商对政府采购活动事项有疑问的，可以向采购人、采购代理机构提出询问，采购人或者采购代理机构应当在3个工作日内对供应商依法提出的询问作出答复，</w:t>
      </w:r>
      <w:r>
        <w:rPr>
          <w:rFonts w:hint="eastAsia" w:ascii="宋体" w:hAnsi="宋体"/>
          <w:color w:val="auto"/>
          <w:szCs w:val="21"/>
          <w:highlight w:val="none"/>
        </w:rPr>
        <w:t>但答复的内容不得涉及商业秘密</w:t>
      </w:r>
      <w:r>
        <w:rPr>
          <w:rFonts w:hint="eastAsia" w:ascii="宋体" w:hAnsi="宋体" w:cs="宋体"/>
          <w:color w:val="auto"/>
          <w:highlight w:val="none"/>
        </w:rPr>
        <w:t>。</w:t>
      </w:r>
    </w:p>
    <w:p w14:paraId="3ED531DE">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.2供应商认为磋商文件、采购过程或者成交结果使自己的合法权益受到损害的，应当在知道或者应知其权益受到损害之日起7个工作日内，以书面形式向采购人、采购代理机构提出质疑，</w:t>
      </w:r>
      <w:r>
        <w:rPr>
          <w:rFonts w:ascii="宋体" w:hAnsi="宋体" w:cs="Arial"/>
          <w:color w:val="auto"/>
          <w:highlight w:val="none"/>
          <w:shd w:val="clear" w:color="auto" w:fill="FFFFFF"/>
        </w:rPr>
        <w:t>接收质疑函的方式、联系部门、联系电话和通讯地址等信息</w:t>
      </w:r>
      <w:r>
        <w:rPr>
          <w:rFonts w:hint="eastAsia" w:ascii="宋体" w:hAnsi="宋体" w:cs="Arial"/>
          <w:color w:val="auto"/>
          <w:highlight w:val="none"/>
          <w:shd w:val="clear" w:color="auto" w:fill="FFFFFF"/>
        </w:rPr>
        <w:t>详见</w:t>
      </w:r>
      <w:r>
        <w:rPr>
          <w:rFonts w:hint="eastAsia" w:ascii="宋体" w:hAnsi="宋体" w:cs="宋体"/>
          <w:color w:val="auto"/>
          <w:szCs w:val="21"/>
          <w:highlight w:val="none"/>
        </w:rPr>
        <w:t>“供应商须知前附表”</w:t>
      </w:r>
      <w:r>
        <w:rPr>
          <w:rFonts w:hint="eastAsia" w:ascii="宋体" w:hAnsi="宋体" w:cs="宋体"/>
          <w:color w:val="auto"/>
          <w:highlight w:val="none"/>
        </w:rPr>
        <w:t>。具体质疑起算时间如下：</w:t>
      </w:r>
    </w:p>
    <w:p w14:paraId="3584CA97">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（1）对可以质疑的磋商文件提出质疑的，为获取磋商文件之日或者</w:t>
      </w:r>
      <w:r>
        <w:rPr>
          <w:rFonts w:hint="eastAsia" w:ascii="宋体" w:hAnsi="宋体"/>
          <w:color w:val="auto"/>
          <w:highlight w:val="none"/>
        </w:rPr>
        <w:t>竞争性磋商公告期限届满之日</w:t>
      </w:r>
      <w:r>
        <w:rPr>
          <w:rFonts w:hint="eastAsia" w:ascii="宋体" w:hAnsi="宋体" w:cs="宋体"/>
          <w:color w:val="auto"/>
          <w:highlight w:val="none"/>
        </w:rPr>
        <w:t>；</w:t>
      </w:r>
    </w:p>
    <w:p w14:paraId="319A15CD">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（2）对采购过程提出质疑的，为各采购程序环节结束之日；</w:t>
      </w:r>
    </w:p>
    <w:p w14:paraId="277C794A">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（3）对成交结果提出质疑的，为成交结果公告期限届满之日。</w:t>
      </w:r>
    </w:p>
    <w:p w14:paraId="5C1907DF">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3A40E31C">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.4 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4BA1F809">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2AF1ECD2">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（2）质疑项目的名称、编号；</w:t>
      </w:r>
    </w:p>
    <w:p w14:paraId="10B960F8">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（3）具体、明确的质疑事项和与质疑事项相关的请求；</w:t>
      </w:r>
    </w:p>
    <w:p w14:paraId="5E68ACF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（4）事实依据；</w:t>
      </w:r>
    </w:p>
    <w:p w14:paraId="47654E39">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（5）必要的法律依据；</w:t>
      </w:r>
    </w:p>
    <w:p w14:paraId="4766AAFE">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（6）提出质疑的日期。</w:t>
      </w:r>
    </w:p>
    <w:p w14:paraId="27CC44E7">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3C7D2EDC">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1.5</w:t>
      </w:r>
      <w:r>
        <w:rPr>
          <w:rFonts w:hint="eastAsia" w:ascii="宋体" w:hAnsi="宋体" w:cs="宋体"/>
          <w:color w:val="auto"/>
          <w:highlight w:val="none"/>
        </w:rPr>
        <w:t>采购人、采购代理机构认为供应商质疑不成立，或者成立但未对成交结果构成影响的，继续开展采购活动；认为供应商质疑成立且影响或者可能影响成交结果的，按照下列情况处理：</w:t>
      </w:r>
    </w:p>
    <w:p w14:paraId="77A6E47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3B60678D">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301AAC7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574B3842">
      <w:pPr>
        <w:spacing w:line="360" w:lineRule="auto"/>
        <w:ind w:firstLine="420" w:firstLineChars="200"/>
        <w:rPr>
          <w:rFonts w:ascii="宋体" w:hAnsi="宋体" w:cs="宋体"/>
          <w:color w:val="auto"/>
          <w:szCs w:val="21"/>
          <w:highlight w:val="none"/>
        </w:rPr>
      </w:pPr>
      <w:r>
        <w:rPr>
          <w:rFonts w:ascii="宋体" w:hAnsi="宋体" w:cs="宋体"/>
          <w:color w:val="auto"/>
          <w:highlight w:val="none"/>
        </w:rPr>
        <w:t>31</w:t>
      </w:r>
      <w:r>
        <w:rPr>
          <w:rFonts w:hint="eastAsia" w:ascii="宋体" w:hAnsi="宋体" w:cs="宋体"/>
          <w:color w:val="auto"/>
          <w:highlight w:val="none"/>
        </w:rPr>
        <w:t>.</w:t>
      </w:r>
      <w:r>
        <w:rPr>
          <w:rFonts w:ascii="宋体" w:hAnsi="宋体" w:cs="宋体"/>
          <w:color w:val="auto"/>
          <w:highlight w:val="none"/>
        </w:rPr>
        <w:t>6</w:t>
      </w:r>
      <w:r>
        <w:rPr>
          <w:rFonts w:hint="eastAsia" w:ascii="宋体" w:hAnsi="宋体" w:cs="宋体"/>
          <w:color w:val="auto"/>
          <w:highlight w:val="none"/>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414BD849">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32</w:t>
      </w:r>
      <w:r>
        <w:rPr>
          <w:rFonts w:hint="eastAsia" w:ascii="黑体" w:hAnsi="黑体" w:eastAsia="黑体" w:cs="宋体"/>
          <w:b/>
          <w:bCs/>
          <w:color w:val="auto"/>
          <w:sz w:val="24"/>
          <w:highlight w:val="none"/>
        </w:rPr>
        <w:t>.其他内容</w:t>
      </w:r>
    </w:p>
    <w:p w14:paraId="3F7B8AC6">
      <w:pPr>
        <w:tabs>
          <w:tab w:val="left" w:pos="2835"/>
        </w:tabs>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32</w:t>
      </w:r>
      <w:r>
        <w:rPr>
          <w:rFonts w:hint="eastAsia" w:ascii="宋体" w:hAnsi="宋体" w:cs="宋体"/>
          <w:color w:val="auto"/>
          <w:szCs w:val="21"/>
          <w:highlight w:val="none"/>
        </w:rPr>
        <w:t>.1代理服</w:t>
      </w:r>
      <w:r>
        <w:rPr>
          <w:rFonts w:hint="eastAsia" w:ascii="宋体" w:hAnsi="宋体" w:cs="宋体"/>
          <w:color w:val="auto"/>
          <w:szCs w:val="21"/>
          <w:highlight w:val="none"/>
          <w:lang w:eastAsia="zh-CN"/>
        </w:rPr>
        <w:t>务费</w:t>
      </w:r>
      <w:r>
        <w:rPr>
          <w:rFonts w:hint="eastAsia" w:ascii="宋体" w:hAnsi="宋体" w:cs="宋体"/>
          <w:color w:val="auto"/>
          <w:szCs w:val="21"/>
          <w:highlight w:val="none"/>
        </w:rPr>
        <w:t>收取标准及缴费账户详见“供应商须知前附表”，供应商为联合体的，可以由联合体中的一方或者多方共同交纳代理服务费。</w:t>
      </w:r>
    </w:p>
    <w:p w14:paraId="0CE0A9E0">
      <w:pPr>
        <w:tabs>
          <w:tab w:val="left" w:pos="2835"/>
        </w:tabs>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32.2</w:t>
      </w:r>
      <w:r>
        <w:rPr>
          <w:rFonts w:hint="eastAsia" w:ascii="宋体" w:hAnsi="宋体" w:cs="宋体"/>
          <w:color w:val="auto"/>
          <w:szCs w:val="21"/>
          <w:highlight w:val="none"/>
        </w:rPr>
        <w:t>代理服务费收费计算标准：</w:t>
      </w:r>
    </w:p>
    <w:tbl>
      <w:tblPr>
        <w:tblStyle w:val="55"/>
        <w:tblW w:w="820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532"/>
        <w:gridCol w:w="1546"/>
      </w:tblGrid>
      <w:tr w14:paraId="41CB5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l2br w:val="single" w:color="auto" w:sz="4" w:space="0"/>
            </w:tcBorders>
          </w:tcPr>
          <w:p w14:paraId="39F97948">
            <w:pPr>
              <w:spacing w:line="240" w:lineRule="auto"/>
              <w:rPr>
                <w:rFonts w:ascii="宋体" w:hAnsi="宋体" w:cs="宋体"/>
                <w:color w:val="auto"/>
                <w:szCs w:val="21"/>
                <w:highlight w:val="none"/>
              </w:rPr>
            </w:pPr>
            <w:r>
              <w:rPr>
                <w:rFonts w:hint="eastAsia" w:ascii="宋体" w:hAnsi="宋体" w:cs="宋体"/>
                <w:color w:val="auto"/>
                <w:szCs w:val="21"/>
                <w:highlight w:val="none"/>
              </w:rPr>
              <w:t xml:space="preserve">               费率</w:t>
            </w:r>
          </w:p>
          <w:p w14:paraId="12F8D775">
            <w:pPr>
              <w:spacing w:line="240" w:lineRule="auto"/>
              <w:rPr>
                <w:rFonts w:ascii="宋体" w:hAnsi="宋体" w:cs="宋体"/>
                <w:color w:val="auto"/>
                <w:szCs w:val="21"/>
                <w:highlight w:val="none"/>
              </w:rPr>
            </w:pPr>
            <w:r>
              <w:rPr>
                <w:rFonts w:hint="eastAsia" w:ascii="宋体" w:hAnsi="宋体" w:cs="宋体"/>
                <w:color w:val="auto"/>
                <w:szCs w:val="21"/>
                <w:highlight w:val="none"/>
              </w:rPr>
              <w:t>金额</w:t>
            </w:r>
          </w:p>
        </w:tc>
        <w:tc>
          <w:tcPr>
            <w:tcW w:w="1659" w:type="dxa"/>
            <w:vAlign w:val="center"/>
          </w:tcPr>
          <w:p w14:paraId="1932A7FD">
            <w:pPr>
              <w:spacing w:line="240" w:lineRule="auto"/>
              <w:ind w:firstLine="105" w:firstLineChars="50"/>
              <w:jc w:val="center"/>
              <w:rPr>
                <w:rFonts w:ascii="宋体" w:hAnsi="宋体" w:cs="宋体"/>
                <w:color w:val="auto"/>
                <w:szCs w:val="21"/>
                <w:highlight w:val="none"/>
              </w:rPr>
            </w:pPr>
            <w:r>
              <w:rPr>
                <w:rFonts w:hint="eastAsia" w:ascii="宋体" w:hAnsi="宋体" w:cs="宋体"/>
                <w:color w:val="auto"/>
                <w:szCs w:val="21"/>
                <w:highlight w:val="none"/>
              </w:rPr>
              <w:t>货物类</w:t>
            </w:r>
          </w:p>
        </w:tc>
        <w:tc>
          <w:tcPr>
            <w:tcW w:w="1532" w:type="dxa"/>
            <w:vAlign w:val="center"/>
          </w:tcPr>
          <w:p w14:paraId="665C10EB">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服务类</w:t>
            </w:r>
          </w:p>
        </w:tc>
        <w:tc>
          <w:tcPr>
            <w:tcW w:w="1546" w:type="dxa"/>
            <w:vAlign w:val="center"/>
          </w:tcPr>
          <w:p w14:paraId="474C55B2">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工程类</w:t>
            </w:r>
          </w:p>
        </w:tc>
      </w:tr>
      <w:tr w14:paraId="12FC1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5CD36D27">
            <w:pPr>
              <w:spacing w:line="240" w:lineRule="auto"/>
              <w:rPr>
                <w:rFonts w:ascii="宋体" w:hAnsi="宋体" w:cs="宋体"/>
                <w:color w:val="auto"/>
                <w:szCs w:val="21"/>
                <w:highlight w:val="none"/>
              </w:rPr>
            </w:pPr>
            <w:r>
              <w:rPr>
                <w:rFonts w:hint="eastAsia" w:ascii="宋体" w:hAnsi="宋体" w:cs="宋体"/>
                <w:color w:val="auto"/>
                <w:szCs w:val="21"/>
                <w:highlight w:val="none"/>
              </w:rPr>
              <w:t>100万元以下</w:t>
            </w:r>
          </w:p>
        </w:tc>
        <w:tc>
          <w:tcPr>
            <w:tcW w:w="1659" w:type="dxa"/>
          </w:tcPr>
          <w:p w14:paraId="75C75EEC">
            <w:pPr>
              <w:spacing w:line="240" w:lineRule="auto"/>
              <w:rPr>
                <w:rFonts w:ascii="宋体" w:hAnsi="宋体" w:cs="宋体"/>
                <w:color w:val="auto"/>
                <w:szCs w:val="21"/>
                <w:highlight w:val="none"/>
              </w:rPr>
            </w:pPr>
            <w:r>
              <w:rPr>
                <w:rFonts w:hint="eastAsia" w:ascii="宋体" w:hAnsi="宋体" w:cs="宋体"/>
                <w:color w:val="auto"/>
                <w:kern w:val="0"/>
                <w:szCs w:val="21"/>
                <w:highlight w:val="none"/>
              </w:rPr>
              <w:t xml:space="preserve">  1.5%                </w:t>
            </w:r>
          </w:p>
        </w:tc>
        <w:tc>
          <w:tcPr>
            <w:tcW w:w="1532" w:type="dxa"/>
          </w:tcPr>
          <w:p w14:paraId="6C0EB498">
            <w:pPr>
              <w:spacing w:line="24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1.5%</w:t>
            </w:r>
          </w:p>
        </w:tc>
        <w:tc>
          <w:tcPr>
            <w:tcW w:w="1546" w:type="dxa"/>
          </w:tcPr>
          <w:p w14:paraId="2C1A5D75">
            <w:pPr>
              <w:spacing w:line="24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 xml:space="preserve">1.0% </w:t>
            </w:r>
          </w:p>
        </w:tc>
      </w:tr>
      <w:tr w14:paraId="340B4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70BC0272">
            <w:pPr>
              <w:spacing w:line="240" w:lineRule="auto"/>
              <w:rPr>
                <w:rFonts w:ascii="宋体" w:hAnsi="宋体" w:cs="宋体"/>
                <w:color w:val="auto"/>
                <w:szCs w:val="21"/>
                <w:highlight w:val="none"/>
              </w:rPr>
            </w:pPr>
            <w:r>
              <w:rPr>
                <w:rFonts w:hint="eastAsia" w:ascii="宋体" w:hAnsi="宋体" w:cs="宋体"/>
                <w:color w:val="auto"/>
                <w:szCs w:val="21"/>
                <w:highlight w:val="none"/>
              </w:rPr>
              <w:t>100～500万元</w:t>
            </w:r>
          </w:p>
        </w:tc>
        <w:tc>
          <w:tcPr>
            <w:tcW w:w="1659" w:type="dxa"/>
          </w:tcPr>
          <w:p w14:paraId="56398213">
            <w:pPr>
              <w:spacing w:line="24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 xml:space="preserve">1.1%                 </w:t>
            </w:r>
          </w:p>
        </w:tc>
        <w:tc>
          <w:tcPr>
            <w:tcW w:w="1532" w:type="dxa"/>
          </w:tcPr>
          <w:p w14:paraId="2C219849">
            <w:pPr>
              <w:spacing w:line="24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0.8%</w:t>
            </w:r>
          </w:p>
        </w:tc>
        <w:tc>
          <w:tcPr>
            <w:tcW w:w="1546" w:type="dxa"/>
          </w:tcPr>
          <w:p w14:paraId="61E273ED">
            <w:pPr>
              <w:spacing w:line="24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 xml:space="preserve">0.7% </w:t>
            </w:r>
          </w:p>
        </w:tc>
      </w:tr>
      <w:tr w14:paraId="69A7C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52554120">
            <w:pPr>
              <w:spacing w:line="240" w:lineRule="auto"/>
              <w:rPr>
                <w:rFonts w:ascii="宋体" w:hAnsi="宋体" w:cs="宋体"/>
                <w:color w:val="auto"/>
                <w:szCs w:val="21"/>
                <w:highlight w:val="none"/>
              </w:rPr>
            </w:pPr>
            <w:r>
              <w:rPr>
                <w:rFonts w:hint="eastAsia" w:ascii="宋体" w:hAnsi="宋体" w:cs="宋体"/>
                <w:color w:val="auto"/>
                <w:szCs w:val="21"/>
                <w:highlight w:val="none"/>
              </w:rPr>
              <w:t>500～1000万元</w:t>
            </w:r>
          </w:p>
        </w:tc>
        <w:tc>
          <w:tcPr>
            <w:tcW w:w="1659" w:type="dxa"/>
          </w:tcPr>
          <w:p w14:paraId="412C7F7B">
            <w:pPr>
              <w:spacing w:line="240" w:lineRule="auto"/>
              <w:rPr>
                <w:rFonts w:ascii="宋体" w:hAnsi="宋体" w:cs="宋体"/>
                <w:color w:val="auto"/>
                <w:szCs w:val="21"/>
                <w:highlight w:val="none"/>
              </w:rPr>
            </w:pPr>
            <w:r>
              <w:rPr>
                <w:rFonts w:hint="eastAsia" w:ascii="宋体" w:hAnsi="宋体" w:cs="宋体"/>
                <w:color w:val="auto"/>
                <w:kern w:val="0"/>
                <w:szCs w:val="21"/>
                <w:highlight w:val="none"/>
              </w:rPr>
              <w:t xml:space="preserve">  0.8%                </w:t>
            </w:r>
          </w:p>
        </w:tc>
        <w:tc>
          <w:tcPr>
            <w:tcW w:w="1532" w:type="dxa"/>
          </w:tcPr>
          <w:p w14:paraId="32392E10">
            <w:pPr>
              <w:spacing w:line="24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0.45%</w:t>
            </w:r>
          </w:p>
        </w:tc>
        <w:tc>
          <w:tcPr>
            <w:tcW w:w="1546" w:type="dxa"/>
          </w:tcPr>
          <w:p w14:paraId="7A25D79E">
            <w:pPr>
              <w:spacing w:line="24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0.55%</w:t>
            </w:r>
          </w:p>
        </w:tc>
      </w:tr>
      <w:tr w14:paraId="5EAE3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24A7D3AA">
            <w:pPr>
              <w:spacing w:line="240" w:lineRule="auto"/>
              <w:rPr>
                <w:rFonts w:ascii="宋体" w:hAnsi="宋体" w:cs="宋体"/>
                <w:color w:val="auto"/>
                <w:szCs w:val="21"/>
                <w:highlight w:val="none"/>
              </w:rPr>
            </w:pPr>
            <w:r>
              <w:rPr>
                <w:rFonts w:hint="eastAsia" w:ascii="宋体" w:hAnsi="宋体" w:cs="宋体"/>
                <w:color w:val="auto"/>
                <w:szCs w:val="21"/>
                <w:highlight w:val="none"/>
              </w:rPr>
              <w:t>1000～5000万元</w:t>
            </w:r>
          </w:p>
        </w:tc>
        <w:tc>
          <w:tcPr>
            <w:tcW w:w="1659" w:type="dxa"/>
          </w:tcPr>
          <w:p w14:paraId="7F27EE71">
            <w:pPr>
              <w:spacing w:line="24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 xml:space="preserve">0.5%                </w:t>
            </w:r>
          </w:p>
        </w:tc>
        <w:tc>
          <w:tcPr>
            <w:tcW w:w="1532" w:type="dxa"/>
          </w:tcPr>
          <w:p w14:paraId="294EB87E">
            <w:pPr>
              <w:spacing w:line="24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0.25%</w:t>
            </w:r>
          </w:p>
        </w:tc>
        <w:tc>
          <w:tcPr>
            <w:tcW w:w="1546" w:type="dxa"/>
          </w:tcPr>
          <w:p w14:paraId="7F91C369">
            <w:pPr>
              <w:spacing w:line="24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 xml:space="preserve">0.35% </w:t>
            </w:r>
          </w:p>
        </w:tc>
      </w:tr>
      <w:tr w14:paraId="49AF4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5F13874D">
            <w:pPr>
              <w:spacing w:line="240" w:lineRule="auto"/>
              <w:rPr>
                <w:rFonts w:ascii="宋体" w:hAnsi="宋体" w:cs="宋体"/>
                <w:color w:val="auto"/>
                <w:szCs w:val="21"/>
                <w:highlight w:val="none"/>
              </w:rPr>
            </w:pPr>
            <w:r>
              <w:rPr>
                <w:rFonts w:hint="eastAsia" w:ascii="宋体" w:hAnsi="宋体" w:cs="宋体"/>
                <w:color w:val="auto"/>
                <w:szCs w:val="21"/>
                <w:highlight w:val="none"/>
              </w:rPr>
              <w:t>5000万元～1亿元</w:t>
            </w:r>
          </w:p>
        </w:tc>
        <w:tc>
          <w:tcPr>
            <w:tcW w:w="1659" w:type="dxa"/>
          </w:tcPr>
          <w:p w14:paraId="64A4E07B">
            <w:pPr>
              <w:spacing w:line="24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 xml:space="preserve">0.25%                 </w:t>
            </w:r>
          </w:p>
        </w:tc>
        <w:tc>
          <w:tcPr>
            <w:tcW w:w="1532" w:type="dxa"/>
          </w:tcPr>
          <w:p w14:paraId="382605B1">
            <w:pPr>
              <w:spacing w:line="24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0.1%</w:t>
            </w:r>
          </w:p>
        </w:tc>
        <w:tc>
          <w:tcPr>
            <w:tcW w:w="1546" w:type="dxa"/>
          </w:tcPr>
          <w:p w14:paraId="0786F606">
            <w:pPr>
              <w:spacing w:line="24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0.2%</w:t>
            </w:r>
          </w:p>
        </w:tc>
      </w:tr>
      <w:tr w14:paraId="7BB9C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4B13E03E">
            <w:pPr>
              <w:spacing w:line="240" w:lineRule="auto"/>
              <w:rPr>
                <w:rFonts w:ascii="宋体" w:hAnsi="宋体" w:cs="宋体"/>
                <w:color w:val="auto"/>
                <w:szCs w:val="21"/>
                <w:highlight w:val="none"/>
              </w:rPr>
            </w:pPr>
            <w:r>
              <w:rPr>
                <w:rFonts w:hint="eastAsia" w:ascii="宋体" w:hAnsi="宋体" w:cs="宋体"/>
                <w:color w:val="auto"/>
                <w:szCs w:val="21"/>
                <w:highlight w:val="none"/>
              </w:rPr>
              <w:t>1～5亿元</w:t>
            </w:r>
          </w:p>
        </w:tc>
        <w:tc>
          <w:tcPr>
            <w:tcW w:w="1659" w:type="dxa"/>
          </w:tcPr>
          <w:p w14:paraId="7AD2A832">
            <w:pPr>
              <w:spacing w:line="24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0.05%</w:t>
            </w:r>
          </w:p>
        </w:tc>
        <w:tc>
          <w:tcPr>
            <w:tcW w:w="1532" w:type="dxa"/>
          </w:tcPr>
          <w:p w14:paraId="7CA129FA">
            <w:pPr>
              <w:spacing w:line="240" w:lineRule="auto"/>
              <w:rPr>
                <w:rFonts w:ascii="宋体" w:hAnsi="宋体" w:cs="宋体"/>
                <w:color w:val="auto"/>
                <w:szCs w:val="21"/>
                <w:highlight w:val="none"/>
              </w:rPr>
            </w:pPr>
            <w:r>
              <w:rPr>
                <w:rFonts w:hint="eastAsia" w:ascii="宋体" w:hAnsi="宋体" w:cs="宋体"/>
                <w:color w:val="auto"/>
                <w:szCs w:val="21"/>
                <w:highlight w:val="none"/>
              </w:rPr>
              <w:t xml:space="preserve">  0.05%</w:t>
            </w:r>
          </w:p>
        </w:tc>
        <w:tc>
          <w:tcPr>
            <w:tcW w:w="1546" w:type="dxa"/>
          </w:tcPr>
          <w:p w14:paraId="7F3AF24D">
            <w:pPr>
              <w:spacing w:line="240" w:lineRule="auto"/>
              <w:rPr>
                <w:rFonts w:ascii="宋体" w:hAnsi="宋体" w:cs="宋体"/>
                <w:color w:val="auto"/>
                <w:szCs w:val="21"/>
                <w:highlight w:val="none"/>
              </w:rPr>
            </w:pPr>
            <w:r>
              <w:rPr>
                <w:rFonts w:hint="eastAsia" w:ascii="宋体" w:hAnsi="宋体" w:cs="宋体"/>
                <w:color w:val="auto"/>
                <w:szCs w:val="21"/>
                <w:highlight w:val="none"/>
              </w:rPr>
              <w:t xml:space="preserve">  0.05%</w:t>
            </w:r>
          </w:p>
        </w:tc>
      </w:tr>
      <w:tr w14:paraId="7EA51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1814165A">
            <w:pPr>
              <w:spacing w:line="240" w:lineRule="auto"/>
              <w:rPr>
                <w:rFonts w:ascii="宋体" w:hAnsi="宋体" w:cs="宋体"/>
                <w:color w:val="auto"/>
                <w:szCs w:val="21"/>
                <w:highlight w:val="none"/>
              </w:rPr>
            </w:pPr>
            <w:r>
              <w:rPr>
                <w:rFonts w:hint="eastAsia" w:ascii="宋体" w:hAnsi="宋体" w:cs="宋体"/>
                <w:color w:val="auto"/>
                <w:szCs w:val="21"/>
                <w:highlight w:val="none"/>
              </w:rPr>
              <w:t>5～10亿元</w:t>
            </w:r>
          </w:p>
        </w:tc>
        <w:tc>
          <w:tcPr>
            <w:tcW w:w="1659" w:type="dxa"/>
          </w:tcPr>
          <w:p w14:paraId="57202BF9">
            <w:pPr>
              <w:spacing w:line="240" w:lineRule="auto"/>
              <w:ind w:firstLine="105" w:firstLineChars="50"/>
              <w:rPr>
                <w:rFonts w:ascii="宋体" w:hAnsi="宋体" w:cs="宋体"/>
                <w:color w:val="auto"/>
                <w:szCs w:val="21"/>
                <w:highlight w:val="none"/>
              </w:rPr>
            </w:pPr>
            <w:r>
              <w:rPr>
                <w:rFonts w:hint="eastAsia" w:ascii="宋体" w:hAnsi="宋体" w:cs="宋体"/>
                <w:color w:val="auto"/>
                <w:szCs w:val="21"/>
                <w:highlight w:val="none"/>
              </w:rPr>
              <w:t>0.035%</w:t>
            </w:r>
          </w:p>
        </w:tc>
        <w:tc>
          <w:tcPr>
            <w:tcW w:w="1532" w:type="dxa"/>
          </w:tcPr>
          <w:p w14:paraId="11141064">
            <w:pPr>
              <w:spacing w:line="240" w:lineRule="auto"/>
              <w:rPr>
                <w:rFonts w:ascii="宋体" w:hAnsi="宋体" w:cs="宋体"/>
                <w:color w:val="auto"/>
                <w:szCs w:val="21"/>
                <w:highlight w:val="none"/>
              </w:rPr>
            </w:pPr>
            <w:r>
              <w:rPr>
                <w:rFonts w:hint="eastAsia" w:ascii="宋体" w:hAnsi="宋体" w:cs="宋体"/>
                <w:color w:val="auto"/>
                <w:szCs w:val="21"/>
                <w:highlight w:val="none"/>
              </w:rPr>
              <w:t xml:space="preserve">  0.035%</w:t>
            </w:r>
          </w:p>
        </w:tc>
        <w:tc>
          <w:tcPr>
            <w:tcW w:w="1546" w:type="dxa"/>
          </w:tcPr>
          <w:p w14:paraId="3A4BD3DE">
            <w:pPr>
              <w:spacing w:line="240" w:lineRule="auto"/>
              <w:ind w:firstLine="105" w:firstLineChars="50"/>
              <w:rPr>
                <w:rFonts w:ascii="宋体" w:hAnsi="宋体" w:cs="宋体"/>
                <w:color w:val="auto"/>
                <w:szCs w:val="21"/>
                <w:highlight w:val="none"/>
              </w:rPr>
            </w:pPr>
            <w:r>
              <w:rPr>
                <w:rFonts w:hint="eastAsia" w:ascii="宋体" w:hAnsi="宋体" w:cs="宋体"/>
                <w:color w:val="auto"/>
                <w:szCs w:val="21"/>
                <w:highlight w:val="none"/>
              </w:rPr>
              <w:t>0.035%</w:t>
            </w:r>
          </w:p>
        </w:tc>
      </w:tr>
      <w:tr w14:paraId="7723B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72AF1957">
            <w:pPr>
              <w:spacing w:line="240" w:lineRule="auto"/>
              <w:rPr>
                <w:rFonts w:ascii="宋体" w:hAnsi="宋体" w:cs="宋体"/>
                <w:color w:val="auto"/>
                <w:szCs w:val="21"/>
                <w:highlight w:val="none"/>
              </w:rPr>
            </w:pPr>
            <w:r>
              <w:rPr>
                <w:rFonts w:hint="eastAsia" w:ascii="宋体" w:hAnsi="宋体" w:cs="宋体"/>
                <w:color w:val="auto"/>
                <w:szCs w:val="21"/>
                <w:highlight w:val="none"/>
              </w:rPr>
              <w:t>10～50亿元</w:t>
            </w:r>
          </w:p>
        </w:tc>
        <w:tc>
          <w:tcPr>
            <w:tcW w:w="1659" w:type="dxa"/>
          </w:tcPr>
          <w:p w14:paraId="00457518">
            <w:pPr>
              <w:spacing w:line="240" w:lineRule="auto"/>
              <w:ind w:firstLine="105" w:firstLineChars="50"/>
              <w:rPr>
                <w:rFonts w:ascii="宋体" w:hAnsi="宋体" w:cs="宋体"/>
                <w:color w:val="auto"/>
                <w:szCs w:val="21"/>
                <w:highlight w:val="none"/>
              </w:rPr>
            </w:pPr>
            <w:r>
              <w:rPr>
                <w:rFonts w:hint="eastAsia" w:ascii="宋体" w:hAnsi="宋体" w:cs="宋体"/>
                <w:color w:val="auto"/>
                <w:szCs w:val="21"/>
                <w:highlight w:val="none"/>
              </w:rPr>
              <w:t>0.008%</w:t>
            </w:r>
          </w:p>
        </w:tc>
        <w:tc>
          <w:tcPr>
            <w:tcW w:w="1532" w:type="dxa"/>
          </w:tcPr>
          <w:p w14:paraId="48338609">
            <w:pPr>
              <w:spacing w:line="24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0.008%</w:t>
            </w:r>
          </w:p>
        </w:tc>
        <w:tc>
          <w:tcPr>
            <w:tcW w:w="1546" w:type="dxa"/>
          </w:tcPr>
          <w:p w14:paraId="05B53B25">
            <w:pPr>
              <w:spacing w:line="240" w:lineRule="auto"/>
              <w:ind w:firstLine="105" w:firstLineChars="50"/>
              <w:rPr>
                <w:rFonts w:ascii="宋体" w:hAnsi="宋体" w:cs="宋体"/>
                <w:color w:val="auto"/>
                <w:szCs w:val="21"/>
                <w:highlight w:val="none"/>
              </w:rPr>
            </w:pPr>
            <w:r>
              <w:rPr>
                <w:rFonts w:hint="eastAsia" w:ascii="宋体" w:hAnsi="宋体" w:cs="宋体"/>
                <w:color w:val="auto"/>
                <w:szCs w:val="21"/>
                <w:highlight w:val="none"/>
              </w:rPr>
              <w:t>0.008%</w:t>
            </w:r>
          </w:p>
        </w:tc>
      </w:tr>
      <w:tr w14:paraId="6E11B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241845E5">
            <w:pPr>
              <w:spacing w:line="240" w:lineRule="auto"/>
              <w:rPr>
                <w:rFonts w:ascii="宋体" w:hAnsi="宋体" w:cs="宋体"/>
                <w:color w:val="auto"/>
                <w:szCs w:val="21"/>
                <w:highlight w:val="none"/>
              </w:rPr>
            </w:pPr>
            <w:r>
              <w:rPr>
                <w:rFonts w:hint="eastAsia" w:ascii="宋体" w:hAnsi="宋体" w:cs="宋体"/>
                <w:color w:val="auto"/>
                <w:szCs w:val="21"/>
                <w:highlight w:val="none"/>
              </w:rPr>
              <w:t>50～100亿元</w:t>
            </w:r>
          </w:p>
        </w:tc>
        <w:tc>
          <w:tcPr>
            <w:tcW w:w="1659" w:type="dxa"/>
          </w:tcPr>
          <w:p w14:paraId="3272D86E">
            <w:pPr>
              <w:spacing w:line="240" w:lineRule="auto"/>
              <w:rPr>
                <w:rFonts w:ascii="宋体" w:hAnsi="宋体" w:cs="宋体"/>
                <w:color w:val="auto"/>
                <w:szCs w:val="21"/>
                <w:highlight w:val="none"/>
              </w:rPr>
            </w:pPr>
            <w:r>
              <w:rPr>
                <w:rFonts w:hint="eastAsia" w:ascii="宋体" w:hAnsi="宋体" w:cs="宋体"/>
                <w:color w:val="auto"/>
                <w:szCs w:val="21"/>
                <w:highlight w:val="none"/>
              </w:rPr>
              <w:t xml:space="preserve"> 0.006%</w:t>
            </w:r>
          </w:p>
        </w:tc>
        <w:tc>
          <w:tcPr>
            <w:tcW w:w="1532" w:type="dxa"/>
          </w:tcPr>
          <w:p w14:paraId="423281C7">
            <w:pPr>
              <w:spacing w:line="24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0.006%</w:t>
            </w:r>
          </w:p>
        </w:tc>
        <w:tc>
          <w:tcPr>
            <w:tcW w:w="1546" w:type="dxa"/>
          </w:tcPr>
          <w:p w14:paraId="0C4D5367">
            <w:pPr>
              <w:spacing w:line="240" w:lineRule="auto"/>
              <w:ind w:firstLine="105" w:firstLineChars="50"/>
              <w:rPr>
                <w:rFonts w:ascii="宋体" w:hAnsi="宋体" w:cs="宋体"/>
                <w:color w:val="auto"/>
                <w:szCs w:val="21"/>
                <w:highlight w:val="none"/>
              </w:rPr>
            </w:pPr>
            <w:r>
              <w:rPr>
                <w:rFonts w:hint="eastAsia" w:ascii="宋体" w:hAnsi="宋体" w:cs="宋体"/>
                <w:color w:val="auto"/>
                <w:szCs w:val="21"/>
                <w:highlight w:val="none"/>
              </w:rPr>
              <w:t>0.006%</w:t>
            </w:r>
          </w:p>
        </w:tc>
      </w:tr>
      <w:tr w14:paraId="70AC5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042C2BB6">
            <w:pPr>
              <w:spacing w:line="240" w:lineRule="auto"/>
              <w:rPr>
                <w:rFonts w:ascii="宋体" w:hAnsi="宋体" w:cs="宋体"/>
                <w:color w:val="auto"/>
                <w:szCs w:val="21"/>
                <w:highlight w:val="none"/>
              </w:rPr>
            </w:pPr>
            <w:r>
              <w:rPr>
                <w:rFonts w:hint="eastAsia" w:ascii="宋体" w:hAnsi="宋体" w:cs="宋体"/>
                <w:color w:val="auto"/>
                <w:szCs w:val="21"/>
                <w:highlight w:val="none"/>
              </w:rPr>
              <w:t>100亿以上</w:t>
            </w:r>
          </w:p>
        </w:tc>
        <w:tc>
          <w:tcPr>
            <w:tcW w:w="1659" w:type="dxa"/>
          </w:tcPr>
          <w:p w14:paraId="563E259C">
            <w:pPr>
              <w:spacing w:line="240" w:lineRule="auto"/>
              <w:rPr>
                <w:rFonts w:ascii="宋体" w:hAnsi="宋体" w:cs="宋体"/>
                <w:color w:val="auto"/>
                <w:szCs w:val="21"/>
                <w:highlight w:val="none"/>
              </w:rPr>
            </w:pPr>
            <w:r>
              <w:rPr>
                <w:rFonts w:hint="eastAsia" w:ascii="宋体" w:hAnsi="宋体" w:cs="宋体"/>
                <w:color w:val="auto"/>
                <w:szCs w:val="21"/>
                <w:highlight w:val="none"/>
              </w:rPr>
              <w:t xml:space="preserve"> 0.004%</w:t>
            </w:r>
          </w:p>
        </w:tc>
        <w:tc>
          <w:tcPr>
            <w:tcW w:w="1532" w:type="dxa"/>
          </w:tcPr>
          <w:p w14:paraId="66C623CE">
            <w:pPr>
              <w:spacing w:line="24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0.004%</w:t>
            </w:r>
          </w:p>
        </w:tc>
        <w:tc>
          <w:tcPr>
            <w:tcW w:w="1546" w:type="dxa"/>
          </w:tcPr>
          <w:p w14:paraId="1A05553B">
            <w:pPr>
              <w:spacing w:line="240" w:lineRule="auto"/>
              <w:ind w:firstLine="105" w:firstLineChars="50"/>
              <w:rPr>
                <w:rFonts w:ascii="宋体" w:hAnsi="宋体" w:cs="宋体"/>
                <w:color w:val="auto"/>
                <w:szCs w:val="21"/>
                <w:highlight w:val="none"/>
              </w:rPr>
            </w:pPr>
            <w:r>
              <w:rPr>
                <w:rFonts w:hint="eastAsia" w:ascii="宋体" w:hAnsi="宋体" w:cs="宋体"/>
                <w:color w:val="auto"/>
                <w:szCs w:val="21"/>
                <w:highlight w:val="none"/>
              </w:rPr>
              <w:t>0.004%</w:t>
            </w:r>
          </w:p>
        </w:tc>
      </w:tr>
    </w:tbl>
    <w:p w14:paraId="3C0EE0B8">
      <w:pPr>
        <w:spacing w:line="360" w:lineRule="auto"/>
        <w:ind w:firstLine="420" w:firstLineChars="200"/>
        <w:rPr>
          <w:rFonts w:ascii="宋体" w:hAnsi="宋体" w:cs="宋体"/>
          <w:color w:val="auto"/>
          <w:highlight w:val="none"/>
        </w:rPr>
      </w:pPr>
      <w:r>
        <w:rPr>
          <w:rFonts w:ascii="宋体" w:hAnsi="宋体" w:cs="宋体"/>
          <w:color w:val="auto"/>
          <w:highlight w:val="none"/>
        </w:rPr>
        <w:t>注：</w:t>
      </w:r>
    </w:p>
    <w:p w14:paraId="0BDFE62A">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w:t>
      </w:r>
      <w:r>
        <w:rPr>
          <w:rFonts w:ascii="宋体" w:hAnsi="宋体" w:cs="宋体"/>
          <w:color w:val="auto"/>
          <w:highlight w:val="none"/>
        </w:rPr>
        <w:t>按本表费率计算的收费为</w:t>
      </w:r>
      <w:r>
        <w:rPr>
          <w:rFonts w:hint="eastAsia" w:ascii="宋体" w:hAnsi="宋体" w:cs="宋体"/>
          <w:color w:val="auto"/>
          <w:highlight w:val="none"/>
        </w:rPr>
        <w:t>采购</w:t>
      </w:r>
      <w:r>
        <w:rPr>
          <w:rFonts w:ascii="宋体" w:hAnsi="宋体" w:cs="宋体"/>
          <w:color w:val="auto"/>
          <w:highlight w:val="none"/>
        </w:rPr>
        <w:t>代理的收费基准价格</w:t>
      </w:r>
      <w:r>
        <w:rPr>
          <w:rFonts w:hint="eastAsia" w:ascii="宋体" w:hAnsi="宋体" w:cs="宋体"/>
          <w:color w:val="auto"/>
          <w:highlight w:val="none"/>
        </w:rPr>
        <w:t>；</w:t>
      </w:r>
    </w:p>
    <w:p w14:paraId="71D0DA61">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（2）采购</w:t>
      </w:r>
      <w:r>
        <w:rPr>
          <w:rFonts w:ascii="宋体" w:hAnsi="宋体" w:cs="宋体"/>
          <w:color w:val="auto"/>
          <w:highlight w:val="none"/>
        </w:rPr>
        <w:t>代理收费按差额定率累进法计算。</w:t>
      </w:r>
    </w:p>
    <w:p w14:paraId="17264198">
      <w:pPr>
        <w:spacing w:line="360" w:lineRule="auto"/>
        <w:ind w:firstLine="420" w:firstLineChars="200"/>
        <w:rPr>
          <w:rFonts w:ascii="宋体" w:hAnsi="宋体" w:cs="宋体"/>
          <w:color w:val="auto"/>
          <w:highlight w:val="none"/>
        </w:rPr>
      </w:pPr>
      <w:r>
        <w:rPr>
          <w:rFonts w:ascii="宋体" w:hAnsi="宋体" w:cs="宋体"/>
          <w:color w:val="auto"/>
          <w:highlight w:val="none"/>
        </w:rPr>
        <w:t>例如：某</w:t>
      </w:r>
      <w:r>
        <w:rPr>
          <w:rFonts w:hint="eastAsia" w:ascii="宋体" w:hAnsi="宋体" w:cs="宋体"/>
          <w:color w:val="auto"/>
          <w:highlight w:val="none"/>
        </w:rPr>
        <w:t>工程项目采购</w:t>
      </w:r>
      <w:r>
        <w:rPr>
          <w:rFonts w:ascii="宋体" w:hAnsi="宋体" w:cs="宋体"/>
          <w:color w:val="auto"/>
          <w:highlight w:val="none"/>
        </w:rPr>
        <w:t>代理业务</w:t>
      </w:r>
      <w:r>
        <w:rPr>
          <w:rFonts w:hint="eastAsia" w:ascii="宋体" w:hAnsi="宋体" w:cs="宋体"/>
          <w:color w:val="auto"/>
          <w:highlight w:val="none"/>
        </w:rPr>
        <w:t>成交</w:t>
      </w:r>
      <w:r>
        <w:rPr>
          <w:rFonts w:ascii="宋体" w:hAnsi="宋体" w:cs="宋体"/>
          <w:color w:val="auto"/>
          <w:highlight w:val="none"/>
        </w:rPr>
        <w:t>金额为150万元，计算</w:t>
      </w:r>
      <w:r>
        <w:rPr>
          <w:rFonts w:hint="eastAsia" w:ascii="宋体" w:hAnsi="宋体" w:cs="宋体"/>
          <w:color w:val="auto"/>
          <w:highlight w:val="none"/>
        </w:rPr>
        <w:t>采购</w:t>
      </w:r>
      <w:r>
        <w:rPr>
          <w:rFonts w:ascii="宋体" w:hAnsi="宋体" w:cs="宋体"/>
          <w:color w:val="auto"/>
          <w:highlight w:val="none"/>
        </w:rPr>
        <w:t>代理收费额如下：</w:t>
      </w:r>
    </w:p>
    <w:p w14:paraId="2A0961A6">
      <w:pPr>
        <w:spacing w:line="360" w:lineRule="auto"/>
        <w:ind w:firstLine="420" w:firstLineChars="200"/>
        <w:rPr>
          <w:rFonts w:ascii="宋体" w:hAnsi="宋体" w:cs="宋体"/>
          <w:color w:val="auto"/>
          <w:highlight w:val="none"/>
        </w:rPr>
      </w:pPr>
      <w:r>
        <w:rPr>
          <w:rFonts w:ascii="宋体" w:hAnsi="宋体" w:cs="宋体"/>
          <w:color w:val="auto"/>
          <w:highlight w:val="none"/>
        </w:rPr>
        <w:t>100 万元 ×l.</w:t>
      </w:r>
      <w:r>
        <w:rPr>
          <w:rFonts w:hint="eastAsia" w:ascii="宋体" w:hAnsi="宋体" w:cs="宋体"/>
          <w:color w:val="auto"/>
          <w:highlight w:val="none"/>
        </w:rPr>
        <w:t>0</w:t>
      </w:r>
      <w:r>
        <w:rPr>
          <w:rFonts w:ascii="宋体" w:hAnsi="宋体" w:cs="宋体"/>
          <w:color w:val="auto"/>
          <w:highlight w:val="none"/>
        </w:rPr>
        <w:t xml:space="preserve"> %＝ 1.</w:t>
      </w:r>
      <w:r>
        <w:rPr>
          <w:rFonts w:hint="eastAsia" w:ascii="宋体" w:hAnsi="宋体" w:cs="宋体"/>
          <w:color w:val="auto"/>
          <w:highlight w:val="none"/>
        </w:rPr>
        <w:t>0</w:t>
      </w:r>
      <w:r>
        <w:rPr>
          <w:rFonts w:ascii="宋体" w:hAnsi="宋体" w:cs="宋体"/>
          <w:color w:val="auto"/>
          <w:highlight w:val="none"/>
        </w:rPr>
        <w:t>万元</w:t>
      </w:r>
    </w:p>
    <w:p w14:paraId="2E78A2EF">
      <w:pPr>
        <w:spacing w:line="360" w:lineRule="auto"/>
        <w:ind w:firstLine="420" w:firstLineChars="200"/>
        <w:rPr>
          <w:rFonts w:ascii="宋体" w:hAnsi="宋体" w:cs="宋体"/>
          <w:color w:val="auto"/>
          <w:highlight w:val="none"/>
        </w:rPr>
      </w:pPr>
      <w:r>
        <w:rPr>
          <w:rFonts w:ascii="宋体" w:hAnsi="宋体" w:cs="宋体"/>
          <w:color w:val="auto"/>
          <w:highlight w:val="none"/>
        </w:rPr>
        <w:t>（ 150</w:t>
      </w:r>
      <w:r>
        <w:rPr>
          <w:rFonts w:hint="eastAsia" w:ascii="宋体" w:hAnsi="宋体" w:cs="宋体"/>
          <w:color w:val="auto"/>
          <w:highlight w:val="none"/>
        </w:rPr>
        <w:t>-</w:t>
      </w:r>
      <w:r>
        <w:rPr>
          <w:rFonts w:ascii="宋体" w:hAnsi="宋体" w:cs="宋体"/>
          <w:color w:val="auto"/>
          <w:highlight w:val="none"/>
        </w:rPr>
        <w:t>100 ）万元 ×0.</w:t>
      </w:r>
      <w:r>
        <w:rPr>
          <w:rFonts w:hint="eastAsia" w:ascii="宋体" w:hAnsi="宋体" w:cs="宋体"/>
          <w:color w:val="auto"/>
          <w:highlight w:val="none"/>
        </w:rPr>
        <w:t>7</w:t>
      </w:r>
      <w:r>
        <w:rPr>
          <w:rFonts w:ascii="宋体" w:hAnsi="宋体" w:cs="宋体"/>
          <w:color w:val="auto"/>
          <w:highlight w:val="none"/>
        </w:rPr>
        <w:t>%＝ 0.</w:t>
      </w:r>
      <w:r>
        <w:rPr>
          <w:rFonts w:hint="eastAsia" w:ascii="宋体" w:hAnsi="宋体" w:cs="宋体"/>
          <w:color w:val="auto"/>
          <w:highlight w:val="none"/>
        </w:rPr>
        <w:t>35</w:t>
      </w:r>
      <w:r>
        <w:rPr>
          <w:rFonts w:ascii="宋体" w:hAnsi="宋体" w:cs="宋体"/>
          <w:color w:val="auto"/>
          <w:highlight w:val="none"/>
        </w:rPr>
        <w:t>万元</w:t>
      </w:r>
    </w:p>
    <w:p w14:paraId="313CBAC8">
      <w:pPr>
        <w:spacing w:line="360" w:lineRule="auto"/>
        <w:ind w:firstLine="420" w:firstLineChars="200"/>
        <w:rPr>
          <w:rFonts w:ascii="宋体" w:hAnsi="宋体" w:cs="宋体"/>
          <w:color w:val="auto"/>
          <w:highlight w:val="none"/>
        </w:rPr>
      </w:pPr>
      <w:r>
        <w:rPr>
          <w:rFonts w:ascii="宋体" w:hAnsi="宋体" w:cs="宋体"/>
          <w:color w:val="auto"/>
          <w:highlight w:val="none"/>
        </w:rPr>
        <w:t>合计收费＝ 1.</w:t>
      </w:r>
      <w:r>
        <w:rPr>
          <w:rFonts w:hint="eastAsia" w:ascii="宋体" w:hAnsi="宋体" w:cs="宋体"/>
          <w:color w:val="auto"/>
          <w:highlight w:val="none"/>
        </w:rPr>
        <w:t xml:space="preserve">0 + </w:t>
      </w:r>
      <w:r>
        <w:rPr>
          <w:rFonts w:ascii="宋体" w:hAnsi="宋体" w:cs="宋体"/>
          <w:color w:val="auto"/>
          <w:highlight w:val="none"/>
        </w:rPr>
        <w:t>0.</w:t>
      </w:r>
      <w:r>
        <w:rPr>
          <w:rFonts w:hint="eastAsia" w:ascii="宋体" w:hAnsi="宋体" w:cs="宋体"/>
          <w:color w:val="auto"/>
          <w:highlight w:val="none"/>
        </w:rPr>
        <w:t xml:space="preserve">35 </w:t>
      </w:r>
      <w:r>
        <w:rPr>
          <w:rFonts w:ascii="宋体" w:hAnsi="宋体" w:cs="宋体"/>
          <w:color w:val="auto"/>
          <w:highlight w:val="none"/>
        </w:rPr>
        <w:t>＝ 1.</w:t>
      </w:r>
      <w:r>
        <w:rPr>
          <w:rFonts w:hint="eastAsia" w:ascii="宋体" w:hAnsi="宋体" w:cs="宋体"/>
          <w:color w:val="auto"/>
          <w:highlight w:val="none"/>
        </w:rPr>
        <w:t>35</w:t>
      </w:r>
      <w:r>
        <w:rPr>
          <w:rFonts w:ascii="宋体" w:hAnsi="宋体" w:cs="宋体"/>
          <w:color w:val="auto"/>
          <w:highlight w:val="none"/>
        </w:rPr>
        <w:t xml:space="preserve"> 万元</w:t>
      </w:r>
    </w:p>
    <w:p w14:paraId="4719394B">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w:t>
      </w:r>
      <w:r>
        <w:rPr>
          <w:rFonts w:ascii="黑体" w:hAnsi="黑体" w:eastAsia="黑体" w:cs="宋体"/>
          <w:b/>
          <w:bCs/>
          <w:color w:val="auto"/>
          <w:sz w:val="24"/>
          <w:highlight w:val="none"/>
        </w:rPr>
        <w:t>3.需要补充的其他内容</w:t>
      </w:r>
    </w:p>
    <w:p w14:paraId="02F78FEE">
      <w:pPr>
        <w:pStyle w:val="29"/>
        <w:spacing w:line="360" w:lineRule="auto"/>
        <w:ind w:firstLine="420" w:firstLineChars="200"/>
        <w:textAlignment w:val="center"/>
        <w:rPr>
          <w:rFonts w:hAnsi="宋体" w:cs="宋体"/>
          <w:color w:val="auto"/>
          <w:kern w:val="2"/>
          <w:sz w:val="21"/>
          <w:highlight w:val="none"/>
        </w:rPr>
      </w:pPr>
      <w:r>
        <w:rPr>
          <w:rFonts w:hint="eastAsia" w:hAnsi="宋体" w:cs="宋体"/>
          <w:color w:val="auto"/>
          <w:kern w:val="2"/>
          <w:sz w:val="21"/>
          <w:highlight w:val="none"/>
        </w:rPr>
        <w:t>3</w:t>
      </w:r>
      <w:r>
        <w:rPr>
          <w:rFonts w:hAnsi="宋体" w:cs="宋体"/>
          <w:color w:val="auto"/>
          <w:kern w:val="2"/>
          <w:sz w:val="21"/>
          <w:highlight w:val="none"/>
        </w:rPr>
        <w:t>3.1</w:t>
      </w:r>
      <w:r>
        <w:rPr>
          <w:rFonts w:hint="eastAsia" w:hAnsi="宋体" w:cs="宋体"/>
          <w:color w:val="auto"/>
          <w:kern w:val="2"/>
          <w:sz w:val="21"/>
          <w:highlight w:val="none"/>
        </w:rPr>
        <w:t>本磋商文件解释规则详见“供应商须知前附表”。</w:t>
      </w:r>
    </w:p>
    <w:p w14:paraId="2EA56F30">
      <w:pPr>
        <w:pStyle w:val="29"/>
        <w:spacing w:line="360" w:lineRule="auto"/>
        <w:ind w:firstLine="420" w:firstLineChars="200"/>
        <w:textAlignment w:val="center"/>
        <w:rPr>
          <w:rFonts w:hAnsi="宋体" w:cs="宋体"/>
          <w:color w:val="auto"/>
          <w:kern w:val="2"/>
          <w:sz w:val="21"/>
          <w:highlight w:val="none"/>
        </w:rPr>
      </w:pPr>
      <w:r>
        <w:rPr>
          <w:rFonts w:hint="eastAsia" w:hAnsi="宋体" w:cs="宋体"/>
          <w:color w:val="auto"/>
          <w:kern w:val="2"/>
          <w:sz w:val="21"/>
          <w:highlight w:val="none"/>
        </w:rPr>
        <w:t>33.2农民工工资保证金见“供应商须知前附表”。</w:t>
      </w:r>
    </w:p>
    <w:p w14:paraId="7B8F81D7">
      <w:pPr>
        <w:pStyle w:val="29"/>
        <w:spacing w:line="360" w:lineRule="auto"/>
        <w:ind w:firstLine="420" w:firstLineChars="200"/>
        <w:textAlignment w:val="center"/>
        <w:rPr>
          <w:rFonts w:hAnsi="宋体" w:cs="宋体"/>
          <w:color w:val="auto"/>
          <w:kern w:val="2"/>
          <w:sz w:val="21"/>
          <w:highlight w:val="none"/>
        </w:rPr>
      </w:pPr>
      <w:r>
        <w:rPr>
          <w:rFonts w:hAnsi="宋体" w:cs="宋体"/>
          <w:color w:val="auto"/>
          <w:kern w:val="2"/>
          <w:sz w:val="21"/>
          <w:highlight w:val="none"/>
        </w:rPr>
        <w:t>33.</w:t>
      </w:r>
      <w:r>
        <w:rPr>
          <w:rFonts w:hint="eastAsia" w:hAnsi="宋体" w:cs="宋体"/>
          <w:color w:val="auto"/>
          <w:kern w:val="2"/>
          <w:sz w:val="21"/>
          <w:highlight w:val="none"/>
        </w:rPr>
        <w:t>3 其他事项详见“供应商须知前附表”。</w:t>
      </w:r>
    </w:p>
    <w:p w14:paraId="40F06402">
      <w:pPr>
        <w:pStyle w:val="29"/>
        <w:spacing w:line="360" w:lineRule="auto"/>
        <w:ind w:firstLine="420" w:firstLineChars="200"/>
        <w:textAlignment w:val="center"/>
        <w:rPr>
          <w:rFonts w:hAnsi="宋体" w:cs="宋体"/>
          <w:color w:val="auto"/>
          <w:kern w:val="2"/>
          <w:sz w:val="21"/>
          <w:highlight w:val="none"/>
        </w:rPr>
      </w:pPr>
      <w:r>
        <w:rPr>
          <w:rFonts w:hint="eastAsia" w:hAnsi="宋体" w:cs="宋体"/>
          <w:color w:val="auto"/>
          <w:kern w:val="2"/>
          <w:sz w:val="21"/>
          <w:highlight w:val="none"/>
        </w:rPr>
        <w:t>3</w:t>
      </w:r>
      <w:r>
        <w:rPr>
          <w:rFonts w:hAnsi="宋体" w:cs="宋体"/>
          <w:color w:val="auto"/>
          <w:kern w:val="2"/>
          <w:sz w:val="21"/>
          <w:highlight w:val="none"/>
        </w:rPr>
        <w:t>3.</w:t>
      </w:r>
      <w:r>
        <w:rPr>
          <w:rFonts w:hint="eastAsia" w:hAnsi="宋体" w:cs="宋体"/>
          <w:color w:val="auto"/>
          <w:kern w:val="2"/>
          <w:sz w:val="21"/>
          <w:highlight w:val="none"/>
        </w:rPr>
        <w:t>4本磋商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磋商文件规定的中小企业扶持政策：</w:t>
      </w:r>
    </w:p>
    <w:p w14:paraId="7B965222">
      <w:pPr>
        <w:pStyle w:val="29"/>
        <w:spacing w:line="360" w:lineRule="auto"/>
        <w:ind w:firstLine="420" w:firstLineChars="200"/>
        <w:contextualSpacing/>
        <w:rPr>
          <w:rFonts w:hAnsi="宋体"/>
          <w:color w:val="auto"/>
          <w:sz w:val="21"/>
          <w:highlight w:val="none"/>
        </w:rPr>
      </w:pPr>
      <w:r>
        <w:rPr>
          <w:rFonts w:hint="eastAsia" w:hAnsi="宋体"/>
          <w:color w:val="auto"/>
          <w:sz w:val="21"/>
          <w:highlight w:val="none"/>
        </w:rPr>
        <w:t>（1）在货物采购项目中，货物由中小企业制造，即货物由中小企业生产且使用该中小企业商号或者注册商标，不对其中涉及的工程承建商和服务的承接商作出要求；</w:t>
      </w:r>
    </w:p>
    <w:p w14:paraId="31FBC6D2">
      <w:pPr>
        <w:pStyle w:val="29"/>
        <w:spacing w:line="360" w:lineRule="auto"/>
        <w:ind w:firstLine="420" w:firstLineChars="200"/>
        <w:contextualSpacing/>
        <w:rPr>
          <w:rFonts w:hAnsi="宋体"/>
          <w:color w:val="auto"/>
          <w:sz w:val="21"/>
          <w:highlight w:val="none"/>
        </w:rPr>
      </w:pPr>
      <w:r>
        <w:rPr>
          <w:rFonts w:hint="eastAsia" w:hAnsi="宋体"/>
          <w:color w:val="auto"/>
          <w:sz w:val="21"/>
          <w:highlight w:val="none"/>
        </w:rPr>
        <w:t>（2）在工程采购项目中，工程由中小企业承建，即工程施工单位为中小企业，不对其中涉及的货物的制造商和服务的承接商作出要求；</w:t>
      </w:r>
    </w:p>
    <w:p w14:paraId="689FEFE0">
      <w:pPr>
        <w:pStyle w:val="29"/>
        <w:spacing w:line="360" w:lineRule="auto"/>
        <w:ind w:firstLine="420" w:firstLineChars="200"/>
        <w:contextualSpacing/>
        <w:rPr>
          <w:rFonts w:hAnsi="宋体"/>
          <w:color w:val="auto"/>
          <w:sz w:val="21"/>
          <w:highlight w:val="none"/>
        </w:rPr>
      </w:pPr>
      <w:r>
        <w:rPr>
          <w:rFonts w:hint="eastAsia" w:hAnsi="宋体"/>
          <w:color w:val="auto"/>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4DBE8696">
      <w:pPr>
        <w:pStyle w:val="29"/>
        <w:spacing w:line="360" w:lineRule="auto"/>
        <w:ind w:firstLine="420" w:firstLineChars="200"/>
        <w:contextualSpacing/>
        <w:rPr>
          <w:rFonts w:hAnsi="宋体"/>
          <w:color w:val="auto"/>
          <w:sz w:val="21"/>
          <w:highlight w:val="none"/>
        </w:rPr>
      </w:pPr>
      <w:r>
        <w:rPr>
          <w:rFonts w:hint="eastAsia" w:hAnsi="宋体" w:cs="宋体"/>
          <w:color w:val="auto"/>
          <w:kern w:val="2"/>
          <w:sz w:val="21"/>
          <w:highlight w:val="none"/>
        </w:rPr>
        <w:t>在货物采购项目中，供应商提供的货物既有中小企业制造货物，也有大型企业制造货物的，不享受本磋商文件规定的中小企业扶持政策。以联合体形式参加政府采购活动，联合体各方均为</w:t>
      </w:r>
      <w:r>
        <w:rPr>
          <w:rFonts w:hint="eastAsia" w:hAnsi="宋体"/>
          <w:color w:val="auto"/>
          <w:sz w:val="21"/>
          <w:highlight w:val="none"/>
        </w:rPr>
        <w:t>中小企业的，联合体视同中小企业。其中，联合体各方均为小微企业的，联合体视同小微企业。</w:t>
      </w:r>
    </w:p>
    <w:p w14:paraId="0A53D131">
      <w:pPr>
        <w:pStyle w:val="29"/>
        <w:spacing w:line="360" w:lineRule="auto"/>
        <w:ind w:firstLine="420" w:firstLineChars="200"/>
        <w:contextualSpacing/>
        <w:rPr>
          <w:rFonts w:hAnsi="宋体"/>
          <w:color w:val="auto"/>
          <w:sz w:val="21"/>
          <w:highlight w:val="none"/>
        </w:rPr>
      </w:pPr>
      <w:r>
        <w:rPr>
          <w:rFonts w:hint="eastAsia" w:hAnsi="宋体"/>
          <w:color w:val="auto"/>
          <w:sz w:val="21"/>
          <w:highlight w:val="none"/>
        </w:rPr>
        <w:t>依据本磋商文件规定享受扶持政策获得政府采购合同的，小微企业不得将合同分包给大中型企业，中型企业不得将合同分包给大型企业。</w:t>
      </w:r>
    </w:p>
    <w:p w14:paraId="657D873E">
      <w:pPr>
        <w:pStyle w:val="2"/>
        <w:spacing w:after="340" w:line="360" w:lineRule="auto"/>
        <w:jc w:val="center"/>
        <w:rPr>
          <w:color w:val="auto"/>
          <w:highlight w:val="none"/>
        </w:rPr>
      </w:pPr>
      <w:r>
        <w:rPr>
          <w:rFonts w:hAnsi="宋体"/>
          <w:color w:val="auto"/>
          <w:highlight w:val="none"/>
        </w:rPr>
        <w:br w:type="page"/>
      </w:r>
      <w:bookmarkStart w:id="65" w:name="_Toc185869570"/>
      <w:r>
        <w:rPr>
          <w:rFonts w:hint="eastAsia"/>
          <w:color w:val="auto"/>
          <w:highlight w:val="none"/>
        </w:rPr>
        <w:t>第三章 采购需求</w:t>
      </w:r>
      <w:bookmarkEnd w:id="65"/>
    </w:p>
    <w:p w14:paraId="1C6DC908">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说明：</w:t>
      </w:r>
    </w:p>
    <w:p w14:paraId="6E2E0995">
      <w:pPr>
        <w:spacing w:line="360" w:lineRule="auto"/>
        <w:ind w:firstLine="420" w:firstLineChars="200"/>
        <w:jc w:val="left"/>
        <w:rPr>
          <w:rFonts w:ascii="宋体" w:hAnsi="宋体" w:cs="宋体"/>
          <w:color w:val="auto"/>
          <w:szCs w:val="21"/>
          <w:highlight w:val="none"/>
        </w:rPr>
      </w:pPr>
      <w:r>
        <w:rPr>
          <w:rFonts w:hint="eastAsia" w:ascii="宋体" w:hAnsi="宋体"/>
          <w:color w:val="auto"/>
          <w:highlight w:val="none"/>
        </w:rPr>
        <w:t>1</w:t>
      </w:r>
      <w:r>
        <w:rPr>
          <w:rFonts w:hint="eastAsia"/>
          <w:color w:val="auto"/>
          <w:highlight w:val="none"/>
        </w:rPr>
        <w:t>. 为落实政府采购政策需满足的要求</w:t>
      </w:r>
      <w:r>
        <w:rPr>
          <w:rFonts w:hint="eastAsia" w:ascii="宋体" w:hAnsi="宋体" w:cs="宋体"/>
          <w:color w:val="auto"/>
          <w:szCs w:val="21"/>
          <w:highlight w:val="none"/>
        </w:rPr>
        <w:t>：</w:t>
      </w:r>
    </w:p>
    <w:p w14:paraId="16526840">
      <w:pPr>
        <w:spacing w:line="360"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rPr>
        <w:t>（1）政府采购促进中小企业发展。</w:t>
      </w:r>
    </w:p>
    <w:p w14:paraId="0390B68E">
      <w:pPr>
        <w:spacing w:line="360"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rPr>
        <w:t>（2）政府采购支持采用本国产品的政策。</w:t>
      </w:r>
    </w:p>
    <w:p w14:paraId="78011986">
      <w:pPr>
        <w:spacing w:line="360"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rPr>
        <w:t>（3）强制采购节能产品；优先采购节能产品、环境标志产品。</w:t>
      </w:r>
    </w:p>
    <w:p w14:paraId="52E65C15">
      <w:pPr>
        <w:spacing w:line="360"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rPr>
        <w:t>（4）政府采购促进残疾人就业政策。</w:t>
      </w:r>
    </w:p>
    <w:p w14:paraId="188134DB">
      <w:pPr>
        <w:spacing w:line="360" w:lineRule="auto"/>
        <w:ind w:firstLine="424" w:firstLineChars="202"/>
        <w:rPr>
          <w:rFonts w:ascii="宋体" w:hAnsi="宋体" w:cs="宋体"/>
          <w:color w:val="auto"/>
          <w:szCs w:val="21"/>
          <w:highlight w:val="none"/>
        </w:rPr>
      </w:pPr>
      <w:r>
        <w:rPr>
          <w:rFonts w:hint="eastAsia" w:ascii="宋体" w:hAnsi="宋体" w:cs="宋体"/>
          <w:color w:val="auto"/>
          <w:kern w:val="0"/>
          <w:szCs w:val="21"/>
          <w:highlight w:val="none"/>
        </w:rPr>
        <w:t>（5）政府采购支持监狱企业发展。</w:t>
      </w:r>
    </w:p>
    <w:p w14:paraId="1DE90B6C">
      <w:pPr>
        <w:spacing w:line="360" w:lineRule="auto"/>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2. “实质性要求”是指采购需求中带“▲”的条款或者不能负偏离的条款或者已经指明不满足按响应文件按无效处理的条款。</w:t>
      </w:r>
    </w:p>
    <w:p w14:paraId="6573BE47">
      <w:pPr>
        <w:spacing w:line="360" w:lineRule="auto"/>
        <w:ind w:firstLine="424" w:firstLineChars="202"/>
        <w:jc w:val="left"/>
        <w:rPr>
          <w:rFonts w:ascii="宋体" w:hAnsi="宋体" w:cs="Arial"/>
          <w:bCs/>
          <w:color w:val="auto"/>
          <w:szCs w:val="21"/>
          <w:highlight w:val="none"/>
          <w:u w:val="single"/>
        </w:rPr>
      </w:pPr>
      <w:r>
        <w:rPr>
          <w:rFonts w:hint="eastAsia" w:ascii="宋体" w:hAnsi="宋体" w:cs="宋体"/>
          <w:color w:val="auto"/>
          <w:szCs w:val="21"/>
          <w:highlight w:val="none"/>
        </w:rPr>
        <w:t>3.</w:t>
      </w:r>
      <w:r>
        <w:rPr>
          <w:rFonts w:hint="eastAsia"/>
          <w:color w:val="auto"/>
          <w:highlight w:val="none"/>
        </w:rPr>
        <w:t>供应商必须自行为其竞标产品侵犯他人的知识产权或者专利成果的行为承担相应法律责任。</w:t>
      </w:r>
    </w:p>
    <w:tbl>
      <w:tblPr>
        <w:tblStyle w:val="55"/>
        <w:tblW w:w="88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5"/>
        <w:gridCol w:w="1417"/>
        <w:gridCol w:w="28"/>
        <w:gridCol w:w="798"/>
        <w:gridCol w:w="680"/>
        <w:gridCol w:w="5227"/>
      </w:tblGrid>
      <w:tr w14:paraId="32639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0" w:hRule="atLeast"/>
          <w:jc w:val="center"/>
        </w:trPr>
        <w:tc>
          <w:tcPr>
            <w:tcW w:w="655" w:type="dxa"/>
            <w:vAlign w:val="center"/>
          </w:tcPr>
          <w:p w14:paraId="586BDE40">
            <w:pPr>
              <w:tabs>
                <w:tab w:val="left" w:pos="180"/>
                <w:tab w:val="left" w:pos="1620"/>
              </w:tabs>
              <w:spacing w:line="24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序号</w:t>
            </w:r>
          </w:p>
        </w:tc>
        <w:tc>
          <w:tcPr>
            <w:tcW w:w="1417" w:type="dxa"/>
            <w:vAlign w:val="center"/>
          </w:tcPr>
          <w:p w14:paraId="2EE29FAC">
            <w:pPr>
              <w:tabs>
                <w:tab w:val="left" w:pos="180"/>
                <w:tab w:val="left" w:pos="1620"/>
              </w:tabs>
              <w:spacing w:line="24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标的</w:t>
            </w:r>
            <w:r>
              <w:rPr>
                <w:rFonts w:hint="eastAsia" w:asciiTheme="minorEastAsia" w:hAnsiTheme="minorEastAsia" w:eastAsiaTheme="minorEastAsia" w:cstheme="minorEastAsia"/>
                <w:color w:val="auto"/>
                <w:sz w:val="21"/>
                <w:szCs w:val="21"/>
                <w:highlight w:val="none"/>
              </w:rPr>
              <w:t>名称</w:t>
            </w:r>
          </w:p>
        </w:tc>
        <w:tc>
          <w:tcPr>
            <w:tcW w:w="826" w:type="dxa"/>
            <w:gridSpan w:val="2"/>
            <w:vAlign w:val="center"/>
          </w:tcPr>
          <w:p w14:paraId="4B1DF78D">
            <w:pPr>
              <w:tabs>
                <w:tab w:val="left" w:pos="180"/>
                <w:tab w:val="left" w:pos="1620"/>
              </w:tabs>
              <w:spacing w:line="24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数量及单位</w:t>
            </w:r>
          </w:p>
        </w:tc>
        <w:tc>
          <w:tcPr>
            <w:tcW w:w="680" w:type="dxa"/>
            <w:vAlign w:val="center"/>
          </w:tcPr>
          <w:p w14:paraId="7C5EAA66">
            <w:pPr>
              <w:tabs>
                <w:tab w:val="left" w:pos="180"/>
                <w:tab w:val="left" w:pos="1620"/>
              </w:tabs>
              <w:spacing w:line="24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所属行业</w:t>
            </w:r>
          </w:p>
        </w:tc>
        <w:tc>
          <w:tcPr>
            <w:tcW w:w="5227" w:type="dxa"/>
            <w:vAlign w:val="center"/>
          </w:tcPr>
          <w:p w14:paraId="6814CDBD">
            <w:pPr>
              <w:tabs>
                <w:tab w:val="left" w:pos="180"/>
                <w:tab w:val="left" w:pos="1620"/>
              </w:tabs>
              <w:spacing w:line="24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技术要求</w:t>
            </w:r>
          </w:p>
        </w:tc>
      </w:tr>
      <w:tr w14:paraId="4651A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55" w:type="dxa"/>
            <w:vAlign w:val="center"/>
          </w:tcPr>
          <w:p w14:paraId="6E769A37">
            <w:pPr>
              <w:tabs>
                <w:tab w:val="left" w:pos="180"/>
                <w:tab w:val="left" w:pos="1620"/>
              </w:tabs>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p>
        </w:tc>
        <w:tc>
          <w:tcPr>
            <w:tcW w:w="1417" w:type="dxa"/>
            <w:vAlign w:val="center"/>
          </w:tcPr>
          <w:p w14:paraId="2502106F">
            <w:pPr>
              <w:tabs>
                <w:tab w:val="left" w:pos="180"/>
                <w:tab w:val="left" w:pos="1620"/>
              </w:tabs>
              <w:spacing w:line="360"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广西幼儿师范高等专科学校平果校区室外风雨球场建设项目</w:t>
            </w:r>
          </w:p>
        </w:tc>
        <w:tc>
          <w:tcPr>
            <w:tcW w:w="826" w:type="dxa"/>
            <w:gridSpan w:val="2"/>
            <w:vAlign w:val="center"/>
          </w:tcPr>
          <w:p w14:paraId="1B7A103E">
            <w:pPr>
              <w:tabs>
                <w:tab w:val="left" w:pos="180"/>
                <w:tab w:val="left" w:pos="1620"/>
              </w:tabs>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1项</w:t>
            </w:r>
          </w:p>
        </w:tc>
        <w:tc>
          <w:tcPr>
            <w:tcW w:w="680" w:type="dxa"/>
            <w:vAlign w:val="center"/>
          </w:tcPr>
          <w:p w14:paraId="1E5740B1">
            <w:pPr>
              <w:tabs>
                <w:tab w:val="left" w:pos="180"/>
                <w:tab w:val="left" w:pos="1620"/>
              </w:tabs>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建筑业</w:t>
            </w:r>
          </w:p>
        </w:tc>
        <w:tc>
          <w:tcPr>
            <w:tcW w:w="5227" w:type="dxa"/>
            <w:vAlign w:val="center"/>
          </w:tcPr>
          <w:p w14:paraId="2ABDEBB5">
            <w:pPr>
              <w:snapToGrid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1.项目概况：</w:t>
            </w:r>
            <w:r>
              <w:rPr>
                <w:rFonts w:hint="eastAsia" w:asciiTheme="minorEastAsia" w:hAnsiTheme="minorEastAsia" w:eastAsiaTheme="minorEastAsia" w:cstheme="minorEastAsia"/>
                <w:color w:val="auto"/>
                <w:sz w:val="21"/>
                <w:szCs w:val="21"/>
                <w:highlight w:val="none"/>
                <w:lang w:eastAsia="zh-CN"/>
              </w:rPr>
              <w:t>拟采购平果校区室外风雨球场建设项目，为室外体育和娱乐设施工程施工。主要建设内容为：拆除工程，独立基础，砼工程，硅PU地面，钢结构，压型钢板屋面等。建筑面积3100平方米。具体内容以施工图设计及工程量清单为准。</w:t>
            </w:r>
          </w:p>
          <w:p w14:paraId="39689BD7">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▲2.采购范围：详见工程量清单及图纸。</w:t>
            </w:r>
          </w:p>
          <w:p w14:paraId="00C265EF">
            <w:pPr>
              <w:pStyle w:val="18"/>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3.技术标准和要求：满足现行建筑工程、钢结构工程等国家和行业验收规范及消防验收规范，工程质量达到合格标准。</w:t>
            </w:r>
          </w:p>
          <w:p w14:paraId="1B996714">
            <w:pPr>
              <w:pStyle w:val="18"/>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▲4.质量标准：合格。</w:t>
            </w:r>
          </w:p>
          <w:p w14:paraId="46FA700F">
            <w:pPr>
              <w:pStyle w:val="18"/>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rPr>
              <w:t>工程量：根据发包人要求完成工作内容或按照设计施工图纸及预算清单所包含的全部内容。</w:t>
            </w:r>
          </w:p>
          <w:p w14:paraId="51590A8C">
            <w:pPr>
              <w:pStyle w:val="18"/>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val="en-US" w:eastAsia="zh-CN"/>
              </w:rPr>
              <w:t>6</w:t>
            </w:r>
            <w:r>
              <w:rPr>
                <w:rFonts w:hint="eastAsia" w:asciiTheme="minorEastAsia" w:hAnsiTheme="minorEastAsia" w:eastAsiaTheme="minorEastAsia" w:cstheme="minorEastAsia"/>
                <w:color w:val="auto"/>
                <w:sz w:val="21"/>
                <w:szCs w:val="21"/>
                <w:highlight w:val="none"/>
              </w:rPr>
              <w:t>.报价方式：工程量清单报价。</w:t>
            </w:r>
          </w:p>
          <w:p w14:paraId="496E3C97">
            <w:pPr>
              <w:pStyle w:val="18"/>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eastAsiaTheme="minorEastAsia" w:cstheme="minorEastAsia"/>
                <w:color w:val="auto"/>
                <w:sz w:val="21"/>
                <w:szCs w:val="21"/>
                <w:highlight w:val="none"/>
              </w:rPr>
              <w:t>.</w:t>
            </w:r>
            <w:bookmarkStart w:id="66" w:name="承包方式"/>
            <w:r>
              <w:rPr>
                <w:rFonts w:hint="eastAsia" w:asciiTheme="minorEastAsia" w:hAnsiTheme="minorEastAsia" w:eastAsiaTheme="minorEastAsia" w:cstheme="minorEastAsia"/>
                <w:color w:val="auto"/>
                <w:sz w:val="21"/>
                <w:szCs w:val="21"/>
                <w:highlight w:val="none"/>
              </w:rPr>
              <w:t>承包方式</w:t>
            </w:r>
            <w:bookmarkEnd w:id="66"/>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eastAsia="zh-CN"/>
              </w:rPr>
              <w:t>固定综合单价</w:t>
            </w:r>
            <w:r>
              <w:rPr>
                <w:rFonts w:hint="eastAsia" w:asciiTheme="minorEastAsia" w:hAnsiTheme="minorEastAsia" w:eastAsiaTheme="minorEastAsia" w:cstheme="minorEastAsia"/>
                <w:color w:val="auto"/>
                <w:sz w:val="21"/>
                <w:szCs w:val="21"/>
                <w:highlight w:val="none"/>
              </w:rPr>
              <w:t>。</w:t>
            </w:r>
          </w:p>
          <w:p w14:paraId="379ECDFE">
            <w:pPr>
              <w:pStyle w:val="18"/>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8</w:t>
            </w:r>
            <w:r>
              <w:rPr>
                <w:rFonts w:hint="eastAsia" w:asciiTheme="minorEastAsia" w:hAnsiTheme="minorEastAsia" w:eastAsiaTheme="minorEastAsia" w:cstheme="minorEastAsia"/>
                <w:color w:val="auto"/>
                <w:sz w:val="21"/>
                <w:szCs w:val="21"/>
                <w:highlight w:val="none"/>
              </w:rPr>
              <w:t>.开工日期：以签订合同后采购人书面通知为准。</w:t>
            </w:r>
          </w:p>
          <w:p w14:paraId="3C348B68">
            <w:pPr>
              <w:pStyle w:val="18"/>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9</w:t>
            </w:r>
            <w:r>
              <w:rPr>
                <w:rFonts w:hint="eastAsia" w:asciiTheme="minorEastAsia" w:hAnsiTheme="minorEastAsia" w:eastAsiaTheme="minorEastAsia" w:cstheme="minorEastAsia"/>
                <w:color w:val="auto"/>
                <w:sz w:val="21"/>
                <w:szCs w:val="21"/>
                <w:highlight w:val="none"/>
              </w:rPr>
              <w:t>.其他要求：按采购文件第六章《合同文本》约定执行。</w:t>
            </w:r>
          </w:p>
        </w:tc>
      </w:tr>
      <w:tr w14:paraId="18AA02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5" w:hRule="atLeast"/>
          <w:jc w:val="center"/>
        </w:trPr>
        <w:tc>
          <w:tcPr>
            <w:tcW w:w="8805" w:type="dxa"/>
            <w:gridSpan w:val="6"/>
            <w:tcBorders>
              <w:top w:val="single" w:color="auto" w:sz="4" w:space="0"/>
              <w:left w:val="single" w:color="auto" w:sz="4" w:space="0"/>
              <w:bottom w:val="single" w:color="auto" w:sz="4" w:space="0"/>
              <w:right w:val="single" w:color="auto" w:sz="4" w:space="0"/>
            </w:tcBorders>
            <w:vAlign w:val="center"/>
          </w:tcPr>
          <w:p w14:paraId="3CFB32C8">
            <w:pPr>
              <w:spacing w:line="240" w:lineRule="auto"/>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b/>
                <w:color w:val="auto"/>
                <w:sz w:val="21"/>
                <w:szCs w:val="21"/>
                <w:highlight w:val="none"/>
              </w:rPr>
              <w:t>商务要求</w:t>
            </w:r>
          </w:p>
        </w:tc>
      </w:tr>
      <w:tr w14:paraId="386C61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2" w:hRule="atLeast"/>
          <w:jc w:val="center"/>
        </w:trPr>
        <w:tc>
          <w:tcPr>
            <w:tcW w:w="2100" w:type="dxa"/>
            <w:gridSpan w:val="3"/>
            <w:tcBorders>
              <w:top w:val="single" w:color="auto" w:sz="4" w:space="0"/>
              <w:left w:val="single" w:color="auto" w:sz="4" w:space="0"/>
              <w:bottom w:val="single" w:color="auto" w:sz="4" w:space="0"/>
              <w:right w:val="single" w:color="auto" w:sz="4" w:space="0"/>
            </w:tcBorders>
            <w:vAlign w:val="center"/>
          </w:tcPr>
          <w:p w14:paraId="4C645168">
            <w:pPr>
              <w:spacing w:line="240" w:lineRule="auto"/>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color w:val="auto"/>
                <w:sz w:val="21"/>
                <w:szCs w:val="21"/>
                <w:highlight w:val="none"/>
              </w:rPr>
              <w:t>合同履约工期</w:t>
            </w:r>
          </w:p>
        </w:tc>
        <w:tc>
          <w:tcPr>
            <w:tcW w:w="6705" w:type="dxa"/>
            <w:gridSpan w:val="3"/>
            <w:tcBorders>
              <w:top w:val="single" w:color="auto" w:sz="4" w:space="0"/>
              <w:left w:val="single" w:color="auto" w:sz="4" w:space="0"/>
              <w:bottom w:val="single" w:color="auto" w:sz="4" w:space="0"/>
              <w:right w:val="single" w:color="auto" w:sz="4" w:space="0"/>
            </w:tcBorders>
            <w:vAlign w:val="center"/>
          </w:tcPr>
          <w:p w14:paraId="601678C2">
            <w:pPr>
              <w:spacing w:line="240" w:lineRule="auto"/>
              <w:jc w:val="both"/>
              <w:rPr>
                <w:rFonts w:hint="eastAsia" w:asciiTheme="minorEastAsia" w:hAnsiTheme="minorEastAsia" w:eastAsiaTheme="minorEastAsia" w:cstheme="minorEastAsia"/>
                <w:color w:val="auto"/>
                <w:sz w:val="21"/>
                <w:szCs w:val="21"/>
                <w:highlight w:val="none"/>
                <w:lang w:val="zh-CN"/>
              </w:rPr>
            </w:pPr>
            <w:r>
              <w:rPr>
                <w:rFonts w:hint="eastAsia" w:asciiTheme="minorEastAsia" w:hAnsiTheme="minorEastAsia" w:eastAsiaTheme="minorEastAsia" w:cstheme="minorEastAsia"/>
                <w:color w:val="auto"/>
                <w:sz w:val="21"/>
                <w:szCs w:val="21"/>
                <w:highlight w:val="none"/>
                <w:lang w:val="zh-CN"/>
              </w:rPr>
              <w:t>120日历天，以发包人书面通知为准。</w:t>
            </w:r>
          </w:p>
        </w:tc>
      </w:tr>
      <w:tr w14:paraId="7D44DA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7" w:hRule="atLeast"/>
          <w:jc w:val="center"/>
        </w:trPr>
        <w:tc>
          <w:tcPr>
            <w:tcW w:w="2100" w:type="dxa"/>
            <w:gridSpan w:val="3"/>
            <w:tcBorders>
              <w:top w:val="single" w:color="auto" w:sz="4" w:space="0"/>
              <w:left w:val="single" w:color="auto" w:sz="4" w:space="0"/>
              <w:bottom w:val="single" w:color="auto" w:sz="4" w:space="0"/>
              <w:right w:val="single" w:color="auto" w:sz="4" w:space="0"/>
            </w:tcBorders>
            <w:vAlign w:val="center"/>
          </w:tcPr>
          <w:p w14:paraId="13A6823D">
            <w:pPr>
              <w:spacing w:line="24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建设地点</w:t>
            </w:r>
          </w:p>
        </w:tc>
        <w:tc>
          <w:tcPr>
            <w:tcW w:w="670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CF1B357">
            <w:pPr>
              <w:spacing w:line="240" w:lineRule="auto"/>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广西幼儿师范高等专科学校平果校区</w:t>
            </w:r>
          </w:p>
        </w:tc>
      </w:tr>
      <w:tr w14:paraId="4601FE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2" w:hRule="atLeast"/>
          <w:jc w:val="center"/>
        </w:trPr>
        <w:tc>
          <w:tcPr>
            <w:tcW w:w="2100" w:type="dxa"/>
            <w:gridSpan w:val="3"/>
            <w:tcBorders>
              <w:top w:val="single" w:color="auto" w:sz="4" w:space="0"/>
              <w:left w:val="single" w:color="auto" w:sz="4" w:space="0"/>
              <w:bottom w:val="single" w:color="auto" w:sz="4" w:space="0"/>
              <w:right w:val="single" w:color="auto" w:sz="4" w:space="0"/>
            </w:tcBorders>
            <w:vAlign w:val="center"/>
          </w:tcPr>
          <w:p w14:paraId="56074B85">
            <w:pPr>
              <w:spacing w:line="240" w:lineRule="auto"/>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color w:val="auto"/>
                <w:sz w:val="21"/>
                <w:szCs w:val="21"/>
                <w:highlight w:val="none"/>
              </w:rPr>
              <w:t>合同签订时间</w:t>
            </w:r>
          </w:p>
        </w:tc>
        <w:tc>
          <w:tcPr>
            <w:tcW w:w="670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9739B7A">
            <w:pPr>
              <w:spacing w:line="240" w:lineRule="auto"/>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自成交通知书发出之日起15日内（最迟不能超过15日）。</w:t>
            </w:r>
          </w:p>
        </w:tc>
      </w:tr>
      <w:tr w14:paraId="7EC1BD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2100" w:type="dxa"/>
            <w:gridSpan w:val="3"/>
            <w:tcBorders>
              <w:top w:val="single" w:color="auto" w:sz="4" w:space="0"/>
              <w:left w:val="single" w:color="auto" w:sz="4" w:space="0"/>
              <w:bottom w:val="single" w:color="auto" w:sz="4" w:space="0"/>
              <w:right w:val="single" w:color="auto" w:sz="4" w:space="0"/>
            </w:tcBorders>
            <w:vAlign w:val="center"/>
          </w:tcPr>
          <w:p w14:paraId="58FEA9FB">
            <w:pPr>
              <w:spacing w:line="24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验收标准</w:t>
            </w:r>
          </w:p>
        </w:tc>
        <w:tc>
          <w:tcPr>
            <w:tcW w:w="6705" w:type="dxa"/>
            <w:gridSpan w:val="3"/>
            <w:tcBorders>
              <w:top w:val="single" w:color="auto" w:sz="4" w:space="0"/>
              <w:left w:val="single" w:color="auto" w:sz="4" w:space="0"/>
              <w:bottom w:val="single" w:color="auto" w:sz="4" w:space="0"/>
              <w:right w:val="single" w:color="auto" w:sz="4" w:space="0"/>
            </w:tcBorders>
            <w:vAlign w:val="center"/>
          </w:tcPr>
          <w:p w14:paraId="05222114">
            <w:pPr>
              <w:spacing w:line="360" w:lineRule="auto"/>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符合国家现行的工程建设标准、技术规范及强制性标准条文，以及施工图纸载明的其他有关规范标准</w:t>
            </w:r>
            <w:r>
              <w:rPr>
                <w:rFonts w:hint="eastAsia" w:asciiTheme="minorEastAsia" w:hAnsiTheme="minorEastAsia" w:eastAsiaTheme="minorEastAsia" w:cstheme="minorEastAsia"/>
                <w:color w:val="auto"/>
                <w:sz w:val="21"/>
                <w:szCs w:val="21"/>
                <w:highlight w:val="none"/>
                <w:lang w:eastAsia="zh-CN"/>
              </w:rPr>
              <w:t>，并通过消防验收及备案</w:t>
            </w:r>
            <w:r>
              <w:rPr>
                <w:rFonts w:hint="eastAsia" w:asciiTheme="minorEastAsia" w:hAnsiTheme="minorEastAsia" w:eastAsiaTheme="minorEastAsia" w:cstheme="minorEastAsia"/>
                <w:color w:val="auto"/>
                <w:sz w:val="21"/>
                <w:szCs w:val="21"/>
                <w:highlight w:val="none"/>
              </w:rPr>
              <w:t>。</w:t>
            </w:r>
          </w:p>
        </w:tc>
      </w:tr>
      <w:tr w14:paraId="4036D8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78" w:hRule="atLeast"/>
          <w:jc w:val="center"/>
        </w:trPr>
        <w:tc>
          <w:tcPr>
            <w:tcW w:w="2100" w:type="dxa"/>
            <w:gridSpan w:val="3"/>
            <w:tcBorders>
              <w:top w:val="single" w:color="auto" w:sz="4" w:space="0"/>
              <w:left w:val="single" w:color="auto" w:sz="4" w:space="0"/>
              <w:bottom w:val="single" w:color="auto" w:sz="4" w:space="0"/>
              <w:right w:val="single" w:color="auto" w:sz="4" w:space="0"/>
            </w:tcBorders>
            <w:vAlign w:val="center"/>
          </w:tcPr>
          <w:p w14:paraId="59CB385F">
            <w:pPr>
              <w:spacing w:line="240" w:lineRule="auto"/>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color w:val="auto"/>
                <w:sz w:val="21"/>
                <w:szCs w:val="21"/>
                <w:highlight w:val="none"/>
              </w:rPr>
              <w:t>付款条件（进度和方式）</w:t>
            </w:r>
          </w:p>
        </w:tc>
        <w:tc>
          <w:tcPr>
            <w:tcW w:w="6705" w:type="dxa"/>
            <w:gridSpan w:val="3"/>
            <w:tcBorders>
              <w:top w:val="single" w:color="auto" w:sz="4" w:space="0"/>
              <w:left w:val="single" w:color="auto" w:sz="4" w:space="0"/>
              <w:bottom w:val="single" w:color="auto" w:sz="4" w:space="0"/>
              <w:right w:val="single" w:color="auto" w:sz="4" w:space="0"/>
            </w:tcBorders>
            <w:vAlign w:val="center"/>
          </w:tcPr>
          <w:p w14:paraId="09241341">
            <w:pPr>
              <w:spacing w:line="360" w:lineRule="auto"/>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本项目预付款为签订合同总价的30%，</w:t>
            </w:r>
            <w:r>
              <w:rPr>
                <w:rFonts w:hint="eastAsia" w:asciiTheme="minorEastAsia" w:hAnsiTheme="minorEastAsia" w:eastAsiaTheme="minorEastAsia" w:cstheme="minorEastAsia"/>
                <w:color w:val="auto"/>
                <w:szCs w:val="21"/>
                <w:highlight w:val="none"/>
                <w:u w:val="none"/>
              </w:rPr>
              <w:t>自</w:t>
            </w:r>
            <w:r>
              <w:rPr>
                <w:rFonts w:hint="eastAsia" w:asciiTheme="minorEastAsia" w:hAnsiTheme="minorEastAsia" w:eastAsiaTheme="minorEastAsia" w:cstheme="minorEastAsia"/>
                <w:color w:val="auto"/>
                <w:szCs w:val="21"/>
                <w:highlight w:val="none"/>
                <w:u w:val="none"/>
                <w:lang w:val="en-US" w:eastAsia="zh-CN"/>
              </w:rPr>
              <w:t>进场施工</w:t>
            </w:r>
            <w:r>
              <w:rPr>
                <w:rFonts w:hint="eastAsia" w:asciiTheme="minorEastAsia" w:hAnsiTheme="minorEastAsia" w:eastAsiaTheme="minorEastAsia" w:cstheme="minorEastAsia"/>
                <w:color w:val="auto"/>
                <w:szCs w:val="21"/>
                <w:highlight w:val="none"/>
                <w:u w:val="none"/>
              </w:rPr>
              <w:t>之日起</w:t>
            </w:r>
            <w:r>
              <w:rPr>
                <w:rFonts w:hint="eastAsia" w:asciiTheme="minorEastAsia" w:hAnsiTheme="minorEastAsia" w:eastAsiaTheme="minorEastAsia" w:cstheme="minorEastAsia"/>
                <w:color w:val="auto"/>
                <w:szCs w:val="21"/>
                <w:highlight w:val="none"/>
                <w:u w:val="none"/>
                <w:lang w:val="en-US" w:eastAsia="zh-CN"/>
              </w:rPr>
              <w:t>15</w:t>
            </w:r>
            <w:r>
              <w:rPr>
                <w:rFonts w:hint="eastAsia" w:asciiTheme="minorEastAsia" w:hAnsiTheme="minorEastAsia" w:eastAsiaTheme="minorEastAsia" w:cstheme="minorEastAsia"/>
                <w:color w:val="auto"/>
                <w:szCs w:val="21"/>
                <w:highlight w:val="none"/>
                <w:u w:val="none"/>
              </w:rPr>
              <w:t>个工作日内支付</w:t>
            </w:r>
            <w:r>
              <w:rPr>
                <w:rFonts w:hint="eastAsia" w:asciiTheme="minorEastAsia" w:hAnsiTheme="minorEastAsia" w:eastAsiaTheme="minorEastAsia" w:cstheme="minorEastAsia"/>
                <w:color w:val="auto"/>
                <w:sz w:val="21"/>
                <w:szCs w:val="21"/>
                <w:highlight w:val="none"/>
              </w:rPr>
              <w:t>。工程竣工初步验收合格，发包人支付至合同总价的80%，工程结算经发包人审定后，承包人须向发包人缴纳结算总价的</w:t>
            </w:r>
            <w:r>
              <w:rPr>
                <w:rFonts w:hint="eastAsia" w:asciiTheme="minorEastAsia" w:hAnsiTheme="minorEastAsia" w:eastAsiaTheme="minorEastAsia" w:cstheme="minorEastAsia"/>
                <w:color w:val="auto"/>
                <w:sz w:val="21"/>
                <w:szCs w:val="21"/>
                <w:highlight w:val="none"/>
                <w:lang w:eastAsia="zh-CN"/>
              </w:rPr>
              <w:t>3</w:t>
            </w:r>
            <w:r>
              <w:rPr>
                <w:rFonts w:hint="eastAsia" w:asciiTheme="minorEastAsia" w:hAnsiTheme="minorEastAsia" w:eastAsiaTheme="minorEastAsia" w:cstheme="minorEastAsia"/>
                <w:color w:val="auto"/>
                <w:sz w:val="21"/>
                <w:szCs w:val="21"/>
                <w:highlight w:val="none"/>
              </w:rPr>
              <w:t>%作为质量保证金</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收到质量保证金之日起15个工作日内发包人支付至结算总价的100%。（发包人每次付款前，承包人应向发包人出具合法、有效、足额的增值税发票，否则发包人有权延迟支付）。</w:t>
            </w:r>
          </w:p>
        </w:tc>
      </w:tr>
      <w:tr w14:paraId="0B0059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72" w:hRule="atLeast"/>
          <w:jc w:val="center"/>
        </w:trPr>
        <w:tc>
          <w:tcPr>
            <w:tcW w:w="8805" w:type="dxa"/>
            <w:gridSpan w:val="6"/>
            <w:tcBorders>
              <w:top w:val="single" w:color="auto" w:sz="4" w:space="0"/>
              <w:left w:val="single" w:color="auto" w:sz="4" w:space="0"/>
              <w:bottom w:val="single" w:color="auto" w:sz="4" w:space="0"/>
              <w:right w:val="single" w:color="auto" w:sz="4" w:space="0"/>
            </w:tcBorders>
            <w:vAlign w:val="center"/>
          </w:tcPr>
          <w:p w14:paraId="333CAB2F">
            <w:pPr>
              <w:spacing w:line="360" w:lineRule="auto"/>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color w:val="auto"/>
                <w:sz w:val="21"/>
                <w:szCs w:val="21"/>
                <w:highlight w:val="none"/>
              </w:rPr>
              <w:t>其他要求：</w:t>
            </w:r>
            <w:r>
              <w:rPr>
                <w:rFonts w:hint="eastAsia" w:asciiTheme="minorEastAsia" w:hAnsiTheme="minorEastAsia" w:eastAsiaTheme="minorEastAsia" w:cstheme="minorEastAsia"/>
                <w:color w:val="auto"/>
                <w:sz w:val="21"/>
                <w:szCs w:val="21"/>
                <w:highlight w:val="none"/>
              </w:rPr>
              <w:t>供应商可以根据实际情况在响应文件中提供项目管理机构、施工组织设计、业绩等内容。</w:t>
            </w:r>
          </w:p>
        </w:tc>
      </w:tr>
    </w:tbl>
    <w:p w14:paraId="38BFBC21">
      <w:pPr>
        <w:tabs>
          <w:tab w:val="left" w:pos="180"/>
          <w:tab w:val="left" w:pos="1620"/>
        </w:tabs>
        <w:spacing w:line="360" w:lineRule="auto"/>
        <w:ind w:firstLine="422" w:firstLineChars="200"/>
        <w:rPr>
          <w:rFonts w:ascii="宋体" w:hAnsi="宋体" w:cs="宋体"/>
          <w:b/>
          <w:bCs/>
          <w:color w:val="auto"/>
          <w:szCs w:val="21"/>
          <w:highlight w:val="none"/>
        </w:rPr>
      </w:pPr>
    </w:p>
    <w:p w14:paraId="0633473F">
      <w:pPr>
        <w:pStyle w:val="75"/>
        <w:ind w:firstLine="480"/>
        <w:rPr>
          <w:color w:val="auto"/>
          <w:highlight w:val="none"/>
          <w:lang w:eastAsia="zh-CN" w:bidi="ar-SA"/>
        </w:rPr>
      </w:pPr>
    </w:p>
    <w:p w14:paraId="0DC08BA0">
      <w:pPr>
        <w:pStyle w:val="75"/>
        <w:ind w:firstLine="480"/>
        <w:rPr>
          <w:color w:val="auto"/>
          <w:highlight w:val="none"/>
          <w:lang w:eastAsia="zh-CN" w:bidi="ar-SA"/>
        </w:rPr>
      </w:pPr>
    </w:p>
    <w:p w14:paraId="01EFBF85">
      <w:pPr>
        <w:rPr>
          <w:color w:val="auto"/>
          <w:highlight w:val="none"/>
          <w:lang w:eastAsia="zh-CN" w:bidi="ar-SA"/>
        </w:rPr>
      </w:pPr>
      <w:r>
        <w:rPr>
          <w:color w:val="auto"/>
          <w:highlight w:val="none"/>
          <w:lang w:eastAsia="zh-CN" w:bidi="ar-SA"/>
        </w:rPr>
        <w:br w:type="page"/>
      </w:r>
    </w:p>
    <w:p w14:paraId="78044542">
      <w:pPr>
        <w:widowControl/>
        <w:jc w:val="left"/>
        <w:rPr>
          <w:rFonts w:ascii="黑体" w:hAnsi="黑体" w:eastAsia="黑体" w:cs="黑体"/>
          <w:color w:val="auto"/>
          <w:sz w:val="32"/>
          <w:szCs w:val="32"/>
          <w:highlight w:val="none"/>
        </w:rPr>
      </w:pPr>
      <w:r>
        <w:rPr>
          <w:rFonts w:hint="eastAsia" w:ascii="黑体" w:hAnsi="黑体" w:eastAsia="黑体" w:cs="黑体"/>
          <w:color w:val="auto"/>
          <w:sz w:val="32"/>
          <w:szCs w:val="32"/>
          <w:highlight w:val="none"/>
        </w:rPr>
        <w:t>附件</w:t>
      </w:r>
      <w:r>
        <w:rPr>
          <w:rFonts w:hint="eastAsia" w:ascii="黑体" w:hAnsi="黑体" w:eastAsia="黑体" w:cs="黑体"/>
          <w:color w:val="auto"/>
          <w:sz w:val="32"/>
          <w:szCs w:val="32"/>
          <w:highlight w:val="none"/>
          <w:lang w:val="en-US" w:eastAsia="zh-CN"/>
        </w:rPr>
        <w:t>1</w:t>
      </w:r>
      <w:r>
        <w:rPr>
          <w:rFonts w:hint="eastAsia" w:ascii="黑体" w:hAnsi="黑体" w:eastAsia="黑体" w:cs="黑体"/>
          <w:color w:val="auto"/>
          <w:sz w:val="32"/>
          <w:szCs w:val="32"/>
          <w:highlight w:val="none"/>
        </w:rPr>
        <w:t>：</w:t>
      </w:r>
    </w:p>
    <w:p w14:paraId="60B6C5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中 小 微 企 业 划 型 标 准</w:t>
      </w:r>
    </w:p>
    <w:tbl>
      <w:tblPr>
        <w:tblStyle w:val="55"/>
        <w:tblW w:w="5000" w:type="pct"/>
        <w:tblInd w:w="0" w:type="dxa"/>
        <w:tblLayout w:type="autofit"/>
        <w:tblCellMar>
          <w:top w:w="0" w:type="dxa"/>
          <w:left w:w="108" w:type="dxa"/>
          <w:bottom w:w="0" w:type="dxa"/>
          <w:right w:w="108" w:type="dxa"/>
        </w:tblCellMar>
      </w:tblPr>
      <w:tblGrid>
        <w:gridCol w:w="1707"/>
        <w:gridCol w:w="1487"/>
        <w:gridCol w:w="1450"/>
        <w:gridCol w:w="1742"/>
        <w:gridCol w:w="1742"/>
        <w:gridCol w:w="1158"/>
      </w:tblGrid>
      <w:tr w14:paraId="050B5CA8">
        <w:trPr>
          <w:trHeight w:val="486" w:hRule="atLeast"/>
        </w:trPr>
        <w:tc>
          <w:tcPr>
            <w:tcW w:w="919" w:type="pct"/>
            <w:tcBorders>
              <w:top w:val="single" w:color="auto" w:sz="4" w:space="0"/>
              <w:left w:val="single" w:color="auto" w:sz="4" w:space="0"/>
              <w:bottom w:val="single" w:color="auto" w:sz="4" w:space="0"/>
              <w:right w:val="single" w:color="auto" w:sz="4" w:space="0"/>
            </w:tcBorders>
            <w:vAlign w:val="center"/>
          </w:tcPr>
          <w:p w14:paraId="0936EEB7">
            <w:pPr>
              <w:widowControl/>
              <w:spacing w:line="240" w:lineRule="auto"/>
              <w:jc w:val="left"/>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行业名称</w:t>
            </w:r>
          </w:p>
        </w:tc>
        <w:tc>
          <w:tcPr>
            <w:tcW w:w="800" w:type="pct"/>
            <w:tcBorders>
              <w:top w:val="single" w:color="auto" w:sz="4" w:space="0"/>
              <w:left w:val="nil"/>
              <w:bottom w:val="single" w:color="auto" w:sz="4" w:space="0"/>
              <w:right w:val="single" w:color="auto" w:sz="4" w:space="0"/>
            </w:tcBorders>
            <w:vAlign w:val="center"/>
          </w:tcPr>
          <w:p w14:paraId="0AFB1128">
            <w:pPr>
              <w:widowControl/>
              <w:spacing w:line="240" w:lineRule="auto"/>
              <w:jc w:val="left"/>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指标名称</w:t>
            </w:r>
          </w:p>
        </w:tc>
        <w:tc>
          <w:tcPr>
            <w:tcW w:w="780" w:type="pct"/>
            <w:tcBorders>
              <w:top w:val="single" w:color="auto" w:sz="4" w:space="0"/>
              <w:left w:val="nil"/>
              <w:bottom w:val="single" w:color="auto" w:sz="4" w:space="0"/>
              <w:right w:val="single" w:color="auto" w:sz="4" w:space="0"/>
            </w:tcBorders>
            <w:vAlign w:val="center"/>
          </w:tcPr>
          <w:p w14:paraId="2E7CEABB">
            <w:pPr>
              <w:widowControl/>
              <w:spacing w:line="240" w:lineRule="auto"/>
              <w:jc w:val="left"/>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计量单位</w:t>
            </w:r>
          </w:p>
        </w:tc>
        <w:tc>
          <w:tcPr>
            <w:tcW w:w="937" w:type="pct"/>
            <w:tcBorders>
              <w:top w:val="single" w:color="auto" w:sz="4" w:space="0"/>
              <w:left w:val="nil"/>
              <w:bottom w:val="single" w:color="auto" w:sz="4" w:space="0"/>
              <w:right w:val="single" w:color="auto" w:sz="4" w:space="0"/>
            </w:tcBorders>
            <w:vAlign w:val="center"/>
          </w:tcPr>
          <w:p w14:paraId="6516A4D8">
            <w:pPr>
              <w:widowControl/>
              <w:spacing w:line="240" w:lineRule="auto"/>
              <w:jc w:val="left"/>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中型</w:t>
            </w:r>
          </w:p>
        </w:tc>
        <w:tc>
          <w:tcPr>
            <w:tcW w:w="937" w:type="pct"/>
            <w:tcBorders>
              <w:top w:val="single" w:color="auto" w:sz="4" w:space="0"/>
              <w:left w:val="nil"/>
              <w:bottom w:val="single" w:color="auto" w:sz="4" w:space="0"/>
              <w:right w:val="single" w:color="auto" w:sz="4" w:space="0"/>
            </w:tcBorders>
            <w:vAlign w:val="center"/>
          </w:tcPr>
          <w:p w14:paraId="068DE11F">
            <w:pPr>
              <w:widowControl/>
              <w:spacing w:line="240" w:lineRule="auto"/>
              <w:jc w:val="left"/>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小型</w:t>
            </w:r>
          </w:p>
        </w:tc>
        <w:tc>
          <w:tcPr>
            <w:tcW w:w="623" w:type="pct"/>
            <w:tcBorders>
              <w:top w:val="single" w:color="auto" w:sz="4" w:space="0"/>
              <w:left w:val="nil"/>
              <w:bottom w:val="single" w:color="auto" w:sz="4" w:space="0"/>
              <w:right w:val="single" w:color="auto" w:sz="4" w:space="0"/>
            </w:tcBorders>
            <w:vAlign w:val="center"/>
          </w:tcPr>
          <w:p w14:paraId="163932CE">
            <w:pPr>
              <w:widowControl/>
              <w:spacing w:line="240" w:lineRule="auto"/>
              <w:jc w:val="left"/>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微型</w:t>
            </w:r>
          </w:p>
        </w:tc>
      </w:tr>
      <w:tr w14:paraId="227ED75B">
        <w:tblPrEx>
          <w:tblCellMar>
            <w:top w:w="0" w:type="dxa"/>
            <w:left w:w="108" w:type="dxa"/>
            <w:bottom w:w="0" w:type="dxa"/>
            <w:right w:w="108" w:type="dxa"/>
          </w:tblCellMar>
        </w:tblPrEx>
        <w:trPr>
          <w:trHeight w:val="225" w:hRule="atLeast"/>
        </w:trPr>
        <w:tc>
          <w:tcPr>
            <w:tcW w:w="919" w:type="pct"/>
            <w:tcBorders>
              <w:top w:val="nil"/>
              <w:left w:val="single" w:color="auto" w:sz="4" w:space="0"/>
              <w:bottom w:val="single" w:color="auto" w:sz="4" w:space="0"/>
              <w:right w:val="single" w:color="auto" w:sz="4" w:space="0"/>
            </w:tcBorders>
            <w:vAlign w:val="bottom"/>
          </w:tcPr>
          <w:p w14:paraId="1CAD871E">
            <w:pPr>
              <w:widowControl/>
              <w:spacing w:line="240" w:lineRule="auto"/>
              <w:jc w:val="center"/>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农、林、牧、渔</w:t>
            </w:r>
          </w:p>
        </w:tc>
        <w:tc>
          <w:tcPr>
            <w:tcW w:w="800" w:type="pct"/>
            <w:tcBorders>
              <w:top w:val="nil"/>
              <w:left w:val="nil"/>
              <w:bottom w:val="single" w:color="auto" w:sz="4" w:space="0"/>
              <w:right w:val="single" w:color="auto" w:sz="4" w:space="0"/>
            </w:tcBorders>
            <w:vAlign w:val="center"/>
          </w:tcPr>
          <w:p w14:paraId="38CC76C9">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营业收入（Y）</w:t>
            </w:r>
          </w:p>
        </w:tc>
        <w:tc>
          <w:tcPr>
            <w:tcW w:w="780" w:type="pct"/>
            <w:tcBorders>
              <w:top w:val="nil"/>
              <w:left w:val="nil"/>
              <w:bottom w:val="single" w:color="auto" w:sz="4" w:space="0"/>
              <w:right w:val="single" w:color="auto" w:sz="4" w:space="0"/>
            </w:tcBorders>
            <w:vAlign w:val="center"/>
          </w:tcPr>
          <w:p w14:paraId="2C70C153">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万元</w:t>
            </w:r>
          </w:p>
        </w:tc>
        <w:tc>
          <w:tcPr>
            <w:tcW w:w="937" w:type="pct"/>
            <w:tcBorders>
              <w:top w:val="nil"/>
              <w:left w:val="nil"/>
              <w:bottom w:val="single" w:color="auto" w:sz="4" w:space="0"/>
              <w:right w:val="single" w:color="auto" w:sz="4" w:space="0"/>
            </w:tcBorders>
            <w:vAlign w:val="center"/>
          </w:tcPr>
          <w:p w14:paraId="19F97FF0">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500≤Y</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20000</w:t>
            </w:r>
          </w:p>
        </w:tc>
        <w:tc>
          <w:tcPr>
            <w:tcW w:w="937" w:type="pct"/>
            <w:tcBorders>
              <w:top w:val="nil"/>
              <w:left w:val="nil"/>
              <w:bottom w:val="single" w:color="auto" w:sz="4" w:space="0"/>
              <w:right w:val="single" w:color="auto" w:sz="4" w:space="0"/>
            </w:tcBorders>
            <w:vAlign w:val="center"/>
          </w:tcPr>
          <w:p w14:paraId="06C063D2">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50≤Y</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500</w:t>
            </w:r>
          </w:p>
        </w:tc>
        <w:tc>
          <w:tcPr>
            <w:tcW w:w="623" w:type="pct"/>
            <w:tcBorders>
              <w:top w:val="nil"/>
              <w:left w:val="nil"/>
              <w:bottom w:val="single" w:color="auto" w:sz="4" w:space="0"/>
              <w:right w:val="single" w:color="auto" w:sz="4" w:space="0"/>
            </w:tcBorders>
            <w:vAlign w:val="center"/>
          </w:tcPr>
          <w:p w14:paraId="2FCB3CD6">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Y</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50</w:t>
            </w:r>
          </w:p>
        </w:tc>
      </w:tr>
      <w:tr w14:paraId="1F01DD6E">
        <w:tblPrEx>
          <w:tblCellMar>
            <w:top w:w="0" w:type="dxa"/>
            <w:left w:w="108" w:type="dxa"/>
            <w:bottom w:w="0" w:type="dxa"/>
            <w:right w:w="108" w:type="dxa"/>
          </w:tblCellMar>
        </w:tblPrEx>
        <w:trPr>
          <w:trHeight w:val="225" w:hRule="atLeast"/>
        </w:trPr>
        <w:tc>
          <w:tcPr>
            <w:tcW w:w="919" w:type="pct"/>
            <w:vMerge w:val="restart"/>
            <w:tcBorders>
              <w:top w:val="nil"/>
              <w:left w:val="single" w:color="auto" w:sz="4" w:space="0"/>
              <w:bottom w:val="single" w:color="auto" w:sz="4" w:space="0"/>
              <w:right w:val="single" w:color="auto" w:sz="4" w:space="0"/>
            </w:tcBorders>
            <w:vAlign w:val="bottom"/>
          </w:tcPr>
          <w:p w14:paraId="588BED3F">
            <w:pPr>
              <w:widowControl/>
              <w:spacing w:line="240" w:lineRule="auto"/>
              <w:jc w:val="center"/>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工业</w:t>
            </w:r>
          </w:p>
        </w:tc>
        <w:tc>
          <w:tcPr>
            <w:tcW w:w="800" w:type="pct"/>
            <w:tcBorders>
              <w:top w:val="nil"/>
              <w:left w:val="nil"/>
              <w:bottom w:val="single" w:color="auto" w:sz="4" w:space="0"/>
              <w:right w:val="single" w:color="auto" w:sz="4" w:space="0"/>
            </w:tcBorders>
            <w:vAlign w:val="center"/>
          </w:tcPr>
          <w:p w14:paraId="3FACF05E">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从业人员（X）</w:t>
            </w:r>
          </w:p>
        </w:tc>
        <w:tc>
          <w:tcPr>
            <w:tcW w:w="780" w:type="pct"/>
            <w:tcBorders>
              <w:top w:val="nil"/>
              <w:left w:val="nil"/>
              <w:bottom w:val="single" w:color="auto" w:sz="4" w:space="0"/>
              <w:right w:val="single" w:color="auto" w:sz="4" w:space="0"/>
            </w:tcBorders>
            <w:vAlign w:val="center"/>
          </w:tcPr>
          <w:p w14:paraId="249AFCE2">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人</w:t>
            </w:r>
          </w:p>
        </w:tc>
        <w:tc>
          <w:tcPr>
            <w:tcW w:w="937" w:type="pct"/>
            <w:tcBorders>
              <w:top w:val="nil"/>
              <w:left w:val="nil"/>
              <w:bottom w:val="single" w:color="auto" w:sz="4" w:space="0"/>
              <w:right w:val="single" w:color="auto" w:sz="4" w:space="0"/>
            </w:tcBorders>
            <w:vAlign w:val="center"/>
          </w:tcPr>
          <w:p w14:paraId="1B2EC862">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300≤X</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1000</w:t>
            </w:r>
          </w:p>
        </w:tc>
        <w:tc>
          <w:tcPr>
            <w:tcW w:w="937" w:type="pct"/>
            <w:tcBorders>
              <w:top w:val="nil"/>
              <w:left w:val="nil"/>
              <w:bottom w:val="single" w:color="auto" w:sz="4" w:space="0"/>
              <w:right w:val="single" w:color="auto" w:sz="4" w:space="0"/>
            </w:tcBorders>
            <w:vAlign w:val="center"/>
          </w:tcPr>
          <w:p w14:paraId="51460BA7">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20≤X</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300</w:t>
            </w:r>
          </w:p>
        </w:tc>
        <w:tc>
          <w:tcPr>
            <w:tcW w:w="623" w:type="pct"/>
            <w:tcBorders>
              <w:top w:val="nil"/>
              <w:left w:val="nil"/>
              <w:bottom w:val="single" w:color="auto" w:sz="4" w:space="0"/>
              <w:right w:val="single" w:color="auto" w:sz="4" w:space="0"/>
            </w:tcBorders>
            <w:vAlign w:val="center"/>
          </w:tcPr>
          <w:p w14:paraId="566BAF94">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X</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20</w:t>
            </w:r>
          </w:p>
        </w:tc>
      </w:tr>
      <w:tr w14:paraId="279731F5">
        <w:tblPrEx>
          <w:tblCellMar>
            <w:top w:w="0" w:type="dxa"/>
            <w:left w:w="108" w:type="dxa"/>
            <w:bottom w:w="0" w:type="dxa"/>
            <w:right w:w="108" w:type="dxa"/>
          </w:tblCellMar>
        </w:tblPrEx>
        <w:trPr>
          <w:trHeight w:val="225" w:hRule="atLeast"/>
        </w:trPr>
        <w:tc>
          <w:tcPr>
            <w:tcW w:w="919" w:type="pct"/>
            <w:vMerge w:val="continue"/>
            <w:tcBorders>
              <w:top w:val="nil"/>
              <w:left w:val="single" w:color="auto" w:sz="4" w:space="0"/>
              <w:bottom w:val="single" w:color="auto" w:sz="4" w:space="0"/>
              <w:right w:val="single" w:color="auto" w:sz="4" w:space="0"/>
            </w:tcBorders>
            <w:vAlign w:val="center"/>
          </w:tcPr>
          <w:p w14:paraId="0EC78C09">
            <w:pPr>
              <w:widowControl/>
              <w:spacing w:line="240" w:lineRule="auto"/>
              <w:jc w:val="left"/>
              <w:rPr>
                <w:rFonts w:hint="eastAsia" w:asciiTheme="minorEastAsia" w:hAnsiTheme="minorEastAsia" w:eastAsiaTheme="minorEastAsia" w:cstheme="minorEastAsia"/>
                <w:b/>
                <w:bCs/>
                <w:color w:val="auto"/>
                <w:kern w:val="0"/>
                <w:sz w:val="21"/>
                <w:szCs w:val="21"/>
                <w:highlight w:val="none"/>
              </w:rPr>
            </w:pPr>
          </w:p>
        </w:tc>
        <w:tc>
          <w:tcPr>
            <w:tcW w:w="800" w:type="pct"/>
            <w:tcBorders>
              <w:top w:val="nil"/>
              <w:left w:val="nil"/>
              <w:bottom w:val="single" w:color="auto" w:sz="4" w:space="0"/>
              <w:right w:val="single" w:color="auto" w:sz="4" w:space="0"/>
            </w:tcBorders>
            <w:vAlign w:val="center"/>
          </w:tcPr>
          <w:p w14:paraId="1B68D272">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营业收入（Y）</w:t>
            </w:r>
          </w:p>
        </w:tc>
        <w:tc>
          <w:tcPr>
            <w:tcW w:w="780" w:type="pct"/>
            <w:tcBorders>
              <w:top w:val="nil"/>
              <w:left w:val="nil"/>
              <w:bottom w:val="single" w:color="auto" w:sz="4" w:space="0"/>
              <w:right w:val="single" w:color="auto" w:sz="4" w:space="0"/>
            </w:tcBorders>
            <w:vAlign w:val="center"/>
          </w:tcPr>
          <w:p w14:paraId="78F6CAAA">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万元</w:t>
            </w:r>
          </w:p>
        </w:tc>
        <w:tc>
          <w:tcPr>
            <w:tcW w:w="937" w:type="pct"/>
            <w:tcBorders>
              <w:top w:val="nil"/>
              <w:left w:val="nil"/>
              <w:bottom w:val="single" w:color="auto" w:sz="4" w:space="0"/>
              <w:right w:val="single" w:color="auto" w:sz="4" w:space="0"/>
            </w:tcBorders>
            <w:vAlign w:val="center"/>
          </w:tcPr>
          <w:p w14:paraId="62AAED78">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2000≤Y</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40000</w:t>
            </w:r>
          </w:p>
        </w:tc>
        <w:tc>
          <w:tcPr>
            <w:tcW w:w="937" w:type="pct"/>
            <w:tcBorders>
              <w:top w:val="nil"/>
              <w:left w:val="nil"/>
              <w:bottom w:val="single" w:color="auto" w:sz="4" w:space="0"/>
              <w:right w:val="single" w:color="auto" w:sz="4" w:space="0"/>
            </w:tcBorders>
            <w:vAlign w:val="center"/>
          </w:tcPr>
          <w:p w14:paraId="6FE7DE3C">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300≤Y</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2000</w:t>
            </w:r>
          </w:p>
        </w:tc>
        <w:tc>
          <w:tcPr>
            <w:tcW w:w="623" w:type="pct"/>
            <w:tcBorders>
              <w:top w:val="nil"/>
              <w:left w:val="nil"/>
              <w:bottom w:val="single" w:color="auto" w:sz="4" w:space="0"/>
              <w:right w:val="single" w:color="auto" w:sz="4" w:space="0"/>
            </w:tcBorders>
            <w:vAlign w:val="center"/>
          </w:tcPr>
          <w:p w14:paraId="0EB131A3">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Y</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300</w:t>
            </w:r>
          </w:p>
        </w:tc>
      </w:tr>
      <w:tr w14:paraId="77113F4B">
        <w:tblPrEx>
          <w:tblCellMar>
            <w:top w:w="0" w:type="dxa"/>
            <w:left w:w="108" w:type="dxa"/>
            <w:bottom w:w="0" w:type="dxa"/>
            <w:right w:w="108" w:type="dxa"/>
          </w:tblCellMar>
        </w:tblPrEx>
        <w:trPr>
          <w:trHeight w:val="225" w:hRule="atLeast"/>
        </w:trPr>
        <w:tc>
          <w:tcPr>
            <w:tcW w:w="919" w:type="pct"/>
            <w:vMerge w:val="restart"/>
            <w:tcBorders>
              <w:top w:val="nil"/>
              <w:left w:val="single" w:color="auto" w:sz="4" w:space="0"/>
              <w:bottom w:val="single" w:color="auto" w:sz="4" w:space="0"/>
              <w:right w:val="single" w:color="auto" w:sz="4" w:space="0"/>
            </w:tcBorders>
            <w:vAlign w:val="bottom"/>
          </w:tcPr>
          <w:p w14:paraId="528D779B">
            <w:pPr>
              <w:widowControl/>
              <w:spacing w:line="240" w:lineRule="auto"/>
              <w:jc w:val="center"/>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建筑业</w:t>
            </w:r>
          </w:p>
        </w:tc>
        <w:tc>
          <w:tcPr>
            <w:tcW w:w="800" w:type="pct"/>
            <w:tcBorders>
              <w:top w:val="nil"/>
              <w:left w:val="nil"/>
              <w:bottom w:val="single" w:color="auto" w:sz="4" w:space="0"/>
              <w:right w:val="single" w:color="auto" w:sz="4" w:space="0"/>
            </w:tcBorders>
            <w:vAlign w:val="center"/>
          </w:tcPr>
          <w:p w14:paraId="525D6320">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营业收入（Y）</w:t>
            </w:r>
          </w:p>
        </w:tc>
        <w:tc>
          <w:tcPr>
            <w:tcW w:w="780" w:type="pct"/>
            <w:tcBorders>
              <w:top w:val="nil"/>
              <w:left w:val="nil"/>
              <w:bottom w:val="single" w:color="auto" w:sz="4" w:space="0"/>
              <w:right w:val="single" w:color="auto" w:sz="4" w:space="0"/>
            </w:tcBorders>
            <w:vAlign w:val="center"/>
          </w:tcPr>
          <w:p w14:paraId="0A8B8770">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万元</w:t>
            </w:r>
          </w:p>
        </w:tc>
        <w:tc>
          <w:tcPr>
            <w:tcW w:w="937" w:type="pct"/>
            <w:tcBorders>
              <w:top w:val="nil"/>
              <w:left w:val="nil"/>
              <w:bottom w:val="single" w:color="auto" w:sz="4" w:space="0"/>
              <w:right w:val="single" w:color="auto" w:sz="4" w:space="0"/>
            </w:tcBorders>
            <w:vAlign w:val="center"/>
          </w:tcPr>
          <w:p w14:paraId="743F0704">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6000≤Y</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80000</w:t>
            </w:r>
          </w:p>
        </w:tc>
        <w:tc>
          <w:tcPr>
            <w:tcW w:w="937" w:type="pct"/>
            <w:tcBorders>
              <w:top w:val="nil"/>
              <w:left w:val="nil"/>
              <w:bottom w:val="single" w:color="auto" w:sz="4" w:space="0"/>
              <w:right w:val="single" w:color="auto" w:sz="4" w:space="0"/>
            </w:tcBorders>
            <w:vAlign w:val="center"/>
          </w:tcPr>
          <w:p w14:paraId="5CC8D658">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300≤Y</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6000</w:t>
            </w:r>
          </w:p>
        </w:tc>
        <w:tc>
          <w:tcPr>
            <w:tcW w:w="623" w:type="pct"/>
            <w:tcBorders>
              <w:top w:val="nil"/>
              <w:left w:val="nil"/>
              <w:bottom w:val="single" w:color="auto" w:sz="4" w:space="0"/>
              <w:right w:val="single" w:color="auto" w:sz="4" w:space="0"/>
            </w:tcBorders>
            <w:vAlign w:val="center"/>
          </w:tcPr>
          <w:p w14:paraId="6E919828">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Y</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300</w:t>
            </w:r>
          </w:p>
        </w:tc>
      </w:tr>
      <w:tr w14:paraId="27D45D3F">
        <w:tblPrEx>
          <w:tblCellMar>
            <w:top w:w="0" w:type="dxa"/>
            <w:left w:w="108" w:type="dxa"/>
            <w:bottom w:w="0" w:type="dxa"/>
            <w:right w:w="108" w:type="dxa"/>
          </w:tblCellMar>
        </w:tblPrEx>
        <w:trPr>
          <w:trHeight w:val="225" w:hRule="atLeast"/>
        </w:trPr>
        <w:tc>
          <w:tcPr>
            <w:tcW w:w="919" w:type="pct"/>
            <w:vMerge w:val="continue"/>
            <w:tcBorders>
              <w:top w:val="nil"/>
              <w:left w:val="single" w:color="auto" w:sz="4" w:space="0"/>
              <w:bottom w:val="single" w:color="auto" w:sz="4" w:space="0"/>
              <w:right w:val="single" w:color="auto" w:sz="4" w:space="0"/>
            </w:tcBorders>
            <w:vAlign w:val="center"/>
          </w:tcPr>
          <w:p w14:paraId="554DEECC">
            <w:pPr>
              <w:widowControl/>
              <w:spacing w:line="240" w:lineRule="auto"/>
              <w:jc w:val="left"/>
              <w:rPr>
                <w:rFonts w:hint="eastAsia" w:asciiTheme="minorEastAsia" w:hAnsiTheme="minorEastAsia" w:eastAsiaTheme="minorEastAsia" w:cstheme="minorEastAsia"/>
                <w:b/>
                <w:bCs/>
                <w:color w:val="auto"/>
                <w:kern w:val="0"/>
                <w:sz w:val="21"/>
                <w:szCs w:val="21"/>
                <w:highlight w:val="none"/>
              </w:rPr>
            </w:pPr>
          </w:p>
        </w:tc>
        <w:tc>
          <w:tcPr>
            <w:tcW w:w="800" w:type="pct"/>
            <w:tcBorders>
              <w:top w:val="nil"/>
              <w:left w:val="nil"/>
              <w:bottom w:val="single" w:color="auto" w:sz="4" w:space="0"/>
              <w:right w:val="single" w:color="auto" w:sz="4" w:space="0"/>
            </w:tcBorders>
            <w:vAlign w:val="center"/>
          </w:tcPr>
          <w:p w14:paraId="26F517F5">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资产总额（Z）</w:t>
            </w:r>
          </w:p>
        </w:tc>
        <w:tc>
          <w:tcPr>
            <w:tcW w:w="780" w:type="pct"/>
            <w:tcBorders>
              <w:top w:val="nil"/>
              <w:left w:val="nil"/>
              <w:bottom w:val="single" w:color="auto" w:sz="4" w:space="0"/>
              <w:right w:val="single" w:color="auto" w:sz="4" w:space="0"/>
            </w:tcBorders>
            <w:vAlign w:val="center"/>
          </w:tcPr>
          <w:p w14:paraId="409ACC75">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万元</w:t>
            </w:r>
          </w:p>
        </w:tc>
        <w:tc>
          <w:tcPr>
            <w:tcW w:w="937" w:type="pct"/>
            <w:tcBorders>
              <w:top w:val="nil"/>
              <w:left w:val="nil"/>
              <w:bottom w:val="single" w:color="auto" w:sz="4" w:space="0"/>
              <w:right w:val="single" w:color="auto" w:sz="4" w:space="0"/>
            </w:tcBorders>
            <w:vAlign w:val="center"/>
          </w:tcPr>
          <w:p w14:paraId="240AA8BD">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5000≤Z</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80000</w:t>
            </w:r>
          </w:p>
        </w:tc>
        <w:tc>
          <w:tcPr>
            <w:tcW w:w="937" w:type="pct"/>
            <w:tcBorders>
              <w:top w:val="nil"/>
              <w:left w:val="nil"/>
              <w:bottom w:val="single" w:color="auto" w:sz="4" w:space="0"/>
              <w:right w:val="single" w:color="auto" w:sz="4" w:space="0"/>
            </w:tcBorders>
            <w:vAlign w:val="center"/>
          </w:tcPr>
          <w:p w14:paraId="65393304">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300≤Z</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5000</w:t>
            </w:r>
          </w:p>
        </w:tc>
        <w:tc>
          <w:tcPr>
            <w:tcW w:w="623" w:type="pct"/>
            <w:tcBorders>
              <w:top w:val="nil"/>
              <w:left w:val="nil"/>
              <w:bottom w:val="single" w:color="auto" w:sz="4" w:space="0"/>
              <w:right w:val="single" w:color="auto" w:sz="4" w:space="0"/>
            </w:tcBorders>
            <w:vAlign w:val="center"/>
          </w:tcPr>
          <w:p w14:paraId="26E0BE85">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Z</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300</w:t>
            </w:r>
          </w:p>
        </w:tc>
      </w:tr>
      <w:tr w14:paraId="0A2C92EA">
        <w:tblPrEx>
          <w:tblCellMar>
            <w:top w:w="0" w:type="dxa"/>
            <w:left w:w="108" w:type="dxa"/>
            <w:bottom w:w="0" w:type="dxa"/>
            <w:right w:w="108" w:type="dxa"/>
          </w:tblCellMar>
        </w:tblPrEx>
        <w:trPr>
          <w:trHeight w:val="225" w:hRule="atLeast"/>
        </w:trPr>
        <w:tc>
          <w:tcPr>
            <w:tcW w:w="919" w:type="pct"/>
            <w:vMerge w:val="restart"/>
            <w:tcBorders>
              <w:top w:val="nil"/>
              <w:left w:val="single" w:color="auto" w:sz="4" w:space="0"/>
              <w:bottom w:val="single" w:color="auto" w:sz="4" w:space="0"/>
              <w:right w:val="single" w:color="auto" w:sz="4" w:space="0"/>
            </w:tcBorders>
            <w:vAlign w:val="bottom"/>
          </w:tcPr>
          <w:p w14:paraId="4E297150">
            <w:pPr>
              <w:widowControl/>
              <w:spacing w:line="240" w:lineRule="auto"/>
              <w:jc w:val="center"/>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批发业</w:t>
            </w:r>
          </w:p>
        </w:tc>
        <w:tc>
          <w:tcPr>
            <w:tcW w:w="800" w:type="pct"/>
            <w:tcBorders>
              <w:top w:val="nil"/>
              <w:left w:val="nil"/>
              <w:bottom w:val="single" w:color="auto" w:sz="4" w:space="0"/>
              <w:right w:val="single" w:color="auto" w:sz="4" w:space="0"/>
            </w:tcBorders>
            <w:vAlign w:val="center"/>
          </w:tcPr>
          <w:p w14:paraId="3FF143EA">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从业人员（X）</w:t>
            </w:r>
          </w:p>
        </w:tc>
        <w:tc>
          <w:tcPr>
            <w:tcW w:w="780" w:type="pct"/>
            <w:tcBorders>
              <w:top w:val="nil"/>
              <w:left w:val="nil"/>
              <w:bottom w:val="single" w:color="auto" w:sz="4" w:space="0"/>
              <w:right w:val="single" w:color="auto" w:sz="4" w:space="0"/>
            </w:tcBorders>
            <w:vAlign w:val="center"/>
          </w:tcPr>
          <w:p w14:paraId="2D7CEB3F">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人</w:t>
            </w:r>
          </w:p>
        </w:tc>
        <w:tc>
          <w:tcPr>
            <w:tcW w:w="937" w:type="pct"/>
            <w:tcBorders>
              <w:top w:val="nil"/>
              <w:left w:val="nil"/>
              <w:bottom w:val="single" w:color="auto" w:sz="4" w:space="0"/>
              <w:right w:val="single" w:color="auto" w:sz="4" w:space="0"/>
            </w:tcBorders>
            <w:vAlign w:val="center"/>
          </w:tcPr>
          <w:p w14:paraId="438A54A9">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20≤X</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200</w:t>
            </w:r>
          </w:p>
        </w:tc>
        <w:tc>
          <w:tcPr>
            <w:tcW w:w="937" w:type="pct"/>
            <w:tcBorders>
              <w:top w:val="nil"/>
              <w:left w:val="nil"/>
              <w:bottom w:val="single" w:color="auto" w:sz="4" w:space="0"/>
              <w:right w:val="single" w:color="auto" w:sz="4" w:space="0"/>
            </w:tcBorders>
            <w:vAlign w:val="center"/>
          </w:tcPr>
          <w:p w14:paraId="1CF503A2">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5≤X</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20</w:t>
            </w:r>
          </w:p>
        </w:tc>
        <w:tc>
          <w:tcPr>
            <w:tcW w:w="623" w:type="pct"/>
            <w:tcBorders>
              <w:top w:val="nil"/>
              <w:left w:val="nil"/>
              <w:bottom w:val="single" w:color="auto" w:sz="4" w:space="0"/>
              <w:right w:val="single" w:color="auto" w:sz="4" w:space="0"/>
            </w:tcBorders>
            <w:vAlign w:val="center"/>
          </w:tcPr>
          <w:p w14:paraId="028B7B81">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X</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5</w:t>
            </w:r>
          </w:p>
        </w:tc>
      </w:tr>
      <w:tr w14:paraId="1288CD17">
        <w:tblPrEx>
          <w:tblCellMar>
            <w:top w:w="0" w:type="dxa"/>
            <w:left w:w="108" w:type="dxa"/>
            <w:bottom w:w="0" w:type="dxa"/>
            <w:right w:w="108" w:type="dxa"/>
          </w:tblCellMar>
        </w:tblPrEx>
        <w:trPr>
          <w:trHeight w:val="225" w:hRule="atLeast"/>
        </w:trPr>
        <w:tc>
          <w:tcPr>
            <w:tcW w:w="919" w:type="pct"/>
            <w:vMerge w:val="continue"/>
            <w:tcBorders>
              <w:top w:val="nil"/>
              <w:left w:val="single" w:color="auto" w:sz="4" w:space="0"/>
              <w:bottom w:val="single" w:color="auto" w:sz="4" w:space="0"/>
              <w:right w:val="single" w:color="auto" w:sz="4" w:space="0"/>
            </w:tcBorders>
            <w:vAlign w:val="center"/>
          </w:tcPr>
          <w:p w14:paraId="520F109F">
            <w:pPr>
              <w:widowControl/>
              <w:spacing w:line="240" w:lineRule="auto"/>
              <w:jc w:val="left"/>
              <w:rPr>
                <w:rFonts w:hint="eastAsia" w:asciiTheme="minorEastAsia" w:hAnsiTheme="minorEastAsia" w:eastAsiaTheme="minorEastAsia" w:cstheme="minorEastAsia"/>
                <w:b/>
                <w:bCs/>
                <w:color w:val="auto"/>
                <w:kern w:val="0"/>
                <w:sz w:val="21"/>
                <w:szCs w:val="21"/>
                <w:highlight w:val="none"/>
              </w:rPr>
            </w:pPr>
          </w:p>
        </w:tc>
        <w:tc>
          <w:tcPr>
            <w:tcW w:w="800" w:type="pct"/>
            <w:tcBorders>
              <w:top w:val="nil"/>
              <w:left w:val="nil"/>
              <w:bottom w:val="single" w:color="auto" w:sz="4" w:space="0"/>
              <w:right w:val="single" w:color="auto" w:sz="4" w:space="0"/>
            </w:tcBorders>
            <w:vAlign w:val="center"/>
          </w:tcPr>
          <w:p w14:paraId="61B0DC0C">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营业收入（Y）</w:t>
            </w:r>
          </w:p>
        </w:tc>
        <w:tc>
          <w:tcPr>
            <w:tcW w:w="780" w:type="pct"/>
            <w:tcBorders>
              <w:top w:val="nil"/>
              <w:left w:val="nil"/>
              <w:bottom w:val="single" w:color="auto" w:sz="4" w:space="0"/>
              <w:right w:val="single" w:color="auto" w:sz="4" w:space="0"/>
            </w:tcBorders>
            <w:vAlign w:val="center"/>
          </w:tcPr>
          <w:p w14:paraId="273D3596">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万元</w:t>
            </w:r>
          </w:p>
        </w:tc>
        <w:tc>
          <w:tcPr>
            <w:tcW w:w="937" w:type="pct"/>
            <w:tcBorders>
              <w:top w:val="nil"/>
              <w:left w:val="nil"/>
              <w:bottom w:val="single" w:color="auto" w:sz="4" w:space="0"/>
              <w:right w:val="single" w:color="auto" w:sz="4" w:space="0"/>
            </w:tcBorders>
            <w:vAlign w:val="center"/>
          </w:tcPr>
          <w:p w14:paraId="616664A8">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5000≤Y</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40000</w:t>
            </w:r>
          </w:p>
        </w:tc>
        <w:tc>
          <w:tcPr>
            <w:tcW w:w="937" w:type="pct"/>
            <w:tcBorders>
              <w:top w:val="nil"/>
              <w:left w:val="nil"/>
              <w:bottom w:val="single" w:color="auto" w:sz="4" w:space="0"/>
              <w:right w:val="single" w:color="auto" w:sz="4" w:space="0"/>
            </w:tcBorders>
            <w:vAlign w:val="center"/>
          </w:tcPr>
          <w:p w14:paraId="314B2814">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1000≤Y</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5000</w:t>
            </w:r>
          </w:p>
        </w:tc>
        <w:tc>
          <w:tcPr>
            <w:tcW w:w="623" w:type="pct"/>
            <w:tcBorders>
              <w:top w:val="nil"/>
              <w:left w:val="nil"/>
              <w:bottom w:val="single" w:color="auto" w:sz="4" w:space="0"/>
              <w:right w:val="single" w:color="auto" w:sz="4" w:space="0"/>
            </w:tcBorders>
            <w:vAlign w:val="center"/>
          </w:tcPr>
          <w:p w14:paraId="24D865EA">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Y</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1000</w:t>
            </w:r>
          </w:p>
        </w:tc>
      </w:tr>
      <w:tr w14:paraId="14E60D1B">
        <w:tblPrEx>
          <w:tblCellMar>
            <w:top w:w="0" w:type="dxa"/>
            <w:left w:w="108" w:type="dxa"/>
            <w:bottom w:w="0" w:type="dxa"/>
            <w:right w:w="108" w:type="dxa"/>
          </w:tblCellMar>
        </w:tblPrEx>
        <w:trPr>
          <w:trHeight w:val="225" w:hRule="atLeast"/>
        </w:trPr>
        <w:tc>
          <w:tcPr>
            <w:tcW w:w="919" w:type="pct"/>
            <w:vMerge w:val="restart"/>
            <w:tcBorders>
              <w:top w:val="nil"/>
              <w:left w:val="single" w:color="auto" w:sz="4" w:space="0"/>
              <w:bottom w:val="single" w:color="auto" w:sz="4" w:space="0"/>
              <w:right w:val="single" w:color="auto" w:sz="4" w:space="0"/>
            </w:tcBorders>
            <w:vAlign w:val="bottom"/>
          </w:tcPr>
          <w:p w14:paraId="16EA6523">
            <w:pPr>
              <w:widowControl/>
              <w:spacing w:line="240" w:lineRule="auto"/>
              <w:jc w:val="center"/>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零售业</w:t>
            </w:r>
          </w:p>
        </w:tc>
        <w:tc>
          <w:tcPr>
            <w:tcW w:w="800" w:type="pct"/>
            <w:tcBorders>
              <w:top w:val="nil"/>
              <w:left w:val="nil"/>
              <w:bottom w:val="single" w:color="auto" w:sz="4" w:space="0"/>
              <w:right w:val="single" w:color="auto" w:sz="4" w:space="0"/>
            </w:tcBorders>
            <w:vAlign w:val="center"/>
          </w:tcPr>
          <w:p w14:paraId="483A8E1C">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从业人员（X）</w:t>
            </w:r>
          </w:p>
        </w:tc>
        <w:tc>
          <w:tcPr>
            <w:tcW w:w="780" w:type="pct"/>
            <w:tcBorders>
              <w:top w:val="nil"/>
              <w:left w:val="nil"/>
              <w:bottom w:val="single" w:color="auto" w:sz="4" w:space="0"/>
              <w:right w:val="single" w:color="auto" w:sz="4" w:space="0"/>
            </w:tcBorders>
            <w:vAlign w:val="center"/>
          </w:tcPr>
          <w:p w14:paraId="17E7FCBC">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人</w:t>
            </w:r>
          </w:p>
        </w:tc>
        <w:tc>
          <w:tcPr>
            <w:tcW w:w="937" w:type="pct"/>
            <w:tcBorders>
              <w:top w:val="nil"/>
              <w:left w:val="nil"/>
              <w:bottom w:val="single" w:color="auto" w:sz="4" w:space="0"/>
              <w:right w:val="single" w:color="auto" w:sz="4" w:space="0"/>
            </w:tcBorders>
            <w:vAlign w:val="center"/>
          </w:tcPr>
          <w:p w14:paraId="341682AA">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50≤X</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300</w:t>
            </w:r>
          </w:p>
        </w:tc>
        <w:tc>
          <w:tcPr>
            <w:tcW w:w="937" w:type="pct"/>
            <w:tcBorders>
              <w:top w:val="nil"/>
              <w:left w:val="nil"/>
              <w:bottom w:val="single" w:color="auto" w:sz="4" w:space="0"/>
              <w:right w:val="single" w:color="auto" w:sz="4" w:space="0"/>
            </w:tcBorders>
            <w:vAlign w:val="center"/>
          </w:tcPr>
          <w:p w14:paraId="1A42E92D">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10≤X</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50</w:t>
            </w:r>
          </w:p>
        </w:tc>
        <w:tc>
          <w:tcPr>
            <w:tcW w:w="623" w:type="pct"/>
            <w:tcBorders>
              <w:top w:val="nil"/>
              <w:left w:val="nil"/>
              <w:bottom w:val="single" w:color="auto" w:sz="4" w:space="0"/>
              <w:right w:val="single" w:color="auto" w:sz="4" w:space="0"/>
            </w:tcBorders>
            <w:vAlign w:val="center"/>
          </w:tcPr>
          <w:p w14:paraId="73AE0705">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X</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10</w:t>
            </w:r>
          </w:p>
        </w:tc>
      </w:tr>
      <w:tr w14:paraId="3E0F8BE2">
        <w:tblPrEx>
          <w:tblCellMar>
            <w:top w:w="0" w:type="dxa"/>
            <w:left w:w="108" w:type="dxa"/>
            <w:bottom w:w="0" w:type="dxa"/>
            <w:right w:w="108" w:type="dxa"/>
          </w:tblCellMar>
        </w:tblPrEx>
        <w:trPr>
          <w:trHeight w:val="225" w:hRule="atLeast"/>
        </w:trPr>
        <w:tc>
          <w:tcPr>
            <w:tcW w:w="919" w:type="pct"/>
            <w:vMerge w:val="continue"/>
            <w:tcBorders>
              <w:top w:val="nil"/>
              <w:left w:val="single" w:color="auto" w:sz="4" w:space="0"/>
              <w:bottom w:val="single" w:color="auto" w:sz="4" w:space="0"/>
              <w:right w:val="single" w:color="auto" w:sz="4" w:space="0"/>
            </w:tcBorders>
            <w:vAlign w:val="center"/>
          </w:tcPr>
          <w:p w14:paraId="4875184C">
            <w:pPr>
              <w:widowControl/>
              <w:spacing w:line="240" w:lineRule="auto"/>
              <w:jc w:val="left"/>
              <w:rPr>
                <w:rFonts w:hint="eastAsia" w:asciiTheme="minorEastAsia" w:hAnsiTheme="minorEastAsia" w:eastAsiaTheme="minorEastAsia" w:cstheme="minorEastAsia"/>
                <w:b/>
                <w:bCs/>
                <w:color w:val="auto"/>
                <w:kern w:val="0"/>
                <w:sz w:val="21"/>
                <w:szCs w:val="21"/>
                <w:highlight w:val="none"/>
              </w:rPr>
            </w:pPr>
          </w:p>
        </w:tc>
        <w:tc>
          <w:tcPr>
            <w:tcW w:w="800" w:type="pct"/>
            <w:tcBorders>
              <w:top w:val="nil"/>
              <w:left w:val="nil"/>
              <w:bottom w:val="single" w:color="auto" w:sz="4" w:space="0"/>
              <w:right w:val="single" w:color="auto" w:sz="4" w:space="0"/>
            </w:tcBorders>
            <w:vAlign w:val="center"/>
          </w:tcPr>
          <w:p w14:paraId="720B3DE3">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营业收入（Y）</w:t>
            </w:r>
          </w:p>
        </w:tc>
        <w:tc>
          <w:tcPr>
            <w:tcW w:w="780" w:type="pct"/>
            <w:tcBorders>
              <w:top w:val="nil"/>
              <w:left w:val="nil"/>
              <w:bottom w:val="single" w:color="auto" w:sz="4" w:space="0"/>
              <w:right w:val="single" w:color="auto" w:sz="4" w:space="0"/>
            </w:tcBorders>
            <w:vAlign w:val="center"/>
          </w:tcPr>
          <w:p w14:paraId="1E08E19C">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万元</w:t>
            </w:r>
          </w:p>
        </w:tc>
        <w:tc>
          <w:tcPr>
            <w:tcW w:w="937" w:type="pct"/>
            <w:tcBorders>
              <w:top w:val="nil"/>
              <w:left w:val="nil"/>
              <w:bottom w:val="single" w:color="auto" w:sz="4" w:space="0"/>
              <w:right w:val="single" w:color="auto" w:sz="4" w:space="0"/>
            </w:tcBorders>
            <w:vAlign w:val="center"/>
          </w:tcPr>
          <w:p w14:paraId="05A57415">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500≤Y</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20000</w:t>
            </w:r>
          </w:p>
        </w:tc>
        <w:tc>
          <w:tcPr>
            <w:tcW w:w="937" w:type="pct"/>
            <w:tcBorders>
              <w:top w:val="nil"/>
              <w:left w:val="nil"/>
              <w:bottom w:val="single" w:color="auto" w:sz="4" w:space="0"/>
              <w:right w:val="single" w:color="auto" w:sz="4" w:space="0"/>
            </w:tcBorders>
            <w:vAlign w:val="center"/>
          </w:tcPr>
          <w:p w14:paraId="54C022CC">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100≤Y</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500</w:t>
            </w:r>
          </w:p>
        </w:tc>
        <w:tc>
          <w:tcPr>
            <w:tcW w:w="623" w:type="pct"/>
            <w:tcBorders>
              <w:top w:val="nil"/>
              <w:left w:val="nil"/>
              <w:bottom w:val="single" w:color="auto" w:sz="4" w:space="0"/>
              <w:right w:val="single" w:color="auto" w:sz="4" w:space="0"/>
            </w:tcBorders>
            <w:vAlign w:val="center"/>
          </w:tcPr>
          <w:p w14:paraId="4D501F5A">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Y</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100</w:t>
            </w:r>
          </w:p>
        </w:tc>
      </w:tr>
      <w:tr w14:paraId="6E69D550">
        <w:tblPrEx>
          <w:tblCellMar>
            <w:top w:w="0" w:type="dxa"/>
            <w:left w:w="108" w:type="dxa"/>
            <w:bottom w:w="0" w:type="dxa"/>
            <w:right w:w="108" w:type="dxa"/>
          </w:tblCellMar>
        </w:tblPrEx>
        <w:trPr>
          <w:trHeight w:val="225" w:hRule="atLeast"/>
        </w:trPr>
        <w:tc>
          <w:tcPr>
            <w:tcW w:w="919" w:type="pct"/>
            <w:vMerge w:val="restart"/>
            <w:tcBorders>
              <w:top w:val="nil"/>
              <w:left w:val="single" w:color="auto" w:sz="4" w:space="0"/>
              <w:bottom w:val="single" w:color="auto" w:sz="4" w:space="0"/>
              <w:right w:val="single" w:color="auto" w:sz="4" w:space="0"/>
            </w:tcBorders>
            <w:vAlign w:val="bottom"/>
          </w:tcPr>
          <w:p w14:paraId="3C093664">
            <w:pPr>
              <w:widowControl/>
              <w:spacing w:line="240" w:lineRule="auto"/>
              <w:jc w:val="center"/>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交通运输业</w:t>
            </w:r>
          </w:p>
        </w:tc>
        <w:tc>
          <w:tcPr>
            <w:tcW w:w="800" w:type="pct"/>
            <w:tcBorders>
              <w:top w:val="nil"/>
              <w:left w:val="nil"/>
              <w:bottom w:val="single" w:color="auto" w:sz="4" w:space="0"/>
              <w:right w:val="single" w:color="auto" w:sz="4" w:space="0"/>
            </w:tcBorders>
            <w:vAlign w:val="center"/>
          </w:tcPr>
          <w:p w14:paraId="78A5BE3C">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从业人员（X）</w:t>
            </w:r>
          </w:p>
        </w:tc>
        <w:tc>
          <w:tcPr>
            <w:tcW w:w="780" w:type="pct"/>
            <w:tcBorders>
              <w:top w:val="nil"/>
              <w:left w:val="nil"/>
              <w:bottom w:val="single" w:color="auto" w:sz="4" w:space="0"/>
              <w:right w:val="single" w:color="auto" w:sz="4" w:space="0"/>
            </w:tcBorders>
            <w:vAlign w:val="center"/>
          </w:tcPr>
          <w:p w14:paraId="60771349">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人</w:t>
            </w:r>
          </w:p>
        </w:tc>
        <w:tc>
          <w:tcPr>
            <w:tcW w:w="937" w:type="pct"/>
            <w:tcBorders>
              <w:top w:val="nil"/>
              <w:left w:val="nil"/>
              <w:bottom w:val="single" w:color="auto" w:sz="4" w:space="0"/>
              <w:right w:val="single" w:color="auto" w:sz="4" w:space="0"/>
            </w:tcBorders>
            <w:vAlign w:val="center"/>
          </w:tcPr>
          <w:p w14:paraId="6F2D14B9">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300≤X</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1000</w:t>
            </w:r>
          </w:p>
        </w:tc>
        <w:tc>
          <w:tcPr>
            <w:tcW w:w="937" w:type="pct"/>
            <w:tcBorders>
              <w:top w:val="nil"/>
              <w:left w:val="nil"/>
              <w:bottom w:val="single" w:color="auto" w:sz="4" w:space="0"/>
              <w:right w:val="single" w:color="auto" w:sz="4" w:space="0"/>
            </w:tcBorders>
            <w:vAlign w:val="center"/>
          </w:tcPr>
          <w:p w14:paraId="756543A8">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20≤X</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300</w:t>
            </w:r>
          </w:p>
        </w:tc>
        <w:tc>
          <w:tcPr>
            <w:tcW w:w="623" w:type="pct"/>
            <w:tcBorders>
              <w:top w:val="nil"/>
              <w:left w:val="nil"/>
              <w:bottom w:val="single" w:color="auto" w:sz="4" w:space="0"/>
              <w:right w:val="single" w:color="auto" w:sz="4" w:space="0"/>
            </w:tcBorders>
            <w:vAlign w:val="center"/>
          </w:tcPr>
          <w:p w14:paraId="3292D364">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X</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20</w:t>
            </w:r>
          </w:p>
        </w:tc>
      </w:tr>
      <w:tr w14:paraId="1F49FCF9">
        <w:tblPrEx>
          <w:tblCellMar>
            <w:top w:w="0" w:type="dxa"/>
            <w:left w:w="108" w:type="dxa"/>
            <w:bottom w:w="0" w:type="dxa"/>
            <w:right w:w="108" w:type="dxa"/>
          </w:tblCellMar>
        </w:tblPrEx>
        <w:trPr>
          <w:trHeight w:val="225" w:hRule="atLeast"/>
        </w:trPr>
        <w:tc>
          <w:tcPr>
            <w:tcW w:w="919" w:type="pct"/>
            <w:vMerge w:val="continue"/>
            <w:tcBorders>
              <w:top w:val="nil"/>
              <w:left w:val="single" w:color="auto" w:sz="4" w:space="0"/>
              <w:bottom w:val="single" w:color="auto" w:sz="4" w:space="0"/>
              <w:right w:val="single" w:color="auto" w:sz="4" w:space="0"/>
            </w:tcBorders>
            <w:vAlign w:val="center"/>
          </w:tcPr>
          <w:p w14:paraId="2CEC4660">
            <w:pPr>
              <w:widowControl/>
              <w:spacing w:line="240" w:lineRule="auto"/>
              <w:jc w:val="left"/>
              <w:rPr>
                <w:rFonts w:hint="eastAsia" w:asciiTheme="minorEastAsia" w:hAnsiTheme="minorEastAsia" w:eastAsiaTheme="minorEastAsia" w:cstheme="minorEastAsia"/>
                <w:b/>
                <w:bCs/>
                <w:color w:val="auto"/>
                <w:kern w:val="0"/>
                <w:sz w:val="21"/>
                <w:szCs w:val="21"/>
                <w:highlight w:val="none"/>
              </w:rPr>
            </w:pPr>
          </w:p>
        </w:tc>
        <w:tc>
          <w:tcPr>
            <w:tcW w:w="800" w:type="pct"/>
            <w:tcBorders>
              <w:top w:val="nil"/>
              <w:left w:val="nil"/>
              <w:bottom w:val="single" w:color="auto" w:sz="4" w:space="0"/>
              <w:right w:val="single" w:color="auto" w:sz="4" w:space="0"/>
            </w:tcBorders>
            <w:vAlign w:val="center"/>
          </w:tcPr>
          <w:p w14:paraId="7E4804EC">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营业收入（Y）</w:t>
            </w:r>
          </w:p>
        </w:tc>
        <w:tc>
          <w:tcPr>
            <w:tcW w:w="780" w:type="pct"/>
            <w:tcBorders>
              <w:top w:val="nil"/>
              <w:left w:val="nil"/>
              <w:bottom w:val="single" w:color="auto" w:sz="4" w:space="0"/>
              <w:right w:val="single" w:color="auto" w:sz="4" w:space="0"/>
            </w:tcBorders>
            <w:vAlign w:val="center"/>
          </w:tcPr>
          <w:p w14:paraId="1FC0F146">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万元</w:t>
            </w:r>
          </w:p>
        </w:tc>
        <w:tc>
          <w:tcPr>
            <w:tcW w:w="937" w:type="pct"/>
            <w:tcBorders>
              <w:top w:val="nil"/>
              <w:left w:val="nil"/>
              <w:bottom w:val="single" w:color="auto" w:sz="4" w:space="0"/>
              <w:right w:val="single" w:color="auto" w:sz="4" w:space="0"/>
            </w:tcBorders>
            <w:vAlign w:val="center"/>
          </w:tcPr>
          <w:p w14:paraId="3CFCA608">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3000≤Y</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30000</w:t>
            </w:r>
          </w:p>
        </w:tc>
        <w:tc>
          <w:tcPr>
            <w:tcW w:w="937" w:type="pct"/>
            <w:tcBorders>
              <w:top w:val="nil"/>
              <w:left w:val="nil"/>
              <w:bottom w:val="single" w:color="auto" w:sz="4" w:space="0"/>
              <w:right w:val="single" w:color="auto" w:sz="4" w:space="0"/>
            </w:tcBorders>
            <w:vAlign w:val="center"/>
          </w:tcPr>
          <w:p w14:paraId="67804A64">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200≤Y</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3000</w:t>
            </w:r>
          </w:p>
        </w:tc>
        <w:tc>
          <w:tcPr>
            <w:tcW w:w="623" w:type="pct"/>
            <w:tcBorders>
              <w:top w:val="nil"/>
              <w:left w:val="nil"/>
              <w:bottom w:val="single" w:color="auto" w:sz="4" w:space="0"/>
              <w:right w:val="single" w:color="auto" w:sz="4" w:space="0"/>
            </w:tcBorders>
            <w:vAlign w:val="center"/>
          </w:tcPr>
          <w:p w14:paraId="4F92013F">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Y</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200</w:t>
            </w:r>
          </w:p>
        </w:tc>
      </w:tr>
      <w:tr w14:paraId="1DFE1CA6">
        <w:tblPrEx>
          <w:tblCellMar>
            <w:top w:w="0" w:type="dxa"/>
            <w:left w:w="108" w:type="dxa"/>
            <w:bottom w:w="0" w:type="dxa"/>
            <w:right w:w="108" w:type="dxa"/>
          </w:tblCellMar>
        </w:tblPrEx>
        <w:trPr>
          <w:trHeight w:val="225" w:hRule="atLeast"/>
        </w:trPr>
        <w:tc>
          <w:tcPr>
            <w:tcW w:w="919" w:type="pct"/>
            <w:vMerge w:val="restart"/>
            <w:tcBorders>
              <w:top w:val="nil"/>
              <w:left w:val="single" w:color="auto" w:sz="4" w:space="0"/>
              <w:bottom w:val="single" w:color="auto" w:sz="4" w:space="0"/>
              <w:right w:val="single" w:color="auto" w:sz="4" w:space="0"/>
            </w:tcBorders>
            <w:vAlign w:val="bottom"/>
          </w:tcPr>
          <w:p w14:paraId="6CECE80D">
            <w:pPr>
              <w:widowControl/>
              <w:spacing w:line="240" w:lineRule="auto"/>
              <w:jc w:val="center"/>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仓储业</w:t>
            </w:r>
          </w:p>
        </w:tc>
        <w:tc>
          <w:tcPr>
            <w:tcW w:w="800" w:type="pct"/>
            <w:tcBorders>
              <w:top w:val="nil"/>
              <w:left w:val="nil"/>
              <w:bottom w:val="single" w:color="auto" w:sz="4" w:space="0"/>
              <w:right w:val="single" w:color="auto" w:sz="4" w:space="0"/>
            </w:tcBorders>
            <w:vAlign w:val="center"/>
          </w:tcPr>
          <w:p w14:paraId="1BFE32AA">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从业人员（X）</w:t>
            </w:r>
          </w:p>
        </w:tc>
        <w:tc>
          <w:tcPr>
            <w:tcW w:w="780" w:type="pct"/>
            <w:tcBorders>
              <w:top w:val="nil"/>
              <w:left w:val="nil"/>
              <w:bottom w:val="single" w:color="auto" w:sz="4" w:space="0"/>
              <w:right w:val="single" w:color="auto" w:sz="4" w:space="0"/>
            </w:tcBorders>
            <w:vAlign w:val="center"/>
          </w:tcPr>
          <w:p w14:paraId="21E47895">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人</w:t>
            </w:r>
          </w:p>
        </w:tc>
        <w:tc>
          <w:tcPr>
            <w:tcW w:w="937" w:type="pct"/>
            <w:tcBorders>
              <w:top w:val="nil"/>
              <w:left w:val="nil"/>
              <w:bottom w:val="single" w:color="auto" w:sz="4" w:space="0"/>
              <w:right w:val="single" w:color="auto" w:sz="4" w:space="0"/>
            </w:tcBorders>
            <w:vAlign w:val="center"/>
          </w:tcPr>
          <w:p w14:paraId="4F7F945D">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100≤X</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200</w:t>
            </w:r>
          </w:p>
        </w:tc>
        <w:tc>
          <w:tcPr>
            <w:tcW w:w="937" w:type="pct"/>
            <w:tcBorders>
              <w:top w:val="nil"/>
              <w:left w:val="nil"/>
              <w:bottom w:val="single" w:color="auto" w:sz="4" w:space="0"/>
              <w:right w:val="single" w:color="auto" w:sz="4" w:space="0"/>
            </w:tcBorders>
            <w:vAlign w:val="center"/>
          </w:tcPr>
          <w:p w14:paraId="6E0701AF">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20≤X</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100</w:t>
            </w:r>
          </w:p>
        </w:tc>
        <w:tc>
          <w:tcPr>
            <w:tcW w:w="623" w:type="pct"/>
            <w:tcBorders>
              <w:top w:val="nil"/>
              <w:left w:val="nil"/>
              <w:bottom w:val="single" w:color="auto" w:sz="4" w:space="0"/>
              <w:right w:val="single" w:color="auto" w:sz="4" w:space="0"/>
            </w:tcBorders>
            <w:vAlign w:val="center"/>
          </w:tcPr>
          <w:p w14:paraId="17CA1BB7">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X</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20</w:t>
            </w:r>
          </w:p>
        </w:tc>
      </w:tr>
      <w:tr w14:paraId="5BD7191A">
        <w:tblPrEx>
          <w:tblCellMar>
            <w:top w:w="0" w:type="dxa"/>
            <w:left w:w="108" w:type="dxa"/>
            <w:bottom w:w="0" w:type="dxa"/>
            <w:right w:w="108" w:type="dxa"/>
          </w:tblCellMar>
        </w:tblPrEx>
        <w:trPr>
          <w:trHeight w:val="225" w:hRule="atLeast"/>
        </w:trPr>
        <w:tc>
          <w:tcPr>
            <w:tcW w:w="919" w:type="pct"/>
            <w:vMerge w:val="continue"/>
            <w:tcBorders>
              <w:top w:val="nil"/>
              <w:left w:val="single" w:color="auto" w:sz="4" w:space="0"/>
              <w:bottom w:val="single" w:color="auto" w:sz="4" w:space="0"/>
              <w:right w:val="single" w:color="auto" w:sz="4" w:space="0"/>
            </w:tcBorders>
            <w:vAlign w:val="center"/>
          </w:tcPr>
          <w:p w14:paraId="35118646">
            <w:pPr>
              <w:widowControl/>
              <w:spacing w:line="240" w:lineRule="auto"/>
              <w:jc w:val="left"/>
              <w:rPr>
                <w:rFonts w:hint="eastAsia" w:asciiTheme="minorEastAsia" w:hAnsiTheme="minorEastAsia" w:eastAsiaTheme="minorEastAsia" w:cstheme="minorEastAsia"/>
                <w:b/>
                <w:bCs/>
                <w:color w:val="auto"/>
                <w:kern w:val="0"/>
                <w:sz w:val="21"/>
                <w:szCs w:val="21"/>
                <w:highlight w:val="none"/>
              </w:rPr>
            </w:pPr>
          </w:p>
        </w:tc>
        <w:tc>
          <w:tcPr>
            <w:tcW w:w="800" w:type="pct"/>
            <w:tcBorders>
              <w:top w:val="nil"/>
              <w:left w:val="nil"/>
              <w:bottom w:val="single" w:color="auto" w:sz="4" w:space="0"/>
              <w:right w:val="single" w:color="auto" w:sz="4" w:space="0"/>
            </w:tcBorders>
            <w:vAlign w:val="center"/>
          </w:tcPr>
          <w:p w14:paraId="591BB7F0">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营业收入（Y）</w:t>
            </w:r>
          </w:p>
        </w:tc>
        <w:tc>
          <w:tcPr>
            <w:tcW w:w="780" w:type="pct"/>
            <w:tcBorders>
              <w:top w:val="nil"/>
              <w:left w:val="nil"/>
              <w:bottom w:val="single" w:color="auto" w:sz="4" w:space="0"/>
              <w:right w:val="single" w:color="auto" w:sz="4" w:space="0"/>
            </w:tcBorders>
            <w:vAlign w:val="center"/>
          </w:tcPr>
          <w:p w14:paraId="57B94C48">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万元</w:t>
            </w:r>
          </w:p>
        </w:tc>
        <w:tc>
          <w:tcPr>
            <w:tcW w:w="937" w:type="pct"/>
            <w:tcBorders>
              <w:top w:val="nil"/>
              <w:left w:val="nil"/>
              <w:bottom w:val="single" w:color="auto" w:sz="4" w:space="0"/>
              <w:right w:val="single" w:color="auto" w:sz="4" w:space="0"/>
            </w:tcBorders>
            <w:vAlign w:val="center"/>
          </w:tcPr>
          <w:p w14:paraId="583E3A53">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1000≤Y</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30000</w:t>
            </w:r>
          </w:p>
        </w:tc>
        <w:tc>
          <w:tcPr>
            <w:tcW w:w="937" w:type="pct"/>
            <w:tcBorders>
              <w:top w:val="nil"/>
              <w:left w:val="nil"/>
              <w:bottom w:val="single" w:color="auto" w:sz="4" w:space="0"/>
              <w:right w:val="single" w:color="auto" w:sz="4" w:space="0"/>
            </w:tcBorders>
            <w:vAlign w:val="center"/>
          </w:tcPr>
          <w:p w14:paraId="4F80169C">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100≤Y</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1000</w:t>
            </w:r>
          </w:p>
        </w:tc>
        <w:tc>
          <w:tcPr>
            <w:tcW w:w="623" w:type="pct"/>
            <w:tcBorders>
              <w:top w:val="nil"/>
              <w:left w:val="nil"/>
              <w:bottom w:val="single" w:color="auto" w:sz="4" w:space="0"/>
              <w:right w:val="single" w:color="auto" w:sz="4" w:space="0"/>
            </w:tcBorders>
            <w:vAlign w:val="center"/>
          </w:tcPr>
          <w:p w14:paraId="3FC17156">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Y</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100</w:t>
            </w:r>
          </w:p>
        </w:tc>
      </w:tr>
      <w:tr w14:paraId="5600BE75">
        <w:tblPrEx>
          <w:tblCellMar>
            <w:top w:w="0" w:type="dxa"/>
            <w:left w:w="108" w:type="dxa"/>
            <w:bottom w:w="0" w:type="dxa"/>
            <w:right w:w="108" w:type="dxa"/>
          </w:tblCellMar>
        </w:tblPrEx>
        <w:trPr>
          <w:trHeight w:val="225" w:hRule="atLeast"/>
        </w:trPr>
        <w:tc>
          <w:tcPr>
            <w:tcW w:w="919" w:type="pct"/>
            <w:vMerge w:val="restart"/>
            <w:tcBorders>
              <w:top w:val="nil"/>
              <w:left w:val="single" w:color="auto" w:sz="4" w:space="0"/>
              <w:bottom w:val="single" w:color="auto" w:sz="4" w:space="0"/>
              <w:right w:val="single" w:color="auto" w:sz="4" w:space="0"/>
            </w:tcBorders>
            <w:vAlign w:val="bottom"/>
          </w:tcPr>
          <w:p w14:paraId="15DEBF1C">
            <w:pPr>
              <w:widowControl/>
              <w:spacing w:line="240" w:lineRule="auto"/>
              <w:jc w:val="center"/>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邮政业</w:t>
            </w:r>
          </w:p>
        </w:tc>
        <w:tc>
          <w:tcPr>
            <w:tcW w:w="800" w:type="pct"/>
            <w:tcBorders>
              <w:top w:val="nil"/>
              <w:left w:val="nil"/>
              <w:bottom w:val="single" w:color="auto" w:sz="4" w:space="0"/>
              <w:right w:val="single" w:color="auto" w:sz="4" w:space="0"/>
            </w:tcBorders>
            <w:vAlign w:val="center"/>
          </w:tcPr>
          <w:p w14:paraId="193007F4">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从业人员（X）</w:t>
            </w:r>
          </w:p>
        </w:tc>
        <w:tc>
          <w:tcPr>
            <w:tcW w:w="780" w:type="pct"/>
            <w:tcBorders>
              <w:top w:val="nil"/>
              <w:left w:val="nil"/>
              <w:bottom w:val="single" w:color="auto" w:sz="4" w:space="0"/>
              <w:right w:val="single" w:color="auto" w:sz="4" w:space="0"/>
            </w:tcBorders>
            <w:vAlign w:val="center"/>
          </w:tcPr>
          <w:p w14:paraId="28BB695C">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人</w:t>
            </w:r>
          </w:p>
        </w:tc>
        <w:tc>
          <w:tcPr>
            <w:tcW w:w="937" w:type="pct"/>
            <w:tcBorders>
              <w:top w:val="nil"/>
              <w:left w:val="nil"/>
              <w:bottom w:val="single" w:color="auto" w:sz="4" w:space="0"/>
              <w:right w:val="single" w:color="auto" w:sz="4" w:space="0"/>
            </w:tcBorders>
            <w:vAlign w:val="center"/>
          </w:tcPr>
          <w:p w14:paraId="13C0137D">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300≤X</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1000</w:t>
            </w:r>
          </w:p>
        </w:tc>
        <w:tc>
          <w:tcPr>
            <w:tcW w:w="937" w:type="pct"/>
            <w:tcBorders>
              <w:top w:val="nil"/>
              <w:left w:val="nil"/>
              <w:bottom w:val="single" w:color="auto" w:sz="4" w:space="0"/>
              <w:right w:val="single" w:color="auto" w:sz="4" w:space="0"/>
            </w:tcBorders>
            <w:vAlign w:val="center"/>
          </w:tcPr>
          <w:p w14:paraId="0D163BF3">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20≤X</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300</w:t>
            </w:r>
          </w:p>
        </w:tc>
        <w:tc>
          <w:tcPr>
            <w:tcW w:w="623" w:type="pct"/>
            <w:tcBorders>
              <w:top w:val="nil"/>
              <w:left w:val="nil"/>
              <w:bottom w:val="single" w:color="auto" w:sz="4" w:space="0"/>
              <w:right w:val="single" w:color="auto" w:sz="4" w:space="0"/>
            </w:tcBorders>
            <w:vAlign w:val="center"/>
          </w:tcPr>
          <w:p w14:paraId="0E404AC3">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X</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20</w:t>
            </w:r>
          </w:p>
        </w:tc>
      </w:tr>
      <w:tr w14:paraId="600470F6">
        <w:tblPrEx>
          <w:tblCellMar>
            <w:top w:w="0" w:type="dxa"/>
            <w:left w:w="108" w:type="dxa"/>
            <w:bottom w:w="0" w:type="dxa"/>
            <w:right w:w="108" w:type="dxa"/>
          </w:tblCellMar>
        </w:tblPrEx>
        <w:trPr>
          <w:trHeight w:val="225" w:hRule="atLeast"/>
        </w:trPr>
        <w:tc>
          <w:tcPr>
            <w:tcW w:w="919" w:type="pct"/>
            <w:vMerge w:val="continue"/>
            <w:tcBorders>
              <w:top w:val="nil"/>
              <w:left w:val="single" w:color="auto" w:sz="4" w:space="0"/>
              <w:bottom w:val="single" w:color="auto" w:sz="4" w:space="0"/>
              <w:right w:val="single" w:color="auto" w:sz="4" w:space="0"/>
            </w:tcBorders>
            <w:vAlign w:val="center"/>
          </w:tcPr>
          <w:p w14:paraId="42D3542C">
            <w:pPr>
              <w:widowControl/>
              <w:spacing w:line="240" w:lineRule="auto"/>
              <w:jc w:val="left"/>
              <w:rPr>
                <w:rFonts w:hint="eastAsia" w:asciiTheme="minorEastAsia" w:hAnsiTheme="minorEastAsia" w:eastAsiaTheme="minorEastAsia" w:cstheme="minorEastAsia"/>
                <w:b/>
                <w:bCs/>
                <w:color w:val="auto"/>
                <w:kern w:val="0"/>
                <w:sz w:val="21"/>
                <w:szCs w:val="21"/>
                <w:highlight w:val="none"/>
              </w:rPr>
            </w:pPr>
          </w:p>
        </w:tc>
        <w:tc>
          <w:tcPr>
            <w:tcW w:w="800" w:type="pct"/>
            <w:tcBorders>
              <w:top w:val="nil"/>
              <w:left w:val="nil"/>
              <w:bottom w:val="single" w:color="auto" w:sz="4" w:space="0"/>
              <w:right w:val="single" w:color="auto" w:sz="4" w:space="0"/>
            </w:tcBorders>
            <w:vAlign w:val="center"/>
          </w:tcPr>
          <w:p w14:paraId="14289273">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营业收入（Y）</w:t>
            </w:r>
          </w:p>
        </w:tc>
        <w:tc>
          <w:tcPr>
            <w:tcW w:w="780" w:type="pct"/>
            <w:tcBorders>
              <w:top w:val="nil"/>
              <w:left w:val="nil"/>
              <w:bottom w:val="single" w:color="auto" w:sz="4" w:space="0"/>
              <w:right w:val="single" w:color="auto" w:sz="4" w:space="0"/>
            </w:tcBorders>
            <w:vAlign w:val="center"/>
          </w:tcPr>
          <w:p w14:paraId="62123826">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万元</w:t>
            </w:r>
          </w:p>
        </w:tc>
        <w:tc>
          <w:tcPr>
            <w:tcW w:w="937" w:type="pct"/>
            <w:tcBorders>
              <w:top w:val="nil"/>
              <w:left w:val="nil"/>
              <w:bottom w:val="single" w:color="auto" w:sz="4" w:space="0"/>
              <w:right w:val="single" w:color="auto" w:sz="4" w:space="0"/>
            </w:tcBorders>
            <w:vAlign w:val="center"/>
          </w:tcPr>
          <w:p w14:paraId="2CB56C3F">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2000≤Y</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30000</w:t>
            </w:r>
          </w:p>
        </w:tc>
        <w:tc>
          <w:tcPr>
            <w:tcW w:w="937" w:type="pct"/>
            <w:tcBorders>
              <w:top w:val="nil"/>
              <w:left w:val="nil"/>
              <w:bottom w:val="single" w:color="auto" w:sz="4" w:space="0"/>
              <w:right w:val="single" w:color="auto" w:sz="4" w:space="0"/>
            </w:tcBorders>
            <w:vAlign w:val="center"/>
          </w:tcPr>
          <w:p w14:paraId="20639FEA">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100≤Y</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2000</w:t>
            </w:r>
          </w:p>
        </w:tc>
        <w:tc>
          <w:tcPr>
            <w:tcW w:w="623" w:type="pct"/>
            <w:tcBorders>
              <w:top w:val="nil"/>
              <w:left w:val="nil"/>
              <w:bottom w:val="single" w:color="auto" w:sz="4" w:space="0"/>
              <w:right w:val="single" w:color="auto" w:sz="4" w:space="0"/>
            </w:tcBorders>
            <w:vAlign w:val="center"/>
          </w:tcPr>
          <w:p w14:paraId="1E7A2F3E">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Y</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100</w:t>
            </w:r>
          </w:p>
        </w:tc>
      </w:tr>
      <w:tr w14:paraId="17F32C9F">
        <w:tblPrEx>
          <w:tblCellMar>
            <w:top w:w="0" w:type="dxa"/>
            <w:left w:w="108" w:type="dxa"/>
            <w:bottom w:w="0" w:type="dxa"/>
            <w:right w:w="108" w:type="dxa"/>
          </w:tblCellMar>
        </w:tblPrEx>
        <w:trPr>
          <w:trHeight w:val="225" w:hRule="atLeast"/>
        </w:trPr>
        <w:tc>
          <w:tcPr>
            <w:tcW w:w="919" w:type="pct"/>
            <w:vMerge w:val="restart"/>
            <w:tcBorders>
              <w:top w:val="nil"/>
              <w:left w:val="single" w:color="auto" w:sz="4" w:space="0"/>
              <w:bottom w:val="single" w:color="auto" w:sz="4" w:space="0"/>
              <w:right w:val="single" w:color="auto" w:sz="4" w:space="0"/>
            </w:tcBorders>
            <w:vAlign w:val="bottom"/>
          </w:tcPr>
          <w:p w14:paraId="08D435C9">
            <w:pPr>
              <w:widowControl/>
              <w:spacing w:line="240" w:lineRule="auto"/>
              <w:jc w:val="center"/>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住宿业</w:t>
            </w:r>
          </w:p>
        </w:tc>
        <w:tc>
          <w:tcPr>
            <w:tcW w:w="800" w:type="pct"/>
            <w:tcBorders>
              <w:top w:val="nil"/>
              <w:left w:val="nil"/>
              <w:bottom w:val="single" w:color="auto" w:sz="4" w:space="0"/>
              <w:right w:val="single" w:color="auto" w:sz="4" w:space="0"/>
            </w:tcBorders>
            <w:vAlign w:val="center"/>
          </w:tcPr>
          <w:p w14:paraId="3464707A">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从业人员（X）</w:t>
            </w:r>
          </w:p>
        </w:tc>
        <w:tc>
          <w:tcPr>
            <w:tcW w:w="780" w:type="pct"/>
            <w:tcBorders>
              <w:top w:val="nil"/>
              <w:left w:val="nil"/>
              <w:bottom w:val="single" w:color="auto" w:sz="4" w:space="0"/>
              <w:right w:val="single" w:color="auto" w:sz="4" w:space="0"/>
            </w:tcBorders>
            <w:vAlign w:val="center"/>
          </w:tcPr>
          <w:p w14:paraId="03AB8AB3">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人</w:t>
            </w:r>
          </w:p>
        </w:tc>
        <w:tc>
          <w:tcPr>
            <w:tcW w:w="937" w:type="pct"/>
            <w:tcBorders>
              <w:top w:val="nil"/>
              <w:left w:val="nil"/>
              <w:bottom w:val="single" w:color="auto" w:sz="4" w:space="0"/>
              <w:right w:val="single" w:color="auto" w:sz="4" w:space="0"/>
            </w:tcBorders>
            <w:vAlign w:val="center"/>
          </w:tcPr>
          <w:p w14:paraId="3DA170E2">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100≤X</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300</w:t>
            </w:r>
          </w:p>
        </w:tc>
        <w:tc>
          <w:tcPr>
            <w:tcW w:w="937" w:type="pct"/>
            <w:tcBorders>
              <w:top w:val="nil"/>
              <w:left w:val="nil"/>
              <w:bottom w:val="single" w:color="auto" w:sz="4" w:space="0"/>
              <w:right w:val="single" w:color="auto" w:sz="4" w:space="0"/>
            </w:tcBorders>
            <w:vAlign w:val="center"/>
          </w:tcPr>
          <w:p w14:paraId="2505C8B2">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10≤X</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100</w:t>
            </w:r>
          </w:p>
        </w:tc>
        <w:tc>
          <w:tcPr>
            <w:tcW w:w="623" w:type="pct"/>
            <w:tcBorders>
              <w:top w:val="nil"/>
              <w:left w:val="nil"/>
              <w:bottom w:val="single" w:color="auto" w:sz="4" w:space="0"/>
              <w:right w:val="single" w:color="auto" w:sz="4" w:space="0"/>
            </w:tcBorders>
            <w:vAlign w:val="center"/>
          </w:tcPr>
          <w:p w14:paraId="3434B7E6">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X</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10</w:t>
            </w:r>
          </w:p>
        </w:tc>
      </w:tr>
      <w:tr w14:paraId="6BE2B4DB">
        <w:tblPrEx>
          <w:tblCellMar>
            <w:top w:w="0" w:type="dxa"/>
            <w:left w:w="108" w:type="dxa"/>
            <w:bottom w:w="0" w:type="dxa"/>
            <w:right w:w="108" w:type="dxa"/>
          </w:tblCellMar>
        </w:tblPrEx>
        <w:trPr>
          <w:trHeight w:val="225" w:hRule="atLeast"/>
        </w:trPr>
        <w:tc>
          <w:tcPr>
            <w:tcW w:w="919" w:type="pct"/>
            <w:vMerge w:val="continue"/>
            <w:tcBorders>
              <w:top w:val="nil"/>
              <w:left w:val="single" w:color="auto" w:sz="4" w:space="0"/>
              <w:bottom w:val="single" w:color="auto" w:sz="4" w:space="0"/>
              <w:right w:val="single" w:color="auto" w:sz="4" w:space="0"/>
            </w:tcBorders>
            <w:vAlign w:val="center"/>
          </w:tcPr>
          <w:p w14:paraId="73A4E52F">
            <w:pPr>
              <w:widowControl/>
              <w:spacing w:line="240" w:lineRule="auto"/>
              <w:jc w:val="left"/>
              <w:rPr>
                <w:rFonts w:hint="eastAsia" w:asciiTheme="minorEastAsia" w:hAnsiTheme="minorEastAsia" w:eastAsiaTheme="minorEastAsia" w:cstheme="minorEastAsia"/>
                <w:b/>
                <w:bCs/>
                <w:color w:val="auto"/>
                <w:kern w:val="0"/>
                <w:sz w:val="21"/>
                <w:szCs w:val="21"/>
                <w:highlight w:val="none"/>
              </w:rPr>
            </w:pPr>
          </w:p>
        </w:tc>
        <w:tc>
          <w:tcPr>
            <w:tcW w:w="800" w:type="pct"/>
            <w:tcBorders>
              <w:top w:val="nil"/>
              <w:left w:val="nil"/>
              <w:bottom w:val="single" w:color="auto" w:sz="4" w:space="0"/>
              <w:right w:val="single" w:color="auto" w:sz="4" w:space="0"/>
            </w:tcBorders>
            <w:vAlign w:val="center"/>
          </w:tcPr>
          <w:p w14:paraId="0F8D6F94">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营业收入（Y）</w:t>
            </w:r>
          </w:p>
        </w:tc>
        <w:tc>
          <w:tcPr>
            <w:tcW w:w="780" w:type="pct"/>
            <w:tcBorders>
              <w:top w:val="nil"/>
              <w:left w:val="nil"/>
              <w:bottom w:val="single" w:color="auto" w:sz="4" w:space="0"/>
              <w:right w:val="single" w:color="auto" w:sz="4" w:space="0"/>
            </w:tcBorders>
            <w:vAlign w:val="center"/>
          </w:tcPr>
          <w:p w14:paraId="26C94BE3">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万元</w:t>
            </w:r>
          </w:p>
        </w:tc>
        <w:tc>
          <w:tcPr>
            <w:tcW w:w="937" w:type="pct"/>
            <w:tcBorders>
              <w:top w:val="nil"/>
              <w:left w:val="nil"/>
              <w:bottom w:val="single" w:color="auto" w:sz="4" w:space="0"/>
              <w:right w:val="single" w:color="auto" w:sz="4" w:space="0"/>
            </w:tcBorders>
            <w:vAlign w:val="center"/>
          </w:tcPr>
          <w:p w14:paraId="49432366">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2000≤Y</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10000</w:t>
            </w:r>
          </w:p>
        </w:tc>
        <w:tc>
          <w:tcPr>
            <w:tcW w:w="937" w:type="pct"/>
            <w:tcBorders>
              <w:top w:val="nil"/>
              <w:left w:val="nil"/>
              <w:bottom w:val="single" w:color="auto" w:sz="4" w:space="0"/>
              <w:right w:val="single" w:color="auto" w:sz="4" w:space="0"/>
            </w:tcBorders>
            <w:vAlign w:val="center"/>
          </w:tcPr>
          <w:p w14:paraId="2CA1C3A9">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100≤Y</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2000</w:t>
            </w:r>
          </w:p>
        </w:tc>
        <w:tc>
          <w:tcPr>
            <w:tcW w:w="623" w:type="pct"/>
            <w:tcBorders>
              <w:top w:val="nil"/>
              <w:left w:val="nil"/>
              <w:bottom w:val="single" w:color="auto" w:sz="4" w:space="0"/>
              <w:right w:val="single" w:color="auto" w:sz="4" w:space="0"/>
            </w:tcBorders>
            <w:vAlign w:val="center"/>
          </w:tcPr>
          <w:p w14:paraId="32F682DE">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Y</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100</w:t>
            </w:r>
          </w:p>
        </w:tc>
      </w:tr>
      <w:tr w14:paraId="71E56CD2">
        <w:tblPrEx>
          <w:tblCellMar>
            <w:top w:w="0" w:type="dxa"/>
            <w:left w:w="108" w:type="dxa"/>
            <w:bottom w:w="0" w:type="dxa"/>
            <w:right w:w="108" w:type="dxa"/>
          </w:tblCellMar>
        </w:tblPrEx>
        <w:trPr>
          <w:trHeight w:val="225" w:hRule="atLeast"/>
        </w:trPr>
        <w:tc>
          <w:tcPr>
            <w:tcW w:w="919" w:type="pct"/>
            <w:vMerge w:val="restart"/>
            <w:tcBorders>
              <w:top w:val="nil"/>
              <w:left w:val="single" w:color="auto" w:sz="4" w:space="0"/>
              <w:bottom w:val="single" w:color="auto" w:sz="4" w:space="0"/>
              <w:right w:val="single" w:color="auto" w:sz="4" w:space="0"/>
            </w:tcBorders>
            <w:vAlign w:val="bottom"/>
          </w:tcPr>
          <w:p w14:paraId="2367F0D3">
            <w:pPr>
              <w:widowControl/>
              <w:spacing w:line="240" w:lineRule="auto"/>
              <w:jc w:val="center"/>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餐饮业</w:t>
            </w:r>
          </w:p>
        </w:tc>
        <w:tc>
          <w:tcPr>
            <w:tcW w:w="800" w:type="pct"/>
            <w:tcBorders>
              <w:top w:val="nil"/>
              <w:left w:val="nil"/>
              <w:bottom w:val="single" w:color="auto" w:sz="4" w:space="0"/>
              <w:right w:val="single" w:color="auto" w:sz="4" w:space="0"/>
            </w:tcBorders>
            <w:vAlign w:val="center"/>
          </w:tcPr>
          <w:p w14:paraId="48B11F43">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从业人员（X）</w:t>
            </w:r>
          </w:p>
        </w:tc>
        <w:tc>
          <w:tcPr>
            <w:tcW w:w="780" w:type="pct"/>
            <w:tcBorders>
              <w:top w:val="nil"/>
              <w:left w:val="nil"/>
              <w:bottom w:val="single" w:color="auto" w:sz="4" w:space="0"/>
              <w:right w:val="single" w:color="auto" w:sz="4" w:space="0"/>
            </w:tcBorders>
            <w:vAlign w:val="center"/>
          </w:tcPr>
          <w:p w14:paraId="2E03DE63">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人</w:t>
            </w:r>
          </w:p>
        </w:tc>
        <w:tc>
          <w:tcPr>
            <w:tcW w:w="937" w:type="pct"/>
            <w:tcBorders>
              <w:top w:val="nil"/>
              <w:left w:val="nil"/>
              <w:bottom w:val="single" w:color="auto" w:sz="4" w:space="0"/>
              <w:right w:val="single" w:color="auto" w:sz="4" w:space="0"/>
            </w:tcBorders>
            <w:vAlign w:val="center"/>
          </w:tcPr>
          <w:p w14:paraId="1B17CEAD">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100≤X</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300</w:t>
            </w:r>
          </w:p>
        </w:tc>
        <w:tc>
          <w:tcPr>
            <w:tcW w:w="937" w:type="pct"/>
            <w:tcBorders>
              <w:top w:val="nil"/>
              <w:left w:val="nil"/>
              <w:bottom w:val="single" w:color="auto" w:sz="4" w:space="0"/>
              <w:right w:val="single" w:color="auto" w:sz="4" w:space="0"/>
            </w:tcBorders>
            <w:vAlign w:val="center"/>
          </w:tcPr>
          <w:p w14:paraId="5DE8945A">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10≤X</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100</w:t>
            </w:r>
          </w:p>
        </w:tc>
        <w:tc>
          <w:tcPr>
            <w:tcW w:w="623" w:type="pct"/>
            <w:tcBorders>
              <w:top w:val="nil"/>
              <w:left w:val="nil"/>
              <w:bottom w:val="single" w:color="auto" w:sz="4" w:space="0"/>
              <w:right w:val="single" w:color="auto" w:sz="4" w:space="0"/>
            </w:tcBorders>
            <w:vAlign w:val="center"/>
          </w:tcPr>
          <w:p w14:paraId="7991554D">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X</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10</w:t>
            </w:r>
          </w:p>
        </w:tc>
      </w:tr>
      <w:tr w14:paraId="2C175935">
        <w:tblPrEx>
          <w:tblCellMar>
            <w:top w:w="0" w:type="dxa"/>
            <w:left w:w="108" w:type="dxa"/>
            <w:bottom w:w="0" w:type="dxa"/>
            <w:right w:w="108" w:type="dxa"/>
          </w:tblCellMar>
        </w:tblPrEx>
        <w:trPr>
          <w:trHeight w:val="225" w:hRule="atLeast"/>
        </w:trPr>
        <w:tc>
          <w:tcPr>
            <w:tcW w:w="919" w:type="pct"/>
            <w:vMerge w:val="continue"/>
            <w:tcBorders>
              <w:top w:val="nil"/>
              <w:left w:val="single" w:color="auto" w:sz="4" w:space="0"/>
              <w:bottom w:val="single" w:color="auto" w:sz="4" w:space="0"/>
              <w:right w:val="single" w:color="auto" w:sz="4" w:space="0"/>
            </w:tcBorders>
            <w:vAlign w:val="center"/>
          </w:tcPr>
          <w:p w14:paraId="311D2FAA">
            <w:pPr>
              <w:widowControl/>
              <w:spacing w:line="240" w:lineRule="auto"/>
              <w:jc w:val="left"/>
              <w:rPr>
                <w:rFonts w:hint="eastAsia" w:asciiTheme="minorEastAsia" w:hAnsiTheme="minorEastAsia" w:eastAsiaTheme="minorEastAsia" w:cstheme="minorEastAsia"/>
                <w:b/>
                <w:bCs/>
                <w:color w:val="auto"/>
                <w:kern w:val="0"/>
                <w:sz w:val="21"/>
                <w:szCs w:val="21"/>
                <w:highlight w:val="none"/>
              </w:rPr>
            </w:pPr>
          </w:p>
        </w:tc>
        <w:tc>
          <w:tcPr>
            <w:tcW w:w="800" w:type="pct"/>
            <w:tcBorders>
              <w:top w:val="nil"/>
              <w:left w:val="nil"/>
              <w:bottom w:val="single" w:color="auto" w:sz="4" w:space="0"/>
              <w:right w:val="single" w:color="auto" w:sz="4" w:space="0"/>
            </w:tcBorders>
            <w:vAlign w:val="center"/>
          </w:tcPr>
          <w:p w14:paraId="59EC072E">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营业收入（Y）</w:t>
            </w:r>
          </w:p>
        </w:tc>
        <w:tc>
          <w:tcPr>
            <w:tcW w:w="780" w:type="pct"/>
            <w:tcBorders>
              <w:top w:val="nil"/>
              <w:left w:val="nil"/>
              <w:bottom w:val="single" w:color="auto" w:sz="4" w:space="0"/>
              <w:right w:val="single" w:color="auto" w:sz="4" w:space="0"/>
            </w:tcBorders>
            <w:vAlign w:val="center"/>
          </w:tcPr>
          <w:p w14:paraId="6F6E3A58">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万元</w:t>
            </w:r>
          </w:p>
        </w:tc>
        <w:tc>
          <w:tcPr>
            <w:tcW w:w="937" w:type="pct"/>
            <w:tcBorders>
              <w:top w:val="nil"/>
              <w:left w:val="nil"/>
              <w:bottom w:val="single" w:color="auto" w:sz="4" w:space="0"/>
              <w:right w:val="single" w:color="auto" w:sz="4" w:space="0"/>
            </w:tcBorders>
            <w:vAlign w:val="center"/>
          </w:tcPr>
          <w:p w14:paraId="43BD7DFC">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2000≤Y</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10000</w:t>
            </w:r>
          </w:p>
        </w:tc>
        <w:tc>
          <w:tcPr>
            <w:tcW w:w="937" w:type="pct"/>
            <w:tcBorders>
              <w:top w:val="nil"/>
              <w:left w:val="nil"/>
              <w:bottom w:val="single" w:color="auto" w:sz="4" w:space="0"/>
              <w:right w:val="single" w:color="auto" w:sz="4" w:space="0"/>
            </w:tcBorders>
            <w:vAlign w:val="center"/>
          </w:tcPr>
          <w:p w14:paraId="6920C5EA">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100≤Y</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2000</w:t>
            </w:r>
          </w:p>
        </w:tc>
        <w:tc>
          <w:tcPr>
            <w:tcW w:w="623" w:type="pct"/>
            <w:tcBorders>
              <w:top w:val="nil"/>
              <w:left w:val="nil"/>
              <w:bottom w:val="single" w:color="auto" w:sz="4" w:space="0"/>
              <w:right w:val="single" w:color="auto" w:sz="4" w:space="0"/>
            </w:tcBorders>
            <w:vAlign w:val="center"/>
          </w:tcPr>
          <w:p w14:paraId="7063AC57">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Y</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100</w:t>
            </w:r>
          </w:p>
        </w:tc>
      </w:tr>
      <w:tr w14:paraId="08833349">
        <w:tblPrEx>
          <w:tblCellMar>
            <w:top w:w="0" w:type="dxa"/>
            <w:left w:w="108" w:type="dxa"/>
            <w:bottom w:w="0" w:type="dxa"/>
            <w:right w:w="108" w:type="dxa"/>
          </w:tblCellMar>
        </w:tblPrEx>
        <w:trPr>
          <w:trHeight w:val="225" w:hRule="atLeast"/>
        </w:trPr>
        <w:tc>
          <w:tcPr>
            <w:tcW w:w="919" w:type="pct"/>
            <w:vMerge w:val="restart"/>
            <w:tcBorders>
              <w:top w:val="nil"/>
              <w:left w:val="single" w:color="auto" w:sz="4" w:space="0"/>
              <w:bottom w:val="single" w:color="auto" w:sz="4" w:space="0"/>
              <w:right w:val="single" w:color="auto" w:sz="4" w:space="0"/>
            </w:tcBorders>
            <w:vAlign w:val="bottom"/>
          </w:tcPr>
          <w:p w14:paraId="7E6FB79D">
            <w:pPr>
              <w:widowControl/>
              <w:spacing w:line="240" w:lineRule="auto"/>
              <w:jc w:val="center"/>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信息传输业</w:t>
            </w:r>
          </w:p>
        </w:tc>
        <w:tc>
          <w:tcPr>
            <w:tcW w:w="800" w:type="pct"/>
            <w:tcBorders>
              <w:top w:val="nil"/>
              <w:left w:val="nil"/>
              <w:bottom w:val="single" w:color="auto" w:sz="4" w:space="0"/>
              <w:right w:val="single" w:color="auto" w:sz="4" w:space="0"/>
            </w:tcBorders>
            <w:vAlign w:val="center"/>
          </w:tcPr>
          <w:p w14:paraId="043E30A4">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从业人员（X）</w:t>
            </w:r>
          </w:p>
        </w:tc>
        <w:tc>
          <w:tcPr>
            <w:tcW w:w="780" w:type="pct"/>
            <w:tcBorders>
              <w:top w:val="nil"/>
              <w:left w:val="nil"/>
              <w:bottom w:val="single" w:color="auto" w:sz="4" w:space="0"/>
              <w:right w:val="single" w:color="auto" w:sz="4" w:space="0"/>
            </w:tcBorders>
            <w:vAlign w:val="center"/>
          </w:tcPr>
          <w:p w14:paraId="107A0CA5">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人</w:t>
            </w:r>
          </w:p>
        </w:tc>
        <w:tc>
          <w:tcPr>
            <w:tcW w:w="937" w:type="pct"/>
            <w:tcBorders>
              <w:top w:val="nil"/>
              <w:left w:val="nil"/>
              <w:bottom w:val="single" w:color="auto" w:sz="4" w:space="0"/>
              <w:right w:val="single" w:color="auto" w:sz="4" w:space="0"/>
            </w:tcBorders>
            <w:vAlign w:val="center"/>
          </w:tcPr>
          <w:p w14:paraId="5CBFC3F4">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100≤X</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2000</w:t>
            </w:r>
          </w:p>
        </w:tc>
        <w:tc>
          <w:tcPr>
            <w:tcW w:w="937" w:type="pct"/>
            <w:tcBorders>
              <w:top w:val="nil"/>
              <w:left w:val="nil"/>
              <w:bottom w:val="single" w:color="auto" w:sz="4" w:space="0"/>
              <w:right w:val="single" w:color="auto" w:sz="4" w:space="0"/>
            </w:tcBorders>
            <w:vAlign w:val="center"/>
          </w:tcPr>
          <w:p w14:paraId="7F932F10">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10≤X</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100</w:t>
            </w:r>
          </w:p>
        </w:tc>
        <w:tc>
          <w:tcPr>
            <w:tcW w:w="623" w:type="pct"/>
            <w:tcBorders>
              <w:top w:val="nil"/>
              <w:left w:val="nil"/>
              <w:bottom w:val="single" w:color="auto" w:sz="4" w:space="0"/>
              <w:right w:val="single" w:color="auto" w:sz="4" w:space="0"/>
            </w:tcBorders>
            <w:vAlign w:val="center"/>
          </w:tcPr>
          <w:p w14:paraId="3F548AE8">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X</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10</w:t>
            </w:r>
          </w:p>
        </w:tc>
      </w:tr>
      <w:tr w14:paraId="58299609">
        <w:tblPrEx>
          <w:tblCellMar>
            <w:top w:w="0" w:type="dxa"/>
            <w:left w:w="108" w:type="dxa"/>
            <w:bottom w:w="0" w:type="dxa"/>
            <w:right w:w="108" w:type="dxa"/>
          </w:tblCellMar>
        </w:tblPrEx>
        <w:trPr>
          <w:trHeight w:val="225" w:hRule="atLeast"/>
        </w:trPr>
        <w:tc>
          <w:tcPr>
            <w:tcW w:w="919" w:type="pct"/>
            <w:vMerge w:val="continue"/>
            <w:tcBorders>
              <w:top w:val="nil"/>
              <w:left w:val="single" w:color="auto" w:sz="4" w:space="0"/>
              <w:bottom w:val="single" w:color="auto" w:sz="4" w:space="0"/>
              <w:right w:val="single" w:color="auto" w:sz="4" w:space="0"/>
            </w:tcBorders>
            <w:vAlign w:val="center"/>
          </w:tcPr>
          <w:p w14:paraId="5CD66558">
            <w:pPr>
              <w:widowControl/>
              <w:spacing w:line="240" w:lineRule="auto"/>
              <w:jc w:val="left"/>
              <w:rPr>
                <w:rFonts w:hint="eastAsia" w:asciiTheme="minorEastAsia" w:hAnsiTheme="minorEastAsia" w:eastAsiaTheme="minorEastAsia" w:cstheme="minorEastAsia"/>
                <w:b/>
                <w:bCs/>
                <w:color w:val="auto"/>
                <w:kern w:val="0"/>
                <w:sz w:val="21"/>
                <w:szCs w:val="21"/>
                <w:highlight w:val="none"/>
              </w:rPr>
            </w:pPr>
          </w:p>
        </w:tc>
        <w:tc>
          <w:tcPr>
            <w:tcW w:w="800" w:type="pct"/>
            <w:tcBorders>
              <w:top w:val="nil"/>
              <w:left w:val="nil"/>
              <w:bottom w:val="single" w:color="auto" w:sz="4" w:space="0"/>
              <w:right w:val="single" w:color="auto" w:sz="4" w:space="0"/>
            </w:tcBorders>
            <w:vAlign w:val="center"/>
          </w:tcPr>
          <w:p w14:paraId="7824E9E2">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营业收入（Y）</w:t>
            </w:r>
          </w:p>
        </w:tc>
        <w:tc>
          <w:tcPr>
            <w:tcW w:w="780" w:type="pct"/>
            <w:tcBorders>
              <w:top w:val="nil"/>
              <w:left w:val="nil"/>
              <w:bottom w:val="single" w:color="auto" w:sz="4" w:space="0"/>
              <w:right w:val="single" w:color="auto" w:sz="4" w:space="0"/>
            </w:tcBorders>
            <w:vAlign w:val="center"/>
          </w:tcPr>
          <w:p w14:paraId="016BFFCF">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万元</w:t>
            </w:r>
          </w:p>
        </w:tc>
        <w:tc>
          <w:tcPr>
            <w:tcW w:w="937" w:type="pct"/>
            <w:tcBorders>
              <w:top w:val="nil"/>
              <w:left w:val="nil"/>
              <w:bottom w:val="single" w:color="auto" w:sz="4" w:space="0"/>
              <w:right w:val="single" w:color="auto" w:sz="4" w:space="0"/>
            </w:tcBorders>
            <w:vAlign w:val="center"/>
          </w:tcPr>
          <w:p w14:paraId="40211F96">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1000≤Y</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100000</w:t>
            </w:r>
          </w:p>
        </w:tc>
        <w:tc>
          <w:tcPr>
            <w:tcW w:w="937" w:type="pct"/>
            <w:tcBorders>
              <w:top w:val="nil"/>
              <w:left w:val="nil"/>
              <w:bottom w:val="single" w:color="auto" w:sz="4" w:space="0"/>
              <w:right w:val="single" w:color="auto" w:sz="4" w:space="0"/>
            </w:tcBorders>
            <w:vAlign w:val="center"/>
          </w:tcPr>
          <w:p w14:paraId="6163CA18">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100≤Y</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1000</w:t>
            </w:r>
          </w:p>
        </w:tc>
        <w:tc>
          <w:tcPr>
            <w:tcW w:w="623" w:type="pct"/>
            <w:tcBorders>
              <w:top w:val="nil"/>
              <w:left w:val="nil"/>
              <w:bottom w:val="single" w:color="auto" w:sz="4" w:space="0"/>
              <w:right w:val="single" w:color="auto" w:sz="4" w:space="0"/>
            </w:tcBorders>
            <w:vAlign w:val="center"/>
          </w:tcPr>
          <w:p w14:paraId="6709D9DF">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Y</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100</w:t>
            </w:r>
          </w:p>
        </w:tc>
      </w:tr>
      <w:tr w14:paraId="0D323658">
        <w:tblPrEx>
          <w:tblCellMar>
            <w:top w:w="0" w:type="dxa"/>
            <w:left w:w="108" w:type="dxa"/>
            <w:bottom w:w="0" w:type="dxa"/>
            <w:right w:w="108" w:type="dxa"/>
          </w:tblCellMar>
        </w:tblPrEx>
        <w:trPr>
          <w:trHeight w:val="225" w:hRule="atLeast"/>
        </w:trPr>
        <w:tc>
          <w:tcPr>
            <w:tcW w:w="919" w:type="pct"/>
            <w:vMerge w:val="restart"/>
            <w:tcBorders>
              <w:top w:val="nil"/>
              <w:left w:val="single" w:color="auto" w:sz="4" w:space="0"/>
              <w:bottom w:val="single" w:color="auto" w:sz="4" w:space="0"/>
              <w:right w:val="single" w:color="auto" w:sz="4" w:space="0"/>
            </w:tcBorders>
            <w:vAlign w:val="bottom"/>
          </w:tcPr>
          <w:p w14:paraId="10D5AB69">
            <w:pPr>
              <w:widowControl/>
              <w:spacing w:line="240" w:lineRule="auto"/>
              <w:jc w:val="center"/>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软件和信息技术服务业</w:t>
            </w:r>
          </w:p>
        </w:tc>
        <w:tc>
          <w:tcPr>
            <w:tcW w:w="800" w:type="pct"/>
            <w:tcBorders>
              <w:top w:val="nil"/>
              <w:left w:val="nil"/>
              <w:bottom w:val="single" w:color="auto" w:sz="4" w:space="0"/>
              <w:right w:val="single" w:color="auto" w:sz="4" w:space="0"/>
            </w:tcBorders>
            <w:vAlign w:val="center"/>
          </w:tcPr>
          <w:p w14:paraId="70795748">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从业人员（X）</w:t>
            </w:r>
          </w:p>
        </w:tc>
        <w:tc>
          <w:tcPr>
            <w:tcW w:w="780" w:type="pct"/>
            <w:tcBorders>
              <w:top w:val="nil"/>
              <w:left w:val="nil"/>
              <w:bottom w:val="single" w:color="auto" w:sz="4" w:space="0"/>
              <w:right w:val="single" w:color="auto" w:sz="4" w:space="0"/>
            </w:tcBorders>
            <w:vAlign w:val="center"/>
          </w:tcPr>
          <w:p w14:paraId="41466285">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人</w:t>
            </w:r>
          </w:p>
        </w:tc>
        <w:tc>
          <w:tcPr>
            <w:tcW w:w="937" w:type="pct"/>
            <w:tcBorders>
              <w:top w:val="nil"/>
              <w:left w:val="nil"/>
              <w:bottom w:val="single" w:color="auto" w:sz="4" w:space="0"/>
              <w:right w:val="single" w:color="auto" w:sz="4" w:space="0"/>
            </w:tcBorders>
            <w:vAlign w:val="center"/>
          </w:tcPr>
          <w:p w14:paraId="278BD7A4">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100≤X</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300</w:t>
            </w:r>
          </w:p>
        </w:tc>
        <w:tc>
          <w:tcPr>
            <w:tcW w:w="937" w:type="pct"/>
            <w:tcBorders>
              <w:top w:val="nil"/>
              <w:left w:val="nil"/>
              <w:bottom w:val="single" w:color="auto" w:sz="4" w:space="0"/>
              <w:right w:val="single" w:color="auto" w:sz="4" w:space="0"/>
            </w:tcBorders>
            <w:vAlign w:val="center"/>
          </w:tcPr>
          <w:p w14:paraId="3047314B">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10≤X</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100</w:t>
            </w:r>
          </w:p>
        </w:tc>
        <w:tc>
          <w:tcPr>
            <w:tcW w:w="623" w:type="pct"/>
            <w:tcBorders>
              <w:top w:val="nil"/>
              <w:left w:val="nil"/>
              <w:bottom w:val="single" w:color="auto" w:sz="4" w:space="0"/>
              <w:right w:val="single" w:color="auto" w:sz="4" w:space="0"/>
            </w:tcBorders>
            <w:vAlign w:val="center"/>
          </w:tcPr>
          <w:p w14:paraId="650ACFFC">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X</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10</w:t>
            </w:r>
          </w:p>
        </w:tc>
      </w:tr>
      <w:tr w14:paraId="7C8B7BD6">
        <w:tblPrEx>
          <w:tblCellMar>
            <w:top w:w="0" w:type="dxa"/>
            <w:left w:w="108" w:type="dxa"/>
            <w:bottom w:w="0" w:type="dxa"/>
            <w:right w:w="108" w:type="dxa"/>
          </w:tblCellMar>
        </w:tblPrEx>
        <w:trPr>
          <w:trHeight w:val="225" w:hRule="atLeast"/>
        </w:trPr>
        <w:tc>
          <w:tcPr>
            <w:tcW w:w="919" w:type="pct"/>
            <w:vMerge w:val="continue"/>
            <w:tcBorders>
              <w:top w:val="nil"/>
              <w:left w:val="single" w:color="auto" w:sz="4" w:space="0"/>
              <w:bottom w:val="single" w:color="auto" w:sz="4" w:space="0"/>
              <w:right w:val="single" w:color="auto" w:sz="4" w:space="0"/>
            </w:tcBorders>
            <w:vAlign w:val="center"/>
          </w:tcPr>
          <w:p w14:paraId="45606365">
            <w:pPr>
              <w:widowControl/>
              <w:spacing w:line="240" w:lineRule="auto"/>
              <w:jc w:val="left"/>
              <w:rPr>
                <w:rFonts w:hint="eastAsia" w:asciiTheme="minorEastAsia" w:hAnsiTheme="minorEastAsia" w:eastAsiaTheme="minorEastAsia" w:cstheme="minorEastAsia"/>
                <w:b/>
                <w:bCs/>
                <w:color w:val="auto"/>
                <w:kern w:val="0"/>
                <w:sz w:val="21"/>
                <w:szCs w:val="21"/>
                <w:highlight w:val="none"/>
              </w:rPr>
            </w:pPr>
          </w:p>
        </w:tc>
        <w:tc>
          <w:tcPr>
            <w:tcW w:w="800" w:type="pct"/>
            <w:tcBorders>
              <w:top w:val="nil"/>
              <w:left w:val="nil"/>
              <w:bottom w:val="single" w:color="auto" w:sz="4" w:space="0"/>
              <w:right w:val="single" w:color="auto" w:sz="4" w:space="0"/>
            </w:tcBorders>
            <w:vAlign w:val="center"/>
          </w:tcPr>
          <w:p w14:paraId="09EA0E85">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营业收入（Y）</w:t>
            </w:r>
          </w:p>
        </w:tc>
        <w:tc>
          <w:tcPr>
            <w:tcW w:w="780" w:type="pct"/>
            <w:tcBorders>
              <w:top w:val="nil"/>
              <w:left w:val="nil"/>
              <w:bottom w:val="single" w:color="auto" w:sz="4" w:space="0"/>
              <w:right w:val="single" w:color="auto" w:sz="4" w:space="0"/>
            </w:tcBorders>
            <w:vAlign w:val="center"/>
          </w:tcPr>
          <w:p w14:paraId="5AA3F3DC">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万元</w:t>
            </w:r>
          </w:p>
        </w:tc>
        <w:tc>
          <w:tcPr>
            <w:tcW w:w="937" w:type="pct"/>
            <w:tcBorders>
              <w:top w:val="nil"/>
              <w:left w:val="nil"/>
              <w:bottom w:val="single" w:color="auto" w:sz="4" w:space="0"/>
              <w:right w:val="single" w:color="auto" w:sz="4" w:space="0"/>
            </w:tcBorders>
            <w:vAlign w:val="center"/>
          </w:tcPr>
          <w:p w14:paraId="0C546D75">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1000≤Y</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10000</w:t>
            </w:r>
          </w:p>
        </w:tc>
        <w:tc>
          <w:tcPr>
            <w:tcW w:w="937" w:type="pct"/>
            <w:tcBorders>
              <w:top w:val="nil"/>
              <w:left w:val="nil"/>
              <w:bottom w:val="single" w:color="auto" w:sz="4" w:space="0"/>
              <w:right w:val="single" w:color="auto" w:sz="4" w:space="0"/>
            </w:tcBorders>
            <w:vAlign w:val="center"/>
          </w:tcPr>
          <w:p w14:paraId="46891FE6">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50≤Y</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1000</w:t>
            </w:r>
          </w:p>
        </w:tc>
        <w:tc>
          <w:tcPr>
            <w:tcW w:w="623" w:type="pct"/>
            <w:tcBorders>
              <w:top w:val="nil"/>
              <w:left w:val="nil"/>
              <w:bottom w:val="single" w:color="auto" w:sz="4" w:space="0"/>
              <w:right w:val="single" w:color="auto" w:sz="4" w:space="0"/>
            </w:tcBorders>
            <w:vAlign w:val="center"/>
          </w:tcPr>
          <w:p w14:paraId="423F17D9">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Y</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50</w:t>
            </w:r>
          </w:p>
        </w:tc>
      </w:tr>
      <w:tr w14:paraId="3481636F">
        <w:tblPrEx>
          <w:tblCellMar>
            <w:top w:w="0" w:type="dxa"/>
            <w:left w:w="108" w:type="dxa"/>
            <w:bottom w:w="0" w:type="dxa"/>
            <w:right w:w="108" w:type="dxa"/>
          </w:tblCellMar>
        </w:tblPrEx>
        <w:trPr>
          <w:trHeight w:val="225" w:hRule="atLeast"/>
        </w:trPr>
        <w:tc>
          <w:tcPr>
            <w:tcW w:w="919" w:type="pct"/>
            <w:vMerge w:val="restart"/>
            <w:tcBorders>
              <w:top w:val="nil"/>
              <w:left w:val="single" w:color="auto" w:sz="4" w:space="0"/>
              <w:bottom w:val="single" w:color="auto" w:sz="4" w:space="0"/>
              <w:right w:val="single" w:color="auto" w:sz="4" w:space="0"/>
            </w:tcBorders>
            <w:vAlign w:val="bottom"/>
          </w:tcPr>
          <w:p w14:paraId="35D479C1">
            <w:pPr>
              <w:widowControl/>
              <w:spacing w:line="240" w:lineRule="auto"/>
              <w:jc w:val="center"/>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房地产开发经营</w:t>
            </w:r>
          </w:p>
        </w:tc>
        <w:tc>
          <w:tcPr>
            <w:tcW w:w="800" w:type="pct"/>
            <w:tcBorders>
              <w:top w:val="nil"/>
              <w:left w:val="nil"/>
              <w:bottom w:val="single" w:color="auto" w:sz="4" w:space="0"/>
              <w:right w:val="single" w:color="auto" w:sz="4" w:space="0"/>
            </w:tcBorders>
            <w:vAlign w:val="center"/>
          </w:tcPr>
          <w:p w14:paraId="1C2F1270">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营业收入（Y）</w:t>
            </w:r>
          </w:p>
        </w:tc>
        <w:tc>
          <w:tcPr>
            <w:tcW w:w="780" w:type="pct"/>
            <w:tcBorders>
              <w:top w:val="nil"/>
              <w:left w:val="nil"/>
              <w:bottom w:val="single" w:color="auto" w:sz="4" w:space="0"/>
              <w:right w:val="single" w:color="auto" w:sz="4" w:space="0"/>
            </w:tcBorders>
            <w:vAlign w:val="center"/>
          </w:tcPr>
          <w:p w14:paraId="344E11B1">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万元</w:t>
            </w:r>
          </w:p>
        </w:tc>
        <w:tc>
          <w:tcPr>
            <w:tcW w:w="937" w:type="pct"/>
            <w:tcBorders>
              <w:top w:val="nil"/>
              <w:left w:val="nil"/>
              <w:bottom w:val="single" w:color="auto" w:sz="4" w:space="0"/>
              <w:right w:val="single" w:color="auto" w:sz="4" w:space="0"/>
            </w:tcBorders>
            <w:vAlign w:val="center"/>
          </w:tcPr>
          <w:p w14:paraId="7B5D0886">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1000≤Y</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200000</w:t>
            </w:r>
          </w:p>
        </w:tc>
        <w:tc>
          <w:tcPr>
            <w:tcW w:w="937" w:type="pct"/>
            <w:tcBorders>
              <w:top w:val="nil"/>
              <w:left w:val="nil"/>
              <w:bottom w:val="single" w:color="auto" w:sz="4" w:space="0"/>
              <w:right w:val="single" w:color="auto" w:sz="4" w:space="0"/>
            </w:tcBorders>
            <w:vAlign w:val="center"/>
          </w:tcPr>
          <w:p w14:paraId="651C228D">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100≤X</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1000</w:t>
            </w:r>
          </w:p>
        </w:tc>
        <w:tc>
          <w:tcPr>
            <w:tcW w:w="623" w:type="pct"/>
            <w:tcBorders>
              <w:top w:val="nil"/>
              <w:left w:val="nil"/>
              <w:bottom w:val="single" w:color="auto" w:sz="4" w:space="0"/>
              <w:right w:val="single" w:color="auto" w:sz="4" w:space="0"/>
            </w:tcBorders>
            <w:vAlign w:val="center"/>
          </w:tcPr>
          <w:p w14:paraId="6B44865E">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X</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100</w:t>
            </w:r>
          </w:p>
        </w:tc>
      </w:tr>
      <w:tr w14:paraId="7E717528">
        <w:tblPrEx>
          <w:tblCellMar>
            <w:top w:w="0" w:type="dxa"/>
            <w:left w:w="108" w:type="dxa"/>
            <w:bottom w:w="0" w:type="dxa"/>
            <w:right w:w="108" w:type="dxa"/>
          </w:tblCellMar>
        </w:tblPrEx>
        <w:trPr>
          <w:trHeight w:val="225" w:hRule="atLeast"/>
        </w:trPr>
        <w:tc>
          <w:tcPr>
            <w:tcW w:w="919" w:type="pct"/>
            <w:vMerge w:val="continue"/>
            <w:tcBorders>
              <w:top w:val="nil"/>
              <w:left w:val="single" w:color="auto" w:sz="4" w:space="0"/>
              <w:bottom w:val="single" w:color="auto" w:sz="4" w:space="0"/>
              <w:right w:val="single" w:color="auto" w:sz="4" w:space="0"/>
            </w:tcBorders>
            <w:vAlign w:val="center"/>
          </w:tcPr>
          <w:p w14:paraId="0AC45F43">
            <w:pPr>
              <w:widowControl/>
              <w:spacing w:line="240" w:lineRule="auto"/>
              <w:jc w:val="left"/>
              <w:rPr>
                <w:rFonts w:hint="eastAsia" w:asciiTheme="minorEastAsia" w:hAnsiTheme="minorEastAsia" w:eastAsiaTheme="minorEastAsia" w:cstheme="minorEastAsia"/>
                <w:b/>
                <w:bCs/>
                <w:color w:val="auto"/>
                <w:kern w:val="0"/>
                <w:sz w:val="21"/>
                <w:szCs w:val="21"/>
                <w:highlight w:val="none"/>
              </w:rPr>
            </w:pPr>
          </w:p>
        </w:tc>
        <w:tc>
          <w:tcPr>
            <w:tcW w:w="800" w:type="pct"/>
            <w:tcBorders>
              <w:top w:val="nil"/>
              <w:left w:val="nil"/>
              <w:bottom w:val="single" w:color="auto" w:sz="4" w:space="0"/>
              <w:right w:val="single" w:color="auto" w:sz="4" w:space="0"/>
            </w:tcBorders>
            <w:vAlign w:val="center"/>
          </w:tcPr>
          <w:p w14:paraId="3122493D">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资产总额（Z）</w:t>
            </w:r>
          </w:p>
        </w:tc>
        <w:tc>
          <w:tcPr>
            <w:tcW w:w="780" w:type="pct"/>
            <w:tcBorders>
              <w:top w:val="nil"/>
              <w:left w:val="nil"/>
              <w:bottom w:val="single" w:color="auto" w:sz="4" w:space="0"/>
              <w:right w:val="single" w:color="auto" w:sz="4" w:space="0"/>
            </w:tcBorders>
            <w:vAlign w:val="center"/>
          </w:tcPr>
          <w:p w14:paraId="6223F93A">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万元</w:t>
            </w:r>
          </w:p>
        </w:tc>
        <w:tc>
          <w:tcPr>
            <w:tcW w:w="937" w:type="pct"/>
            <w:tcBorders>
              <w:top w:val="nil"/>
              <w:left w:val="nil"/>
              <w:bottom w:val="single" w:color="auto" w:sz="4" w:space="0"/>
              <w:right w:val="single" w:color="auto" w:sz="4" w:space="0"/>
            </w:tcBorders>
            <w:vAlign w:val="center"/>
          </w:tcPr>
          <w:p w14:paraId="19589A5C">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5000≤Z</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10000</w:t>
            </w:r>
          </w:p>
        </w:tc>
        <w:tc>
          <w:tcPr>
            <w:tcW w:w="937" w:type="pct"/>
            <w:tcBorders>
              <w:top w:val="nil"/>
              <w:left w:val="nil"/>
              <w:bottom w:val="single" w:color="auto" w:sz="4" w:space="0"/>
              <w:right w:val="single" w:color="auto" w:sz="4" w:space="0"/>
            </w:tcBorders>
            <w:vAlign w:val="center"/>
          </w:tcPr>
          <w:p w14:paraId="646A6E0C">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2000≤Y</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5000</w:t>
            </w:r>
          </w:p>
        </w:tc>
        <w:tc>
          <w:tcPr>
            <w:tcW w:w="623" w:type="pct"/>
            <w:tcBorders>
              <w:top w:val="nil"/>
              <w:left w:val="nil"/>
              <w:bottom w:val="single" w:color="auto" w:sz="4" w:space="0"/>
              <w:right w:val="single" w:color="auto" w:sz="4" w:space="0"/>
            </w:tcBorders>
            <w:vAlign w:val="center"/>
          </w:tcPr>
          <w:p w14:paraId="3AC8EC47">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Y</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2000</w:t>
            </w:r>
          </w:p>
        </w:tc>
      </w:tr>
      <w:tr w14:paraId="363FF2A2">
        <w:tblPrEx>
          <w:tblCellMar>
            <w:top w:w="0" w:type="dxa"/>
            <w:left w:w="108" w:type="dxa"/>
            <w:bottom w:w="0" w:type="dxa"/>
            <w:right w:w="108" w:type="dxa"/>
          </w:tblCellMar>
        </w:tblPrEx>
        <w:trPr>
          <w:trHeight w:val="225" w:hRule="atLeast"/>
        </w:trPr>
        <w:tc>
          <w:tcPr>
            <w:tcW w:w="919" w:type="pct"/>
            <w:vMerge w:val="restart"/>
            <w:tcBorders>
              <w:top w:val="nil"/>
              <w:left w:val="single" w:color="auto" w:sz="4" w:space="0"/>
              <w:bottom w:val="single" w:color="auto" w:sz="4" w:space="0"/>
              <w:right w:val="single" w:color="auto" w:sz="4" w:space="0"/>
            </w:tcBorders>
            <w:vAlign w:val="bottom"/>
          </w:tcPr>
          <w:p w14:paraId="4FBD4175">
            <w:pPr>
              <w:widowControl/>
              <w:spacing w:line="240" w:lineRule="auto"/>
              <w:jc w:val="center"/>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物业管理</w:t>
            </w:r>
          </w:p>
        </w:tc>
        <w:tc>
          <w:tcPr>
            <w:tcW w:w="800" w:type="pct"/>
            <w:tcBorders>
              <w:top w:val="nil"/>
              <w:left w:val="nil"/>
              <w:bottom w:val="single" w:color="auto" w:sz="4" w:space="0"/>
              <w:right w:val="single" w:color="auto" w:sz="4" w:space="0"/>
            </w:tcBorders>
            <w:vAlign w:val="center"/>
          </w:tcPr>
          <w:p w14:paraId="0B7C3510">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从业人员（X）</w:t>
            </w:r>
          </w:p>
        </w:tc>
        <w:tc>
          <w:tcPr>
            <w:tcW w:w="780" w:type="pct"/>
            <w:tcBorders>
              <w:top w:val="nil"/>
              <w:left w:val="nil"/>
              <w:bottom w:val="single" w:color="auto" w:sz="4" w:space="0"/>
              <w:right w:val="single" w:color="auto" w:sz="4" w:space="0"/>
            </w:tcBorders>
            <w:vAlign w:val="center"/>
          </w:tcPr>
          <w:p w14:paraId="63A59D1A">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人</w:t>
            </w:r>
          </w:p>
        </w:tc>
        <w:tc>
          <w:tcPr>
            <w:tcW w:w="937" w:type="pct"/>
            <w:tcBorders>
              <w:top w:val="nil"/>
              <w:left w:val="nil"/>
              <w:bottom w:val="single" w:color="auto" w:sz="4" w:space="0"/>
              <w:right w:val="single" w:color="auto" w:sz="4" w:space="0"/>
            </w:tcBorders>
            <w:vAlign w:val="center"/>
          </w:tcPr>
          <w:p w14:paraId="6F86102A">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300≤X</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1000</w:t>
            </w:r>
          </w:p>
        </w:tc>
        <w:tc>
          <w:tcPr>
            <w:tcW w:w="937" w:type="pct"/>
            <w:tcBorders>
              <w:top w:val="nil"/>
              <w:left w:val="nil"/>
              <w:bottom w:val="single" w:color="auto" w:sz="4" w:space="0"/>
              <w:right w:val="single" w:color="auto" w:sz="4" w:space="0"/>
            </w:tcBorders>
            <w:vAlign w:val="center"/>
          </w:tcPr>
          <w:p w14:paraId="40454039">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100≤X</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300</w:t>
            </w:r>
          </w:p>
        </w:tc>
        <w:tc>
          <w:tcPr>
            <w:tcW w:w="623" w:type="pct"/>
            <w:tcBorders>
              <w:top w:val="nil"/>
              <w:left w:val="nil"/>
              <w:bottom w:val="single" w:color="auto" w:sz="4" w:space="0"/>
              <w:right w:val="single" w:color="auto" w:sz="4" w:space="0"/>
            </w:tcBorders>
            <w:vAlign w:val="center"/>
          </w:tcPr>
          <w:p w14:paraId="025FD206">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X</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100</w:t>
            </w:r>
          </w:p>
        </w:tc>
      </w:tr>
      <w:tr w14:paraId="7740507B">
        <w:tblPrEx>
          <w:tblCellMar>
            <w:top w:w="0" w:type="dxa"/>
            <w:left w:w="108" w:type="dxa"/>
            <w:bottom w:w="0" w:type="dxa"/>
            <w:right w:w="108" w:type="dxa"/>
          </w:tblCellMar>
        </w:tblPrEx>
        <w:trPr>
          <w:trHeight w:val="225" w:hRule="atLeast"/>
        </w:trPr>
        <w:tc>
          <w:tcPr>
            <w:tcW w:w="919" w:type="pct"/>
            <w:vMerge w:val="continue"/>
            <w:tcBorders>
              <w:top w:val="nil"/>
              <w:left w:val="single" w:color="auto" w:sz="4" w:space="0"/>
              <w:bottom w:val="single" w:color="auto" w:sz="4" w:space="0"/>
              <w:right w:val="single" w:color="auto" w:sz="4" w:space="0"/>
            </w:tcBorders>
            <w:vAlign w:val="center"/>
          </w:tcPr>
          <w:p w14:paraId="66896E58">
            <w:pPr>
              <w:widowControl/>
              <w:spacing w:line="240" w:lineRule="auto"/>
              <w:jc w:val="left"/>
              <w:rPr>
                <w:rFonts w:hint="eastAsia" w:asciiTheme="minorEastAsia" w:hAnsiTheme="minorEastAsia" w:eastAsiaTheme="minorEastAsia" w:cstheme="minorEastAsia"/>
                <w:b/>
                <w:bCs/>
                <w:color w:val="auto"/>
                <w:kern w:val="0"/>
                <w:sz w:val="21"/>
                <w:szCs w:val="21"/>
                <w:highlight w:val="none"/>
              </w:rPr>
            </w:pPr>
          </w:p>
        </w:tc>
        <w:tc>
          <w:tcPr>
            <w:tcW w:w="800" w:type="pct"/>
            <w:tcBorders>
              <w:top w:val="nil"/>
              <w:left w:val="nil"/>
              <w:bottom w:val="single" w:color="auto" w:sz="4" w:space="0"/>
              <w:right w:val="single" w:color="auto" w:sz="4" w:space="0"/>
            </w:tcBorders>
            <w:vAlign w:val="center"/>
          </w:tcPr>
          <w:p w14:paraId="520594E5">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营业收入（Y）</w:t>
            </w:r>
          </w:p>
        </w:tc>
        <w:tc>
          <w:tcPr>
            <w:tcW w:w="780" w:type="pct"/>
            <w:tcBorders>
              <w:top w:val="nil"/>
              <w:left w:val="nil"/>
              <w:bottom w:val="single" w:color="auto" w:sz="4" w:space="0"/>
              <w:right w:val="single" w:color="auto" w:sz="4" w:space="0"/>
            </w:tcBorders>
            <w:vAlign w:val="center"/>
          </w:tcPr>
          <w:p w14:paraId="28C9C1B3">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万元</w:t>
            </w:r>
          </w:p>
        </w:tc>
        <w:tc>
          <w:tcPr>
            <w:tcW w:w="937" w:type="pct"/>
            <w:tcBorders>
              <w:top w:val="nil"/>
              <w:left w:val="nil"/>
              <w:bottom w:val="single" w:color="auto" w:sz="4" w:space="0"/>
              <w:right w:val="single" w:color="auto" w:sz="4" w:space="0"/>
            </w:tcBorders>
            <w:vAlign w:val="center"/>
          </w:tcPr>
          <w:p w14:paraId="348B0E8E">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1000≤Y</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5000</w:t>
            </w:r>
          </w:p>
        </w:tc>
        <w:tc>
          <w:tcPr>
            <w:tcW w:w="937" w:type="pct"/>
            <w:tcBorders>
              <w:top w:val="nil"/>
              <w:left w:val="nil"/>
              <w:bottom w:val="single" w:color="auto" w:sz="4" w:space="0"/>
              <w:right w:val="single" w:color="auto" w:sz="4" w:space="0"/>
            </w:tcBorders>
            <w:vAlign w:val="center"/>
          </w:tcPr>
          <w:p w14:paraId="1F6DBF05">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500≤Y</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1000</w:t>
            </w:r>
          </w:p>
        </w:tc>
        <w:tc>
          <w:tcPr>
            <w:tcW w:w="623" w:type="pct"/>
            <w:tcBorders>
              <w:top w:val="nil"/>
              <w:left w:val="nil"/>
              <w:bottom w:val="single" w:color="auto" w:sz="4" w:space="0"/>
              <w:right w:val="single" w:color="auto" w:sz="4" w:space="0"/>
            </w:tcBorders>
            <w:vAlign w:val="center"/>
          </w:tcPr>
          <w:p w14:paraId="14351097">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Y</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500</w:t>
            </w:r>
          </w:p>
        </w:tc>
      </w:tr>
      <w:tr w14:paraId="49B8CC1C">
        <w:tblPrEx>
          <w:tblCellMar>
            <w:top w:w="0" w:type="dxa"/>
            <w:left w:w="108" w:type="dxa"/>
            <w:bottom w:w="0" w:type="dxa"/>
            <w:right w:w="108" w:type="dxa"/>
          </w:tblCellMar>
        </w:tblPrEx>
        <w:trPr>
          <w:trHeight w:val="225" w:hRule="atLeast"/>
        </w:trPr>
        <w:tc>
          <w:tcPr>
            <w:tcW w:w="919" w:type="pct"/>
            <w:vMerge w:val="restart"/>
            <w:tcBorders>
              <w:top w:val="nil"/>
              <w:left w:val="single" w:color="auto" w:sz="4" w:space="0"/>
              <w:bottom w:val="single" w:color="auto" w:sz="4" w:space="0"/>
              <w:right w:val="single" w:color="auto" w:sz="4" w:space="0"/>
            </w:tcBorders>
            <w:vAlign w:val="bottom"/>
          </w:tcPr>
          <w:p w14:paraId="5DB4CFC9">
            <w:pPr>
              <w:widowControl/>
              <w:spacing w:line="240" w:lineRule="auto"/>
              <w:jc w:val="center"/>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租赁和商务服务业</w:t>
            </w:r>
          </w:p>
        </w:tc>
        <w:tc>
          <w:tcPr>
            <w:tcW w:w="800" w:type="pct"/>
            <w:tcBorders>
              <w:top w:val="nil"/>
              <w:left w:val="nil"/>
              <w:bottom w:val="single" w:color="auto" w:sz="4" w:space="0"/>
              <w:right w:val="single" w:color="auto" w:sz="4" w:space="0"/>
            </w:tcBorders>
            <w:vAlign w:val="center"/>
          </w:tcPr>
          <w:p w14:paraId="2E2D0A8A">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从业人员（X）</w:t>
            </w:r>
          </w:p>
        </w:tc>
        <w:tc>
          <w:tcPr>
            <w:tcW w:w="780" w:type="pct"/>
            <w:tcBorders>
              <w:top w:val="nil"/>
              <w:left w:val="nil"/>
              <w:bottom w:val="single" w:color="auto" w:sz="4" w:space="0"/>
              <w:right w:val="single" w:color="auto" w:sz="4" w:space="0"/>
            </w:tcBorders>
            <w:vAlign w:val="center"/>
          </w:tcPr>
          <w:p w14:paraId="51DB0E5E">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人</w:t>
            </w:r>
          </w:p>
        </w:tc>
        <w:tc>
          <w:tcPr>
            <w:tcW w:w="937" w:type="pct"/>
            <w:tcBorders>
              <w:top w:val="nil"/>
              <w:left w:val="nil"/>
              <w:bottom w:val="single" w:color="auto" w:sz="4" w:space="0"/>
              <w:right w:val="single" w:color="auto" w:sz="4" w:space="0"/>
            </w:tcBorders>
            <w:vAlign w:val="center"/>
          </w:tcPr>
          <w:p w14:paraId="55F3192D">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100≤X</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300</w:t>
            </w:r>
          </w:p>
        </w:tc>
        <w:tc>
          <w:tcPr>
            <w:tcW w:w="937" w:type="pct"/>
            <w:tcBorders>
              <w:top w:val="nil"/>
              <w:left w:val="nil"/>
              <w:bottom w:val="single" w:color="auto" w:sz="4" w:space="0"/>
              <w:right w:val="single" w:color="auto" w:sz="4" w:space="0"/>
            </w:tcBorders>
            <w:vAlign w:val="center"/>
          </w:tcPr>
          <w:p w14:paraId="5F0DDA84">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10≤X</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100</w:t>
            </w:r>
          </w:p>
        </w:tc>
        <w:tc>
          <w:tcPr>
            <w:tcW w:w="623" w:type="pct"/>
            <w:tcBorders>
              <w:top w:val="nil"/>
              <w:left w:val="nil"/>
              <w:bottom w:val="single" w:color="auto" w:sz="4" w:space="0"/>
              <w:right w:val="single" w:color="auto" w:sz="4" w:space="0"/>
            </w:tcBorders>
            <w:vAlign w:val="center"/>
          </w:tcPr>
          <w:p w14:paraId="2DF7B87B">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X</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10</w:t>
            </w:r>
          </w:p>
        </w:tc>
      </w:tr>
      <w:tr w14:paraId="4A4B7AC5">
        <w:tblPrEx>
          <w:tblCellMar>
            <w:top w:w="0" w:type="dxa"/>
            <w:left w:w="108" w:type="dxa"/>
            <w:bottom w:w="0" w:type="dxa"/>
            <w:right w:w="108" w:type="dxa"/>
          </w:tblCellMar>
        </w:tblPrEx>
        <w:trPr>
          <w:trHeight w:val="225" w:hRule="atLeast"/>
        </w:trPr>
        <w:tc>
          <w:tcPr>
            <w:tcW w:w="919" w:type="pct"/>
            <w:vMerge w:val="continue"/>
            <w:tcBorders>
              <w:top w:val="nil"/>
              <w:left w:val="single" w:color="auto" w:sz="4" w:space="0"/>
              <w:bottom w:val="single" w:color="auto" w:sz="4" w:space="0"/>
              <w:right w:val="single" w:color="auto" w:sz="4" w:space="0"/>
            </w:tcBorders>
            <w:vAlign w:val="center"/>
          </w:tcPr>
          <w:p w14:paraId="0FE1D550">
            <w:pPr>
              <w:widowControl/>
              <w:spacing w:line="240" w:lineRule="auto"/>
              <w:jc w:val="left"/>
              <w:rPr>
                <w:rFonts w:hint="eastAsia" w:asciiTheme="minorEastAsia" w:hAnsiTheme="minorEastAsia" w:eastAsiaTheme="minorEastAsia" w:cstheme="minorEastAsia"/>
                <w:b/>
                <w:bCs/>
                <w:color w:val="auto"/>
                <w:kern w:val="0"/>
                <w:sz w:val="21"/>
                <w:szCs w:val="21"/>
                <w:highlight w:val="none"/>
              </w:rPr>
            </w:pPr>
          </w:p>
        </w:tc>
        <w:tc>
          <w:tcPr>
            <w:tcW w:w="800" w:type="pct"/>
            <w:tcBorders>
              <w:top w:val="nil"/>
              <w:left w:val="nil"/>
              <w:bottom w:val="single" w:color="auto" w:sz="4" w:space="0"/>
              <w:right w:val="single" w:color="auto" w:sz="4" w:space="0"/>
            </w:tcBorders>
            <w:vAlign w:val="center"/>
          </w:tcPr>
          <w:p w14:paraId="1BCC4B20">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资产总额（Z）</w:t>
            </w:r>
          </w:p>
        </w:tc>
        <w:tc>
          <w:tcPr>
            <w:tcW w:w="780" w:type="pct"/>
            <w:tcBorders>
              <w:top w:val="nil"/>
              <w:left w:val="nil"/>
              <w:bottom w:val="single" w:color="auto" w:sz="4" w:space="0"/>
              <w:right w:val="single" w:color="auto" w:sz="4" w:space="0"/>
            </w:tcBorders>
            <w:vAlign w:val="center"/>
          </w:tcPr>
          <w:p w14:paraId="012E74D0">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万元</w:t>
            </w:r>
          </w:p>
        </w:tc>
        <w:tc>
          <w:tcPr>
            <w:tcW w:w="937" w:type="pct"/>
            <w:tcBorders>
              <w:top w:val="nil"/>
              <w:left w:val="nil"/>
              <w:bottom w:val="single" w:color="auto" w:sz="4" w:space="0"/>
              <w:right w:val="single" w:color="auto" w:sz="4" w:space="0"/>
            </w:tcBorders>
            <w:vAlign w:val="center"/>
          </w:tcPr>
          <w:p w14:paraId="155427E4">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8000≤Z</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120000</w:t>
            </w:r>
          </w:p>
        </w:tc>
        <w:tc>
          <w:tcPr>
            <w:tcW w:w="937" w:type="pct"/>
            <w:tcBorders>
              <w:top w:val="nil"/>
              <w:left w:val="nil"/>
              <w:bottom w:val="single" w:color="auto" w:sz="4" w:space="0"/>
              <w:right w:val="single" w:color="auto" w:sz="4" w:space="0"/>
            </w:tcBorders>
            <w:vAlign w:val="center"/>
          </w:tcPr>
          <w:p w14:paraId="223AF47A">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100≤Z</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8000</w:t>
            </w:r>
          </w:p>
        </w:tc>
        <w:tc>
          <w:tcPr>
            <w:tcW w:w="623" w:type="pct"/>
            <w:tcBorders>
              <w:top w:val="nil"/>
              <w:left w:val="nil"/>
              <w:bottom w:val="single" w:color="auto" w:sz="4" w:space="0"/>
              <w:right w:val="single" w:color="auto" w:sz="4" w:space="0"/>
            </w:tcBorders>
            <w:vAlign w:val="center"/>
          </w:tcPr>
          <w:p w14:paraId="7E77139B">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Y</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100</w:t>
            </w:r>
          </w:p>
        </w:tc>
      </w:tr>
      <w:tr w14:paraId="3E3E06E3">
        <w:tblPrEx>
          <w:tblCellMar>
            <w:top w:w="0" w:type="dxa"/>
            <w:left w:w="108" w:type="dxa"/>
            <w:bottom w:w="0" w:type="dxa"/>
            <w:right w:w="108" w:type="dxa"/>
          </w:tblCellMar>
        </w:tblPrEx>
        <w:trPr>
          <w:trHeight w:val="225" w:hRule="atLeast"/>
        </w:trPr>
        <w:tc>
          <w:tcPr>
            <w:tcW w:w="919" w:type="pct"/>
            <w:tcBorders>
              <w:top w:val="nil"/>
              <w:left w:val="single" w:color="auto" w:sz="4" w:space="0"/>
              <w:bottom w:val="single" w:color="auto" w:sz="4" w:space="0"/>
              <w:right w:val="single" w:color="auto" w:sz="4" w:space="0"/>
            </w:tcBorders>
            <w:vAlign w:val="bottom"/>
          </w:tcPr>
          <w:p w14:paraId="3E2F7938">
            <w:pPr>
              <w:widowControl/>
              <w:spacing w:line="240" w:lineRule="auto"/>
              <w:jc w:val="center"/>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其他未列明行业</w:t>
            </w:r>
          </w:p>
        </w:tc>
        <w:tc>
          <w:tcPr>
            <w:tcW w:w="800" w:type="pct"/>
            <w:tcBorders>
              <w:top w:val="nil"/>
              <w:left w:val="nil"/>
              <w:bottom w:val="single" w:color="auto" w:sz="4" w:space="0"/>
              <w:right w:val="single" w:color="auto" w:sz="4" w:space="0"/>
            </w:tcBorders>
            <w:vAlign w:val="center"/>
          </w:tcPr>
          <w:p w14:paraId="7EDA9245">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从业人员（X）</w:t>
            </w:r>
          </w:p>
        </w:tc>
        <w:tc>
          <w:tcPr>
            <w:tcW w:w="780" w:type="pct"/>
            <w:tcBorders>
              <w:top w:val="nil"/>
              <w:left w:val="nil"/>
              <w:bottom w:val="single" w:color="auto" w:sz="4" w:space="0"/>
              <w:right w:val="single" w:color="auto" w:sz="4" w:space="0"/>
            </w:tcBorders>
            <w:vAlign w:val="center"/>
          </w:tcPr>
          <w:p w14:paraId="13ABC9A0">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人</w:t>
            </w:r>
          </w:p>
        </w:tc>
        <w:tc>
          <w:tcPr>
            <w:tcW w:w="937" w:type="pct"/>
            <w:tcBorders>
              <w:top w:val="nil"/>
              <w:left w:val="nil"/>
              <w:bottom w:val="single" w:color="auto" w:sz="4" w:space="0"/>
              <w:right w:val="single" w:color="auto" w:sz="4" w:space="0"/>
            </w:tcBorders>
            <w:vAlign w:val="center"/>
          </w:tcPr>
          <w:p w14:paraId="0A51AC83">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100≤X</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300</w:t>
            </w:r>
          </w:p>
        </w:tc>
        <w:tc>
          <w:tcPr>
            <w:tcW w:w="937" w:type="pct"/>
            <w:tcBorders>
              <w:top w:val="nil"/>
              <w:left w:val="nil"/>
              <w:bottom w:val="single" w:color="auto" w:sz="4" w:space="0"/>
              <w:right w:val="single" w:color="auto" w:sz="4" w:space="0"/>
            </w:tcBorders>
            <w:vAlign w:val="center"/>
          </w:tcPr>
          <w:p w14:paraId="133D2962">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10≤X</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100</w:t>
            </w:r>
          </w:p>
        </w:tc>
        <w:tc>
          <w:tcPr>
            <w:tcW w:w="623" w:type="pct"/>
            <w:tcBorders>
              <w:top w:val="nil"/>
              <w:left w:val="nil"/>
              <w:bottom w:val="single" w:color="auto" w:sz="4" w:space="0"/>
              <w:right w:val="single" w:color="auto" w:sz="4" w:space="0"/>
            </w:tcBorders>
            <w:vAlign w:val="center"/>
          </w:tcPr>
          <w:p w14:paraId="605C8B40">
            <w:pPr>
              <w:widowControl/>
              <w:spacing w:line="240" w:lineRule="auto"/>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X</w:t>
            </w:r>
            <w:r>
              <w:rPr>
                <w:rFonts w:hint="eastAsia" w:asciiTheme="minorEastAsia" w:hAnsiTheme="minorEastAsia" w:eastAsiaTheme="minorEastAsia" w:cstheme="minorEastAsia"/>
                <w:color w:val="auto"/>
                <w:kern w:val="0"/>
                <w:sz w:val="21"/>
                <w:szCs w:val="21"/>
                <w:highlight w:val="none"/>
                <w:lang w:eastAsia="zh-CN"/>
              </w:rPr>
              <w:t>&lt;</w:t>
            </w:r>
            <w:r>
              <w:rPr>
                <w:rFonts w:hint="eastAsia" w:asciiTheme="minorEastAsia" w:hAnsiTheme="minorEastAsia" w:eastAsiaTheme="minorEastAsia" w:cstheme="minorEastAsia"/>
                <w:color w:val="auto"/>
                <w:kern w:val="0"/>
                <w:sz w:val="21"/>
                <w:szCs w:val="21"/>
                <w:highlight w:val="none"/>
              </w:rPr>
              <w:t>10</w:t>
            </w:r>
          </w:p>
        </w:tc>
      </w:tr>
    </w:tbl>
    <w:p w14:paraId="018C24EC">
      <w:pPr>
        <w:spacing w:line="240" w:lineRule="auto"/>
        <w:ind w:firstLine="525" w:firstLineChars="2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说明：上述标准参照《关于印发中小企业划型标准规定的通知》（工信部联企业</w:t>
      </w:r>
      <w:r>
        <w:rPr>
          <w:rFonts w:hint="eastAsia" w:asciiTheme="minorEastAsia" w:hAnsiTheme="minorEastAsia" w:eastAsiaTheme="minorEastAsia" w:cstheme="minorEastAsia"/>
          <w:color w:val="auto"/>
          <w:szCs w:val="21"/>
          <w:highlight w:val="none"/>
          <w:lang w:eastAsia="zh-CN"/>
        </w:rPr>
        <w:t>〔2011〕300号</w:t>
      </w:r>
      <w:r>
        <w:rPr>
          <w:rFonts w:hint="eastAsia" w:asciiTheme="minorEastAsia" w:hAnsiTheme="minorEastAsia" w:eastAsiaTheme="minorEastAsia" w:cstheme="minorEastAsia"/>
          <w:color w:val="auto"/>
          <w:szCs w:val="21"/>
          <w:highlight w:val="none"/>
        </w:rPr>
        <w:t>），大型、中型和小型企业须同时满足所列指标的下限，否则下划一档；微型企业只须满足所列指标中的一项即可。</w:t>
      </w:r>
    </w:p>
    <w:p w14:paraId="650BD5F5">
      <w:pPr>
        <w:pStyle w:val="29"/>
        <w:jc w:val="center"/>
        <w:outlineLvl w:val="0"/>
        <w:rPr>
          <w:rFonts w:hint="eastAsia" w:asciiTheme="minorEastAsia" w:hAnsiTheme="minorEastAsia" w:eastAsiaTheme="minorEastAsia" w:cstheme="minorEastAsia"/>
          <w:color w:val="auto"/>
          <w:highlight w:val="none"/>
        </w:rPr>
        <w:sectPr>
          <w:headerReference r:id="rId7" w:type="default"/>
          <w:footerReference r:id="rId8" w:type="default"/>
          <w:pgSz w:w="11906" w:h="16838"/>
          <w:pgMar w:top="1134" w:right="1418" w:bottom="1134" w:left="1418" w:header="720" w:footer="720" w:gutter="0"/>
          <w:pgNumType w:start="1"/>
          <w:cols w:space="720" w:num="1"/>
          <w:docGrid w:type="lines" w:linePitch="331" w:charSpace="0"/>
        </w:sectPr>
      </w:pPr>
    </w:p>
    <w:p w14:paraId="06CB0A27">
      <w:pPr>
        <w:pStyle w:val="2"/>
        <w:spacing w:after="340" w:line="360" w:lineRule="auto"/>
        <w:jc w:val="center"/>
        <w:rPr>
          <w:color w:val="auto"/>
          <w:highlight w:val="none"/>
        </w:rPr>
      </w:pPr>
      <w:bookmarkStart w:id="67" w:name="_Toc185869571"/>
      <w:r>
        <w:rPr>
          <w:rFonts w:hint="eastAsia"/>
          <w:color w:val="auto"/>
          <w:highlight w:val="none"/>
        </w:rPr>
        <w:t>第四章  评审程序、评审方法和评审标准</w:t>
      </w:r>
      <w:bookmarkEnd w:id="67"/>
    </w:p>
    <w:p w14:paraId="43B73312">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一、评审程序和评审方法</w:t>
      </w:r>
    </w:p>
    <w:p w14:paraId="4A7014F4">
      <w:pPr>
        <w:spacing w:line="360" w:lineRule="auto"/>
        <w:ind w:firstLine="354" w:firstLineChars="147"/>
        <w:jc w:val="left"/>
        <w:rPr>
          <w:rFonts w:ascii="黑体" w:hAnsi="黑体" w:eastAsia="黑体" w:cs="宋体"/>
          <w:b/>
          <w:bCs/>
          <w:color w:val="auto"/>
          <w:sz w:val="24"/>
          <w:highlight w:val="none"/>
        </w:rPr>
      </w:pPr>
      <w:r>
        <w:rPr>
          <w:rFonts w:ascii="黑体" w:hAnsi="黑体" w:eastAsia="黑体" w:cs="宋体"/>
          <w:b/>
          <w:bCs/>
          <w:color w:val="auto"/>
          <w:sz w:val="24"/>
          <w:highlight w:val="none"/>
        </w:rPr>
        <w:t>1</w:t>
      </w:r>
      <w:r>
        <w:rPr>
          <w:rFonts w:hint="eastAsia" w:ascii="黑体" w:hAnsi="黑体" w:eastAsia="黑体" w:cs="宋体"/>
          <w:b/>
          <w:bCs/>
          <w:color w:val="auto"/>
          <w:sz w:val="24"/>
          <w:highlight w:val="none"/>
        </w:rPr>
        <w:t>.资格审查</w:t>
      </w:r>
    </w:p>
    <w:p w14:paraId="7D913BA3">
      <w:pPr>
        <w:snapToGrid w:val="0"/>
        <w:spacing w:line="360" w:lineRule="auto"/>
        <w:ind w:firstLine="420" w:firstLineChars="200"/>
        <w:rPr>
          <w:rFonts w:ascii="宋体" w:hAnsi="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.1</w:t>
      </w:r>
      <w:r>
        <w:rPr>
          <w:rFonts w:hint="eastAsia" w:ascii="宋体" w:hAnsi="宋体"/>
          <w:color w:val="auto"/>
          <w:szCs w:val="21"/>
          <w:highlight w:val="none"/>
        </w:rPr>
        <w:t>响应文件开启后，磋商小组依法对供应商的资格证明文件进行审查。</w:t>
      </w:r>
    </w:p>
    <w:p w14:paraId="45FAF3FC">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注：</w:t>
      </w:r>
      <w:r>
        <w:rPr>
          <w:rFonts w:hint="eastAsia"/>
          <w:color w:val="auto"/>
          <w:highlight w:val="none"/>
        </w:rPr>
        <w:t>磋商小组</w:t>
      </w:r>
      <w:r>
        <w:rPr>
          <w:rFonts w:hint="eastAsia" w:ascii="宋体" w:hAnsi="宋体" w:cs="宋体"/>
          <w:color w:val="auto"/>
          <w:szCs w:val="21"/>
          <w:highlight w:val="none"/>
        </w:rPr>
        <w:t>在资格审查结束前，对供应商进行信用查询。</w:t>
      </w:r>
    </w:p>
    <w:p w14:paraId="76FEFE4A">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（1）查询渠道：广西政府采购云平台“信用中国”网站（www.creditchina.gov.cn）、中国政府采购网（www.ccgp.gov.cn）链接入口。</w:t>
      </w:r>
    </w:p>
    <w:p w14:paraId="0BECF23C">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5AF46E86">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（3）查询记录和证据留存方式：在查询网站中直接查询，截图另存为电子文档作为评审资料保存。</w:t>
      </w:r>
    </w:p>
    <w:p w14:paraId="62FA8CA4">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w:t>
      </w: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r>
        <w:rPr>
          <w:rFonts w:hint="eastAsia" w:ascii="宋体" w:hAnsi="宋体" w:cs="宋体"/>
          <w:color w:val="auto"/>
          <w:szCs w:val="21"/>
          <w:highlight w:val="none"/>
        </w:rPr>
        <w:t>。</w:t>
      </w:r>
    </w:p>
    <w:p w14:paraId="5467748C">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.2资格审查标准为本磋商文件中载明对供应商资格要求的条件。资格审查采用合格制，凡符合磋商文件规定的供应商资格要求的响应文件均通过资格审查。</w:t>
      </w:r>
    </w:p>
    <w:p w14:paraId="07486A91">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.3供应商有下列情形之一的，资格审查不通过，其响应文件按无效处理：</w:t>
      </w:r>
    </w:p>
    <w:p w14:paraId="4C447DB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1</w:t>
      </w:r>
      <w:r>
        <w:rPr>
          <w:rFonts w:hint="eastAsia" w:ascii="宋体" w:hAnsi="宋体" w:cs="宋体"/>
          <w:color w:val="auto"/>
          <w:szCs w:val="21"/>
          <w:highlight w:val="none"/>
        </w:rPr>
        <w:t>）不具备磋商文件中规定的资格要求的；</w:t>
      </w:r>
    </w:p>
    <w:p w14:paraId="7BEE0B4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（2）未按磋商文件规定的方式获取本磋商文件的供应商；</w:t>
      </w:r>
    </w:p>
    <w:p w14:paraId="55B04C0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）响应文件的资格证明文件缺少任一项“供应商须知前附表”资格证明文件规定的“必须提供”的文件资料的；</w:t>
      </w:r>
    </w:p>
    <w:p w14:paraId="69131D0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4</w:t>
      </w:r>
      <w:r>
        <w:rPr>
          <w:rFonts w:hint="eastAsia" w:ascii="宋体" w:hAnsi="宋体" w:cs="宋体"/>
          <w:color w:val="auto"/>
          <w:szCs w:val="21"/>
          <w:highlight w:val="none"/>
        </w:rPr>
        <w:t>）响应文件中的资格证明文件出现任一项不符合“供应商须知前附表”资格证明文件规定的“必须提供”的文件资料要求或者无效的；</w:t>
      </w:r>
    </w:p>
    <w:p w14:paraId="4DA192F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）同一合同项下的不同供应商，单位负责人为同一人或者存在直接控股、管理关系的；为本项目提供过整体设计、规范编制或者项目管理、监理、检测等服务的供应商，再参加该采购项目的其他采购活动的。</w:t>
      </w:r>
    </w:p>
    <w:p w14:paraId="795C2F75">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.4通过资格审查的合格供应商不足3家的，不得进入符合性审查环节，</w:t>
      </w:r>
      <w:r>
        <w:rPr>
          <w:rFonts w:hint="eastAsia" w:ascii="宋体" w:hAnsi="宋体"/>
          <w:color w:val="auto"/>
          <w:szCs w:val="21"/>
          <w:highlight w:val="none"/>
        </w:rPr>
        <w:t>应当重新开展采购活动。</w:t>
      </w:r>
    </w:p>
    <w:p w14:paraId="12374BD2">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w:t>
      </w:r>
      <w:r>
        <w:rPr>
          <w:rFonts w:hint="eastAsia" w:ascii="黑体" w:hAnsi="黑体" w:eastAsia="黑体" w:cs="宋体"/>
          <w:b/>
          <w:bCs/>
          <w:color w:val="auto"/>
          <w:sz w:val="24"/>
          <w:highlight w:val="none"/>
        </w:rPr>
        <w:t>.符合性审查</w:t>
      </w:r>
    </w:p>
    <w:p w14:paraId="184043F1">
      <w:pPr>
        <w:spacing w:line="360" w:lineRule="auto"/>
        <w:ind w:firstLine="420" w:firstLineChars="200"/>
        <w:rPr>
          <w:rFonts w:ascii="宋体" w:hAnsi="宋体" w:cs="宋体"/>
          <w:color w:val="auto"/>
          <w:szCs w:val="21"/>
          <w:highlight w:val="none"/>
        </w:rPr>
      </w:pPr>
      <w:bookmarkStart w:id="68" w:name="_Hlk42528882"/>
      <w:r>
        <w:rPr>
          <w:rFonts w:ascii="宋体" w:hAnsi="宋体" w:cs="宋体"/>
          <w:color w:val="auto"/>
          <w:szCs w:val="21"/>
          <w:highlight w:val="none"/>
        </w:rPr>
        <w:t>2.1</w:t>
      </w:r>
      <w:r>
        <w:rPr>
          <w:rFonts w:hint="eastAsia" w:ascii="宋体" w:hAnsi="宋体" w:cs="宋体"/>
          <w:color w:val="auto"/>
          <w:szCs w:val="21"/>
          <w:highlight w:val="none"/>
        </w:rPr>
        <w:t>磋商小组对</w:t>
      </w:r>
      <w:r>
        <w:rPr>
          <w:rFonts w:hint="eastAsia" w:ascii="宋体" w:hAnsi="宋体"/>
          <w:color w:val="auto"/>
          <w:szCs w:val="21"/>
          <w:highlight w:val="none"/>
        </w:rPr>
        <w:t>通过资格审查的合格供应商</w:t>
      </w:r>
      <w:r>
        <w:rPr>
          <w:rFonts w:hint="eastAsia" w:ascii="宋体" w:hAnsi="宋体" w:cs="宋体"/>
          <w:color w:val="auto"/>
          <w:szCs w:val="21"/>
          <w:highlight w:val="none"/>
        </w:rPr>
        <w:t>的响应文件的竞标报价、商务、技术等实质性要求进行符合性审查，以确定其是否满足磋商文件的实质性要求。</w:t>
      </w:r>
    </w:p>
    <w:bookmarkEnd w:id="68"/>
    <w:p w14:paraId="529FC9B1">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2.2</w:t>
      </w:r>
      <w:r>
        <w:rPr>
          <w:rFonts w:hint="eastAsia" w:ascii="宋体" w:hAnsi="宋体" w:cs="宋体"/>
          <w:color w:val="auto"/>
          <w:szCs w:val="21"/>
          <w:highlight w:val="none"/>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F917FDC">
      <w:pPr>
        <w:spacing w:line="360" w:lineRule="auto"/>
        <w:ind w:firstLine="420" w:firstLineChars="200"/>
        <w:rPr>
          <w:rFonts w:ascii="宋体" w:hAnsi="宋体" w:cs="宋体"/>
          <w:color w:val="auto"/>
          <w:spacing w:val="-6"/>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磋商小组要求供应商澄清、说明或者更正响应文件应当以电子澄清函形式作出。供应商的澄清、说明或者更正应当</w:t>
      </w:r>
      <w:r>
        <w:rPr>
          <w:rFonts w:hint="eastAsia" w:ascii="宋体" w:hAnsi="宋体" w:cs="宋体"/>
          <w:color w:val="auto"/>
          <w:szCs w:val="21"/>
          <w:highlight w:val="none"/>
          <w:lang w:eastAsia="zh-CN"/>
        </w:rPr>
        <w:t>以</w:t>
      </w:r>
      <w:r>
        <w:rPr>
          <w:rFonts w:hint="eastAsia" w:ascii="宋体" w:hAnsi="宋体" w:cs="宋体"/>
          <w:color w:val="auto"/>
          <w:szCs w:val="21"/>
          <w:highlight w:val="none"/>
        </w:rPr>
        <w:t>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w:t>
      </w:r>
      <w:r>
        <w:rPr>
          <w:rFonts w:hint="eastAsia" w:hAnsi="宋体"/>
          <w:color w:val="auto"/>
          <w:highlight w:val="none"/>
        </w:rPr>
        <w:t>签章</w:t>
      </w:r>
      <w:r>
        <w:rPr>
          <w:rFonts w:hint="eastAsia" w:ascii="宋体" w:hAnsi="宋体" w:cs="宋体"/>
          <w:color w:val="auto"/>
          <w:spacing w:val="-6"/>
          <w:szCs w:val="21"/>
          <w:highlight w:val="none"/>
        </w:rPr>
        <w:t>。</w:t>
      </w:r>
    </w:p>
    <w:p w14:paraId="445C41AD">
      <w:pPr>
        <w:spacing w:line="360" w:lineRule="auto"/>
        <w:ind w:firstLine="420" w:firstLineChars="200"/>
        <w:rPr>
          <w:rFonts w:ascii="宋体" w:hAnsi="宋体" w:cs="宋体"/>
          <w:color w:val="auto"/>
          <w:spacing w:val="-6"/>
          <w:szCs w:val="21"/>
          <w:highlight w:val="none"/>
        </w:rPr>
      </w:pPr>
      <w:r>
        <w:rPr>
          <w:rFonts w:hint="eastAsia" w:ascii="宋体" w:hAnsi="宋体" w:cs="Courier New"/>
          <w:color w:val="auto"/>
          <w:szCs w:val="21"/>
          <w:highlight w:val="none"/>
        </w:rPr>
        <w:t>异常情况处理：如遇无法正常使用线上发送澄清函的情况，将启动书面形式办理。启动书面形式办理的情况下，磋商小组以书面形式要求供应商在规定时间内作出必要的澄清、说明或者补正。供应商的澄清、说明或者补正必须采用书面形式，并加盖公章，或者由法定代表人或者其授权的代表签字。</w:t>
      </w:r>
    </w:p>
    <w:p w14:paraId="55EF25B8">
      <w:pPr>
        <w:spacing w:line="360" w:lineRule="auto"/>
        <w:ind w:firstLine="396" w:firstLineChars="200"/>
        <w:rPr>
          <w:rFonts w:ascii="宋体" w:hAnsi="宋体" w:cs="宋体"/>
          <w:color w:val="auto"/>
          <w:szCs w:val="21"/>
          <w:highlight w:val="none"/>
        </w:rPr>
      </w:pPr>
      <w:r>
        <w:rPr>
          <w:rFonts w:ascii="宋体" w:hAnsi="宋体" w:cs="宋体"/>
          <w:color w:val="auto"/>
          <w:spacing w:val="-6"/>
          <w:szCs w:val="21"/>
          <w:highlight w:val="none"/>
        </w:rPr>
        <w:t>2.4</w:t>
      </w:r>
      <w:r>
        <w:rPr>
          <w:rFonts w:hint="eastAsia" w:ascii="宋体" w:hAnsi="宋体" w:cs="宋体"/>
          <w:color w:val="auto"/>
          <w:szCs w:val="21"/>
          <w:highlight w:val="none"/>
        </w:rPr>
        <w:t xml:space="preserve">首次响应文件报价出现前后不一致的，按照下列规定修正： </w:t>
      </w:r>
    </w:p>
    <w:p w14:paraId="055302F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14:paraId="53F06ED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5C531AC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17D4A1A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412CA07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同时出现两种以上不一致的，按照以上（1）</w:t>
      </w:r>
      <w:r>
        <w:rPr>
          <w:rFonts w:hint="eastAsia" w:ascii="宋体" w:hAnsi="宋体" w:cs="宋体"/>
          <w:color w:val="auto"/>
          <w:szCs w:val="21"/>
          <w:highlight w:val="none"/>
          <w:lang w:eastAsia="zh-CN"/>
        </w:rPr>
        <w:t>－</w:t>
      </w:r>
      <w:r>
        <w:rPr>
          <w:rFonts w:hint="eastAsia" w:ascii="宋体" w:hAnsi="宋体" w:cs="宋体"/>
          <w:color w:val="auto"/>
          <w:szCs w:val="21"/>
          <w:highlight w:val="none"/>
        </w:rPr>
        <w:t>（4）规定的顺序逐条进行修正。修正后的报价经供应商确认后产生约束力，供应商不确认的，其响应文件按无效处理。</w:t>
      </w:r>
    </w:p>
    <w:p w14:paraId="46D8483E">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商务技术报价评审</w:t>
      </w:r>
    </w:p>
    <w:p w14:paraId="3D8AF03B">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在评审时，如发现下列情形之一的，将被视为响应文件无效处理：</w:t>
      </w:r>
    </w:p>
    <w:p w14:paraId="399C7D28">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（1）商务技术评审</w:t>
      </w:r>
    </w:p>
    <w:p w14:paraId="59ADC728">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1）响应文件未按磋商文件要求签署、盖章的；</w:t>
      </w:r>
    </w:p>
    <w:p w14:paraId="3150A1E6">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 xml:space="preserve">2）委托代理人未能出具有效身份证或者出具的身份证与授权委托书中的信息不符的； </w:t>
      </w:r>
    </w:p>
    <w:p w14:paraId="6BC5B72E">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3）提交的磋商保证金无效的或者未按照磋商文件的规定提交磋商保证金的；</w:t>
      </w:r>
    </w:p>
    <w:p w14:paraId="18E99437">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4）响应文件未提供任一项“供应商须知前附表”商务技术文件中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“必须提供”或者“委托时必须提供”文件资料要求的规定或者提供的商务技术文件无效的。</w:t>
      </w:r>
    </w:p>
    <w:p w14:paraId="1DFE3F30">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5）商务要求允许负偏离的条款数超过“供应商须知前附表”规定项数的；</w:t>
      </w:r>
    </w:p>
    <w:p w14:paraId="70C0F963">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6）未对竞标有效期作出响应或者响应文件承诺的竞标有效期不满足磋商文件要求的；</w:t>
      </w:r>
    </w:p>
    <w:p w14:paraId="4C7E0BB7">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7）响应文件的实质性内容未使用中文表述、使用计量单位不符合磋商文件要求的；</w:t>
      </w:r>
    </w:p>
    <w:p w14:paraId="49A2C86C">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8）响应文件中的文件资料因填写不齐全或者内容虚假或者出现其他情形而导致被磋商小组认定无效的；</w:t>
      </w:r>
    </w:p>
    <w:p w14:paraId="7320B1EA">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9）响应文件含有采购人不能接受的附加条件的；</w:t>
      </w:r>
    </w:p>
    <w:p w14:paraId="22503CDF">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10）属于“供应商须知正文”第7.</w:t>
      </w:r>
      <w:r>
        <w:rPr>
          <w:rFonts w:ascii="宋体" w:hAnsi="宋体" w:cs="宋体"/>
          <w:b/>
          <w:color w:val="auto"/>
          <w:szCs w:val="21"/>
          <w:highlight w:val="none"/>
        </w:rPr>
        <w:t>5</w:t>
      </w:r>
      <w:r>
        <w:rPr>
          <w:rFonts w:hint="eastAsia" w:ascii="宋体" w:hAnsi="宋体" w:cs="宋体"/>
          <w:b/>
          <w:color w:val="auto"/>
          <w:szCs w:val="21"/>
          <w:highlight w:val="none"/>
        </w:rPr>
        <w:t>条供应商相互串通竞标情形的；</w:t>
      </w:r>
    </w:p>
    <w:p w14:paraId="2CE86802">
      <w:pPr>
        <w:spacing w:line="360" w:lineRule="auto"/>
        <w:ind w:firstLine="422" w:firstLineChars="200"/>
        <w:rPr>
          <w:rFonts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1）技术要求允许负偏离的条款数超过“供应商须知前附表”规定项数的；</w:t>
      </w:r>
    </w:p>
    <w:p w14:paraId="4A89FF64">
      <w:pPr>
        <w:spacing w:line="360" w:lineRule="auto"/>
        <w:ind w:firstLine="422" w:firstLineChars="200"/>
        <w:rPr>
          <w:rFonts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2）虚假竞标，或者出现其他情形而导致被磋商小组认定无效的；</w:t>
      </w:r>
    </w:p>
    <w:p w14:paraId="58DC55DE">
      <w:pPr>
        <w:spacing w:line="360" w:lineRule="auto"/>
        <w:ind w:firstLine="422" w:firstLineChars="200"/>
        <w:rPr>
          <w:rFonts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3）</w:t>
      </w:r>
      <w:bookmarkStart w:id="69" w:name="_Hlk71704147"/>
      <w:r>
        <w:rPr>
          <w:rFonts w:hint="eastAsia" w:ascii="宋体" w:hAnsi="宋体" w:cs="宋体"/>
          <w:b/>
          <w:color w:val="auto"/>
          <w:szCs w:val="21"/>
          <w:highlight w:val="none"/>
        </w:rPr>
        <w:t>磋商文件未载明允许提供备选（替代）竞标方案或明确不允许提供备选（替代）竞标方案时，供应商提供了备选（替代）竞标方案的；</w:t>
      </w:r>
      <w:bookmarkEnd w:id="69"/>
    </w:p>
    <w:p w14:paraId="47781EFF">
      <w:pPr>
        <w:spacing w:line="360" w:lineRule="auto"/>
        <w:ind w:firstLine="422" w:firstLineChars="200"/>
        <w:rPr>
          <w:rFonts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4）响应文件标注的项目名称或者项目编号与磋商文件标注的项目名称或者项目编号不一致的；</w:t>
      </w:r>
    </w:p>
    <w:p w14:paraId="56EE3193">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15）</w:t>
      </w:r>
      <w:r>
        <w:rPr>
          <w:rFonts w:hint="eastAsia" w:ascii="宋体" w:hAnsi="宋体"/>
          <w:b/>
          <w:color w:val="auto"/>
          <w:szCs w:val="21"/>
          <w:highlight w:val="none"/>
        </w:rPr>
        <w:t>竞争性磋商文件明确不允许分包，响应文件拟分包的；</w:t>
      </w:r>
    </w:p>
    <w:p w14:paraId="408F7F84">
      <w:pPr>
        <w:spacing w:line="360" w:lineRule="auto"/>
        <w:ind w:firstLine="422" w:firstLineChars="200"/>
        <w:rPr>
          <w:rFonts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6）未响应磋商文件实质性要求的；</w:t>
      </w:r>
    </w:p>
    <w:p w14:paraId="3A68314D">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17）</w:t>
      </w:r>
      <w:r>
        <w:rPr>
          <w:rFonts w:hint="eastAsia" w:ascii="宋体" w:hAnsi="宋体" w:cs="宋体"/>
          <w:b/>
          <w:color w:val="auto"/>
          <w:szCs w:val="21"/>
          <w:highlight w:val="none"/>
          <w:lang w:eastAsia="zh-CN"/>
        </w:rPr>
        <w:t>法律法规</w:t>
      </w:r>
      <w:r>
        <w:rPr>
          <w:rFonts w:hint="eastAsia" w:ascii="宋体" w:hAnsi="宋体" w:cs="宋体"/>
          <w:b/>
          <w:color w:val="auto"/>
          <w:szCs w:val="21"/>
          <w:highlight w:val="none"/>
        </w:rPr>
        <w:t>和磋商文件规定的其他无效情形。</w:t>
      </w:r>
    </w:p>
    <w:p w14:paraId="2854D594">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w:t>
      </w:r>
      <w:r>
        <w:rPr>
          <w:rFonts w:ascii="宋体" w:hAnsi="宋体" w:cs="宋体"/>
          <w:b/>
          <w:color w:val="auto"/>
          <w:szCs w:val="21"/>
          <w:highlight w:val="none"/>
        </w:rPr>
        <w:t>2</w:t>
      </w:r>
      <w:r>
        <w:rPr>
          <w:rFonts w:hint="eastAsia" w:ascii="宋体" w:hAnsi="宋体" w:cs="宋体"/>
          <w:b/>
          <w:color w:val="auto"/>
          <w:szCs w:val="21"/>
          <w:highlight w:val="none"/>
        </w:rPr>
        <w:t>）报价评审</w:t>
      </w:r>
    </w:p>
    <w:p w14:paraId="15185D66">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1）响应文件未提供“供应商须知前附表” 报价文件中规定的“竞标报价表”的；</w:t>
      </w:r>
    </w:p>
    <w:p w14:paraId="5D2E1473">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2）未采用人民币报价或者未按照磋商文件标明的币种报价的；</w:t>
      </w:r>
    </w:p>
    <w:p w14:paraId="5BA68BC2">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3）供应商未就所竞标分标进行报价或者存在漏项报价；供应商未就所竞标分标的单项内容作唯一报价；供应商未就所竞标分标的全部内容作完整唯一总价报价；供应商响应文件中存在有选择、有条件报价的（磋商文件允许有备选方案或者其他约定的除外）；</w:t>
      </w:r>
    </w:p>
    <w:p w14:paraId="36E756B1">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4）竞标报价（包含首次报价、最后报价）超过所竞标分标规定的采购预算金额或者最高限价的（如本项目公布了最高限价）；</w:t>
      </w:r>
      <w:bookmarkStart w:id="70" w:name="_Hlk42596405"/>
      <w:r>
        <w:rPr>
          <w:rFonts w:hint="eastAsia" w:ascii="宋体" w:hAnsi="宋体" w:cs="宋体"/>
          <w:b/>
          <w:color w:val="auto"/>
          <w:szCs w:val="21"/>
          <w:highlight w:val="none"/>
        </w:rPr>
        <w:t>竞标报价（包含首次报价、最后报价）</w:t>
      </w:r>
      <w:bookmarkEnd w:id="70"/>
      <w:bookmarkStart w:id="71" w:name="_Hlk42596276"/>
      <w:r>
        <w:rPr>
          <w:rFonts w:hint="eastAsia" w:ascii="宋体" w:hAnsi="宋体" w:cs="宋体"/>
          <w:b/>
          <w:color w:val="auto"/>
          <w:szCs w:val="21"/>
          <w:highlight w:val="none"/>
        </w:rPr>
        <w:t>超过磋商文件分项采购预算金额或者最高限价的</w:t>
      </w:r>
      <w:bookmarkEnd w:id="71"/>
      <w:r>
        <w:rPr>
          <w:rFonts w:hint="eastAsia" w:ascii="宋体" w:hAnsi="宋体" w:cs="宋体"/>
          <w:b/>
          <w:color w:val="auto"/>
          <w:szCs w:val="21"/>
          <w:highlight w:val="none"/>
        </w:rPr>
        <w:t>（如本项目有要求并公布了分项采购预算金额或者最高限价）；</w:t>
      </w:r>
    </w:p>
    <w:p w14:paraId="583E0699">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5）修正后的报价，供应商不确认的；或者经供应商确认修正后的竞标报价（包含首次报价、最后报价）超过所竞标分标规定的采购预算金额或者最高限价（如本项目公布了最高限价）；或者经供应商确认修正后竞标报价（包含首次报价、最后报价）超过磋商文件分项采购预算金额或者最高限价的（如本项目有要求并公布了分项采购预算金额或者最高限价）。</w:t>
      </w:r>
    </w:p>
    <w:p w14:paraId="0EFCAD09">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6）在单价合同工程中供应商采用总价优惠或以总价百分比优惠的方式进行竞标报价的；</w:t>
      </w:r>
    </w:p>
    <w:p w14:paraId="0CB25B23">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7）竞标总报价与已标价工程量清单汇总表不一致的；</w:t>
      </w:r>
    </w:p>
    <w:p w14:paraId="679EA0EE">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8）安全文明施工费和规费、增值税不按广西壮族自治区费用定额及造价管理相关文件规定报价的（园林绿化及仿古建筑工程除外）；（适用于房屋建筑和市政工程项目）</w:t>
      </w:r>
    </w:p>
    <w:p w14:paraId="4C57D67C">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 xml:space="preserve">9）供应商已标价工程量清单的项目编码（12位）、计量单位、工程量任何一处与工程量清单不一致的； </w:t>
      </w:r>
    </w:p>
    <w:p w14:paraId="1851851A">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10）供应商已标价工程量清单的项目名称或项目特征与工程量清单不一致，评标委员会要求澄清、说明或补正，但供应商拒绝澄清、说明或补正的；（适用于房屋建筑和市政工程项目）</w:t>
      </w:r>
    </w:p>
    <w:p w14:paraId="7CC9FF3F">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11）设有暂估价、暂列金额的，竞标时未按工程量清单给出的暂估价总价、暂列金额总价计入竞标总报价中的；</w:t>
      </w:r>
    </w:p>
    <w:p w14:paraId="6AA0AAA6">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12）供应商对工程量清单内容进行增减或对竞标范围进行调整的；</w:t>
      </w:r>
    </w:p>
    <w:p w14:paraId="4FF11872">
      <w:pPr>
        <w:spacing w:line="360" w:lineRule="auto"/>
        <w:ind w:firstLine="422" w:firstLineChars="200"/>
        <w:rPr>
          <w:rFonts w:ascii="宋体" w:hAnsi="宋体"/>
          <w:b/>
          <w:color w:val="auto"/>
          <w:szCs w:val="21"/>
          <w:highlight w:val="none"/>
        </w:rPr>
      </w:pPr>
      <w:r>
        <w:rPr>
          <w:rFonts w:hint="eastAsia" w:ascii="宋体" w:hAnsi="宋体" w:cs="宋体"/>
          <w:b/>
          <w:color w:val="auto"/>
          <w:szCs w:val="21"/>
          <w:highlight w:val="none"/>
        </w:rPr>
        <w:t>13）</w:t>
      </w:r>
      <w:r>
        <w:rPr>
          <w:rFonts w:hint="eastAsia" w:ascii="宋体" w:hAnsi="宋体"/>
          <w:b/>
          <w:color w:val="auto"/>
          <w:szCs w:val="21"/>
          <w:highlight w:val="none"/>
        </w:rPr>
        <w:t>响应文件响应的标的数量及单位与竞争性磋商采购文件要求实质性不一致的；</w:t>
      </w:r>
    </w:p>
    <w:p w14:paraId="32E9E0CC">
      <w:pPr>
        <w:spacing w:line="360" w:lineRule="auto"/>
        <w:ind w:firstLine="422" w:firstLineChars="200"/>
        <w:rPr>
          <w:rFonts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4）未响应磋商文件实质性要求的。</w:t>
      </w:r>
    </w:p>
    <w:p w14:paraId="3539D6FA">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2.6</w:t>
      </w:r>
      <w:r>
        <w:rPr>
          <w:rFonts w:hint="eastAsia" w:ascii="宋体" w:hAnsi="宋体" w:cs="宋体"/>
          <w:color w:val="auto"/>
          <w:szCs w:val="21"/>
          <w:highlight w:val="none"/>
        </w:rPr>
        <w:t>磋商小组对响应文件进行评审，未实质性响应磋商文件的响应文件按无效处理，磋商小组应当将资格和符合性不通过的情况告知有关供应商。</w:t>
      </w:r>
    </w:p>
    <w:p w14:paraId="3AD7B464">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2.7</w:t>
      </w:r>
      <w:r>
        <w:rPr>
          <w:rFonts w:hint="eastAsia" w:ascii="宋体" w:hAnsi="宋体"/>
          <w:color w:val="auto"/>
          <w:szCs w:val="21"/>
          <w:highlight w:val="none"/>
        </w:rPr>
        <w:t>通过符合性审查的合格供应商不足3家的，不得进入磋商环节，应当重新开展采购活动。</w:t>
      </w:r>
    </w:p>
    <w:p w14:paraId="187276AA">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w:t>
      </w:r>
      <w:r>
        <w:rPr>
          <w:rFonts w:hint="eastAsia" w:ascii="黑体" w:hAnsi="黑体" w:eastAsia="黑体" w:cs="宋体"/>
          <w:b/>
          <w:bCs/>
          <w:color w:val="auto"/>
          <w:sz w:val="24"/>
          <w:highlight w:val="none"/>
        </w:rPr>
        <w:t>.磋商程序</w:t>
      </w:r>
    </w:p>
    <w:p w14:paraId="5BBCEE39">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w:t>
      </w:r>
      <w:r>
        <w:rPr>
          <w:rFonts w:ascii="宋体" w:hAnsi="宋体" w:cs="宋体"/>
          <w:color w:val="auto"/>
          <w:kern w:val="0"/>
          <w:szCs w:val="21"/>
          <w:highlight w:val="none"/>
        </w:rPr>
        <w:t>.1</w:t>
      </w:r>
      <w:r>
        <w:rPr>
          <w:rFonts w:hint="eastAsia" w:ascii="宋体" w:hAnsi="宋体" w:cs="宋体"/>
          <w:color w:val="auto"/>
          <w:kern w:val="0"/>
          <w:szCs w:val="21"/>
          <w:highlight w:val="none"/>
        </w:rPr>
        <w:t>磋商小组</w:t>
      </w:r>
      <w:r>
        <w:rPr>
          <w:rFonts w:hint="eastAsia" w:ascii="宋体" w:hAnsi="宋体" w:cs="宋体"/>
          <w:color w:val="auto"/>
          <w:szCs w:val="21"/>
          <w:highlight w:val="none"/>
        </w:rPr>
        <w:t>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处理。</w:t>
      </w:r>
    </w:p>
    <w:p w14:paraId="547B9FE4">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3.2</w:t>
      </w:r>
      <w:r>
        <w:rPr>
          <w:rFonts w:hint="eastAsia" w:ascii="宋体" w:hAnsi="宋体" w:cs="宋体"/>
          <w:color w:val="auto"/>
          <w:szCs w:val="21"/>
          <w:highlight w:val="none"/>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320DFE4B">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3.3</w:t>
      </w:r>
      <w:r>
        <w:rPr>
          <w:rFonts w:hint="eastAsia" w:ascii="宋体" w:hAnsi="宋体" w:cs="宋体"/>
          <w:color w:val="auto"/>
          <w:szCs w:val="21"/>
          <w:highlight w:val="none"/>
        </w:rPr>
        <w:t>对磋商文件作出的实质性变动是磋商文件的有效组成部分，由磋商小组及时以电子澄清函形式同时通知所有参加磋商的供应商。</w:t>
      </w:r>
    </w:p>
    <w:p w14:paraId="1684D94F">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3.4</w:t>
      </w:r>
      <w:r>
        <w:rPr>
          <w:rFonts w:hint="eastAsia" w:ascii="宋体" w:hAnsi="宋体" w:cs="宋体"/>
          <w:color w:val="auto"/>
          <w:szCs w:val="21"/>
          <w:highlight w:val="none"/>
        </w:rPr>
        <w:t>供应商必须按照磋商文件的变动情况和磋商小组的要求以回函的形式重新提交响应文件，并加盖电子签章。参加磋商的供应商未在规定时间内重新提交响应文件的，视同退出磋商，其响应文件按无效处理。</w:t>
      </w:r>
    </w:p>
    <w:p w14:paraId="774D216B">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3.5</w:t>
      </w:r>
      <w:r>
        <w:rPr>
          <w:rFonts w:hint="eastAsia" w:ascii="宋体" w:hAnsi="宋体" w:cs="宋体"/>
          <w:color w:val="auto"/>
          <w:szCs w:val="21"/>
          <w:highlight w:val="none"/>
        </w:rPr>
        <w:t>磋商中，磋商的任何一方不得透露与磋商有关的其他供应商的技术资料、价格和其他信息</w:t>
      </w:r>
      <w:r>
        <w:rPr>
          <w:rFonts w:hint="eastAsia" w:ascii="宋体" w:hAnsi="宋体" w:cs="宋体"/>
          <w:color w:val="auto"/>
          <w:spacing w:val="-6"/>
          <w:szCs w:val="21"/>
          <w:highlight w:val="none"/>
        </w:rPr>
        <w:t>。</w:t>
      </w:r>
    </w:p>
    <w:p w14:paraId="1B0D2B02">
      <w:pPr>
        <w:widowControl/>
        <w:tabs>
          <w:tab w:val="left" w:pos="540"/>
        </w:tabs>
        <w:spacing w:line="360" w:lineRule="auto"/>
        <w:ind w:firstLine="420" w:firstLineChars="200"/>
        <w:jc w:val="left"/>
        <w:rPr>
          <w:rFonts w:ascii="宋体" w:hAnsi="宋体" w:cs="宋体"/>
          <w:color w:val="auto"/>
          <w:szCs w:val="21"/>
          <w:highlight w:val="none"/>
        </w:rPr>
      </w:pPr>
      <w:r>
        <w:rPr>
          <w:rFonts w:ascii="宋体" w:hAnsi="宋体" w:cs="宋体"/>
          <w:color w:val="auto"/>
          <w:szCs w:val="21"/>
          <w:highlight w:val="none"/>
        </w:rPr>
        <w:t>3.6</w:t>
      </w:r>
      <w:r>
        <w:rPr>
          <w:rFonts w:hint="eastAsia" w:ascii="宋体" w:hAnsi="宋体" w:cs="宋体"/>
          <w:color w:val="auto"/>
          <w:szCs w:val="21"/>
          <w:highlight w:val="none"/>
        </w:rPr>
        <w:t>采购代理机构对磋商过程和磋商内容进行记录。</w:t>
      </w:r>
    </w:p>
    <w:p w14:paraId="366A3DE1">
      <w:pPr>
        <w:widowControl/>
        <w:tabs>
          <w:tab w:val="left" w:pos="540"/>
        </w:tabs>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.7</w:t>
      </w:r>
      <w:r>
        <w:rPr>
          <w:color w:val="auto"/>
          <w:highlight w:val="none"/>
        </w:rPr>
        <w:t>根据《</w:t>
      </w:r>
      <w:r>
        <w:rPr>
          <w:rFonts w:ascii="宋体" w:hAnsi="宋体"/>
          <w:color w:val="auto"/>
          <w:highlight w:val="none"/>
        </w:rPr>
        <w:t>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1AB88ED1">
      <w:pPr>
        <w:tabs>
          <w:tab w:val="left" w:pos="2835"/>
        </w:tabs>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3.8除</w:t>
      </w:r>
      <w:r>
        <w:rPr>
          <w:rFonts w:ascii="宋体" w:hAnsi="宋体"/>
          <w:color w:val="auto"/>
          <w:highlight w:val="none"/>
        </w:rPr>
        <w:t>本章第3.7条</w:t>
      </w:r>
      <w:r>
        <w:rPr>
          <w:rFonts w:hint="eastAsia" w:ascii="宋体" w:hAnsi="宋体"/>
          <w:color w:val="auto"/>
          <w:highlight w:val="none"/>
        </w:rPr>
        <w:t>规定的</w:t>
      </w:r>
      <w:r>
        <w:rPr>
          <w:rFonts w:ascii="宋体" w:hAnsi="宋体"/>
          <w:color w:val="auto"/>
          <w:highlight w:val="none"/>
        </w:rPr>
        <w:t>情形</w:t>
      </w:r>
      <w:r>
        <w:rPr>
          <w:rFonts w:hint="eastAsia" w:ascii="宋体" w:hAnsi="宋体"/>
          <w:color w:val="auto"/>
          <w:highlight w:val="none"/>
        </w:rPr>
        <w:t>外，</w:t>
      </w:r>
      <w:r>
        <w:rPr>
          <w:rFonts w:hint="eastAsia" w:ascii="宋体" w:hAnsi="宋体"/>
          <w:color w:val="auto"/>
          <w:szCs w:val="21"/>
          <w:highlight w:val="none"/>
        </w:rPr>
        <w:t>对磋商过程提交的响应文件进行有效性、完整性和响应程度审查，通过审查的合格供应商不足3家的，应当重新开展采购活动。</w:t>
      </w:r>
    </w:p>
    <w:p w14:paraId="0DE7B533">
      <w:pPr>
        <w:spacing w:line="360" w:lineRule="auto"/>
        <w:ind w:firstLine="482" w:firstLineChars="200"/>
        <w:rPr>
          <w:rFonts w:ascii="宋体" w:hAnsi="宋体" w:cs="宋体"/>
          <w:color w:val="auto"/>
          <w:szCs w:val="21"/>
          <w:highlight w:val="none"/>
        </w:rPr>
      </w:pPr>
      <w:r>
        <w:rPr>
          <w:rFonts w:ascii="黑体" w:hAnsi="黑体" w:eastAsia="黑体" w:cs="宋体"/>
          <w:b/>
          <w:bCs/>
          <w:color w:val="auto"/>
          <w:sz w:val="24"/>
          <w:highlight w:val="none"/>
        </w:rPr>
        <w:t>4.</w:t>
      </w:r>
      <w:r>
        <w:rPr>
          <w:rFonts w:hint="eastAsia" w:ascii="黑体" w:hAnsi="黑体" w:eastAsia="黑体" w:cs="宋体"/>
          <w:b/>
          <w:bCs/>
          <w:color w:val="auto"/>
          <w:sz w:val="24"/>
          <w:highlight w:val="none"/>
        </w:rPr>
        <w:t xml:space="preserve"> 最后报价</w:t>
      </w:r>
    </w:p>
    <w:p w14:paraId="18D3D2A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.1</w:t>
      </w:r>
      <w:r>
        <w:rPr>
          <w:rFonts w:hint="eastAsia" w:ascii="宋体" w:hAnsi="宋体" w:cs="宋体"/>
          <w:color w:val="auto"/>
          <w:szCs w:val="21"/>
          <w:highlight w:val="none"/>
        </w:rPr>
        <w:t>磋商文件能够详细列明采购标的的技术、服务要求的，磋商结束后，磋商小组应当要求所有继续参加磋商的供应商在规定时间内在广西政府采购云平台开标大厅提交加盖供应商电子签章的最后报价，除本章第</w:t>
      </w:r>
      <w:r>
        <w:rPr>
          <w:rFonts w:ascii="宋体" w:hAnsi="宋体" w:cs="宋体"/>
          <w:color w:val="auto"/>
          <w:szCs w:val="21"/>
          <w:highlight w:val="none"/>
        </w:rPr>
        <w:t>4.3</w:t>
      </w:r>
      <w:r>
        <w:rPr>
          <w:rFonts w:hint="eastAsia" w:ascii="宋体" w:hAnsi="宋体" w:cs="宋体"/>
          <w:color w:val="auto"/>
          <w:szCs w:val="21"/>
          <w:highlight w:val="none"/>
        </w:rPr>
        <w:t>条规定的情形外，提交最后报价的供应商不得少于3家，否则应当重新</w:t>
      </w:r>
      <w:r>
        <w:rPr>
          <w:rFonts w:hint="eastAsia" w:ascii="宋体" w:hAnsi="宋体"/>
          <w:color w:val="auto"/>
          <w:szCs w:val="21"/>
          <w:highlight w:val="none"/>
        </w:rPr>
        <w:t>开展采购活动</w:t>
      </w:r>
      <w:r>
        <w:rPr>
          <w:rFonts w:hint="eastAsia" w:ascii="宋体" w:hAnsi="宋体" w:cs="宋体"/>
          <w:color w:val="auto"/>
          <w:szCs w:val="21"/>
          <w:highlight w:val="none"/>
        </w:rPr>
        <w:t>。</w:t>
      </w:r>
    </w:p>
    <w:p w14:paraId="05E8159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.2</w:t>
      </w:r>
      <w:r>
        <w:rPr>
          <w:rFonts w:hint="eastAsia" w:ascii="宋体" w:hAnsi="宋体" w:cs="宋体"/>
          <w:color w:val="auto"/>
          <w:szCs w:val="21"/>
          <w:highlight w:val="none"/>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在广西政府采购云平台开标大厅提交最后报价。</w:t>
      </w:r>
      <w:r>
        <w:rPr>
          <w:rFonts w:hint="eastAsia" w:ascii="宋体" w:hAnsi="宋体" w:cs="宋体"/>
          <w:b/>
          <w:color w:val="auto"/>
          <w:szCs w:val="21"/>
          <w:highlight w:val="none"/>
        </w:rPr>
        <w:t>如果供应商的最后报价与首次报价不一致的，不能只报竞标总报价，必须同时提供“已标价工程量清单”，否则</w:t>
      </w:r>
      <w:r>
        <w:rPr>
          <w:rFonts w:hint="eastAsia" w:ascii="宋体" w:hAnsi="宋体" w:cs="宋体"/>
          <w:b/>
          <w:color w:val="auto"/>
          <w:szCs w:val="21"/>
          <w:highlight w:val="none"/>
          <w:lang w:eastAsia="zh-CN"/>
        </w:rPr>
        <w:t>作</w:t>
      </w:r>
      <w:r>
        <w:rPr>
          <w:rFonts w:hint="eastAsia" w:ascii="宋体" w:hAnsi="宋体" w:cs="宋体"/>
          <w:b/>
          <w:color w:val="auto"/>
          <w:szCs w:val="21"/>
          <w:highlight w:val="none"/>
        </w:rPr>
        <w:t>无效响应处理。</w:t>
      </w:r>
    </w:p>
    <w:p w14:paraId="0F8A034C">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4.3</w:t>
      </w:r>
      <w:r>
        <w:rPr>
          <w:rFonts w:hint="eastAsia" w:ascii="宋体" w:hAnsi="宋体" w:cs="宋体"/>
          <w:color w:val="auto"/>
          <w:szCs w:val="21"/>
          <w:highlight w:val="none"/>
        </w:rPr>
        <w:t xml:space="preserve"> 最后报价是供应商响应文件的有效组成部分。</w:t>
      </w:r>
    </w:p>
    <w:p w14:paraId="0FDBBD6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符合《政府采购竞争性磋商采购方式管理暂行办法》（财库〔2014〕214号）第三条第四项“市场竞争不充分的科研项目，以及需要扶持的科技成果转化项目”和</w:t>
      </w:r>
      <w:r>
        <w:rPr>
          <w:color w:val="auto"/>
          <w:highlight w:val="none"/>
        </w:rPr>
        <w:t>本章</w:t>
      </w:r>
      <w:r>
        <w:rPr>
          <w:rFonts w:ascii="宋体" w:hAnsi="宋体"/>
          <w:color w:val="auto"/>
          <w:highlight w:val="none"/>
        </w:rPr>
        <w:t>第3.7条</w:t>
      </w:r>
      <w:r>
        <w:rPr>
          <w:rFonts w:hint="eastAsia" w:ascii="宋体" w:hAnsi="宋体" w:cs="宋体"/>
          <w:color w:val="auto"/>
          <w:szCs w:val="21"/>
          <w:highlight w:val="none"/>
        </w:rPr>
        <w:t>规定</w:t>
      </w:r>
      <w:r>
        <w:rPr>
          <w:color w:val="auto"/>
          <w:highlight w:val="none"/>
        </w:rPr>
        <w:t>情形的，</w:t>
      </w:r>
      <w:r>
        <w:rPr>
          <w:rFonts w:hint="eastAsia" w:ascii="宋体" w:hAnsi="宋体" w:cs="宋体"/>
          <w:color w:val="auto"/>
          <w:szCs w:val="21"/>
          <w:highlight w:val="none"/>
        </w:rPr>
        <w:t>提交最后报价的供应商可以为2家。</w:t>
      </w:r>
    </w:p>
    <w:p w14:paraId="35B43F9D">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4.4</w:t>
      </w:r>
      <w:r>
        <w:rPr>
          <w:rFonts w:hint="eastAsia" w:ascii="宋体" w:hAnsi="宋体" w:cs="宋体"/>
          <w:color w:val="auto"/>
          <w:szCs w:val="21"/>
          <w:highlight w:val="none"/>
        </w:rPr>
        <w:t>已经提交响应文件的供应商，在提交最后报价之前，可以根据磋商情况退出磋商，退出磋商的供应商的响应文件按无效处理。采购人、采购代理机构将退还退出磋商的供应商的保证金。</w:t>
      </w:r>
    </w:p>
    <w:p w14:paraId="6B3853A6">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4.5</w:t>
      </w:r>
      <w:r>
        <w:rPr>
          <w:rFonts w:hint="eastAsia" w:ascii="宋体" w:hAnsi="宋体" w:cs="宋体"/>
          <w:color w:val="auto"/>
          <w:szCs w:val="21"/>
          <w:highlight w:val="none"/>
        </w:rPr>
        <w:t>供应商未在规定时间内提交最后报价的，视同退出磋商，其响应文件按无效处理。</w:t>
      </w:r>
    </w:p>
    <w:p w14:paraId="422120A9">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4.6</w:t>
      </w:r>
      <w:r>
        <w:rPr>
          <w:rFonts w:hint="eastAsia" w:ascii="宋体" w:hAnsi="宋体" w:cs="宋体"/>
          <w:color w:val="auto"/>
          <w:szCs w:val="21"/>
          <w:highlight w:val="none"/>
        </w:rPr>
        <w:t>最后报价统一开启后，磋商小组对最后报价进行有效性、完整性和响应程度的审查。</w:t>
      </w:r>
    </w:p>
    <w:p w14:paraId="05101FE4">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4.7</w:t>
      </w:r>
      <w:r>
        <w:rPr>
          <w:rFonts w:hint="eastAsia" w:ascii="宋体" w:hAnsi="宋体" w:cs="宋体"/>
          <w:color w:val="auto"/>
          <w:szCs w:val="21"/>
          <w:highlight w:val="none"/>
        </w:rPr>
        <w:t>最后报价出现前后不一致的，按照本章第</w:t>
      </w:r>
      <w:r>
        <w:rPr>
          <w:rFonts w:ascii="宋体" w:hAnsi="宋体" w:cs="宋体"/>
          <w:color w:val="auto"/>
          <w:szCs w:val="21"/>
          <w:highlight w:val="none"/>
        </w:rPr>
        <w:t>2.4</w:t>
      </w:r>
      <w:r>
        <w:rPr>
          <w:rFonts w:hint="eastAsia" w:ascii="宋体" w:hAnsi="宋体" w:cs="宋体"/>
          <w:color w:val="auto"/>
          <w:szCs w:val="21"/>
          <w:highlight w:val="none"/>
        </w:rPr>
        <w:t xml:space="preserve">条的规定修正。 </w:t>
      </w:r>
    </w:p>
    <w:p w14:paraId="5BFA59FC">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4.8</w:t>
      </w:r>
      <w:r>
        <w:rPr>
          <w:rFonts w:hint="eastAsia" w:ascii="宋体" w:hAnsi="宋体" w:cs="宋体"/>
          <w:color w:val="auto"/>
          <w:szCs w:val="21"/>
          <w:highlight w:val="none"/>
        </w:rPr>
        <w:t>修正后的报价出现下列情形的，按无效响应处理：</w:t>
      </w:r>
    </w:p>
    <w:p w14:paraId="4A5800D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30B1A1F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（2）经供应商确认修正后的竞标报价（包含首次报价、最后报价）超过所竞标分标规定的采购预算金额或者最高限价的（如本项目公布了最高限价）；</w:t>
      </w:r>
    </w:p>
    <w:p w14:paraId="61264D3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（3）经供应商确认修正后的竞标报价（包含首次报价、最后报价）超过分项采购预算金额或者最高限价的（如本项目公布了最高限价）。</w:t>
      </w:r>
    </w:p>
    <w:p w14:paraId="3D6F6432">
      <w:pPr>
        <w:spacing w:line="360" w:lineRule="auto"/>
        <w:ind w:firstLine="420" w:firstLineChars="200"/>
        <w:rPr>
          <w:rFonts w:hint="eastAsia" w:ascii="宋体" w:hAnsi="宋体" w:cs="宋体"/>
          <w:color w:val="auto"/>
          <w:szCs w:val="21"/>
          <w:highlight w:val="none"/>
          <w:lang w:eastAsia="zh-CN"/>
        </w:rPr>
      </w:pPr>
      <w:r>
        <w:rPr>
          <w:rFonts w:ascii="宋体" w:hAnsi="宋体" w:cs="宋体"/>
          <w:color w:val="auto"/>
          <w:szCs w:val="21"/>
          <w:highlight w:val="none"/>
        </w:rPr>
        <w:t>4.9</w:t>
      </w:r>
      <w:r>
        <w:rPr>
          <w:rFonts w:hint="eastAsia" w:ascii="宋体" w:hAnsi="宋体" w:cs="宋体"/>
          <w:color w:val="auto"/>
          <w:szCs w:val="21"/>
          <w:highlight w:val="none"/>
        </w:rPr>
        <w:t>最后报价异常低价审查</w:t>
      </w:r>
      <w:r>
        <w:rPr>
          <w:rFonts w:hint="eastAsia" w:ascii="宋体" w:hAnsi="宋体" w:cs="宋体"/>
          <w:color w:val="auto"/>
          <w:szCs w:val="21"/>
          <w:highlight w:val="none"/>
          <w:lang w:eastAsia="zh-CN"/>
        </w:rPr>
        <w:t>：</w:t>
      </w:r>
    </w:p>
    <w:p w14:paraId="0902193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评审中出现下列情形之一的，评审委员会</w:t>
      </w:r>
      <w:r>
        <w:rPr>
          <w:rFonts w:hint="eastAsia" w:ascii="宋体" w:hAnsi="宋体" w:cs="宋体"/>
          <w:color w:val="auto"/>
          <w:szCs w:val="21"/>
          <w:highlight w:val="none"/>
          <w:lang w:val="en-US" w:eastAsia="zh-CN"/>
        </w:rPr>
        <w:t>将</w:t>
      </w:r>
      <w:r>
        <w:rPr>
          <w:rFonts w:hint="eastAsia" w:ascii="宋体" w:hAnsi="宋体" w:cs="宋体"/>
          <w:color w:val="auto"/>
          <w:szCs w:val="21"/>
          <w:highlight w:val="none"/>
        </w:rPr>
        <w:t>启动异常低价响应审查程序：（一）响应报价低于全部通过符合性审查供应商</w:t>
      </w:r>
      <w:r>
        <w:rPr>
          <w:rFonts w:hint="eastAsia" w:ascii="宋体" w:hAnsi="宋体" w:cs="宋体"/>
          <w:color w:val="auto"/>
          <w:szCs w:val="21"/>
          <w:highlight w:val="none"/>
          <w:lang w:eastAsia="zh-CN"/>
        </w:rPr>
        <w:t>响应报价</w:t>
      </w:r>
      <w:r>
        <w:rPr>
          <w:rFonts w:hint="eastAsia" w:ascii="宋体" w:hAnsi="宋体" w:cs="宋体"/>
          <w:color w:val="auto"/>
          <w:szCs w:val="21"/>
          <w:highlight w:val="none"/>
        </w:rPr>
        <w:t>平均值50%的，即</w:t>
      </w:r>
      <w:r>
        <w:rPr>
          <w:rFonts w:hint="eastAsia" w:ascii="宋体" w:hAnsi="宋体" w:cs="宋体"/>
          <w:color w:val="auto"/>
          <w:szCs w:val="21"/>
          <w:highlight w:val="none"/>
          <w:lang w:eastAsia="zh-CN"/>
        </w:rPr>
        <w:t>响应报价</w:t>
      </w:r>
      <w:r>
        <w:rPr>
          <w:rFonts w:hint="eastAsia" w:ascii="宋体" w:hAnsi="宋体" w:cs="宋体"/>
          <w:color w:val="auto"/>
          <w:szCs w:val="21"/>
          <w:highlight w:val="none"/>
        </w:rPr>
        <w:t>&lt;全部通过符合性审查供应商</w:t>
      </w:r>
      <w:r>
        <w:rPr>
          <w:rFonts w:hint="eastAsia" w:ascii="宋体" w:hAnsi="宋体" w:cs="宋体"/>
          <w:color w:val="auto"/>
          <w:szCs w:val="21"/>
          <w:highlight w:val="none"/>
          <w:lang w:eastAsia="zh-CN"/>
        </w:rPr>
        <w:t>响应报价</w:t>
      </w:r>
      <w:r>
        <w:rPr>
          <w:rFonts w:hint="eastAsia" w:ascii="宋体" w:hAnsi="宋体" w:cs="宋体"/>
          <w:color w:val="auto"/>
          <w:szCs w:val="21"/>
          <w:highlight w:val="none"/>
        </w:rPr>
        <w:t>平均值×50%；（二）</w:t>
      </w:r>
      <w:r>
        <w:rPr>
          <w:rFonts w:hint="eastAsia" w:ascii="宋体" w:hAnsi="宋体" w:cs="宋体"/>
          <w:color w:val="auto"/>
          <w:szCs w:val="21"/>
          <w:highlight w:val="none"/>
          <w:lang w:eastAsia="zh-CN"/>
        </w:rPr>
        <w:t>响应报价</w:t>
      </w:r>
      <w:r>
        <w:rPr>
          <w:rFonts w:hint="eastAsia" w:ascii="宋体" w:hAnsi="宋体" w:cs="宋体"/>
          <w:color w:val="auto"/>
          <w:szCs w:val="21"/>
          <w:highlight w:val="none"/>
        </w:rPr>
        <w:t>低于通过符合性审查且报价次低供应商</w:t>
      </w:r>
      <w:r>
        <w:rPr>
          <w:rFonts w:hint="eastAsia" w:ascii="宋体" w:hAnsi="宋体" w:cs="宋体"/>
          <w:color w:val="auto"/>
          <w:szCs w:val="21"/>
          <w:highlight w:val="none"/>
          <w:lang w:eastAsia="zh-CN"/>
        </w:rPr>
        <w:t>响应报价</w:t>
      </w:r>
      <w:r>
        <w:rPr>
          <w:rFonts w:hint="eastAsia" w:ascii="宋体" w:hAnsi="宋体" w:cs="宋体"/>
          <w:color w:val="auto"/>
          <w:szCs w:val="21"/>
          <w:highlight w:val="none"/>
        </w:rPr>
        <w:t>50%的，即</w:t>
      </w:r>
      <w:r>
        <w:rPr>
          <w:rFonts w:hint="eastAsia" w:ascii="宋体" w:hAnsi="宋体" w:cs="宋体"/>
          <w:color w:val="auto"/>
          <w:szCs w:val="21"/>
          <w:highlight w:val="none"/>
          <w:lang w:eastAsia="zh-CN"/>
        </w:rPr>
        <w:t>响应报价</w:t>
      </w:r>
      <w:r>
        <w:rPr>
          <w:rFonts w:hint="eastAsia" w:ascii="宋体" w:hAnsi="宋体" w:cs="宋体"/>
          <w:color w:val="auto"/>
          <w:szCs w:val="21"/>
          <w:highlight w:val="none"/>
        </w:rPr>
        <w:t>&lt;通过符合性审查且报价次低供应商</w:t>
      </w:r>
      <w:r>
        <w:rPr>
          <w:rFonts w:hint="eastAsia" w:ascii="宋体" w:hAnsi="宋体" w:cs="宋体"/>
          <w:color w:val="auto"/>
          <w:szCs w:val="21"/>
          <w:highlight w:val="none"/>
          <w:lang w:eastAsia="zh-CN"/>
        </w:rPr>
        <w:t>响应报价</w:t>
      </w:r>
      <w:r>
        <w:rPr>
          <w:rFonts w:hint="eastAsia" w:ascii="宋体" w:hAnsi="宋体" w:cs="宋体"/>
          <w:color w:val="auto"/>
          <w:szCs w:val="21"/>
          <w:highlight w:val="none"/>
        </w:rPr>
        <w:t>×50%；（三）</w:t>
      </w:r>
      <w:r>
        <w:rPr>
          <w:rFonts w:hint="eastAsia" w:ascii="宋体" w:hAnsi="宋体" w:cs="宋体"/>
          <w:color w:val="auto"/>
          <w:szCs w:val="21"/>
          <w:highlight w:val="none"/>
          <w:lang w:eastAsia="zh-CN"/>
        </w:rPr>
        <w:t>响应报价</w:t>
      </w:r>
      <w:r>
        <w:rPr>
          <w:rFonts w:hint="eastAsia" w:ascii="宋体" w:hAnsi="宋体" w:cs="宋体"/>
          <w:color w:val="auto"/>
          <w:szCs w:val="21"/>
          <w:highlight w:val="none"/>
        </w:rPr>
        <w:t>低于采购项目最高限价45%的，即</w:t>
      </w:r>
      <w:r>
        <w:rPr>
          <w:rFonts w:hint="eastAsia" w:ascii="宋体" w:hAnsi="宋体" w:cs="宋体"/>
          <w:color w:val="auto"/>
          <w:szCs w:val="21"/>
          <w:highlight w:val="none"/>
          <w:lang w:eastAsia="zh-CN"/>
        </w:rPr>
        <w:t>响应报价</w:t>
      </w:r>
      <w:r>
        <w:rPr>
          <w:rFonts w:hint="eastAsia" w:ascii="宋体" w:hAnsi="宋体" w:cs="宋体"/>
          <w:color w:val="auto"/>
          <w:szCs w:val="21"/>
          <w:highlight w:val="none"/>
        </w:rPr>
        <w:t>&lt;采购项目最高限价×45%；（四）其他评审委员会认为供应商报价过低，有可能影响产品质量或者不能诚信履约的情形。</w:t>
      </w:r>
    </w:p>
    <w:p w14:paraId="49F0E1D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评审委员会启动异常低价响应审查后，</w:t>
      </w:r>
      <w:r>
        <w:rPr>
          <w:rFonts w:hint="eastAsia" w:ascii="宋体" w:hAnsi="宋体" w:cs="宋体"/>
          <w:color w:val="auto"/>
          <w:szCs w:val="21"/>
          <w:highlight w:val="none"/>
          <w:lang w:val="en-US" w:eastAsia="zh-CN"/>
        </w:rPr>
        <w:t>可</w:t>
      </w:r>
      <w:r>
        <w:rPr>
          <w:rFonts w:hint="eastAsia" w:ascii="宋体" w:hAnsi="宋体" w:cs="宋体"/>
          <w:color w:val="auto"/>
          <w:szCs w:val="21"/>
          <w:highlight w:val="none"/>
        </w:rPr>
        <w:t>要求相关供应商在评审现场合理的时间内提供书面说明及必要的证明材料，对响应价格作出解释。书面说明、证明材料主要是项目具体成本测算等与报价合理性相关的说明、材料。</w:t>
      </w:r>
    </w:p>
    <w:p w14:paraId="0C7FC0F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评审委员会结合同类产品在该行业</w:t>
      </w:r>
      <w:r>
        <w:rPr>
          <w:rFonts w:hint="eastAsia" w:ascii="宋体" w:hAnsi="宋体" w:cs="宋体"/>
          <w:color w:val="auto"/>
          <w:szCs w:val="21"/>
          <w:highlight w:val="none"/>
          <w:lang w:val="en-US" w:eastAsia="zh-CN"/>
        </w:rPr>
        <w:t>当期</w:t>
      </w:r>
      <w:r>
        <w:rPr>
          <w:rFonts w:hint="eastAsia" w:ascii="宋体" w:hAnsi="宋体" w:cs="宋体"/>
          <w:color w:val="auto"/>
          <w:szCs w:val="21"/>
          <w:highlight w:val="none"/>
        </w:rPr>
        <w:t>价格、该行业当地薪资水平等情况，依据专业经验对报价合理性进行判断。如果响应供应商不提供书面说明、证明材料，或者提供的书面说明、证明材料不能证明其报价合理性的，应当将其作为无效响应处理。审查相关情况在评审报告中记录。</w:t>
      </w:r>
    </w:p>
    <w:p w14:paraId="3AFBBA1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4.10</w:t>
      </w:r>
      <w:r>
        <w:rPr>
          <w:rFonts w:hint="eastAsia" w:ascii="宋体" w:hAnsi="宋体" w:cs="宋体"/>
          <w:color w:val="auto"/>
          <w:szCs w:val="21"/>
          <w:highlight w:val="none"/>
        </w:rPr>
        <w:t>经供应商确认修正后的最后报价作为评审及签订合同的依据。</w:t>
      </w:r>
    </w:p>
    <w:p w14:paraId="28C0F3B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4.1</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供应商出现最后报价按无效响应处理或者响应文件按无效处理时</w:t>
      </w:r>
      <w:r>
        <w:rPr>
          <w:rFonts w:hint="eastAsia" w:ascii="宋体" w:hAnsi="宋体"/>
          <w:color w:val="auto"/>
          <w:sz w:val="22"/>
          <w:szCs w:val="22"/>
          <w:highlight w:val="none"/>
        </w:rPr>
        <w:t>，磋商小组应当告知有关供应商</w:t>
      </w:r>
      <w:r>
        <w:rPr>
          <w:rFonts w:hint="eastAsia" w:ascii="宋体" w:hAnsi="宋体" w:cs="宋体"/>
          <w:color w:val="auto"/>
          <w:szCs w:val="21"/>
          <w:highlight w:val="none"/>
        </w:rPr>
        <w:t>。</w:t>
      </w:r>
    </w:p>
    <w:p w14:paraId="18D7730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.1</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最后报价结束后，磋商小组不得再与供应商进行任何形式的商谈。</w:t>
      </w:r>
    </w:p>
    <w:p w14:paraId="1763D5CB">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5</w:t>
      </w:r>
      <w:r>
        <w:rPr>
          <w:rFonts w:ascii="黑体" w:hAnsi="黑体" w:eastAsia="黑体" w:cs="宋体"/>
          <w:b/>
          <w:bCs/>
          <w:color w:val="auto"/>
          <w:sz w:val="24"/>
          <w:highlight w:val="none"/>
        </w:rPr>
        <w:t>.</w:t>
      </w:r>
      <w:r>
        <w:rPr>
          <w:rFonts w:hint="eastAsia" w:ascii="黑体" w:hAnsi="黑体" w:eastAsia="黑体" w:cs="宋体"/>
          <w:b/>
          <w:bCs/>
          <w:color w:val="auto"/>
          <w:sz w:val="24"/>
          <w:highlight w:val="none"/>
        </w:rPr>
        <w:t>比较与评价</w:t>
      </w:r>
    </w:p>
    <w:p w14:paraId="309B000A">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5.1</w:t>
      </w:r>
      <w:r>
        <w:rPr>
          <w:rFonts w:hint="eastAsia" w:ascii="宋体" w:hAnsi="宋体" w:cs="宋体"/>
          <w:color w:val="auto"/>
          <w:szCs w:val="21"/>
          <w:highlight w:val="none"/>
        </w:rPr>
        <w:t>评审方法：综合评分法。</w:t>
      </w:r>
    </w:p>
    <w:p w14:paraId="72903528">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5.2</w:t>
      </w:r>
      <w:r>
        <w:rPr>
          <w:rFonts w:hint="eastAsia" w:ascii="宋体" w:hAnsi="宋体" w:cs="宋体"/>
          <w:color w:val="auto"/>
          <w:szCs w:val="21"/>
          <w:highlight w:val="none"/>
        </w:rPr>
        <w:t>经磋商确定最终采购需求和提交最后报价的供应商后，由磋商小组采用综合评分法对提交最后报价的供应商的响应文件和最后报价进行综合评分。</w:t>
      </w:r>
    </w:p>
    <w:p w14:paraId="5ED9D5E2">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5.3</w:t>
      </w:r>
      <w:r>
        <w:rPr>
          <w:rFonts w:hint="eastAsia" w:ascii="宋体" w:hAnsi="宋体" w:cs="宋体"/>
          <w:color w:val="auto"/>
          <w:szCs w:val="21"/>
          <w:highlight w:val="none"/>
        </w:rPr>
        <w:t>评审时，磋商小组各成员应当独立对每个有效响应的文件进行评价、打分，然后汇总每个供应商每项评分因素的得分。</w:t>
      </w:r>
    </w:p>
    <w:p w14:paraId="1D66121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（1）磋商小组按照磋商文件中规定的评审标准计算各供应商的报价得分。项目评审过程中，不得去掉最后报价中的最高报价和最低报价。</w:t>
      </w:r>
    </w:p>
    <w:p w14:paraId="0096268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（2）各供应商的得分为磋商小组所有成员的有效评分的算术平均数。</w:t>
      </w:r>
    </w:p>
    <w:p w14:paraId="3E65398D">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5.4</w:t>
      </w:r>
      <w:r>
        <w:rPr>
          <w:rFonts w:hint="eastAsia" w:ascii="宋体" w:hAnsi="宋体" w:cs="宋体"/>
          <w:color w:val="auto"/>
          <w:szCs w:val="21"/>
          <w:highlight w:val="none"/>
        </w:rPr>
        <w:t>评审价为供应商的最后报价进行政策性扣除后的价格，评审价只是作为评审时使用。最终成交供应商的成交金额等于最后报价（如有修正，以确认修正后的最后报价为准）。</w:t>
      </w:r>
    </w:p>
    <w:p w14:paraId="0A1F3995">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6. 成交供应商推荐原则</w:t>
      </w:r>
    </w:p>
    <w:p w14:paraId="103F243F">
      <w:pPr>
        <w:spacing w:line="360" w:lineRule="auto"/>
        <w:ind w:firstLine="420" w:firstLineChars="200"/>
        <w:rPr>
          <w:rFonts w:ascii="宋体" w:hAnsi="宋体"/>
          <w:color w:val="auto"/>
          <w:kern w:val="0"/>
          <w:szCs w:val="21"/>
          <w:highlight w:val="none"/>
        </w:rPr>
      </w:pPr>
      <w:r>
        <w:rPr>
          <w:rFonts w:hint="eastAsia" w:ascii="宋体" w:hAnsi="宋体" w:cs="宋体"/>
          <w:color w:val="auto"/>
          <w:szCs w:val="21"/>
          <w:highlight w:val="none"/>
        </w:rPr>
        <w:t>6</w:t>
      </w:r>
      <w:r>
        <w:rPr>
          <w:rFonts w:ascii="宋体" w:hAnsi="宋体" w:cs="宋体"/>
          <w:color w:val="auto"/>
          <w:szCs w:val="21"/>
          <w:highlight w:val="none"/>
        </w:rPr>
        <w:t>.</w:t>
      </w:r>
      <w:r>
        <w:rPr>
          <w:rFonts w:hint="eastAsia" w:ascii="宋体" w:hAnsi="宋体" w:cs="宋体"/>
          <w:color w:val="auto"/>
          <w:szCs w:val="21"/>
          <w:highlight w:val="none"/>
        </w:rPr>
        <w:t>1</w:t>
      </w:r>
      <w:r>
        <w:rPr>
          <w:rFonts w:hint="eastAsia" w:ascii="宋体" w:hAnsi="宋体"/>
          <w:bCs/>
          <w:color w:val="auto"/>
          <w:szCs w:val="21"/>
          <w:highlight w:val="none"/>
        </w:rPr>
        <w:t>由磋商小组根据综合评分情况，按照评审得分由高到低顺序推荐3名以上成交候选供应商，并编写评审报告，</w:t>
      </w:r>
      <w:r>
        <w:rPr>
          <w:rFonts w:hint="eastAsia" w:ascii="宋体" w:hAnsi="宋体" w:cs="宋体"/>
          <w:color w:val="auto"/>
          <w:highlight w:val="none"/>
        </w:rPr>
        <w:t>评审报告</w:t>
      </w:r>
      <w:r>
        <w:rPr>
          <w:rFonts w:hint="eastAsia" w:hAnsi="宋体"/>
          <w:color w:val="auto"/>
          <w:highlight w:val="none"/>
        </w:rPr>
        <w:t>通过电子交易平台向采购人、采购代理机构提交。</w:t>
      </w:r>
      <w:r>
        <w:rPr>
          <w:rFonts w:hint="eastAsia" w:ascii="宋体" w:hAnsi="宋体"/>
          <w:bCs/>
          <w:color w:val="auto"/>
          <w:szCs w:val="21"/>
          <w:highlight w:val="none"/>
        </w:rPr>
        <w:t>符合本章第</w:t>
      </w:r>
      <w:r>
        <w:rPr>
          <w:rFonts w:ascii="宋体" w:hAnsi="宋体"/>
          <w:bCs/>
          <w:color w:val="auto"/>
          <w:szCs w:val="21"/>
          <w:highlight w:val="none"/>
        </w:rPr>
        <w:t>4.3</w:t>
      </w:r>
      <w:r>
        <w:rPr>
          <w:rFonts w:hint="eastAsia" w:ascii="宋体" w:hAnsi="宋体"/>
          <w:bCs/>
          <w:color w:val="auto"/>
          <w:szCs w:val="21"/>
          <w:highlight w:val="none"/>
        </w:rPr>
        <w:t>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技术要求偏离分由高到低排序）。评审得分、最后报价（不计算价格折扣）、技术得分、技术要求偏离分均相同的，由磋商小组随机抽取推荐</w:t>
      </w:r>
      <w:r>
        <w:rPr>
          <w:rFonts w:hint="eastAsia" w:ascii="宋体" w:hAnsi="宋体"/>
          <w:color w:val="auto"/>
          <w:kern w:val="0"/>
          <w:szCs w:val="21"/>
          <w:highlight w:val="none"/>
        </w:rPr>
        <w:t>。</w:t>
      </w:r>
    </w:p>
    <w:p w14:paraId="333BA4CF">
      <w:pPr>
        <w:spacing w:line="360" w:lineRule="auto"/>
        <w:ind w:firstLine="420" w:firstLineChars="200"/>
        <w:rPr>
          <w:rFonts w:ascii="宋体" w:hAnsi="宋体" w:cs="宋体"/>
          <w:color w:val="auto"/>
          <w:szCs w:val="21"/>
          <w:highlight w:val="none"/>
        </w:rPr>
      </w:pPr>
      <w:r>
        <w:rPr>
          <w:rFonts w:hint="eastAsia" w:ascii="宋体" w:hAnsi="宋体"/>
          <w:color w:val="auto"/>
          <w:kern w:val="0"/>
          <w:szCs w:val="21"/>
          <w:highlight w:val="none"/>
        </w:rPr>
        <w:t>6</w:t>
      </w:r>
      <w:r>
        <w:rPr>
          <w:rFonts w:ascii="宋体" w:hAnsi="宋体"/>
          <w:color w:val="auto"/>
          <w:kern w:val="0"/>
          <w:szCs w:val="21"/>
          <w:highlight w:val="none"/>
        </w:rPr>
        <w:t>.</w:t>
      </w:r>
      <w:r>
        <w:rPr>
          <w:rFonts w:hint="eastAsia" w:ascii="宋体" w:hAnsi="宋体"/>
          <w:color w:val="auto"/>
          <w:kern w:val="0"/>
          <w:szCs w:val="21"/>
          <w:highlight w:val="none"/>
        </w:rPr>
        <w:t>2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1F887E98">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二、评审标准</w:t>
      </w:r>
    </w:p>
    <w:p w14:paraId="4CF052F4">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7</w:t>
      </w:r>
      <w:r>
        <w:rPr>
          <w:rFonts w:ascii="宋体" w:hAnsi="宋体"/>
          <w:bCs/>
          <w:color w:val="auto"/>
          <w:szCs w:val="21"/>
          <w:highlight w:val="none"/>
        </w:rPr>
        <w:t>.</w:t>
      </w:r>
      <w:r>
        <w:rPr>
          <w:rFonts w:hint="eastAsia" w:ascii="宋体" w:hAnsi="宋体"/>
          <w:bCs/>
          <w:color w:val="auto"/>
          <w:szCs w:val="21"/>
          <w:highlight w:val="none"/>
        </w:rPr>
        <w:t>评审依据：磋商小组以磋商文件为评审依据，对供应商的报价、技术、商务等方面内容按百分制打分。（计分方法按四舍五入取至百分位）</w:t>
      </w:r>
    </w:p>
    <w:tbl>
      <w:tblPr>
        <w:tblStyle w:val="55"/>
        <w:tblW w:w="9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418"/>
        <w:gridCol w:w="6286"/>
        <w:gridCol w:w="853"/>
      </w:tblGrid>
      <w:tr w14:paraId="37CF7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vAlign w:val="center"/>
          </w:tcPr>
          <w:p w14:paraId="2BB2E537">
            <w:pPr>
              <w:widowControl/>
              <w:spacing w:line="360" w:lineRule="auto"/>
              <w:jc w:val="center"/>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序号</w:t>
            </w:r>
          </w:p>
        </w:tc>
        <w:tc>
          <w:tcPr>
            <w:tcW w:w="1418" w:type="dxa"/>
            <w:vAlign w:val="center"/>
          </w:tcPr>
          <w:p w14:paraId="1E00BD23">
            <w:pPr>
              <w:widowControl/>
              <w:spacing w:line="360" w:lineRule="auto"/>
              <w:jc w:val="center"/>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评审因素</w:t>
            </w:r>
          </w:p>
        </w:tc>
        <w:tc>
          <w:tcPr>
            <w:tcW w:w="6286" w:type="dxa"/>
            <w:vAlign w:val="center"/>
          </w:tcPr>
          <w:p w14:paraId="13E6312E">
            <w:pPr>
              <w:widowControl/>
              <w:spacing w:line="360" w:lineRule="auto"/>
              <w:jc w:val="center"/>
              <w:rPr>
                <w:rFonts w:hint="eastAsia" w:asciiTheme="minorEastAsia" w:hAnsiTheme="minorEastAsia" w:eastAsiaTheme="minorEastAsia" w:cstheme="minorEastAsia"/>
                <w:b/>
                <w:bCs/>
                <w:color w:val="auto"/>
                <w:kern w:val="0"/>
                <w:sz w:val="21"/>
                <w:szCs w:val="21"/>
                <w:highlight w:val="none"/>
              </w:rPr>
            </w:pPr>
            <w:bookmarkStart w:id="72" w:name="评分标准"/>
            <w:r>
              <w:rPr>
                <w:rFonts w:hint="eastAsia" w:asciiTheme="minorEastAsia" w:hAnsiTheme="minorEastAsia" w:eastAsiaTheme="minorEastAsia" w:cstheme="minorEastAsia"/>
                <w:b/>
                <w:bCs/>
                <w:color w:val="auto"/>
                <w:kern w:val="0"/>
                <w:sz w:val="21"/>
                <w:szCs w:val="21"/>
                <w:highlight w:val="none"/>
              </w:rPr>
              <w:t>评审标准</w:t>
            </w:r>
            <w:bookmarkEnd w:id="72"/>
          </w:p>
        </w:tc>
        <w:tc>
          <w:tcPr>
            <w:tcW w:w="853" w:type="dxa"/>
            <w:vAlign w:val="center"/>
          </w:tcPr>
          <w:p w14:paraId="33E99FB5">
            <w:pPr>
              <w:widowControl/>
              <w:spacing w:line="360" w:lineRule="auto"/>
              <w:jc w:val="center"/>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分值</w:t>
            </w:r>
          </w:p>
        </w:tc>
      </w:tr>
      <w:tr w14:paraId="073BD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1" w:hRule="atLeast"/>
          <w:jc w:val="center"/>
        </w:trPr>
        <w:tc>
          <w:tcPr>
            <w:tcW w:w="533" w:type="dxa"/>
            <w:vAlign w:val="center"/>
          </w:tcPr>
          <w:p w14:paraId="22072D00">
            <w:pPr>
              <w:widowControl/>
              <w:spacing w:line="360" w:lineRule="auto"/>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w:t>
            </w:r>
          </w:p>
        </w:tc>
        <w:tc>
          <w:tcPr>
            <w:tcW w:w="1418" w:type="dxa"/>
            <w:vAlign w:val="center"/>
          </w:tcPr>
          <w:p w14:paraId="115C92C3">
            <w:pPr>
              <w:widowControl/>
              <w:spacing w:line="360" w:lineRule="auto"/>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价格分</w:t>
            </w:r>
          </w:p>
        </w:tc>
        <w:tc>
          <w:tcPr>
            <w:tcW w:w="6286" w:type="dxa"/>
            <w:vAlign w:val="center"/>
          </w:tcPr>
          <w:p w14:paraId="2FCA5152">
            <w:pPr>
              <w:snapToGrid w:val="0"/>
              <w:spacing w:line="240" w:lineRule="auto"/>
              <w:jc w:val="both"/>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bCs/>
                <w:color w:val="auto"/>
                <w:sz w:val="21"/>
                <w:szCs w:val="21"/>
                <w:highlight w:val="none"/>
                <w:lang w:val="en-US" w:eastAsia="zh-CN"/>
              </w:rPr>
              <w:t>（1）</w:t>
            </w:r>
            <w:r>
              <w:rPr>
                <w:rFonts w:hint="eastAsia" w:asciiTheme="minorEastAsia" w:hAnsiTheme="minorEastAsia" w:eastAsiaTheme="minorEastAsia" w:cstheme="minorEastAsia"/>
                <w:b/>
                <w:bCs/>
                <w:color w:val="auto"/>
                <w:sz w:val="21"/>
                <w:szCs w:val="21"/>
                <w:highlight w:val="none"/>
              </w:rPr>
              <w:t>本项目为专门面对</w:t>
            </w:r>
            <w:r>
              <w:rPr>
                <w:rFonts w:hint="eastAsia" w:asciiTheme="minorEastAsia" w:hAnsiTheme="minorEastAsia" w:eastAsiaTheme="minorEastAsia" w:cstheme="minorEastAsia"/>
                <w:b/>
                <w:bCs/>
                <w:color w:val="auto"/>
                <w:sz w:val="21"/>
                <w:szCs w:val="21"/>
                <w:highlight w:val="none"/>
                <w:lang w:val="en-US" w:eastAsia="zh-CN"/>
              </w:rPr>
              <w:t>中小微</w:t>
            </w:r>
            <w:r>
              <w:rPr>
                <w:rFonts w:hint="eastAsia" w:asciiTheme="minorEastAsia" w:hAnsiTheme="minorEastAsia" w:eastAsiaTheme="minorEastAsia" w:cstheme="minorEastAsia"/>
                <w:b/>
                <w:bCs/>
                <w:color w:val="auto"/>
                <w:sz w:val="21"/>
                <w:szCs w:val="21"/>
                <w:highlight w:val="none"/>
              </w:rPr>
              <w:t>企业项目，</w:t>
            </w:r>
            <w:r>
              <w:rPr>
                <w:rFonts w:hint="eastAsia" w:asciiTheme="minorEastAsia" w:hAnsiTheme="minorEastAsia" w:eastAsiaTheme="minorEastAsia" w:cstheme="minorEastAsia"/>
                <w:b/>
                <w:bCs/>
                <w:color w:val="auto"/>
                <w:sz w:val="21"/>
                <w:szCs w:val="21"/>
                <w:highlight w:val="none"/>
                <w:lang w:val="en-US" w:eastAsia="zh-CN"/>
              </w:rPr>
              <w:t>中</w:t>
            </w:r>
            <w:r>
              <w:rPr>
                <w:rFonts w:hint="eastAsia" w:asciiTheme="minorEastAsia" w:hAnsiTheme="minorEastAsia" w:eastAsiaTheme="minorEastAsia" w:cstheme="minorEastAsia"/>
                <w:b/>
                <w:bCs/>
                <w:color w:val="auto"/>
                <w:sz w:val="21"/>
                <w:szCs w:val="21"/>
                <w:highlight w:val="none"/>
              </w:rPr>
              <w:t>小微企业、监狱企业、残疾人福利性单位均不再执行价格评审优惠的扶持政策。</w:t>
            </w:r>
          </w:p>
          <w:p w14:paraId="39C986D9">
            <w:pPr>
              <w:pStyle w:val="5"/>
              <w:keepNext/>
              <w:keepLines/>
              <w:pageBreakBefore w:val="0"/>
              <w:widowControl/>
              <w:kinsoku/>
              <w:wordWrap/>
              <w:overflowPunct/>
              <w:topLinePunct w:val="0"/>
              <w:autoSpaceDE/>
              <w:autoSpaceDN/>
              <w:bidi w:val="0"/>
              <w:adjustRightInd/>
              <w:snapToGrid/>
              <w:spacing w:before="0" w:after="0" w:line="400" w:lineRule="exact"/>
              <w:jc w:val="both"/>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en-US" w:eastAsia="zh-CN"/>
              </w:rPr>
              <w:t>）满足磋商文件要求且评审价最低的评审报价为评审基准价，基准价得分为20分。</w:t>
            </w:r>
          </w:p>
          <w:p w14:paraId="5E5C36EF">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rPr>
                <w:rFonts w:hint="eastAsia" w:ascii="宋体" w:hAnsi="宋体" w:eastAsia="宋体" w:cs="宋体"/>
                <w:b/>
                <w:bCs w:val="0"/>
                <w:color w:val="auto"/>
                <w:kern w:val="2"/>
                <w:sz w:val="21"/>
                <w:szCs w:val="21"/>
                <w:highlight w:val="none"/>
                <w:lang w:val="en-US" w:eastAsia="zh-CN" w:bidi="ar-SA"/>
              </w:rPr>
            </w:pPr>
            <w:r>
              <w:rPr>
                <w:rFonts w:hint="eastAsia" w:ascii="宋体" w:hAnsi="宋体" w:eastAsia="宋体" w:cs="宋体"/>
                <w:b/>
                <w:bCs w:val="0"/>
                <w:color w:val="auto"/>
                <w:kern w:val="2"/>
                <w:sz w:val="21"/>
                <w:szCs w:val="21"/>
                <w:highlight w:val="none"/>
                <w:lang w:val="en-US" w:eastAsia="zh-CN" w:bidi="ar-SA"/>
              </w:rPr>
              <w:t>（</w:t>
            </w:r>
            <w:r>
              <w:rPr>
                <w:rFonts w:hint="eastAsia" w:ascii="宋体" w:hAnsi="宋体" w:cs="宋体"/>
                <w:b/>
                <w:bCs w:val="0"/>
                <w:color w:val="auto"/>
                <w:kern w:val="2"/>
                <w:sz w:val="21"/>
                <w:szCs w:val="21"/>
                <w:highlight w:val="none"/>
                <w:lang w:val="en-US" w:eastAsia="zh-CN" w:bidi="ar-SA"/>
              </w:rPr>
              <w:t>3</w:t>
            </w:r>
            <w:r>
              <w:rPr>
                <w:rFonts w:hint="eastAsia" w:ascii="宋体" w:hAnsi="宋体" w:eastAsia="宋体" w:cs="宋体"/>
                <w:b/>
                <w:bCs w:val="0"/>
                <w:color w:val="auto"/>
                <w:kern w:val="2"/>
                <w:sz w:val="21"/>
                <w:szCs w:val="21"/>
                <w:highlight w:val="none"/>
                <w:lang w:val="en-US" w:eastAsia="zh-CN" w:bidi="ar-SA"/>
              </w:rPr>
              <w:t>）价格分计算公式：</w:t>
            </w:r>
          </w:p>
          <w:p w14:paraId="6882ED6B">
            <w:pPr>
              <w:pStyle w:val="29"/>
              <w:spacing w:line="360" w:lineRule="auto"/>
              <w:ind w:firstLine="422" w:firstLineChars="200"/>
              <w:jc w:val="both"/>
              <w:rPr>
                <w:rFonts w:hint="eastAsia" w:asciiTheme="minorEastAsia" w:hAnsiTheme="minorEastAsia" w:eastAsiaTheme="minorEastAsia" w:cstheme="minorEastAsia"/>
                <w:bCs/>
                <w:color w:val="auto"/>
                <w:kern w:val="2"/>
                <w:sz w:val="21"/>
                <w:szCs w:val="21"/>
                <w:highlight w:val="none"/>
              </w:rPr>
            </w:pPr>
            <w:r>
              <w:rPr>
                <w:rFonts w:hint="eastAsia" w:ascii="宋体" w:hAnsi="宋体" w:eastAsia="宋体" w:cs="宋体"/>
                <w:b/>
                <w:bCs w:val="0"/>
                <w:color w:val="auto"/>
                <w:kern w:val="0"/>
                <w:sz w:val="21"/>
                <w:szCs w:val="21"/>
                <w:highlight w:val="none"/>
                <w:lang w:val="en-US" w:eastAsia="zh-CN" w:bidi="ar-SA"/>
              </w:rPr>
              <w:t>报价得分=（基准价/某供应商的评审报价）×20分</w:t>
            </w:r>
          </w:p>
        </w:tc>
        <w:tc>
          <w:tcPr>
            <w:tcW w:w="853" w:type="dxa"/>
            <w:vAlign w:val="center"/>
          </w:tcPr>
          <w:p w14:paraId="5901A12C">
            <w:pPr>
              <w:widowControl/>
              <w:spacing w:line="360" w:lineRule="auto"/>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20分</w:t>
            </w:r>
          </w:p>
        </w:tc>
      </w:tr>
      <w:tr w14:paraId="1C1AF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Align w:val="center"/>
          </w:tcPr>
          <w:p w14:paraId="0D86DDCE">
            <w:pPr>
              <w:widowControl/>
              <w:spacing w:line="360" w:lineRule="auto"/>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bCs/>
                <w:color w:val="auto"/>
                <w:kern w:val="0"/>
                <w:sz w:val="21"/>
                <w:szCs w:val="21"/>
                <w:highlight w:val="none"/>
              </w:rPr>
              <w:t>2</w:t>
            </w:r>
          </w:p>
        </w:tc>
        <w:tc>
          <w:tcPr>
            <w:tcW w:w="1418" w:type="dxa"/>
            <w:vAlign w:val="center"/>
          </w:tcPr>
          <w:p w14:paraId="162C6ABD">
            <w:pPr>
              <w:widowControl/>
              <w:spacing w:line="360" w:lineRule="auto"/>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bCs/>
                <w:color w:val="auto"/>
                <w:kern w:val="0"/>
                <w:sz w:val="21"/>
                <w:szCs w:val="21"/>
                <w:highlight w:val="none"/>
              </w:rPr>
              <w:t>技术分</w:t>
            </w:r>
          </w:p>
        </w:tc>
        <w:tc>
          <w:tcPr>
            <w:tcW w:w="6286" w:type="dxa"/>
            <w:vAlign w:val="center"/>
          </w:tcPr>
          <w:p w14:paraId="7847C052">
            <w:pPr>
              <w:spacing w:line="360" w:lineRule="auto"/>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bCs/>
                <w:color w:val="auto"/>
                <w:sz w:val="21"/>
                <w:szCs w:val="21"/>
                <w:highlight w:val="none"/>
              </w:rPr>
              <w:t>评审标准</w:t>
            </w:r>
          </w:p>
        </w:tc>
        <w:tc>
          <w:tcPr>
            <w:tcW w:w="853" w:type="dxa"/>
            <w:vAlign w:val="center"/>
          </w:tcPr>
          <w:p w14:paraId="23AF8DD4">
            <w:pPr>
              <w:spacing w:line="360" w:lineRule="auto"/>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69</w:t>
            </w:r>
            <w:r>
              <w:rPr>
                <w:rFonts w:hint="eastAsia" w:asciiTheme="minorEastAsia" w:hAnsiTheme="minorEastAsia" w:eastAsiaTheme="minorEastAsia" w:cstheme="minorEastAsia"/>
                <w:color w:val="auto"/>
                <w:kern w:val="0"/>
                <w:sz w:val="21"/>
                <w:szCs w:val="21"/>
                <w:highlight w:val="none"/>
              </w:rPr>
              <w:t>分</w:t>
            </w:r>
          </w:p>
        </w:tc>
      </w:tr>
      <w:tr w14:paraId="0AA1C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533" w:type="dxa"/>
            <w:vMerge w:val="restart"/>
            <w:vAlign w:val="center"/>
          </w:tcPr>
          <w:p w14:paraId="4704D3C7">
            <w:pPr>
              <w:adjustRightInd w:val="0"/>
              <w:spacing w:line="360" w:lineRule="auto"/>
              <w:ind w:left="-105" w:leftChars="-50" w:right="-105" w:rightChars="-50"/>
              <w:jc w:val="center"/>
              <w:textAlignment w:val="baseline"/>
              <w:rPr>
                <w:rFonts w:hint="eastAsia" w:asciiTheme="minorEastAsia" w:hAnsiTheme="minorEastAsia" w:eastAsiaTheme="minorEastAsia" w:cstheme="minorEastAsia"/>
                <w:bCs/>
                <w:color w:val="auto"/>
                <w:kern w:val="0"/>
                <w:sz w:val="21"/>
                <w:szCs w:val="21"/>
                <w:highlight w:val="none"/>
              </w:rPr>
            </w:pPr>
            <w:r>
              <w:rPr>
                <w:rFonts w:hint="eastAsia" w:asciiTheme="minorEastAsia" w:hAnsiTheme="minorEastAsia" w:eastAsiaTheme="minorEastAsia" w:cstheme="minorEastAsia"/>
                <w:bCs/>
                <w:color w:val="auto"/>
                <w:kern w:val="0"/>
                <w:sz w:val="21"/>
                <w:szCs w:val="21"/>
                <w:highlight w:val="none"/>
              </w:rPr>
              <w:t>2.1</w:t>
            </w:r>
          </w:p>
        </w:tc>
        <w:tc>
          <w:tcPr>
            <w:tcW w:w="1418" w:type="dxa"/>
            <w:vAlign w:val="center"/>
          </w:tcPr>
          <w:p w14:paraId="365A572D">
            <w:pPr>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主要施工方法方案分（满分10分）</w:t>
            </w:r>
          </w:p>
        </w:tc>
        <w:tc>
          <w:tcPr>
            <w:tcW w:w="6286" w:type="dxa"/>
            <w:vAlign w:val="top"/>
          </w:tcPr>
          <w:p w14:paraId="7BD60D02">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一档（2分）：各主要分部施工方法符合项目需求，有施工技术方案。采用与本项目无关的施工技术方案、内容进行凑字数，凑页数，比例达到50%，按此档评定。 </w:t>
            </w:r>
          </w:p>
          <w:p w14:paraId="5B5B59EB">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二档（6分）：各主要分部施工方法符合项目实际，有详尽的施工技术方案，有主要分部工程施工步骤、施工要点，能指导具体施工并确保安全。采用与本项目无关的施工技术方案、内容进行凑字数，凑页数，比例达到30%，按此档评定。 </w:t>
            </w:r>
          </w:p>
          <w:p w14:paraId="74218EDC">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三档（10分）：绘制施工平面布置图，如涉及取电位置、取水位置等。提交本项目编制的施工用电安全责任书。各主要分部施工方法符合项目实际，能根据项目特点，编制对应的施工方案</w:t>
            </w:r>
            <w:r>
              <w:rPr>
                <w:rFonts w:hint="eastAsia" w:asciiTheme="minorEastAsia" w:hAnsiTheme="minorEastAsia" w:eastAsiaTheme="minorEastAsia" w:cstheme="minorEastAsia"/>
                <w:color w:val="auto"/>
                <w:sz w:val="21"/>
                <w:szCs w:val="21"/>
                <w:highlight w:val="none"/>
                <w:lang w:eastAsia="zh-CN"/>
              </w:rPr>
              <w:t>，具</w:t>
            </w:r>
            <w:r>
              <w:rPr>
                <w:rFonts w:hint="eastAsia" w:asciiTheme="minorEastAsia" w:hAnsiTheme="minorEastAsia" w:eastAsiaTheme="minorEastAsia" w:cstheme="minorEastAsia"/>
                <w:color w:val="auto"/>
                <w:sz w:val="21"/>
                <w:szCs w:val="21"/>
                <w:highlight w:val="none"/>
              </w:rPr>
              <w:t>有详尽的施工技术方案，主要分部工程施工工序、施工步骤、施工要点、施工工艺方案具有先进性，施工准备、技术准备或交底、各工种施工配合方案具有针对性，能高效指导具体施工并确保安全。</w:t>
            </w:r>
          </w:p>
        </w:tc>
        <w:tc>
          <w:tcPr>
            <w:tcW w:w="853" w:type="dxa"/>
            <w:vAlign w:val="center"/>
          </w:tcPr>
          <w:p w14:paraId="7631E824">
            <w:pPr>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rPr>
              <w:t>10分</w:t>
            </w:r>
          </w:p>
        </w:tc>
      </w:tr>
      <w:tr w14:paraId="331E7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0" w:hRule="atLeast"/>
          <w:jc w:val="center"/>
        </w:trPr>
        <w:tc>
          <w:tcPr>
            <w:tcW w:w="533" w:type="dxa"/>
            <w:vAlign w:val="center"/>
          </w:tcPr>
          <w:p w14:paraId="1A5513C9">
            <w:pPr>
              <w:adjustRightInd w:val="0"/>
              <w:spacing w:line="360" w:lineRule="auto"/>
              <w:ind w:left="-105" w:leftChars="-50" w:right="-105" w:rightChars="-50"/>
              <w:jc w:val="center"/>
              <w:textAlignment w:val="baseline"/>
              <w:rPr>
                <w:rFonts w:hint="eastAsia" w:asciiTheme="minorEastAsia" w:hAnsiTheme="minorEastAsia" w:eastAsiaTheme="minorEastAsia" w:cstheme="minorEastAsia"/>
                <w:bCs/>
                <w:color w:val="auto"/>
                <w:kern w:val="0"/>
                <w:sz w:val="21"/>
                <w:szCs w:val="21"/>
                <w:highlight w:val="none"/>
              </w:rPr>
            </w:pPr>
            <w:r>
              <w:rPr>
                <w:rFonts w:hint="eastAsia" w:asciiTheme="minorEastAsia" w:hAnsiTheme="minorEastAsia" w:eastAsiaTheme="minorEastAsia" w:cstheme="minorEastAsia"/>
                <w:bCs/>
                <w:color w:val="auto"/>
                <w:kern w:val="0"/>
                <w:sz w:val="21"/>
                <w:szCs w:val="21"/>
                <w:highlight w:val="none"/>
              </w:rPr>
              <w:t>2.2</w:t>
            </w:r>
          </w:p>
        </w:tc>
        <w:tc>
          <w:tcPr>
            <w:tcW w:w="1418" w:type="dxa"/>
            <w:vAlign w:val="center"/>
          </w:tcPr>
          <w:p w14:paraId="4FAA1030">
            <w:pPr>
              <w:pStyle w:val="265"/>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拟投入的主要物资计划、劳动力安排计划方案分（满分10分）</w:t>
            </w:r>
          </w:p>
        </w:tc>
        <w:tc>
          <w:tcPr>
            <w:tcW w:w="6286" w:type="dxa"/>
            <w:vAlign w:val="top"/>
          </w:tcPr>
          <w:p w14:paraId="07EB67C3">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一档（2分）：投入的施工材料有组织计划，基本满足施工需要。各主要施工工序有劳动力安排计划，有各工种劳动力安排计划，基本能满足施工需要。采用与本项目无关的施工技术方案、内容进行凑字数，凑页数，比例达到50%，按此档评定。例如1.项目中不涉及绿化工程，人员却安排绿化工程师。2.项目不涉及混凝土搅拌，物资安排表中却列出搅拌机、混凝土泵送机。</w:t>
            </w:r>
          </w:p>
          <w:p w14:paraId="415D2BCE">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二档（6分）：投入的主要物资计划与进度计划呼应，满足施工需要，定量定点堆放物资。各主要施工工序有周密的劳动力安排计划，不窝工，有各工种劳动力安排计划，能满足施工需要。采用与本项目无关的施工技术方案、内容进行凑字数，凑页数，比例达到30%，按此档评定。</w:t>
            </w:r>
          </w:p>
          <w:p w14:paraId="349B9851">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三档（10分）：投入的主要物资计划与进度计划呼应，满足施工需要，材料物资采购及供应保证措施，定量定点堆放物资。各主要施工工序有周密的劳动力安排计划，不窝工，各工种劳动力安排计划切实高效，有切实有效的劳动力保障措施，能满足施工需要且衔接得当。物资投入主要设备属于公司名下的，提供图片、发票等佐证材料。</w:t>
            </w:r>
          </w:p>
        </w:tc>
        <w:tc>
          <w:tcPr>
            <w:tcW w:w="853" w:type="dxa"/>
            <w:vAlign w:val="center"/>
          </w:tcPr>
          <w:p w14:paraId="2069E54E">
            <w:pPr>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rPr>
              <w:t>10分</w:t>
            </w:r>
          </w:p>
        </w:tc>
      </w:tr>
      <w:tr w14:paraId="70F93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533" w:type="dxa"/>
            <w:vAlign w:val="center"/>
          </w:tcPr>
          <w:p w14:paraId="65956C0E">
            <w:pPr>
              <w:adjustRightInd w:val="0"/>
              <w:spacing w:line="360" w:lineRule="auto"/>
              <w:ind w:left="-105" w:leftChars="-50" w:right="-105" w:rightChars="-50"/>
              <w:jc w:val="center"/>
              <w:textAlignment w:val="baseline"/>
              <w:rPr>
                <w:rFonts w:hint="eastAsia" w:asciiTheme="minorEastAsia" w:hAnsiTheme="minorEastAsia" w:eastAsiaTheme="minorEastAsia" w:cstheme="minorEastAsia"/>
                <w:bCs/>
                <w:color w:val="auto"/>
                <w:kern w:val="0"/>
                <w:sz w:val="21"/>
                <w:szCs w:val="21"/>
                <w:highlight w:val="none"/>
                <w:lang w:val="en-US" w:eastAsia="zh-CN"/>
              </w:rPr>
            </w:pPr>
            <w:r>
              <w:rPr>
                <w:rFonts w:hint="eastAsia" w:asciiTheme="minorEastAsia" w:hAnsiTheme="minorEastAsia" w:eastAsiaTheme="minorEastAsia" w:cstheme="minorEastAsia"/>
                <w:bCs/>
                <w:color w:val="auto"/>
                <w:kern w:val="0"/>
                <w:sz w:val="21"/>
                <w:szCs w:val="21"/>
                <w:highlight w:val="none"/>
                <w:lang w:val="en-US" w:eastAsia="zh-CN"/>
              </w:rPr>
              <w:t>2.3</w:t>
            </w:r>
          </w:p>
        </w:tc>
        <w:tc>
          <w:tcPr>
            <w:tcW w:w="1418" w:type="dxa"/>
            <w:vAlign w:val="center"/>
          </w:tcPr>
          <w:p w14:paraId="293F6570">
            <w:pPr>
              <w:pStyle w:val="265"/>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确保工程质量的技术组织措施方案分（满分10分）</w:t>
            </w:r>
          </w:p>
        </w:tc>
        <w:tc>
          <w:tcPr>
            <w:tcW w:w="6286" w:type="dxa"/>
            <w:vAlign w:val="top"/>
          </w:tcPr>
          <w:p w14:paraId="0B3B06D7">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一档（2分）：有质量技术管理班子和制度，主要工序有质量技术保证措施和手段。采用与本项目无关的施工技术方案、内容进行凑字数，凑页数，比例达到50%，按此档评定。</w:t>
            </w:r>
          </w:p>
          <w:p w14:paraId="79D7CF6C">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二档（6分）：有质量技术管理班子和制度，主要工序有质量技术保证措施和手段，自控体系完整，有施工准备阶段和施工过程质量控制措施，能保证技术质量，满足采购需求文件的质量要求及验收规范要求。采用与本项目无关的施工技术方案、内容进行凑字数，凑页数，比例达到30%，按此档评定。</w:t>
            </w:r>
          </w:p>
          <w:p w14:paraId="6C46F383">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三档（10分）：有质量验收流程图。根据本项目列出质量验收的重点，难点，措施得当。有专门的质量技术管理班子和制度，明确管理班子质量责任，主要工序有质量技术保证措施和手段，自控体系完整，有施工准备阶段、施工过程、竣工验收及交工阶段质量控制措施，隐蔽工程检查制度，有施工质量验收制度，工程质量保修方案，能有效保证技术质量，达到承诺的质量标准及验收规范要求。</w:t>
            </w:r>
          </w:p>
        </w:tc>
        <w:tc>
          <w:tcPr>
            <w:tcW w:w="853" w:type="dxa"/>
            <w:vAlign w:val="center"/>
          </w:tcPr>
          <w:p w14:paraId="5BF5F00B">
            <w:pPr>
              <w:spacing w:line="360" w:lineRule="auto"/>
              <w:jc w:val="center"/>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10分</w:t>
            </w:r>
          </w:p>
        </w:tc>
      </w:tr>
      <w:tr w14:paraId="58762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0" w:hRule="atLeast"/>
          <w:jc w:val="center"/>
        </w:trPr>
        <w:tc>
          <w:tcPr>
            <w:tcW w:w="533" w:type="dxa"/>
            <w:vAlign w:val="center"/>
          </w:tcPr>
          <w:p w14:paraId="6B6AB22F">
            <w:pPr>
              <w:adjustRightInd w:val="0"/>
              <w:spacing w:line="360" w:lineRule="auto"/>
              <w:ind w:left="-105" w:leftChars="-50" w:right="-105" w:rightChars="-50"/>
              <w:jc w:val="center"/>
              <w:textAlignment w:val="baseline"/>
              <w:rPr>
                <w:rFonts w:hint="eastAsia" w:asciiTheme="minorEastAsia" w:hAnsiTheme="minorEastAsia" w:eastAsiaTheme="minorEastAsia" w:cstheme="minorEastAsia"/>
                <w:bCs/>
                <w:color w:val="auto"/>
                <w:kern w:val="0"/>
                <w:sz w:val="21"/>
                <w:szCs w:val="21"/>
                <w:highlight w:val="none"/>
                <w:lang w:val="en-US" w:eastAsia="zh-CN"/>
              </w:rPr>
            </w:pPr>
            <w:r>
              <w:rPr>
                <w:rFonts w:hint="eastAsia" w:asciiTheme="minorEastAsia" w:hAnsiTheme="minorEastAsia" w:eastAsiaTheme="minorEastAsia" w:cstheme="minorEastAsia"/>
                <w:bCs/>
                <w:color w:val="auto"/>
                <w:kern w:val="0"/>
                <w:sz w:val="21"/>
                <w:szCs w:val="21"/>
                <w:highlight w:val="none"/>
                <w:lang w:val="en-US" w:eastAsia="zh-CN"/>
              </w:rPr>
              <w:t>2.4</w:t>
            </w:r>
          </w:p>
        </w:tc>
        <w:tc>
          <w:tcPr>
            <w:tcW w:w="1418" w:type="dxa"/>
            <w:vAlign w:val="center"/>
          </w:tcPr>
          <w:p w14:paraId="7B312388">
            <w:pPr>
              <w:pStyle w:val="265"/>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确保安全生产的技术组织措施方案分（满分10分）</w:t>
            </w:r>
          </w:p>
        </w:tc>
        <w:tc>
          <w:tcPr>
            <w:tcW w:w="6286" w:type="dxa"/>
            <w:vAlign w:val="top"/>
          </w:tcPr>
          <w:p w14:paraId="18FC635E">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一档（2分）：有专门的安全管理人员和制度，有各道工序安全技术措施。采用与本项目无关的施工技术方案、内容进行凑字数，凑页数，比例达到50%，按此档评定。</w:t>
            </w:r>
          </w:p>
          <w:p w14:paraId="7586EA82">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二档（6分）：有专门的安全管理人员和制度，有各道工序安全技术措施，确保工程质量的技术组织措施符合实际且满足有关安全技术标准要求。有现场防火、应急救援、社会治安安全措施。采用与本项目无关的施工技术方案、内容进行凑字数，凑页数，比例达到50%，按此档评定。</w:t>
            </w:r>
          </w:p>
          <w:p w14:paraId="56DC37F3">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三档（10分）：根据学校人员结构、管理模式等特点，制定符合学校女生居多的安全管理方案。有专门的安全管理人员和制度，各道工序安全技术措施具有针对性，确保工程质量的技术组织措施切合实际且优于有关安全技术标准要求。有得力的现场防火、应急救援、社会治安安全措施。有安全生产责任、安全生产教育培训制度、施工现场临时用电方案及安全用电措施、安全管理目标。有符合项目的安全事故应急方案、流程，应急部门、送医地点符合项目所在地。</w:t>
            </w:r>
          </w:p>
        </w:tc>
        <w:tc>
          <w:tcPr>
            <w:tcW w:w="853" w:type="dxa"/>
            <w:vAlign w:val="center"/>
          </w:tcPr>
          <w:p w14:paraId="1DFBCE29">
            <w:pPr>
              <w:spacing w:line="360" w:lineRule="auto"/>
              <w:jc w:val="center"/>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10分</w:t>
            </w:r>
          </w:p>
        </w:tc>
      </w:tr>
      <w:tr w14:paraId="0F868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0" w:hRule="atLeast"/>
          <w:jc w:val="center"/>
        </w:trPr>
        <w:tc>
          <w:tcPr>
            <w:tcW w:w="533" w:type="dxa"/>
            <w:vAlign w:val="center"/>
          </w:tcPr>
          <w:p w14:paraId="1D5D8713">
            <w:pPr>
              <w:adjustRightInd w:val="0"/>
              <w:spacing w:line="360" w:lineRule="auto"/>
              <w:ind w:left="-105" w:leftChars="-50" w:right="-105" w:rightChars="-50"/>
              <w:jc w:val="center"/>
              <w:textAlignment w:val="baseline"/>
              <w:rPr>
                <w:rFonts w:hint="eastAsia" w:asciiTheme="minorEastAsia" w:hAnsiTheme="minorEastAsia" w:eastAsiaTheme="minorEastAsia" w:cstheme="minorEastAsia"/>
                <w:bCs/>
                <w:color w:val="auto"/>
                <w:kern w:val="0"/>
                <w:sz w:val="21"/>
                <w:szCs w:val="21"/>
                <w:highlight w:val="none"/>
                <w:lang w:val="en-US" w:eastAsia="zh-CN"/>
              </w:rPr>
            </w:pPr>
            <w:r>
              <w:rPr>
                <w:rFonts w:hint="eastAsia" w:asciiTheme="minorEastAsia" w:hAnsiTheme="minorEastAsia" w:eastAsiaTheme="minorEastAsia" w:cstheme="minorEastAsia"/>
                <w:bCs/>
                <w:color w:val="auto"/>
                <w:kern w:val="0"/>
                <w:sz w:val="21"/>
                <w:szCs w:val="21"/>
                <w:highlight w:val="none"/>
                <w:lang w:val="en-US" w:eastAsia="zh-CN"/>
              </w:rPr>
              <w:t>2.5</w:t>
            </w:r>
          </w:p>
        </w:tc>
        <w:tc>
          <w:tcPr>
            <w:tcW w:w="1418" w:type="dxa"/>
            <w:vAlign w:val="center"/>
          </w:tcPr>
          <w:p w14:paraId="71B182FE">
            <w:pPr>
              <w:pStyle w:val="265"/>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确保工期的技术组织措施方案分（满分10分）</w:t>
            </w:r>
          </w:p>
        </w:tc>
        <w:tc>
          <w:tcPr>
            <w:tcW w:w="6286" w:type="dxa"/>
            <w:vAlign w:val="top"/>
          </w:tcPr>
          <w:p w14:paraId="4B648C43">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一档（2分）：在施工工艺、施工方法、材料选用、劳动力安排、技术方面有保证工期的措施。有控制工期的施工进度计划。采用与本项目无关的施工技术方案、内容进行凑字数，凑页数，比例达到50%，按此档评定。</w:t>
            </w:r>
          </w:p>
          <w:p w14:paraId="2C8C9875">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二档（6分）：在施工工艺、施工方法、材料选用、劳动力安排、技术方面有保证工期的措施。有控制工期的施工进度计划。有施工总进度表或施工网络图。采用与本项目无关的施工技术方案、内容进行凑字数，凑页数，比例达到30%，按此档评定。</w:t>
            </w:r>
          </w:p>
          <w:p w14:paraId="401BEA87">
            <w:pPr>
              <w:spacing w:line="360" w:lineRule="auto"/>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color w:val="auto"/>
                <w:sz w:val="21"/>
                <w:szCs w:val="21"/>
                <w:highlight w:val="none"/>
              </w:rPr>
              <w:t>三档（10分）：有保障工期的经济措施，编制投入本项目的资金计划表。有保证工期的人员管理方案，若项目推进缓慢的处理方案，如委派公司领导推进项目建设，附公司领导任职文件（副总级以上）。在施工工艺、施工方法、材料选用、劳动力安排、技术方面有保证工期的措施切实符合项目需求，具有针对性。有控制工期的施工进度计划，施工进度计划的执行与控制，进度偏差管理措施。有符合实际的施工总进度表或施工网络图，各项计划图表编制完善，进度计划切实可行，标出关键线路，标出节假日。</w:t>
            </w:r>
          </w:p>
        </w:tc>
        <w:tc>
          <w:tcPr>
            <w:tcW w:w="853" w:type="dxa"/>
            <w:vAlign w:val="center"/>
          </w:tcPr>
          <w:p w14:paraId="0C75CB32">
            <w:pPr>
              <w:spacing w:line="360" w:lineRule="auto"/>
              <w:jc w:val="center"/>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10分</w:t>
            </w:r>
          </w:p>
        </w:tc>
      </w:tr>
      <w:tr w14:paraId="6AC81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0" w:hRule="atLeast"/>
          <w:jc w:val="center"/>
        </w:trPr>
        <w:tc>
          <w:tcPr>
            <w:tcW w:w="533" w:type="dxa"/>
            <w:vAlign w:val="center"/>
          </w:tcPr>
          <w:p w14:paraId="632969CD">
            <w:pPr>
              <w:adjustRightInd w:val="0"/>
              <w:spacing w:line="360" w:lineRule="auto"/>
              <w:ind w:left="-105" w:leftChars="-50" w:right="-105" w:rightChars="-50"/>
              <w:jc w:val="center"/>
              <w:textAlignment w:val="baseline"/>
              <w:rPr>
                <w:rFonts w:hint="eastAsia" w:asciiTheme="minorEastAsia" w:hAnsiTheme="minorEastAsia" w:eastAsiaTheme="minorEastAsia" w:cstheme="minorEastAsia"/>
                <w:bCs/>
                <w:color w:val="auto"/>
                <w:kern w:val="0"/>
                <w:sz w:val="21"/>
                <w:szCs w:val="21"/>
                <w:highlight w:val="none"/>
                <w:lang w:val="en-US" w:eastAsia="zh-CN"/>
              </w:rPr>
            </w:pPr>
            <w:r>
              <w:rPr>
                <w:rFonts w:hint="eastAsia" w:asciiTheme="minorEastAsia" w:hAnsiTheme="minorEastAsia" w:eastAsiaTheme="minorEastAsia" w:cstheme="minorEastAsia"/>
                <w:bCs/>
                <w:color w:val="auto"/>
                <w:kern w:val="0"/>
                <w:sz w:val="21"/>
                <w:szCs w:val="21"/>
                <w:highlight w:val="none"/>
                <w:lang w:val="en-US" w:eastAsia="zh-CN"/>
              </w:rPr>
              <w:t>2.6</w:t>
            </w:r>
          </w:p>
        </w:tc>
        <w:tc>
          <w:tcPr>
            <w:tcW w:w="1418" w:type="dxa"/>
            <w:vAlign w:val="center"/>
          </w:tcPr>
          <w:p w14:paraId="4B76EE7C">
            <w:pPr>
              <w:pStyle w:val="265"/>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确保文明施工的技术组织措施方案分（满分10分）</w:t>
            </w:r>
          </w:p>
        </w:tc>
        <w:tc>
          <w:tcPr>
            <w:tcW w:w="6286" w:type="dxa"/>
            <w:vAlign w:val="top"/>
          </w:tcPr>
          <w:p w14:paraId="0D3BED6D">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一档（2分）：文明施工方案达到《建筑施工安全生产检查标准》（JGJ59-2011）合格标准。采用与本项目无关的施工技术方案、内容进行凑字数，凑页数，比例达到50%，按此档评定。</w:t>
            </w:r>
          </w:p>
          <w:p w14:paraId="71FF4A8F">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二档（6分）：针对本工程项目特点，有现场文明施工措施，达到 《建筑施工安全生产检查标准》 （JGJ59-2011） 合格标准并符合《广西壮族自治区建筑工程文明施工导则》要求。采用与本项目无关的施工技术方案、内容进行凑字数，凑页数，比例达到30%，按此档评定。</w:t>
            </w:r>
          </w:p>
          <w:p w14:paraId="3366907A">
            <w:pPr>
              <w:spacing w:line="360" w:lineRule="auto"/>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color w:val="auto"/>
                <w:sz w:val="21"/>
                <w:szCs w:val="21"/>
                <w:highlight w:val="none"/>
              </w:rPr>
              <w:t>三档（10分）：方案中应满足学校管理制度，人员进场管理制度。绘制施工围挡平面图。分析施工期间可能产生的影响（噪音、油漆味、需停电等），编制影响处理方案。针对本工程项目特点</w:t>
            </w:r>
            <w:r>
              <w:rPr>
                <w:rFonts w:hint="eastAsia" w:asciiTheme="minorEastAsia" w:hAnsiTheme="minorEastAsia" w:eastAsiaTheme="minorEastAsia" w:cstheme="minorEastAsia"/>
                <w:color w:val="auto"/>
                <w:sz w:val="21"/>
                <w:szCs w:val="21"/>
                <w:highlight w:val="none"/>
                <w:lang w:eastAsia="zh-CN"/>
              </w:rPr>
              <w:t>，具</w:t>
            </w:r>
            <w:r>
              <w:rPr>
                <w:rFonts w:hint="eastAsia" w:asciiTheme="minorEastAsia" w:hAnsiTheme="minorEastAsia" w:eastAsiaTheme="minorEastAsia" w:cstheme="minorEastAsia"/>
                <w:color w:val="auto"/>
                <w:sz w:val="21"/>
                <w:szCs w:val="21"/>
                <w:highlight w:val="none"/>
              </w:rPr>
              <w:t>有现场文明施工、环境保护措施，且措施内容达到《建筑施工安全生产检查标准》（JGJ59-2011）合格标准并符合《广西壮族自治区建筑工程文明施工导则》要求。项目应急措施方案符合当地医疗、应急部门的要求</w:t>
            </w:r>
            <w:r>
              <w:rPr>
                <w:rFonts w:hint="eastAsia" w:asciiTheme="minorEastAsia" w:hAnsiTheme="minorEastAsia" w:eastAsiaTheme="minorEastAsia" w:cstheme="minorEastAsia"/>
                <w:color w:val="auto"/>
                <w:sz w:val="21"/>
                <w:szCs w:val="21"/>
                <w:highlight w:val="none"/>
                <w:lang w:eastAsia="zh-CN"/>
              </w:rPr>
              <w:t>，与</w:t>
            </w:r>
            <w:r>
              <w:rPr>
                <w:rFonts w:hint="eastAsia" w:asciiTheme="minorEastAsia" w:hAnsiTheme="minorEastAsia" w:eastAsiaTheme="minorEastAsia" w:cstheme="minorEastAsia"/>
                <w:color w:val="auto"/>
                <w:sz w:val="21"/>
                <w:szCs w:val="21"/>
                <w:highlight w:val="none"/>
              </w:rPr>
              <w:t>地址相符。各项措施切合项目需求，具有针对性。相关措施符合实现现场文明施工目标的承诺。</w:t>
            </w:r>
          </w:p>
        </w:tc>
        <w:tc>
          <w:tcPr>
            <w:tcW w:w="853" w:type="dxa"/>
            <w:vAlign w:val="center"/>
          </w:tcPr>
          <w:p w14:paraId="6BBF271E">
            <w:pPr>
              <w:spacing w:line="360" w:lineRule="auto"/>
              <w:jc w:val="center"/>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10分</w:t>
            </w:r>
          </w:p>
        </w:tc>
      </w:tr>
      <w:tr w14:paraId="28277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0" w:hRule="atLeast"/>
          <w:jc w:val="center"/>
        </w:trPr>
        <w:tc>
          <w:tcPr>
            <w:tcW w:w="533" w:type="dxa"/>
            <w:vAlign w:val="center"/>
          </w:tcPr>
          <w:p w14:paraId="39BF93F9">
            <w:pPr>
              <w:adjustRightInd w:val="0"/>
              <w:spacing w:line="360" w:lineRule="auto"/>
              <w:ind w:left="-105" w:leftChars="-50" w:right="-105" w:rightChars="-50"/>
              <w:jc w:val="center"/>
              <w:textAlignment w:val="baseline"/>
              <w:rPr>
                <w:rFonts w:hint="eastAsia" w:asciiTheme="minorEastAsia" w:hAnsiTheme="minorEastAsia" w:eastAsiaTheme="minorEastAsia" w:cstheme="minorEastAsia"/>
                <w:bCs/>
                <w:color w:val="auto"/>
                <w:kern w:val="0"/>
                <w:sz w:val="21"/>
                <w:szCs w:val="21"/>
                <w:highlight w:val="none"/>
                <w:lang w:val="en-US" w:eastAsia="zh-CN"/>
              </w:rPr>
            </w:pPr>
            <w:r>
              <w:rPr>
                <w:rFonts w:hint="eastAsia" w:asciiTheme="minorEastAsia" w:hAnsiTheme="minorEastAsia" w:eastAsiaTheme="minorEastAsia" w:cstheme="minorEastAsia"/>
                <w:bCs/>
                <w:color w:val="auto"/>
                <w:kern w:val="0"/>
                <w:sz w:val="21"/>
                <w:szCs w:val="21"/>
                <w:highlight w:val="none"/>
                <w:lang w:val="en-US" w:eastAsia="zh-CN"/>
              </w:rPr>
              <w:t>2.7</w:t>
            </w:r>
          </w:p>
        </w:tc>
        <w:tc>
          <w:tcPr>
            <w:tcW w:w="1418" w:type="dxa"/>
            <w:vAlign w:val="center"/>
          </w:tcPr>
          <w:p w14:paraId="01C6EE29">
            <w:pPr>
              <w:pStyle w:val="265"/>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拟配备本项目主要管理人员情况（满分</w:t>
            </w:r>
            <w:r>
              <w:rPr>
                <w:rFonts w:hint="eastAsia" w:asciiTheme="minorEastAsia" w:hAnsiTheme="minorEastAsia" w:eastAsiaTheme="minorEastAsia" w:cstheme="minorEastAsia"/>
                <w:color w:val="auto"/>
                <w:sz w:val="21"/>
                <w:szCs w:val="21"/>
                <w:highlight w:val="none"/>
                <w:lang w:val="en-US" w:eastAsia="zh-CN"/>
              </w:rPr>
              <w:t>9</w:t>
            </w:r>
            <w:r>
              <w:rPr>
                <w:rFonts w:hint="eastAsia" w:asciiTheme="minorEastAsia" w:hAnsiTheme="minorEastAsia" w:eastAsiaTheme="minorEastAsia" w:cstheme="minorEastAsia"/>
                <w:color w:val="auto"/>
                <w:sz w:val="21"/>
                <w:szCs w:val="21"/>
                <w:highlight w:val="none"/>
              </w:rPr>
              <w:t>分）</w:t>
            </w:r>
          </w:p>
        </w:tc>
        <w:tc>
          <w:tcPr>
            <w:tcW w:w="6286" w:type="dxa"/>
            <w:vAlign w:val="top"/>
          </w:tcPr>
          <w:p w14:paraId="373A4509">
            <w:pPr>
              <w:spacing w:line="400" w:lineRule="exac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（1）拟投入的项目经理具有中级及以上职称的得3分。</w:t>
            </w:r>
          </w:p>
          <w:p w14:paraId="5B420D4C">
            <w:pPr>
              <w:spacing w:line="400" w:lineRule="exac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（2）拟投入的技术负责人具有中级及以上职称的得2分。</w:t>
            </w:r>
          </w:p>
          <w:p w14:paraId="3A3DED79">
            <w:pPr>
              <w:spacing w:line="400" w:lineRule="exac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（3）拟投入施工员1名（含）以上，具有中级及以上职称，得1分/人，满分1分。</w:t>
            </w:r>
          </w:p>
          <w:p w14:paraId="696E9683">
            <w:pPr>
              <w:spacing w:line="400" w:lineRule="exac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（4）拟投入质量员1名（含）以上，具有中级及以上职称，得1分/人，满分1分。</w:t>
            </w:r>
          </w:p>
          <w:p w14:paraId="51CF938C">
            <w:pPr>
              <w:spacing w:line="400" w:lineRule="exac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（5）拟投入的材料员1名（含）以上，具有中级及以上职称，得1分/人，满分1分。</w:t>
            </w:r>
          </w:p>
          <w:p w14:paraId="796BB600">
            <w:pPr>
              <w:spacing w:line="400" w:lineRule="exac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（6）拟投入安全员1名（含）以上，具有中级及以上职称，得1分/人，满分1分。</w:t>
            </w:r>
          </w:p>
          <w:p w14:paraId="0D5F54F9">
            <w:pPr>
              <w:spacing w:line="400" w:lineRule="exact"/>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color w:val="auto"/>
                <w:kern w:val="0"/>
                <w:sz w:val="21"/>
                <w:szCs w:val="21"/>
                <w:highlight w:val="none"/>
              </w:rPr>
              <w:t>（需在响应文件中提供职称证、资格证等资料复印件）</w:t>
            </w:r>
          </w:p>
        </w:tc>
        <w:tc>
          <w:tcPr>
            <w:tcW w:w="853" w:type="dxa"/>
            <w:vAlign w:val="center"/>
          </w:tcPr>
          <w:p w14:paraId="2879015C">
            <w:pPr>
              <w:spacing w:line="360" w:lineRule="auto"/>
              <w:jc w:val="center"/>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9分</w:t>
            </w:r>
          </w:p>
        </w:tc>
      </w:tr>
      <w:tr w14:paraId="3F0D1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Align w:val="center"/>
          </w:tcPr>
          <w:p w14:paraId="0E5B6701">
            <w:pPr>
              <w:widowControl/>
              <w:spacing w:line="360" w:lineRule="auto"/>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w:t>
            </w:r>
          </w:p>
        </w:tc>
        <w:tc>
          <w:tcPr>
            <w:tcW w:w="1418" w:type="dxa"/>
            <w:vAlign w:val="center"/>
          </w:tcPr>
          <w:p w14:paraId="6126554D">
            <w:pPr>
              <w:widowControl/>
              <w:spacing w:line="360" w:lineRule="auto"/>
              <w:jc w:val="center"/>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商务分</w:t>
            </w:r>
          </w:p>
        </w:tc>
        <w:tc>
          <w:tcPr>
            <w:tcW w:w="6286" w:type="dxa"/>
            <w:vAlign w:val="center"/>
          </w:tcPr>
          <w:p w14:paraId="6BA476B1">
            <w:pPr>
              <w:widowControl/>
              <w:spacing w:line="360" w:lineRule="auto"/>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评审标准</w:t>
            </w:r>
          </w:p>
        </w:tc>
        <w:tc>
          <w:tcPr>
            <w:tcW w:w="853" w:type="dxa"/>
            <w:vAlign w:val="center"/>
          </w:tcPr>
          <w:p w14:paraId="0055F888">
            <w:pPr>
              <w:widowControl/>
              <w:spacing w:line="360" w:lineRule="auto"/>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w:t>
            </w:r>
            <w:r>
              <w:rPr>
                <w:rFonts w:hint="eastAsia" w:asciiTheme="minorEastAsia" w:hAnsiTheme="minorEastAsia" w:eastAsiaTheme="minorEastAsia" w:cstheme="minorEastAsia"/>
                <w:color w:val="auto"/>
                <w:kern w:val="0"/>
                <w:sz w:val="21"/>
                <w:szCs w:val="21"/>
                <w:highlight w:val="none"/>
                <w:lang w:val="en-US" w:eastAsia="zh-CN"/>
              </w:rPr>
              <w:t>1</w:t>
            </w:r>
            <w:r>
              <w:rPr>
                <w:rFonts w:hint="eastAsia" w:asciiTheme="minorEastAsia" w:hAnsiTheme="minorEastAsia" w:eastAsiaTheme="minorEastAsia" w:cstheme="minorEastAsia"/>
                <w:color w:val="auto"/>
                <w:kern w:val="0"/>
                <w:sz w:val="21"/>
                <w:szCs w:val="21"/>
                <w:highlight w:val="none"/>
              </w:rPr>
              <w:t>分</w:t>
            </w:r>
          </w:p>
        </w:tc>
      </w:tr>
      <w:tr w14:paraId="6C2F3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Align w:val="center"/>
          </w:tcPr>
          <w:p w14:paraId="381E86EA">
            <w:pPr>
              <w:widowControl/>
              <w:spacing w:line="360" w:lineRule="auto"/>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3.1</w:t>
            </w:r>
          </w:p>
        </w:tc>
        <w:tc>
          <w:tcPr>
            <w:tcW w:w="1418" w:type="dxa"/>
            <w:vAlign w:val="center"/>
          </w:tcPr>
          <w:p w14:paraId="068E63BB">
            <w:pPr>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业绩和资信分（</w:t>
            </w:r>
            <w:r>
              <w:rPr>
                <w:rFonts w:hint="eastAsia" w:asciiTheme="minorEastAsia" w:hAnsiTheme="minorEastAsia" w:eastAsiaTheme="minorEastAsia" w:cstheme="minorEastAsia"/>
                <w:color w:val="auto"/>
                <w:kern w:val="0"/>
                <w:sz w:val="21"/>
                <w:szCs w:val="21"/>
                <w:highlight w:val="none"/>
              </w:rPr>
              <w:t>1</w:t>
            </w:r>
            <w:r>
              <w:rPr>
                <w:rFonts w:hint="eastAsia" w:asciiTheme="minorEastAsia" w:hAnsiTheme="minorEastAsia" w:eastAsiaTheme="minorEastAsia" w:cstheme="minorEastAsia"/>
                <w:color w:val="auto"/>
                <w:kern w:val="0"/>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分）</w:t>
            </w:r>
          </w:p>
        </w:tc>
        <w:tc>
          <w:tcPr>
            <w:tcW w:w="6286" w:type="dxa"/>
            <w:vAlign w:val="center"/>
          </w:tcPr>
          <w:p w14:paraId="51604B94">
            <w:pPr>
              <w:spacing w:line="360" w:lineRule="auto"/>
              <w:jc w:val="left"/>
              <w:rPr>
                <w:rFonts w:hint="eastAsia" w:asciiTheme="minorEastAsia" w:hAnsiTheme="minorEastAsia" w:eastAsiaTheme="minorEastAsia" w:cstheme="minorEastAsia"/>
                <w:color w:val="auto"/>
                <w:sz w:val="21"/>
                <w:szCs w:val="21"/>
                <w:highlight w:val="none"/>
              </w:rPr>
            </w:pPr>
            <w:bookmarkStart w:id="881" w:name="_GoBack"/>
            <w:r>
              <w:rPr>
                <w:rFonts w:hint="eastAsia" w:asciiTheme="minorEastAsia" w:hAnsiTheme="minorEastAsia" w:eastAsiaTheme="minorEastAsia" w:cstheme="minorEastAsia"/>
                <w:color w:val="auto"/>
                <w:sz w:val="21"/>
                <w:szCs w:val="21"/>
                <w:highlight w:val="none"/>
              </w:rPr>
              <w:t>（1）202</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月1日至首次响应文件提交截止时间止（指项目竣工时间至首次响应文件提交截止时间止），供应商完成过验收合格的房屋建筑工程施工项目的，每项得2分，满分8分。【需在响应文件中提供合同（或者中标/成交通知书）、竣工验收报告复印件】</w:t>
            </w:r>
          </w:p>
          <w:p w14:paraId="0E26D28D">
            <w:pPr>
              <w:spacing w:line="360" w:lineRule="auto"/>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（2）供应商获得 ISO9001 质量管理体系认证、ISO14001 环境管理体系认证、ISO45001 职业健康安全管理体系认证的，每提供一项得 1 分，满分 3 分。（</w:t>
            </w:r>
            <w:r>
              <w:rPr>
                <w:rFonts w:hint="eastAsia" w:asciiTheme="minorEastAsia" w:hAnsiTheme="minorEastAsia" w:eastAsiaTheme="minorEastAsia" w:cstheme="minorEastAsia"/>
                <w:color w:val="auto"/>
                <w:sz w:val="21"/>
                <w:szCs w:val="21"/>
                <w:highlight w:val="none"/>
                <w:lang w:eastAsia="zh-CN"/>
              </w:rPr>
              <w:t>须</w:t>
            </w:r>
            <w:r>
              <w:rPr>
                <w:rFonts w:hint="eastAsia" w:ascii="宋体" w:hAnsi="宋体" w:eastAsia="宋体" w:cs="宋体"/>
                <w:i w:val="0"/>
                <w:iCs w:val="0"/>
                <w:caps w:val="0"/>
                <w:color w:val="auto"/>
                <w:spacing w:val="0"/>
                <w:sz w:val="21"/>
                <w:szCs w:val="21"/>
                <w:highlight w:val="none"/>
                <w:shd w:val="clear" w:fill="FFFFFF"/>
              </w:rPr>
              <w:t>提供有效认证证书复印件【证书在全国认证认可信息公共服务平台上(http://cx.cnca.cn)可查】并加盖</w:t>
            </w:r>
            <w:r>
              <w:rPr>
                <w:rFonts w:hint="eastAsia" w:ascii="宋体" w:hAnsi="宋体" w:eastAsia="宋体" w:cs="宋体"/>
                <w:i w:val="0"/>
                <w:iCs w:val="0"/>
                <w:caps w:val="0"/>
                <w:color w:val="auto"/>
                <w:spacing w:val="0"/>
                <w:sz w:val="21"/>
                <w:szCs w:val="21"/>
                <w:highlight w:val="none"/>
                <w:shd w:val="clear" w:fill="FFFFFF"/>
                <w:lang w:eastAsia="zh-CN"/>
              </w:rPr>
              <w:t>供应商</w:t>
            </w:r>
            <w:r>
              <w:rPr>
                <w:rFonts w:hint="eastAsia" w:ascii="宋体" w:hAnsi="宋体" w:eastAsia="宋体" w:cs="宋体"/>
                <w:i w:val="0"/>
                <w:iCs w:val="0"/>
                <w:caps w:val="0"/>
                <w:color w:val="auto"/>
                <w:spacing w:val="0"/>
                <w:sz w:val="21"/>
                <w:szCs w:val="21"/>
                <w:highlight w:val="none"/>
                <w:shd w:val="clear" w:fill="FFFFFF"/>
              </w:rPr>
              <w:t>公章。不提供证书复印件，或证书状态非“有效”均不得分</w:t>
            </w:r>
            <w:r>
              <w:rPr>
                <w:rFonts w:hint="eastAsia" w:asciiTheme="minorEastAsia" w:hAnsiTheme="minorEastAsia" w:eastAsiaTheme="minorEastAsia" w:cstheme="minorEastAsia"/>
                <w:color w:val="auto"/>
                <w:sz w:val="21"/>
                <w:szCs w:val="21"/>
                <w:highlight w:val="none"/>
              </w:rPr>
              <w:t>）</w:t>
            </w:r>
            <w:bookmarkEnd w:id="881"/>
          </w:p>
        </w:tc>
        <w:tc>
          <w:tcPr>
            <w:tcW w:w="853" w:type="dxa"/>
            <w:vAlign w:val="center"/>
          </w:tcPr>
          <w:p w14:paraId="2E889FC5">
            <w:pPr>
              <w:widowControl/>
              <w:spacing w:line="360" w:lineRule="auto"/>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w:t>
            </w:r>
            <w:r>
              <w:rPr>
                <w:rFonts w:hint="eastAsia" w:asciiTheme="minorEastAsia" w:hAnsiTheme="minorEastAsia" w:eastAsiaTheme="minorEastAsia" w:cstheme="minorEastAsia"/>
                <w:color w:val="auto"/>
                <w:kern w:val="0"/>
                <w:sz w:val="21"/>
                <w:szCs w:val="21"/>
                <w:highlight w:val="none"/>
                <w:lang w:val="en-US" w:eastAsia="zh-CN"/>
              </w:rPr>
              <w:t>1</w:t>
            </w:r>
            <w:r>
              <w:rPr>
                <w:rFonts w:hint="eastAsia" w:asciiTheme="minorEastAsia" w:hAnsiTheme="minorEastAsia" w:eastAsiaTheme="minorEastAsia" w:cstheme="minorEastAsia"/>
                <w:color w:val="auto"/>
                <w:kern w:val="0"/>
                <w:sz w:val="21"/>
                <w:szCs w:val="21"/>
                <w:highlight w:val="none"/>
              </w:rPr>
              <w:t>分</w:t>
            </w:r>
          </w:p>
        </w:tc>
      </w:tr>
      <w:tr w14:paraId="3B60C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8237" w:type="dxa"/>
            <w:gridSpan w:val="3"/>
            <w:vAlign w:val="center"/>
          </w:tcPr>
          <w:p w14:paraId="08F5E627">
            <w:pPr>
              <w:pStyle w:val="29"/>
              <w:spacing w:line="240" w:lineRule="auto"/>
              <w:ind w:firstLine="420" w:firstLineChars="200"/>
              <w:jc w:val="center"/>
              <w:rPr>
                <w:rFonts w:hint="eastAsia" w:asciiTheme="minorEastAsia" w:hAnsiTheme="minorEastAsia" w:eastAsiaTheme="minorEastAsia" w:cstheme="minorEastAsia"/>
                <w:bCs/>
                <w:color w:val="auto"/>
                <w:kern w:val="2"/>
                <w:sz w:val="21"/>
                <w:szCs w:val="21"/>
                <w:highlight w:val="none"/>
              </w:rPr>
            </w:pPr>
            <w:r>
              <w:rPr>
                <w:rFonts w:hint="eastAsia" w:asciiTheme="minorEastAsia" w:hAnsiTheme="minorEastAsia" w:eastAsiaTheme="minorEastAsia" w:cstheme="minorEastAsia"/>
                <w:bCs/>
                <w:color w:val="auto"/>
                <w:kern w:val="2"/>
                <w:sz w:val="21"/>
                <w:szCs w:val="21"/>
                <w:highlight w:val="none"/>
              </w:rPr>
              <w:t>总得分＝1＋2＋3</w:t>
            </w:r>
          </w:p>
        </w:tc>
        <w:tc>
          <w:tcPr>
            <w:tcW w:w="853" w:type="dxa"/>
            <w:vAlign w:val="center"/>
          </w:tcPr>
          <w:p w14:paraId="1AA5FF68">
            <w:pPr>
              <w:widowControl/>
              <w:spacing w:line="240" w:lineRule="auto"/>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100分</w:t>
            </w:r>
          </w:p>
        </w:tc>
      </w:tr>
      <w:tr w14:paraId="53CD1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9090" w:type="dxa"/>
            <w:gridSpan w:val="4"/>
            <w:vAlign w:val="center"/>
          </w:tcPr>
          <w:p w14:paraId="43341B06">
            <w:pPr>
              <w:widowControl/>
              <w:spacing w:line="240" w:lineRule="auto"/>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sz w:val="21"/>
                <w:szCs w:val="21"/>
                <w:highlight w:val="none"/>
              </w:rPr>
              <w:t>本项目为施工项目，不涉及政策功能的节能，环保分加分。</w:t>
            </w:r>
          </w:p>
        </w:tc>
      </w:tr>
    </w:tbl>
    <w:p w14:paraId="7D42F596">
      <w:pPr>
        <w:pStyle w:val="2"/>
        <w:spacing w:after="340" w:line="360" w:lineRule="auto"/>
        <w:jc w:val="center"/>
        <w:rPr>
          <w:color w:val="auto"/>
          <w:highlight w:val="none"/>
        </w:rPr>
      </w:pPr>
      <w:r>
        <w:rPr>
          <w:rFonts w:ascii="宋体" w:hAnsi="宋体" w:cs="宋体"/>
          <w:color w:val="auto"/>
          <w:highlight w:val="none"/>
        </w:rPr>
        <w:br w:type="page"/>
      </w:r>
      <w:bookmarkStart w:id="73" w:name="_Toc185869572"/>
      <w:r>
        <w:rPr>
          <w:rFonts w:hint="eastAsia"/>
          <w:color w:val="auto"/>
          <w:highlight w:val="none"/>
        </w:rPr>
        <w:t>第五章工程量清单及图纸</w:t>
      </w:r>
      <w:bookmarkEnd w:id="73"/>
    </w:p>
    <w:p w14:paraId="3BB58527">
      <w:pPr>
        <w:pStyle w:val="3"/>
        <w:pageBreakBefore w:val="0"/>
        <w:widowControl w:val="0"/>
        <w:kinsoku/>
        <w:wordWrap/>
        <w:overflowPunct/>
        <w:topLinePunct w:val="0"/>
        <w:autoSpaceDE/>
        <w:autoSpaceDN/>
        <w:bidi w:val="0"/>
        <w:adjustRightInd/>
        <w:snapToGrid/>
        <w:spacing w:before="0" w:after="0" w:line="360" w:lineRule="auto"/>
        <w:textAlignment w:val="auto"/>
        <w:rPr>
          <w:color w:val="auto"/>
          <w:kern w:val="44"/>
          <w:highlight w:val="none"/>
        </w:rPr>
      </w:pPr>
      <w:bookmarkStart w:id="74" w:name="_Toc407135284"/>
      <w:bookmarkStart w:id="75" w:name="_Toc1392571603"/>
      <w:bookmarkStart w:id="76" w:name="_Toc78449869"/>
      <w:bookmarkStart w:id="77" w:name="_Toc1386396751"/>
      <w:bookmarkStart w:id="78" w:name="_Toc185869573"/>
      <w:r>
        <w:rPr>
          <w:color w:val="auto"/>
          <w:highlight w:val="none"/>
        </w:rPr>
        <w:t>1</w:t>
      </w:r>
      <w:r>
        <w:rPr>
          <w:rFonts w:hint="eastAsia"/>
          <w:color w:val="auto"/>
          <w:highlight w:val="none"/>
        </w:rPr>
        <w:t>.</w:t>
      </w:r>
      <w:r>
        <w:rPr>
          <w:rFonts w:hint="eastAsia" w:cs="黑体"/>
          <w:color w:val="auto"/>
          <w:highlight w:val="none"/>
        </w:rPr>
        <w:t>工程量清单编制说明</w:t>
      </w:r>
      <w:bookmarkEnd w:id="74"/>
      <w:bookmarkEnd w:id="75"/>
      <w:bookmarkEnd w:id="76"/>
      <w:bookmarkEnd w:id="77"/>
      <w:bookmarkEnd w:id="78"/>
    </w:p>
    <w:p w14:paraId="0C105BF1">
      <w:pPr>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color w:val="auto"/>
          <w:highlight w:val="none"/>
        </w:rPr>
        <w:t>1.1</w:t>
      </w:r>
      <w:r>
        <w:rPr>
          <w:rFonts w:hint="eastAsia" w:hAnsi="宋体" w:cs="宋体"/>
          <w:color w:val="auto"/>
          <w:highlight w:val="none"/>
        </w:rPr>
        <w:t>本工程量清单依据《建设工程工程量清单计价规范</w:t>
      </w:r>
      <w:r>
        <w:rPr>
          <w:rFonts w:hint="eastAsia" w:cs="宋体"/>
          <w:color w:val="auto"/>
          <w:highlight w:val="none"/>
        </w:rPr>
        <w:t>（</w:t>
      </w:r>
      <w:r>
        <w:rPr>
          <w:color w:val="auto"/>
          <w:highlight w:val="none"/>
        </w:rPr>
        <w:t>GB50500-2013</w:t>
      </w:r>
      <w:r>
        <w:rPr>
          <w:rFonts w:hint="eastAsia" w:cs="宋体"/>
          <w:color w:val="auto"/>
          <w:highlight w:val="none"/>
        </w:rPr>
        <w:t>）</w:t>
      </w:r>
      <w:r>
        <w:rPr>
          <w:rFonts w:hint="eastAsia" w:hAnsi="宋体" w:cs="宋体"/>
          <w:color w:val="auto"/>
          <w:highlight w:val="none"/>
        </w:rPr>
        <w:t>广西实施细则》（以下简称</w:t>
      </w:r>
      <w:r>
        <w:rPr>
          <w:color w:val="auto"/>
          <w:highlight w:val="none"/>
        </w:rPr>
        <w:t>“</w:t>
      </w:r>
      <w:r>
        <w:rPr>
          <w:rFonts w:hint="eastAsia" w:hAnsi="宋体" w:cs="宋体"/>
          <w:color w:val="auto"/>
          <w:highlight w:val="none"/>
        </w:rPr>
        <w:t>《计价规范》</w:t>
      </w:r>
      <w:r>
        <w:rPr>
          <w:color w:val="auto"/>
          <w:highlight w:val="none"/>
        </w:rPr>
        <w:t>”</w:t>
      </w:r>
      <w:r>
        <w:rPr>
          <w:rFonts w:hint="eastAsia" w:cs="宋体"/>
          <w:color w:val="auto"/>
          <w:highlight w:val="none"/>
        </w:rPr>
        <w:t>）</w:t>
      </w:r>
      <w:r>
        <w:rPr>
          <w:rFonts w:hint="eastAsia" w:hAnsi="宋体" w:cs="宋体"/>
          <w:color w:val="auto"/>
          <w:highlight w:val="none"/>
        </w:rPr>
        <w:t>、《工程量清单计算规范（</w:t>
      </w:r>
      <w:r>
        <w:rPr>
          <w:color w:val="auto"/>
          <w:highlight w:val="none"/>
        </w:rPr>
        <w:t>GB50854~50862-2013</w:t>
      </w:r>
      <w:r>
        <w:rPr>
          <w:rFonts w:hint="eastAsia" w:hAnsi="宋体" w:cs="宋体"/>
          <w:color w:val="auto"/>
          <w:highlight w:val="none"/>
        </w:rPr>
        <w:t>）》及广西实施细则（修订本）（以下简称</w:t>
      </w:r>
      <w:r>
        <w:rPr>
          <w:color w:val="auto"/>
          <w:highlight w:val="none"/>
        </w:rPr>
        <w:t>“</w:t>
      </w:r>
      <w:r>
        <w:rPr>
          <w:rFonts w:hint="eastAsia" w:hAnsi="宋体" w:cs="宋体"/>
          <w:color w:val="auto"/>
          <w:highlight w:val="none"/>
        </w:rPr>
        <w:t>《计算规范》</w:t>
      </w:r>
      <w:r>
        <w:rPr>
          <w:color w:val="auto"/>
          <w:highlight w:val="none"/>
        </w:rPr>
        <w:t>”</w:t>
      </w:r>
      <w:r>
        <w:rPr>
          <w:rFonts w:hint="eastAsia" w:hAnsi="宋体" w:cs="宋体"/>
          <w:color w:val="auto"/>
          <w:highlight w:val="none"/>
        </w:rPr>
        <w:t>）、</w:t>
      </w:r>
      <w:r>
        <w:rPr>
          <w:rFonts w:hint="eastAsia" w:hAnsi="宋体" w:cs="宋体"/>
          <w:color w:val="auto"/>
          <w:kern w:val="0"/>
          <w:highlight w:val="none"/>
        </w:rPr>
        <w:t>《关于建筑业实施营业税改征增值税后广西壮族自治区建设工程计价依据调整的通知》（桂建标〔</w:t>
      </w:r>
      <w:r>
        <w:rPr>
          <w:rFonts w:hAnsi="宋体"/>
          <w:color w:val="auto"/>
          <w:kern w:val="0"/>
          <w:highlight w:val="none"/>
        </w:rPr>
        <w:t>2016</w:t>
      </w:r>
      <w:r>
        <w:rPr>
          <w:rFonts w:hint="eastAsia" w:hAnsi="宋体" w:cs="宋体"/>
          <w:color w:val="auto"/>
          <w:kern w:val="0"/>
          <w:highlight w:val="none"/>
        </w:rPr>
        <w:t>〕</w:t>
      </w:r>
      <w:r>
        <w:rPr>
          <w:rFonts w:hAnsi="宋体"/>
          <w:color w:val="auto"/>
          <w:kern w:val="0"/>
          <w:highlight w:val="none"/>
        </w:rPr>
        <w:t>17</w:t>
      </w:r>
      <w:r>
        <w:rPr>
          <w:rFonts w:hint="eastAsia" w:hAnsi="宋体" w:cs="宋体"/>
          <w:color w:val="auto"/>
          <w:kern w:val="0"/>
          <w:highlight w:val="none"/>
        </w:rPr>
        <w:t>号）、磋商文件</w:t>
      </w:r>
      <w:r>
        <w:rPr>
          <w:rFonts w:hint="eastAsia" w:hAnsi="宋体" w:cs="宋体"/>
          <w:color w:val="auto"/>
          <w:highlight w:val="none"/>
        </w:rPr>
        <w:t>、施工图等编制。计算规范中没有的清单项目，应在本章第</w:t>
      </w:r>
      <w:r>
        <w:rPr>
          <w:color w:val="auto"/>
          <w:highlight w:val="none"/>
        </w:rPr>
        <w:t>1.4</w:t>
      </w:r>
      <w:r>
        <w:rPr>
          <w:rFonts w:hint="eastAsia" w:hAnsi="宋体" w:cs="宋体"/>
          <w:color w:val="auto"/>
          <w:highlight w:val="none"/>
        </w:rPr>
        <w:t>款约定。</w:t>
      </w:r>
    </w:p>
    <w:p w14:paraId="6BA2A254">
      <w:pPr>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color w:val="auto"/>
          <w:highlight w:val="none"/>
        </w:rPr>
        <w:t xml:space="preserve">1.2 </w:t>
      </w:r>
      <w:r>
        <w:rPr>
          <w:rFonts w:hint="eastAsia"/>
          <w:color w:val="auto"/>
          <w:highlight w:val="none"/>
        </w:rPr>
        <w:t>工程量清单应与供应商须知、合同协议条款、合同的通用条款、合同专用条款、技术规范及图纸等文件一起结合使用。</w:t>
      </w:r>
    </w:p>
    <w:p w14:paraId="0D72D117">
      <w:pPr>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color w:val="auto"/>
          <w:highlight w:val="none"/>
        </w:rPr>
        <w:t xml:space="preserve">1.3 </w:t>
      </w:r>
      <w:r>
        <w:rPr>
          <w:rFonts w:hint="eastAsia" w:cs="宋体"/>
          <w:color w:val="auto"/>
          <w:highlight w:val="none"/>
        </w:rPr>
        <w:t>工程量清单是磋商文件的组成部分，是工程量清单计价的基础，作为编制招标控制价、竞标报价、计算或调整工程量、索赔等的依据之一。</w:t>
      </w:r>
    </w:p>
    <w:p w14:paraId="6AF1861A">
      <w:pPr>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color w:val="auto"/>
          <w:highlight w:val="none"/>
        </w:rPr>
        <w:t xml:space="preserve">1.4 </w:t>
      </w:r>
      <w:r>
        <w:rPr>
          <w:rFonts w:hint="eastAsia" w:cs="宋体"/>
          <w:color w:val="auto"/>
          <w:highlight w:val="none"/>
        </w:rPr>
        <w:t>补充清单项目的特征、计量单位、工程量计算规则及工作内容说明如下：</w:t>
      </w:r>
      <w:r>
        <w:rPr>
          <w:rFonts w:hint="eastAsia"/>
          <w:color w:val="auto"/>
          <w:highlight w:val="none"/>
        </w:rPr>
        <w:t>无</w:t>
      </w:r>
      <w:r>
        <w:rPr>
          <w:rFonts w:hint="eastAsia" w:hAnsi="宋体" w:cs="宋体"/>
          <w:color w:val="auto"/>
          <w:highlight w:val="none"/>
        </w:rPr>
        <w:t>。</w:t>
      </w:r>
    </w:p>
    <w:p w14:paraId="3F4182CE">
      <w:pPr>
        <w:pStyle w:val="29"/>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color w:val="auto"/>
          <w:sz w:val="21"/>
          <w:highlight w:val="none"/>
        </w:rPr>
      </w:pPr>
      <w:r>
        <w:rPr>
          <w:rFonts w:ascii="Times New Roman" w:hAnsi="Times New Roman"/>
          <w:color w:val="auto"/>
          <w:sz w:val="21"/>
          <w:highlight w:val="none"/>
        </w:rPr>
        <w:t xml:space="preserve">1.5 </w:t>
      </w:r>
      <w:r>
        <w:rPr>
          <w:rFonts w:hint="eastAsia" w:ascii="Times New Roman" w:hAnsi="Times New Roman"/>
          <w:color w:val="auto"/>
          <w:sz w:val="21"/>
          <w:highlight w:val="none"/>
        </w:rPr>
        <w:t>《允许调整主要材料和工程设备一览表》（表</w:t>
      </w:r>
      <w:r>
        <w:rPr>
          <w:rFonts w:ascii="Times New Roman" w:hAnsi="Times New Roman"/>
          <w:color w:val="auto"/>
          <w:sz w:val="21"/>
          <w:highlight w:val="none"/>
        </w:rPr>
        <w:t>-22</w:t>
      </w:r>
      <w:r>
        <w:rPr>
          <w:rFonts w:hint="eastAsia" w:ascii="Times New Roman" w:hAnsi="Times New Roman"/>
          <w:color w:val="auto"/>
          <w:sz w:val="21"/>
          <w:highlight w:val="none"/>
        </w:rPr>
        <w:t>，表格编号为计价规范相应表格编号，下同）作为项目实施过程中材料和设备价格风险调整依据。</w:t>
      </w:r>
    </w:p>
    <w:p w14:paraId="7C1FD96B">
      <w:pPr>
        <w:pStyle w:val="29"/>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color w:val="auto"/>
          <w:sz w:val="21"/>
          <w:highlight w:val="none"/>
        </w:rPr>
      </w:pPr>
      <w:r>
        <w:rPr>
          <w:rFonts w:ascii="Times New Roman" w:hAnsi="Times New Roman"/>
          <w:color w:val="auto"/>
          <w:sz w:val="21"/>
          <w:highlight w:val="none"/>
        </w:rPr>
        <w:t xml:space="preserve">1.6 </w:t>
      </w:r>
      <w:r>
        <w:rPr>
          <w:rFonts w:hint="eastAsia" w:ascii="Times New Roman" w:hAnsi="Times New Roman"/>
          <w:color w:val="auto"/>
          <w:sz w:val="21"/>
          <w:highlight w:val="none"/>
        </w:rPr>
        <w:t>本工程暂列金额（约按合同造价</w:t>
      </w:r>
      <w:r>
        <w:rPr>
          <w:rFonts w:hint="eastAsia" w:ascii="Times New Roman" w:hAnsi="Times New Roman"/>
          <w:color w:val="auto"/>
          <w:sz w:val="21"/>
          <w:highlight w:val="none"/>
          <w:u w:val="single"/>
        </w:rPr>
        <w:t>/</w:t>
      </w:r>
      <w:r>
        <w:rPr>
          <w:rFonts w:ascii="Times New Roman" w:hAnsi="Times New Roman"/>
          <w:color w:val="auto"/>
          <w:sz w:val="21"/>
          <w:highlight w:val="none"/>
        </w:rPr>
        <w:t>%</w:t>
      </w:r>
      <w:r>
        <w:rPr>
          <w:rFonts w:hint="eastAsia" w:ascii="Times New Roman" w:hAnsi="Times New Roman"/>
          <w:color w:val="auto"/>
          <w:sz w:val="21"/>
          <w:highlight w:val="none"/>
        </w:rPr>
        <w:t>计算），共</w:t>
      </w:r>
      <w:r>
        <w:rPr>
          <w:rFonts w:ascii="Times New Roman" w:hAnsi="Times New Roman"/>
          <w:color w:val="auto"/>
          <w:sz w:val="21"/>
          <w:highlight w:val="none"/>
          <w:u w:val="single"/>
        </w:rPr>
        <w:t xml:space="preserve"> /</w:t>
      </w:r>
      <w:r>
        <w:rPr>
          <w:rFonts w:hint="eastAsia" w:ascii="Times New Roman" w:hAnsi="Times New Roman"/>
          <w:color w:val="auto"/>
          <w:sz w:val="21"/>
          <w:highlight w:val="none"/>
        </w:rPr>
        <w:t>元，作为合同签订时尚未确定或者不可预见但施工中可能发生的费用。</w:t>
      </w:r>
    </w:p>
    <w:p w14:paraId="3B9E0BA4">
      <w:pPr>
        <w:pStyle w:val="29"/>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color w:val="auto"/>
          <w:sz w:val="21"/>
          <w:highlight w:val="none"/>
        </w:rPr>
      </w:pPr>
      <w:r>
        <w:rPr>
          <w:rFonts w:ascii="Times New Roman" w:hAnsi="Times New Roman"/>
          <w:color w:val="auto"/>
          <w:sz w:val="21"/>
          <w:highlight w:val="none"/>
        </w:rPr>
        <w:t xml:space="preserve">1.7 </w:t>
      </w:r>
      <w:r>
        <w:rPr>
          <w:rFonts w:hint="eastAsia" w:ascii="Times New Roman" w:hAnsi="Times New Roman"/>
          <w:color w:val="auto"/>
          <w:sz w:val="21"/>
          <w:highlight w:val="none"/>
        </w:rPr>
        <w:t>本工程发包人提供的材料和设备详见《发包人提供的主要材料和工程设备一览表》（表</w:t>
      </w:r>
      <w:r>
        <w:rPr>
          <w:rFonts w:ascii="Times New Roman" w:hAnsi="Times New Roman"/>
          <w:color w:val="auto"/>
          <w:sz w:val="21"/>
          <w:highlight w:val="none"/>
        </w:rPr>
        <w:t>-21</w:t>
      </w:r>
      <w:r>
        <w:rPr>
          <w:rFonts w:hint="eastAsia" w:ascii="Times New Roman" w:hAnsi="Times New Roman"/>
          <w:color w:val="auto"/>
          <w:sz w:val="21"/>
          <w:highlight w:val="none"/>
        </w:rPr>
        <w:t>）。</w:t>
      </w:r>
    </w:p>
    <w:p w14:paraId="18126C83">
      <w:pPr>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color w:val="auto"/>
          <w:highlight w:val="none"/>
        </w:rPr>
        <w:t xml:space="preserve">1.8 </w:t>
      </w:r>
      <w:r>
        <w:rPr>
          <w:rFonts w:hint="eastAsia" w:cs="宋体"/>
          <w:color w:val="auto"/>
          <w:highlight w:val="none"/>
        </w:rPr>
        <w:t>本工程部分材料和设备在招标时作为暂估价计列，结算按实调整，具体内容详见《材料（工程设备）暂估单价及调整表》（表</w:t>
      </w:r>
      <w:r>
        <w:rPr>
          <w:color w:val="auto"/>
          <w:highlight w:val="none"/>
        </w:rPr>
        <w:t>12-2</w:t>
      </w:r>
      <w:r>
        <w:rPr>
          <w:rFonts w:hint="eastAsia" w:cs="宋体"/>
          <w:color w:val="auto"/>
          <w:highlight w:val="none"/>
        </w:rPr>
        <w:t>）。</w:t>
      </w:r>
    </w:p>
    <w:p w14:paraId="7DE448F4">
      <w:pPr>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color w:val="auto"/>
          <w:highlight w:val="none"/>
        </w:rPr>
        <w:t xml:space="preserve">1.9 </w:t>
      </w:r>
      <w:r>
        <w:rPr>
          <w:rFonts w:hint="eastAsia" w:cs="宋体"/>
          <w:color w:val="auto"/>
          <w:highlight w:val="none"/>
        </w:rPr>
        <w:t>招标时暂估专业工程的价款属于暂估价，结算按实调整，具体内容详见《专业工程暂估价及结算价表》（表</w:t>
      </w:r>
      <w:r>
        <w:rPr>
          <w:color w:val="auto"/>
          <w:highlight w:val="none"/>
        </w:rPr>
        <w:t>12-3</w:t>
      </w:r>
      <w:r>
        <w:rPr>
          <w:rFonts w:hint="eastAsia" w:cs="宋体"/>
          <w:color w:val="auto"/>
          <w:highlight w:val="none"/>
        </w:rPr>
        <w:t>）。</w:t>
      </w:r>
    </w:p>
    <w:p w14:paraId="64C19E98">
      <w:pPr>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color w:val="auto"/>
          <w:highlight w:val="none"/>
        </w:rPr>
        <w:t xml:space="preserve">1.10 </w:t>
      </w:r>
      <w:r>
        <w:rPr>
          <w:rFonts w:hint="eastAsia" w:cs="宋体"/>
          <w:color w:val="auto"/>
          <w:highlight w:val="none"/>
        </w:rPr>
        <w:t>本工程量清单编码处标注</w:t>
      </w:r>
      <w:r>
        <w:rPr>
          <w:color w:val="auto"/>
          <w:highlight w:val="none"/>
        </w:rPr>
        <w:t>“*”</w:t>
      </w:r>
      <w:r>
        <w:rPr>
          <w:rFonts w:hint="eastAsia" w:cs="宋体"/>
          <w:color w:val="auto"/>
          <w:highlight w:val="none"/>
        </w:rPr>
        <w:t>号的清单项目作为主要清单项目，需要供应商提供</w:t>
      </w:r>
      <w:r>
        <w:rPr>
          <w:rFonts w:hint="eastAsia" w:hAnsi="宋体" w:cs="宋体"/>
          <w:color w:val="auto"/>
          <w:highlight w:val="none"/>
        </w:rPr>
        <w:t>《主要清单项目工料机分析表》（表</w:t>
      </w:r>
      <w:r>
        <w:rPr>
          <w:color w:val="auto"/>
          <w:highlight w:val="none"/>
        </w:rPr>
        <w:t>-10</w:t>
      </w:r>
      <w:r>
        <w:rPr>
          <w:rFonts w:hint="eastAsia" w:hAnsi="宋体" w:cs="宋体"/>
          <w:color w:val="auto"/>
          <w:highlight w:val="none"/>
        </w:rPr>
        <w:t>）</w:t>
      </w:r>
      <w:r>
        <w:rPr>
          <w:rFonts w:hint="eastAsia" w:cs="宋体"/>
          <w:color w:val="auto"/>
          <w:highlight w:val="none"/>
        </w:rPr>
        <w:t>。</w:t>
      </w:r>
    </w:p>
    <w:p w14:paraId="4E94C8BE">
      <w:pPr>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color w:val="auto"/>
          <w:highlight w:val="none"/>
        </w:rPr>
        <w:t xml:space="preserve">1.11 </w:t>
      </w:r>
      <w:r>
        <w:rPr>
          <w:rFonts w:hint="eastAsia"/>
          <w:color w:val="auto"/>
          <w:highlight w:val="none"/>
        </w:rPr>
        <w:t>其他需要</w:t>
      </w:r>
      <w:r>
        <w:rPr>
          <w:rFonts w:hint="eastAsia" w:cs="宋体"/>
          <w:color w:val="auto"/>
          <w:highlight w:val="none"/>
        </w:rPr>
        <w:t>说明的问题：</w:t>
      </w:r>
      <w:r>
        <w:rPr>
          <w:rFonts w:hint="eastAsia"/>
          <w:color w:val="auto"/>
          <w:highlight w:val="none"/>
          <w:u w:val="single"/>
        </w:rPr>
        <w:t>无</w:t>
      </w:r>
      <w:r>
        <w:rPr>
          <w:rFonts w:hint="eastAsia" w:cs="宋体"/>
          <w:color w:val="auto"/>
          <w:highlight w:val="none"/>
        </w:rPr>
        <w:t>。</w:t>
      </w:r>
    </w:p>
    <w:p w14:paraId="783120F5">
      <w:pPr>
        <w:pageBreakBefore w:val="0"/>
        <w:widowControl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color w:val="auto"/>
          <w:highlight w:val="none"/>
        </w:rPr>
        <w:t xml:space="preserve">1.12 </w:t>
      </w:r>
      <w:r>
        <w:rPr>
          <w:rFonts w:hint="eastAsia" w:cs="宋体"/>
          <w:color w:val="auto"/>
          <w:highlight w:val="none"/>
        </w:rPr>
        <w:t>工程量清单与磋商文件同时发布。一般计税法建设工程的工程量清单表格按</w:t>
      </w:r>
      <w:r>
        <w:rPr>
          <w:rFonts w:hint="eastAsia" w:hAnsi="宋体" w:cs="宋体"/>
          <w:color w:val="auto"/>
          <w:kern w:val="0"/>
          <w:highlight w:val="none"/>
        </w:rPr>
        <w:t>《关于建筑业实施营业税改征增值税后广西壮族自治区建设工程计价依据调整的通知》（桂建标〔</w:t>
      </w:r>
      <w:r>
        <w:rPr>
          <w:rFonts w:hAnsi="宋体"/>
          <w:color w:val="auto"/>
          <w:kern w:val="0"/>
          <w:highlight w:val="none"/>
        </w:rPr>
        <w:t>2016</w:t>
      </w:r>
      <w:r>
        <w:rPr>
          <w:rFonts w:hint="eastAsia" w:hAnsi="宋体" w:cs="宋体"/>
          <w:color w:val="auto"/>
          <w:kern w:val="0"/>
          <w:highlight w:val="none"/>
        </w:rPr>
        <w:t>〕</w:t>
      </w:r>
      <w:r>
        <w:rPr>
          <w:rFonts w:hAnsi="宋体"/>
          <w:color w:val="auto"/>
          <w:kern w:val="0"/>
          <w:highlight w:val="none"/>
        </w:rPr>
        <w:t>17</w:t>
      </w:r>
      <w:r>
        <w:rPr>
          <w:rFonts w:hint="eastAsia" w:hAnsi="宋体" w:cs="宋体"/>
          <w:color w:val="auto"/>
          <w:kern w:val="0"/>
          <w:highlight w:val="none"/>
        </w:rPr>
        <w:t>号）</w:t>
      </w:r>
      <w:r>
        <w:rPr>
          <w:rFonts w:hint="eastAsia" w:ascii="宋体" w:hAnsi="宋体" w:cs="宋体"/>
          <w:color w:val="auto"/>
          <w:highlight w:val="none"/>
        </w:rPr>
        <w:t>附件“增值税一般计税方法工程计价表”要求提供；简易计税法建设工程按照《计价规范》要求的</w:t>
      </w:r>
      <w:r>
        <w:rPr>
          <w:rFonts w:hint="eastAsia" w:cs="宋体"/>
          <w:color w:val="auto"/>
          <w:highlight w:val="none"/>
        </w:rPr>
        <w:t>表格提供，但规费和税费要按照《关于建筑业实施营业税改征增值税后广西壮族自治区建设工程计价依据调整的通知》（桂建标〔</w:t>
      </w:r>
      <w:r>
        <w:rPr>
          <w:color w:val="auto"/>
          <w:highlight w:val="none"/>
        </w:rPr>
        <w:t>2016</w:t>
      </w:r>
      <w:r>
        <w:rPr>
          <w:rFonts w:hint="eastAsia" w:cs="宋体"/>
          <w:color w:val="auto"/>
          <w:highlight w:val="none"/>
        </w:rPr>
        <w:t>〕</w:t>
      </w:r>
      <w:r>
        <w:rPr>
          <w:color w:val="auto"/>
          <w:highlight w:val="none"/>
        </w:rPr>
        <w:t>17</w:t>
      </w:r>
      <w:r>
        <w:rPr>
          <w:rFonts w:hint="eastAsia" w:cs="宋体"/>
          <w:color w:val="auto"/>
          <w:highlight w:val="none"/>
        </w:rPr>
        <w:t>号）</w:t>
      </w:r>
      <w:r>
        <w:rPr>
          <w:rFonts w:hint="eastAsia" w:ascii="宋体" w:hAnsi="宋体" w:cs="宋体"/>
          <w:color w:val="auto"/>
          <w:highlight w:val="none"/>
        </w:rPr>
        <w:t>要求调整，具体</w:t>
      </w:r>
      <w:r>
        <w:rPr>
          <w:rFonts w:hint="eastAsia" w:cs="宋体"/>
          <w:color w:val="auto"/>
          <w:highlight w:val="none"/>
        </w:rPr>
        <w:t>包括：</w:t>
      </w:r>
    </w:p>
    <w:p w14:paraId="2F9DD713">
      <w:pPr>
        <w:pageBreakBefore w:val="0"/>
        <w:widowControl w:val="0"/>
        <w:kinsoku/>
        <w:wordWrap/>
        <w:overflowPunct/>
        <w:topLinePunct w:val="0"/>
        <w:autoSpaceDE/>
        <w:autoSpaceDN/>
        <w:bidi w:val="0"/>
        <w:adjustRightInd/>
        <w:snapToGrid/>
        <w:spacing w:line="360" w:lineRule="auto"/>
        <w:ind w:firstLine="630" w:firstLineChars="300"/>
        <w:jc w:val="left"/>
        <w:textAlignment w:val="auto"/>
        <w:rPr>
          <w:color w:val="auto"/>
          <w:highlight w:val="none"/>
        </w:rPr>
      </w:pPr>
      <w:r>
        <w:rPr>
          <w:color w:val="auto"/>
          <w:highlight w:val="none"/>
        </w:rPr>
        <w:t xml:space="preserve">1.1 </w:t>
      </w:r>
      <w:r>
        <w:rPr>
          <w:rFonts w:hint="eastAsia" w:cs="宋体"/>
          <w:color w:val="auto"/>
          <w:highlight w:val="none"/>
        </w:rPr>
        <w:t>招标工程量清单（封</w:t>
      </w:r>
      <w:r>
        <w:rPr>
          <w:color w:val="auto"/>
          <w:highlight w:val="none"/>
        </w:rPr>
        <w:t>-1</w:t>
      </w:r>
      <w:r>
        <w:rPr>
          <w:rFonts w:hint="eastAsia" w:cs="宋体"/>
          <w:color w:val="auto"/>
          <w:highlight w:val="none"/>
        </w:rPr>
        <w:t>）</w:t>
      </w:r>
    </w:p>
    <w:p w14:paraId="2453EB72">
      <w:pPr>
        <w:pageBreakBefore w:val="0"/>
        <w:widowControl w:val="0"/>
        <w:kinsoku/>
        <w:wordWrap/>
        <w:overflowPunct/>
        <w:topLinePunct w:val="0"/>
        <w:autoSpaceDE/>
        <w:autoSpaceDN/>
        <w:bidi w:val="0"/>
        <w:adjustRightInd/>
        <w:snapToGrid/>
        <w:spacing w:line="360" w:lineRule="auto"/>
        <w:ind w:firstLine="630" w:firstLineChars="300"/>
        <w:jc w:val="left"/>
        <w:textAlignment w:val="auto"/>
        <w:rPr>
          <w:color w:val="auto"/>
          <w:highlight w:val="none"/>
        </w:rPr>
      </w:pPr>
      <w:r>
        <w:rPr>
          <w:color w:val="auto"/>
          <w:highlight w:val="none"/>
        </w:rPr>
        <w:t xml:space="preserve">1.2 </w:t>
      </w:r>
      <w:r>
        <w:rPr>
          <w:rFonts w:hint="eastAsia" w:cs="宋体"/>
          <w:color w:val="auto"/>
          <w:highlight w:val="none"/>
        </w:rPr>
        <w:t>招标工程量清单（封扉</w:t>
      </w:r>
      <w:r>
        <w:rPr>
          <w:color w:val="auto"/>
          <w:highlight w:val="none"/>
        </w:rPr>
        <w:t>-1</w:t>
      </w:r>
      <w:r>
        <w:rPr>
          <w:rFonts w:hint="eastAsia" w:cs="宋体"/>
          <w:color w:val="auto"/>
          <w:highlight w:val="none"/>
        </w:rPr>
        <w:t>）</w:t>
      </w:r>
    </w:p>
    <w:p w14:paraId="7F7C3C19">
      <w:pPr>
        <w:pageBreakBefore w:val="0"/>
        <w:widowControl w:val="0"/>
        <w:kinsoku/>
        <w:wordWrap/>
        <w:overflowPunct/>
        <w:topLinePunct w:val="0"/>
        <w:autoSpaceDE/>
        <w:autoSpaceDN/>
        <w:bidi w:val="0"/>
        <w:adjustRightInd/>
        <w:snapToGrid/>
        <w:spacing w:line="360" w:lineRule="auto"/>
        <w:ind w:firstLine="630" w:firstLineChars="300"/>
        <w:jc w:val="left"/>
        <w:textAlignment w:val="auto"/>
        <w:rPr>
          <w:color w:val="auto"/>
          <w:highlight w:val="none"/>
        </w:rPr>
      </w:pPr>
      <w:r>
        <w:rPr>
          <w:color w:val="auto"/>
          <w:highlight w:val="none"/>
        </w:rPr>
        <w:t xml:space="preserve">1.3 </w:t>
      </w:r>
      <w:r>
        <w:rPr>
          <w:rFonts w:hint="eastAsia" w:cs="宋体"/>
          <w:color w:val="auto"/>
          <w:highlight w:val="none"/>
        </w:rPr>
        <w:t>总说明（表</w:t>
      </w:r>
      <w:r>
        <w:rPr>
          <w:color w:val="auto"/>
          <w:highlight w:val="none"/>
        </w:rPr>
        <w:t>-01</w:t>
      </w:r>
      <w:r>
        <w:rPr>
          <w:rFonts w:hint="eastAsia" w:cs="宋体"/>
          <w:color w:val="auto"/>
          <w:highlight w:val="none"/>
        </w:rPr>
        <w:t>）</w:t>
      </w:r>
    </w:p>
    <w:p w14:paraId="25174414">
      <w:pPr>
        <w:pageBreakBefore w:val="0"/>
        <w:widowControl w:val="0"/>
        <w:kinsoku/>
        <w:wordWrap/>
        <w:overflowPunct/>
        <w:topLinePunct w:val="0"/>
        <w:autoSpaceDE/>
        <w:autoSpaceDN/>
        <w:bidi w:val="0"/>
        <w:adjustRightInd/>
        <w:snapToGrid/>
        <w:spacing w:line="360" w:lineRule="auto"/>
        <w:ind w:firstLine="630" w:firstLineChars="300"/>
        <w:jc w:val="left"/>
        <w:textAlignment w:val="auto"/>
        <w:rPr>
          <w:color w:val="auto"/>
          <w:highlight w:val="none"/>
        </w:rPr>
      </w:pPr>
      <w:r>
        <w:rPr>
          <w:color w:val="auto"/>
          <w:highlight w:val="none"/>
        </w:rPr>
        <w:t xml:space="preserve">1.4 </w:t>
      </w:r>
      <w:r>
        <w:rPr>
          <w:rFonts w:hint="eastAsia" w:cs="宋体"/>
          <w:color w:val="auto"/>
          <w:highlight w:val="none"/>
        </w:rPr>
        <w:t>建设项目投标报价汇总表（表</w:t>
      </w:r>
      <w:r>
        <w:rPr>
          <w:color w:val="auto"/>
          <w:highlight w:val="none"/>
        </w:rPr>
        <w:t>-02</w:t>
      </w:r>
      <w:r>
        <w:rPr>
          <w:rFonts w:hint="eastAsia" w:cs="宋体"/>
          <w:color w:val="auto"/>
          <w:highlight w:val="none"/>
        </w:rPr>
        <w:t>）</w:t>
      </w:r>
    </w:p>
    <w:p w14:paraId="4F8EACA7">
      <w:pPr>
        <w:pageBreakBefore w:val="0"/>
        <w:widowControl w:val="0"/>
        <w:kinsoku/>
        <w:wordWrap/>
        <w:overflowPunct/>
        <w:topLinePunct w:val="0"/>
        <w:autoSpaceDE/>
        <w:autoSpaceDN/>
        <w:bidi w:val="0"/>
        <w:adjustRightInd/>
        <w:snapToGrid/>
        <w:spacing w:line="360" w:lineRule="auto"/>
        <w:ind w:firstLine="630" w:firstLineChars="300"/>
        <w:jc w:val="left"/>
        <w:textAlignment w:val="auto"/>
        <w:rPr>
          <w:color w:val="auto"/>
          <w:highlight w:val="none"/>
        </w:rPr>
      </w:pPr>
      <w:r>
        <w:rPr>
          <w:color w:val="auto"/>
          <w:highlight w:val="none"/>
        </w:rPr>
        <w:t xml:space="preserve">1.5 </w:t>
      </w:r>
      <w:r>
        <w:rPr>
          <w:rFonts w:hint="eastAsia" w:cs="宋体"/>
          <w:color w:val="auto"/>
          <w:highlight w:val="none"/>
        </w:rPr>
        <w:t>单项工程投标报价汇总表（表</w:t>
      </w:r>
      <w:r>
        <w:rPr>
          <w:color w:val="auto"/>
          <w:highlight w:val="none"/>
        </w:rPr>
        <w:t>-03</w:t>
      </w:r>
      <w:r>
        <w:rPr>
          <w:rFonts w:hint="eastAsia" w:cs="宋体"/>
          <w:color w:val="auto"/>
          <w:highlight w:val="none"/>
        </w:rPr>
        <w:t>）</w:t>
      </w:r>
    </w:p>
    <w:p w14:paraId="535437AB">
      <w:pPr>
        <w:pageBreakBefore w:val="0"/>
        <w:widowControl w:val="0"/>
        <w:kinsoku/>
        <w:wordWrap/>
        <w:overflowPunct/>
        <w:topLinePunct w:val="0"/>
        <w:autoSpaceDE/>
        <w:autoSpaceDN/>
        <w:bidi w:val="0"/>
        <w:adjustRightInd/>
        <w:snapToGrid/>
        <w:spacing w:line="360" w:lineRule="auto"/>
        <w:ind w:firstLine="630" w:firstLineChars="300"/>
        <w:jc w:val="left"/>
        <w:textAlignment w:val="auto"/>
        <w:rPr>
          <w:color w:val="auto"/>
          <w:highlight w:val="none"/>
        </w:rPr>
      </w:pPr>
      <w:r>
        <w:rPr>
          <w:color w:val="auto"/>
          <w:highlight w:val="none"/>
        </w:rPr>
        <w:t xml:space="preserve">1.6 </w:t>
      </w:r>
      <w:r>
        <w:rPr>
          <w:rFonts w:hint="eastAsia" w:cs="宋体"/>
          <w:color w:val="auto"/>
          <w:highlight w:val="none"/>
        </w:rPr>
        <w:t>单位工程投标报价汇总表（表</w:t>
      </w:r>
      <w:r>
        <w:rPr>
          <w:color w:val="auto"/>
          <w:highlight w:val="none"/>
        </w:rPr>
        <w:t>-04</w:t>
      </w:r>
      <w:r>
        <w:rPr>
          <w:rFonts w:hint="eastAsia" w:cs="宋体"/>
          <w:color w:val="auto"/>
          <w:highlight w:val="none"/>
        </w:rPr>
        <w:t>）</w:t>
      </w:r>
    </w:p>
    <w:p w14:paraId="655A1178">
      <w:pPr>
        <w:pageBreakBefore w:val="0"/>
        <w:widowControl w:val="0"/>
        <w:kinsoku/>
        <w:wordWrap/>
        <w:overflowPunct/>
        <w:topLinePunct w:val="0"/>
        <w:autoSpaceDE/>
        <w:autoSpaceDN/>
        <w:bidi w:val="0"/>
        <w:adjustRightInd/>
        <w:snapToGrid/>
        <w:spacing w:line="360" w:lineRule="auto"/>
        <w:ind w:firstLine="630" w:firstLineChars="300"/>
        <w:jc w:val="left"/>
        <w:textAlignment w:val="auto"/>
        <w:rPr>
          <w:color w:val="auto"/>
          <w:highlight w:val="none"/>
        </w:rPr>
      </w:pPr>
      <w:r>
        <w:rPr>
          <w:color w:val="auto"/>
          <w:highlight w:val="none"/>
        </w:rPr>
        <w:t xml:space="preserve">1.7 </w:t>
      </w:r>
      <w:r>
        <w:rPr>
          <w:rFonts w:hint="eastAsia" w:cs="宋体"/>
          <w:color w:val="auto"/>
          <w:highlight w:val="none"/>
        </w:rPr>
        <w:t>分部分项工程和单价措施项目清单与计价表（表</w:t>
      </w:r>
      <w:r>
        <w:rPr>
          <w:color w:val="auto"/>
          <w:highlight w:val="none"/>
        </w:rPr>
        <w:t>-08</w:t>
      </w:r>
      <w:r>
        <w:rPr>
          <w:rFonts w:hint="eastAsia" w:cs="宋体"/>
          <w:color w:val="auto"/>
          <w:highlight w:val="none"/>
        </w:rPr>
        <w:t>）</w:t>
      </w:r>
    </w:p>
    <w:p w14:paraId="6536DAC8">
      <w:pPr>
        <w:pageBreakBefore w:val="0"/>
        <w:widowControl w:val="0"/>
        <w:kinsoku/>
        <w:wordWrap/>
        <w:overflowPunct/>
        <w:topLinePunct w:val="0"/>
        <w:autoSpaceDE/>
        <w:autoSpaceDN/>
        <w:bidi w:val="0"/>
        <w:adjustRightInd/>
        <w:snapToGrid/>
        <w:spacing w:line="360" w:lineRule="auto"/>
        <w:ind w:firstLine="630" w:firstLineChars="300"/>
        <w:jc w:val="left"/>
        <w:textAlignment w:val="auto"/>
        <w:rPr>
          <w:color w:val="auto"/>
          <w:highlight w:val="none"/>
        </w:rPr>
      </w:pPr>
      <w:r>
        <w:rPr>
          <w:color w:val="auto"/>
          <w:highlight w:val="none"/>
        </w:rPr>
        <w:t xml:space="preserve">1.8 </w:t>
      </w:r>
      <w:r>
        <w:rPr>
          <w:rFonts w:hint="eastAsia" w:cs="宋体"/>
          <w:color w:val="auto"/>
          <w:highlight w:val="none"/>
        </w:rPr>
        <w:t>总价措施项目清单与计价表（表</w:t>
      </w:r>
      <w:r>
        <w:rPr>
          <w:color w:val="auto"/>
          <w:highlight w:val="none"/>
        </w:rPr>
        <w:t>-11</w:t>
      </w:r>
      <w:r>
        <w:rPr>
          <w:rFonts w:hint="eastAsia" w:cs="宋体"/>
          <w:color w:val="auto"/>
          <w:highlight w:val="none"/>
        </w:rPr>
        <w:t>）</w:t>
      </w:r>
    </w:p>
    <w:p w14:paraId="755FE883">
      <w:pPr>
        <w:pageBreakBefore w:val="0"/>
        <w:widowControl w:val="0"/>
        <w:kinsoku/>
        <w:wordWrap/>
        <w:overflowPunct/>
        <w:topLinePunct w:val="0"/>
        <w:autoSpaceDE/>
        <w:autoSpaceDN/>
        <w:bidi w:val="0"/>
        <w:adjustRightInd/>
        <w:snapToGrid/>
        <w:spacing w:line="360" w:lineRule="auto"/>
        <w:ind w:firstLine="630" w:firstLineChars="300"/>
        <w:jc w:val="left"/>
        <w:textAlignment w:val="auto"/>
        <w:rPr>
          <w:color w:val="auto"/>
          <w:highlight w:val="none"/>
        </w:rPr>
      </w:pPr>
      <w:r>
        <w:rPr>
          <w:color w:val="auto"/>
          <w:highlight w:val="none"/>
        </w:rPr>
        <w:t xml:space="preserve">1.9 </w:t>
      </w:r>
      <w:r>
        <w:rPr>
          <w:rFonts w:hint="eastAsia" w:cs="宋体"/>
          <w:color w:val="auto"/>
          <w:highlight w:val="none"/>
        </w:rPr>
        <w:t>其他项目清单与计价汇总表（表</w:t>
      </w:r>
      <w:r>
        <w:rPr>
          <w:color w:val="auto"/>
          <w:highlight w:val="none"/>
        </w:rPr>
        <w:t>-12</w:t>
      </w:r>
      <w:r>
        <w:rPr>
          <w:rFonts w:hint="eastAsia" w:cs="宋体"/>
          <w:color w:val="auto"/>
          <w:highlight w:val="none"/>
        </w:rPr>
        <w:t>）</w:t>
      </w:r>
    </w:p>
    <w:p w14:paraId="038AE030">
      <w:pPr>
        <w:pageBreakBefore w:val="0"/>
        <w:widowControl w:val="0"/>
        <w:kinsoku/>
        <w:wordWrap/>
        <w:overflowPunct/>
        <w:topLinePunct w:val="0"/>
        <w:autoSpaceDE/>
        <w:autoSpaceDN/>
        <w:bidi w:val="0"/>
        <w:adjustRightInd/>
        <w:snapToGrid/>
        <w:spacing w:line="360" w:lineRule="auto"/>
        <w:ind w:firstLine="630" w:firstLineChars="300"/>
        <w:jc w:val="left"/>
        <w:textAlignment w:val="auto"/>
        <w:rPr>
          <w:color w:val="auto"/>
          <w:highlight w:val="none"/>
        </w:rPr>
      </w:pPr>
      <w:r>
        <w:rPr>
          <w:color w:val="auto"/>
          <w:highlight w:val="none"/>
        </w:rPr>
        <w:t xml:space="preserve">1.10 </w:t>
      </w:r>
      <w:r>
        <w:rPr>
          <w:rFonts w:hint="eastAsia" w:cs="宋体"/>
          <w:color w:val="auto"/>
          <w:highlight w:val="none"/>
        </w:rPr>
        <w:t>暂列金额明细表（表</w:t>
      </w:r>
      <w:r>
        <w:rPr>
          <w:color w:val="auto"/>
          <w:highlight w:val="none"/>
        </w:rPr>
        <w:t>12-1</w:t>
      </w:r>
      <w:r>
        <w:rPr>
          <w:rFonts w:hint="eastAsia" w:cs="宋体"/>
          <w:color w:val="auto"/>
          <w:highlight w:val="none"/>
        </w:rPr>
        <w:t>）</w:t>
      </w:r>
    </w:p>
    <w:p w14:paraId="291BF20A">
      <w:pPr>
        <w:pageBreakBefore w:val="0"/>
        <w:widowControl w:val="0"/>
        <w:kinsoku/>
        <w:wordWrap/>
        <w:overflowPunct/>
        <w:topLinePunct w:val="0"/>
        <w:autoSpaceDE/>
        <w:autoSpaceDN/>
        <w:bidi w:val="0"/>
        <w:adjustRightInd/>
        <w:snapToGrid/>
        <w:spacing w:line="360" w:lineRule="auto"/>
        <w:ind w:firstLine="630" w:firstLineChars="300"/>
        <w:jc w:val="left"/>
        <w:textAlignment w:val="auto"/>
        <w:rPr>
          <w:color w:val="auto"/>
          <w:highlight w:val="none"/>
        </w:rPr>
      </w:pPr>
      <w:r>
        <w:rPr>
          <w:color w:val="auto"/>
          <w:highlight w:val="none"/>
        </w:rPr>
        <w:t xml:space="preserve">1.11 </w:t>
      </w:r>
      <w:r>
        <w:rPr>
          <w:rFonts w:hint="eastAsia" w:cs="宋体"/>
          <w:color w:val="auto"/>
          <w:highlight w:val="none"/>
        </w:rPr>
        <w:t>材料（工程设备）暂估单价及调整表（表</w:t>
      </w:r>
      <w:r>
        <w:rPr>
          <w:color w:val="auto"/>
          <w:highlight w:val="none"/>
        </w:rPr>
        <w:t>12-2</w:t>
      </w:r>
      <w:r>
        <w:rPr>
          <w:rFonts w:hint="eastAsia" w:cs="宋体"/>
          <w:color w:val="auto"/>
          <w:highlight w:val="none"/>
        </w:rPr>
        <w:t>）</w:t>
      </w:r>
    </w:p>
    <w:p w14:paraId="48E97EB5">
      <w:pPr>
        <w:pageBreakBefore w:val="0"/>
        <w:widowControl w:val="0"/>
        <w:kinsoku/>
        <w:wordWrap/>
        <w:overflowPunct/>
        <w:topLinePunct w:val="0"/>
        <w:autoSpaceDE/>
        <w:autoSpaceDN/>
        <w:bidi w:val="0"/>
        <w:adjustRightInd/>
        <w:snapToGrid/>
        <w:spacing w:line="360" w:lineRule="auto"/>
        <w:ind w:firstLine="630" w:firstLineChars="300"/>
        <w:jc w:val="left"/>
        <w:textAlignment w:val="auto"/>
        <w:rPr>
          <w:color w:val="auto"/>
          <w:highlight w:val="none"/>
        </w:rPr>
      </w:pPr>
      <w:r>
        <w:rPr>
          <w:color w:val="auto"/>
          <w:highlight w:val="none"/>
        </w:rPr>
        <w:t xml:space="preserve">1.12 </w:t>
      </w:r>
      <w:r>
        <w:rPr>
          <w:rFonts w:hint="eastAsia" w:cs="宋体"/>
          <w:color w:val="auto"/>
          <w:highlight w:val="none"/>
        </w:rPr>
        <w:t>专业工程暂估价</w:t>
      </w:r>
      <w:r>
        <w:rPr>
          <w:rFonts w:hint="eastAsia"/>
          <w:color w:val="auto"/>
          <w:highlight w:val="none"/>
        </w:rPr>
        <w:t>及结算价</w:t>
      </w:r>
      <w:r>
        <w:rPr>
          <w:rFonts w:hint="eastAsia" w:cs="宋体"/>
          <w:color w:val="auto"/>
          <w:highlight w:val="none"/>
        </w:rPr>
        <w:t>表（表</w:t>
      </w:r>
      <w:r>
        <w:rPr>
          <w:color w:val="auto"/>
          <w:highlight w:val="none"/>
        </w:rPr>
        <w:t>12-3</w:t>
      </w:r>
      <w:r>
        <w:rPr>
          <w:rFonts w:hint="eastAsia" w:cs="宋体"/>
          <w:color w:val="auto"/>
          <w:highlight w:val="none"/>
        </w:rPr>
        <w:t>）</w:t>
      </w:r>
    </w:p>
    <w:p w14:paraId="56CCC420">
      <w:pPr>
        <w:pageBreakBefore w:val="0"/>
        <w:widowControl w:val="0"/>
        <w:kinsoku/>
        <w:wordWrap/>
        <w:overflowPunct/>
        <w:topLinePunct w:val="0"/>
        <w:autoSpaceDE/>
        <w:autoSpaceDN/>
        <w:bidi w:val="0"/>
        <w:adjustRightInd/>
        <w:snapToGrid/>
        <w:spacing w:line="360" w:lineRule="auto"/>
        <w:ind w:firstLine="630" w:firstLineChars="300"/>
        <w:jc w:val="left"/>
        <w:textAlignment w:val="auto"/>
        <w:rPr>
          <w:color w:val="auto"/>
          <w:highlight w:val="none"/>
        </w:rPr>
      </w:pPr>
      <w:r>
        <w:rPr>
          <w:color w:val="auto"/>
          <w:highlight w:val="none"/>
        </w:rPr>
        <w:t xml:space="preserve">1.13 </w:t>
      </w:r>
      <w:r>
        <w:rPr>
          <w:rFonts w:hint="eastAsia" w:cs="宋体"/>
          <w:color w:val="auto"/>
          <w:highlight w:val="none"/>
        </w:rPr>
        <w:t>计日工表（表</w:t>
      </w:r>
      <w:r>
        <w:rPr>
          <w:color w:val="auto"/>
          <w:highlight w:val="none"/>
        </w:rPr>
        <w:t>12-4</w:t>
      </w:r>
      <w:r>
        <w:rPr>
          <w:rFonts w:hint="eastAsia" w:cs="宋体"/>
          <w:color w:val="auto"/>
          <w:highlight w:val="none"/>
        </w:rPr>
        <w:t>）</w:t>
      </w:r>
    </w:p>
    <w:p w14:paraId="7F8F6454">
      <w:pPr>
        <w:pageBreakBefore w:val="0"/>
        <w:widowControl w:val="0"/>
        <w:kinsoku/>
        <w:wordWrap/>
        <w:overflowPunct/>
        <w:topLinePunct w:val="0"/>
        <w:autoSpaceDE/>
        <w:autoSpaceDN/>
        <w:bidi w:val="0"/>
        <w:adjustRightInd/>
        <w:snapToGrid/>
        <w:spacing w:line="360" w:lineRule="auto"/>
        <w:ind w:firstLine="630" w:firstLineChars="300"/>
        <w:jc w:val="left"/>
        <w:textAlignment w:val="auto"/>
        <w:rPr>
          <w:color w:val="auto"/>
          <w:highlight w:val="none"/>
        </w:rPr>
      </w:pPr>
      <w:r>
        <w:rPr>
          <w:color w:val="auto"/>
          <w:highlight w:val="none"/>
        </w:rPr>
        <w:t xml:space="preserve">1.14 </w:t>
      </w:r>
      <w:r>
        <w:rPr>
          <w:rFonts w:hint="eastAsia" w:cs="宋体"/>
          <w:color w:val="auto"/>
          <w:highlight w:val="none"/>
        </w:rPr>
        <w:t>总承包服务费计价表（表</w:t>
      </w:r>
      <w:r>
        <w:rPr>
          <w:color w:val="auto"/>
          <w:highlight w:val="none"/>
        </w:rPr>
        <w:t>12-5</w:t>
      </w:r>
      <w:r>
        <w:rPr>
          <w:rFonts w:hint="eastAsia" w:cs="宋体"/>
          <w:color w:val="auto"/>
          <w:highlight w:val="none"/>
        </w:rPr>
        <w:t>）</w:t>
      </w:r>
    </w:p>
    <w:p w14:paraId="1BF2D6B2">
      <w:pPr>
        <w:pageBreakBefore w:val="0"/>
        <w:widowControl w:val="0"/>
        <w:kinsoku/>
        <w:wordWrap/>
        <w:overflowPunct/>
        <w:topLinePunct w:val="0"/>
        <w:autoSpaceDE/>
        <w:autoSpaceDN/>
        <w:bidi w:val="0"/>
        <w:adjustRightInd/>
        <w:snapToGrid/>
        <w:spacing w:line="360" w:lineRule="auto"/>
        <w:ind w:firstLine="630" w:firstLineChars="300"/>
        <w:jc w:val="left"/>
        <w:textAlignment w:val="auto"/>
        <w:rPr>
          <w:color w:val="auto"/>
          <w:highlight w:val="none"/>
        </w:rPr>
      </w:pPr>
      <w:r>
        <w:rPr>
          <w:color w:val="auto"/>
          <w:highlight w:val="none"/>
        </w:rPr>
        <w:t xml:space="preserve">1.15 </w:t>
      </w:r>
      <w:r>
        <w:rPr>
          <w:rFonts w:hint="eastAsia" w:cs="宋体"/>
          <w:color w:val="auto"/>
          <w:highlight w:val="none"/>
        </w:rPr>
        <w:t>税前项目清单与计价表（表</w:t>
      </w:r>
      <w:r>
        <w:rPr>
          <w:color w:val="auto"/>
          <w:highlight w:val="none"/>
        </w:rPr>
        <w:t>-14</w:t>
      </w:r>
      <w:r>
        <w:rPr>
          <w:rFonts w:hint="eastAsia" w:cs="宋体"/>
          <w:color w:val="auto"/>
          <w:highlight w:val="none"/>
        </w:rPr>
        <w:t>）</w:t>
      </w:r>
    </w:p>
    <w:p w14:paraId="66BABF77">
      <w:pPr>
        <w:pageBreakBefore w:val="0"/>
        <w:widowControl w:val="0"/>
        <w:kinsoku/>
        <w:wordWrap/>
        <w:overflowPunct/>
        <w:topLinePunct w:val="0"/>
        <w:autoSpaceDE/>
        <w:autoSpaceDN/>
        <w:bidi w:val="0"/>
        <w:adjustRightInd/>
        <w:snapToGrid/>
        <w:spacing w:line="360" w:lineRule="auto"/>
        <w:ind w:firstLine="630" w:firstLineChars="300"/>
        <w:jc w:val="left"/>
        <w:textAlignment w:val="auto"/>
        <w:rPr>
          <w:color w:val="auto"/>
          <w:highlight w:val="none"/>
        </w:rPr>
      </w:pPr>
      <w:r>
        <w:rPr>
          <w:color w:val="auto"/>
          <w:highlight w:val="none"/>
        </w:rPr>
        <w:t xml:space="preserve">1.16 </w:t>
      </w:r>
      <w:r>
        <w:rPr>
          <w:rFonts w:hint="eastAsia" w:cs="宋体"/>
          <w:color w:val="auto"/>
          <w:highlight w:val="none"/>
        </w:rPr>
        <w:t>规费、增值税计价表（表</w:t>
      </w:r>
      <w:r>
        <w:rPr>
          <w:color w:val="auto"/>
          <w:highlight w:val="none"/>
        </w:rPr>
        <w:t>-15</w:t>
      </w:r>
      <w:r>
        <w:rPr>
          <w:rFonts w:hint="eastAsia" w:cs="宋体"/>
          <w:color w:val="auto"/>
          <w:highlight w:val="none"/>
        </w:rPr>
        <w:t>）</w:t>
      </w:r>
    </w:p>
    <w:p w14:paraId="5989949A">
      <w:pPr>
        <w:pageBreakBefore w:val="0"/>
        <w:widowControl w:val="0"/>
        <w:kinsoku/>
        <w:wordWrap/>
        <w:overflowPunct/>
        <w:topLinePunct w:val="0"/>
        <w:autoSpaceDE/>
        <w:autoSpaceDN/>
        <w:bidi w:val="0"/>
        <w:adjustRightInd/>
        <w:snapToGrid/>
        <w:spacing w:line="360" w:lineRule="auto"/>
        <w:ind w:firstLine="630" w:firstLineChars="300"/>
        <w:jc w:val="left"/>
        <w:textAlignment w:val="auto"/>
        <w:rPr>
          <w:color w:val="auto"/>
          <w:highlight w:val="none"/>
        </w:rPr>
      </w:pPr>
      <w:r>
        <w:rPr>
          <w:color w:val="auto"/>
          <w:highlight w:val="none"/>
        </w:rPr>
        <w:t xml:space="preserve">1.17 </w:t>
      </w:r>
      <w:r>
        <w:rPr>
          <w:rFonts w:hint="eastAsia" w:cs="宋体"/>
          <w:color w:val="auto"/>
          <w:highlight w:val="none"/>
        </w:rPr>
        <w:t>发包人提供主要材料和工程设备一览表（表</w:t>
      </w:r>
      <w:r>
        <w:rPr>
          <w:color w:val="auto"/>
          <w:highlight w:val="none"/>
        </w:rPr>
        <w:t>-21</w:t>
      </w:r>
      <w:r>
        <w:rPr>
          <w:rFonts w:hint="eastAsia" w:cs="宋体"/>
          <w:color w:val="auto"/>
          <w:highlight w:val="none"/>
        </w:rPr>
        <w:t>）</w:t>
      </w:r>
    </w:p>
    <w:p w14:paraId="393FE978">
      <w:pPr>
        <w:pageBreakBefore w:val="0"/>
        <w:widowControl w:val="0"/>
        <w:kinsoku/>
        <w:wordWrap/>
        <w:overflowPunct/>
        <w:topLinePunct w:val="0"/>
        <w:autoSpaceDE/>
        <w:autoSpaceDN/>
        <w:bidi w:val="0"/>
        <w:adjustRightInd/>
        <w:snapToGrid/>
        <w:spacing w:line="360" w:lineRule="auto"/>
        <w:ind w:firstLine="630" w:firstLineChars="300"/>
        <w:jc w:val="left"/>
        <w:textAlignment w:val="auto"/>
        <w:rPr>
          <w:color w:val="auto"/>
          <w:highlight w:val="none"/>
        </w:rPr>
      </w:pPr>
      <w:r>
        <w:rPr>
          <w:color w:val="auto"/>
          <w:highlight w:val="none"/>
        </w:rPr>
        <w:t xml:space="preserve">1.18 </w:t>
      </w:r>
      <w:r>
        <w:rPr>
          <w:rFonts w:hint="eastAsia" w:cs="宋体"/>
          <w:color w:val="auto"/>
          <w:highlight w:val="none"/>
        </w:rPr>
        <w:t>允许调整主要材料和工程设备一览表（适用于造价信息差额调整法）（表</w:t>
      </w:r>
      <w:r>
        <w:rPr>
          <w:color w:val="auto"/>
          <w:highlight w:val="none"/>
        </w:rPr>
        <w:t>-22</w:t>
      </w:r>
      <w:r>
        <w:rPr>
          <w:rFonts w:hint="eastAsia" w:cs="宋体"/>
          <w:color w:val="auto"/>
          <w:highlight w:val="none"/>
        </w:rPr>
        <w:t>）</w:t>
      </w:r>
    </w:p>
    <w:p w14:paraId="095D4DA0">
      <w:pPr>
        <w:pageBreakBefore w:val="0"/>
        <w:widowControl w:val="0"/>
        <w:kinsoku/>
        <w:wordWrap/>
        <w:overflowPunct/>
        <w:topLinePunct w:val="0"/>
        <w:autoSpaceDE/>
        <w:autoSpaceDN/>
        <w:bidi w:val="0"/>
        <w:adjustRightInd/>
        <w:snapToGrid/>
        <w:spacing w:line="360" w:lineRule="auto"/>
        <w:ind w:firstLine="630" w:firstLineChars="300"/>
        <w:jc w:val="left"/>
        <w:textAlignment w:val="auto"/>
        <w:rPr>
          <w:rFonts w:cs="宋体"/>
          <w:color w:val="auto"/>
          <w:highlight w:val="none"/>
        </w:rPr>
      </w:pPr>
      <w:r>
        <w:rPr>
          <w:color w:val="auto"/>
          <w:highlight w:val="none"/>
        </w:rPr>
        <w:t>1.19</w:t>
      </w:r>
      <w:r>
        <w:rPr>
          <w:rFonts w:hint="eastAsia" w:cs="宋体"/>
          <w:color w:val="auto"/>
          <w:highlight w:val="none"/>
        </w:rPr>
        <w:t>允许调整主要材料和工程设备一览表（适用于价格指数差额调整法）（表</w:t>
      </w:r>
      <w:r>
        <w:rPr>
          <w:color w:val="auto"/>
          <w:highlight w:val="none"/>
        </w:rPr>
        <w:t>-23</w:t>
      </w:r>
      <w:r>
        <w:rPr>
          <w:rFonts w:hint="eastAsia" w:cs="宋体"/>
          <w:color w:val="auto"/>
          <w:highlight w:val="none"/>
        </w:rPr>
        <w:t>）</w:t>
      </w:r>
    </w:p>
    <w:p w14:paraId="51539669">
      <w:pPr>
        <w:pageBreakBefore w:val="0"/>
        <w:widowControl w:val="0"/>
        <w:kinsoku/>
        <w:wordWrap/>
        <w:overflowPunct/>
        <w:topLinePunct w:val="0"/>
        <w:autoSpaceDE/>
        <w:autoSpaceDN/>
        <w:bidi w:val="0"/>
        <w:adjustRightInd/>
        <w:snapToGrid/>
        <w:spacing w:line="360" w:lineRule="auto"/>
        <w:ind w:firstLine="630" w:firstLineChars="300"/>
        <w:jc w:val="left"/>
        <w:textAlignment w:val="auto"/>
        <w:rPr>
          <w:rFonts w:cs="宋体"/>
          <w:color w:val="auto"/>
          <w:highlight w:val="none"/>
        </w:rPr>
      </w:pPr>
      <w:r>
        <w:rPr>
          <w:rFonts w:hint="eastAsia" w:cs="宋体"/>
          <w:color w:val="auto"/>
          <w:highlight w:val="none"/>
        </w:rPr>
        <w:t>1.20本工程</w:t>
      </w:r>
      <w:r>
        <w:rPr>
          <w:rFonts w:cs="宋体"/>
          <w:color w:val="auto"/>
          <w:highlight w:val="none"/>
        </w:rPr>
        <w:t>材料和工程设备</w:t>
      </w:r>
      <w:r>
        <w:rPr>
          <w:rFonts w:hint="eastAsia" w:cs="宋体"/>
          <w:color w:val="auto"/>
          <w:highlight w:val="none"/>
        </w:rPr>
        <w:t>一览表（表-24）</w:t>
      </w:r>
    </w:p>
    <w:p w14:paraId="44D0212D">
      <w:pPr>
        <w:pageBreakBefore w:val="0"/>
        <w:widowControl w:val="0"/>
        <w:kinsoku/>
        <w:wordWrap/>
        <w:overflowPunct/>
        <w:topLinePunct w:val="0"/>
        <w:autoSpaceDE/>
        <w:autoSpaceDN/>
        <w:bidi w:val="0"/>
        <w:adjustRightInd/>
        <w:snapToGrid/>
        <w:spacing w:line="360" w:lineRule="auto"/>
        <w:ind w:firstLine="630" w:firstLineChars="300"/>
        <w:jc w:val="left"/>
        <w:textAlignment w:val="auto"/>
        <w:rPr>
          <w:rFonts w:cs="宋体"/>
          <w:color w:val="auto"/>
          <w:highlight w:val="none"/>
        </w:rPr>
      </w:pPr>
      <w:r>
        <w:rPr>
          <w:rFonts w:hint="eastAsia" w:cs="宋体"/>
          <w:color w:val="auto"/>
          <w:highlight w:val="none"/>
        </w:rPr>
        <w:t>注：如本工程在合同中约定采用造价信息价差调整法，1.</w:t>
      </w:r>
      <w:r>
        <w:rPr>
          <w:color w:val="auto"/>
          <w:highlight w:val="none"/>
        </w:rPr>
        <w:t xml:space="preserve">18 </w:t>
      </w:r>
      <w:r>
        <w:rPr>
          <w:rFonts w:cs="宋体"/>
          <w:color w:val="auto"/>
          <w:highlight w:val="none"/>
        </w:rPr>
        <w:t>允许调整</w:t>
      </w:r>
      <w:r>
        <w:rPr>
          <w:rFonts w:hint="eastAsia" w:cs="宋体"/>
          <w:color w:val="auto"/>
          <w:highlight w:val="none"/>
        </w:rPr>
        <w:t>主要材料和工程设备一览表（适用于造价信息差额调整法）（表</w:t>
      </w:r>
      <w:r>
        <w:rPr>
          <w:color w:val="auto"/>
          <w:highlight w:val="none"/>
        </w:rPr>
        <w:t>-22</w:t>
      </w:r>
      <w:r>
        <w:rPr>
          <w:rFonts w:hint="eastAsia" w:cs="宋体"/>
          <w:color w:val="auto"/>
          <w:highlight w:val="none"/>
        </w:rPr>
        <w:t>）载明的主要材料和工程设备为本工程允许调整材料和工程设备，工程量清单必须提供该表格，并应载明允许调整材料和工程设备名称型号规格、单位、风险系数、基准单价等内容，且不能提供空白表。</w:t>
      </w:r>
    </w:p>
    <w:p w14:paraId="31FB23EF">
      <w:pPr>
        <w:pageBreakBefore w:val="0"/>
        <w:widowControl w:val="0"/>
        <w:kinsoku/>
        <w:wordWrap/>
        <w:overflowPunct/>
        <w:topLinePunct w:val="0"/>
        <w:autoSpaceDE/>
        <w:autoSpaceDN/>
        <w:bidi w:val="0"/>
        <w:adjustRightInd/>
        <w:snapToGrid/>
        <w:spacing w:line="360" w:lineRule="auto"/>
        <w:ind w:firstLine="630" w:firstLineChars="300"/>
        <w:jc w:val="left"/>
        <w:textAlignment w:val="auto"/>
        <w:rPr>
          <w:color w:val="auto"/>
          <w:highlight w:val="none"/>
        </w:rPr>
      </w:pPr>
      <w:r>
        <w:rPr>
          <w:rFonts w:hint="eastAsia" w:cs="宋体"/>
          <w:color w:val="auto"/>
          <w:highlight w:val="none"/>
        </w:rPr>
        <w:t>以下表格视工程实际需要选用，如该工程不发生如下表格相关项目和费用，所编制工程量清单则不需列入相应表格：</w:t>
      </w:r>
    </w:p>
    <w:p w14:paraId="54313422">
      <w:pPr>
        <w:pageBreakBefore w:val="0"/>
        <w:widowControl w:val="0"/>
        <w:kinsoku/>
        <w:wordWrap/>
        <w:overflowPunct/>
        <w:topLinePunct w:val="0"/>
        <w:autoSpaceDE/>
        <w:autoSpaceDN/>
        <w:bidi w:val="0"/>
        <w:adjustRightInd/>
        <w:snapToGrid/>
        <w:spacing w:line="360" w:lineRule="auto"/>
        <w:ind w:firstLine="630" w:firstLineChars="300"/>
        <w:jc w:val="left"/>
        <w:textAlignment w:val="auto"/>
        <w:rPr>
          <w:color w:val="auto"/>
          <w:highlight w:val="none"/>
        </w:rPr>
      </w:pPr>
      <w:r>
        <w:rPr>
          <w:rFonts w:hint="eastAsia" w:ascii="宋体" w:hAnsi="宋体" w:cs="宋体"/>
          <w:color w:val="auto"/>
          <w:highlight w:val="none"/>
        </w:rPr>
        <w:t>①</w:t>
      </w:r>
      <w:r>
        <w:rPr>
          <w:rFonts w:hint="eastAsia" w:cs="宋体"/>
          <w:color w:val="auto"/>
          <w:highlight w:val="none"/>
        </w:rPr>
        <w:t>建设项目投标报价汇总表（表</w:t>
      </w:r>
      <w:r>
        <w:rPr>
          <w:color w:val="auto"/>
          <w:highlight w:val="none"/>
        </w:rPr>
        <w:t>-02</w:t>
      </w:r>
      <w:r>
        <w:rPr>
          <w:rFonts w:hint="eastAsia" w:cs="宋体"/>
          <w:color w:val="auto"/>
          <w:highlight w:val="none"/>
        </w:rPr>
        <w:t>）</w:t>
      </w:r>
    </w:p>
    <w:p w14:paraId="2E1489DF">
      <w:pPr>
        <w:pageBreakBefore w:val="0"/>
        <w:widowControl w:val="0"/>
        <w:kinsoku/>
        <w:wordWrap/>
        <w:overflowPunct/>
        <w:topLinePunct w:val="0"/>
        <w:autoSpaceDE/>
        <w:autoSpaceDN/>
        <w:bidi w:val="0"/>
        <w:adjustRightInd/>
        <w:snapToGrid/>
        <w:spacing w:line="360" w:lineRule="auto"/>
        <w:ind w:firstLine="630" w:firstLineChars="300"/>
        <w:jc w:val="left"/>
        <w:textAlignment w:val="auto"/>
        <w:rPr>
          <w:color w:val="auto"/>
          <w:highlight w:val="none"/>
        </w:rPr>
      </w:pPr>
      <w:r>
        <w:rPr>
          <w:rFonts w:hint="eastAsia" w:cs="宋体"/>
          <w:color w:val="auto"/>
          <w:highlight w:val="none"/>
        </w:rPr>
        <w:t>②暂列金额明细表（表</w:t>
      </w:r>
      <w:r>
        <w:rPr>
          <w:color w:val="auto"/>
          <w:highlight w:val="none"/>
        </w:rPr>
        <w:t>12-1</w:t>
      </w:r>
      <w:r>
        <w:rPr>
          <w:rFonts w:hint="eastAsia" w:cs="宋体"/>
          <w:color w:val="auto"/>
          <w:highlight w:val="none"/>
        </w:rPr>
        <w:t>）</w:t>
      </w:r>
    </w:p>
    <w:p w14:paraId="54BAF9E7">
      <w:pPr>
        <w:pageBreakBefore w:val="0"/>
        <w:widowControl w:val="0"/>
        <w:kinsoku/>
        <w:wordWrap/>
        <w:overflowPunct/>
        <w:topLinePunct w:val="0"/>
        <w:autoSpaceDE/>
        <w:autoSpaceDN/>
        <w:bidi w:val="0"/>
        <w:adjustRightInd/>
        <w:snapToGrid/>
        <w:spacing w:line="360" w:lineRule="auto"/>
        <w:ind w:firstLine="630" w:firstLineChars="300"/>
        <w:jc w:val="left"/>
        <w:textAlignment w:val="auto"/>
        <w:rPr>
          <w:color w:val="auto"/>
          <w:highlight w:val="none"/>
        </w:rPr>
      </w:pPr>
      <w:r>
        <w:rPr>
          <w:rFonts w:hint="eastAsia" w:cs="宋体"/>
          <w:color w:val="auto"/>
          <w:highlight w:val="none"/>
        </w:rPr>
        <w:t>③材料（工程设备）暂估单价及调整表（表</w:t>
      </w:r>
      <w:r>
        <w:rPr>
          <w:color w:val="auto"/>
          <w:highlight w:val="none"/>
        </w:rPr>
        <w:t>12-2</w:t>
      </w:r>
      <w:r>
        <w:rPr>
          <w:rFonts w:hint="eastAsia" w:cs="宋体"/>
          <w:color w:val="auto"/>
          <w:highlight w:val="none"/>
        </w:rPr>
        <w:t>）</w:t>
      </w:r>
    </w:p>
    <w:p w14:paraId="320FDFEB">
      <w:pPr>
        <w:pageBreakBefore w:val="0"/>
        <w:widowControl w:val="0"/>
        <w:kinsoku/>
        <w:wordWrap/>
        <w:overflowPunct/>
        <w:topLinePunct w:val="0"/>
        <w:autoSpaceDE/>
        <w:autoSpaceDN/>
        <w:bidi w:val="0"/>
        <w:adjustRightInd/>
        <w:snapToGrid/>
        <w:spacing w:line="360" w:lineRule="auto"/>
        <w:ind w:firstLine="630" w:firstLineChars="300"/>
        <w:jc w:val="left"/>
        <w:textAlignment w:val="auto"/>
        <w:rPr>
          <w:color w:val="auto"/>
          <w:highlight w:val="none"/>
        </w:rPr>
      </w:pPr>
      <w:r>
        <w:rPr>
          <w:rFonts w:hint="eastAsia" w:cs="宋体"/>
          <w:color w:val="auto"/>
          <w:highlight w:val="none"/>
        </w:rPr>
        <w:t>④专业工程暂估价表（表</w:t>
      </w:r>
      <w:r>
        <w:rPr>
          <w:color w:val="auto"/>
          <w:highlight w:val="none"/>
        </w:rPr>
        <w:t>12-3</w:t>
      </w:r>
      <w:r>
        <w:rPr>
          <w:rFonts w:hint="eastAsia" w:cs="宋体"/>
          <w:color w:val="auto"/>
          <w:highlight w:val="none"/>
        </w:rPr>
        <w:t>）</w:t>
      </w:r>
    </w:p>
    <w:p w14:paraId="20B7DA5F">
      <w:pPr>
        <w:pageBreakBefore w:val="0"/>
        <w:widowControl w:val="0"/>
        <w:kinsoku/>
        <w:wordWrap/>
        <w:overflowPunct/>
        <w:topLinePunct w:val="0"/>
        <w:autoSpaceDE/>
        <w:autoSpaceDN/>
        <w:bidi w:val="0"/>
        <w:adjustRightInd/>
        <w:snapToGrid/>
        <w:spacing w:line="360" w:lineRule="auto"/>
        <w:ind w:firstLine="630" w:firstLineChars="300"/>
        <w:jc w:val="left"/>
        <w:textAlignment w:val="auto"/>
        <w:rPr>
          <w:color w:val="auto"/>
          <w:highlight w:val="none"/>
        </w:rPr>
      </w:pPr>
      <w:r>
        <w:rPr>
          <w:rFonts w:hint="eastAsia" w:cs="宋体"/>
          <w:color w:val="auto"/>
          <w:highlight w:val="none"/>
        </w:rPr>
        <w:t>⑤计日工表（表</w:t>
      </w:r>
      <w:r>
        <w:rPr>
          <w:color w:val="auto"/>
          <w:highlight w:val="none"/>
        </w:rPr>
        <w:t>12-4</w:t>
      </w:r>
      <w:r>
        <w:rPr>
          <w:rFonts w:hint="eastAsia" w:cs="宋体"/>
          <w:color w:val="auto"/>
          <w:highlight w:val="none"/>
        </w:rPr>
        <w:t>）</w:t>
      </w:r>
    </w:p>
    <w:p w14:paraId="03BDCDB1">
      <w:pPr>
        <w:pageBreakBefore w:val="0"/>
        <w:widowControl w:val="0"/>
        <w:kinsoku/>
        <w:wordWrap/>
        <w:overflowPunct/>
        <w:topLinePunct w:val="0"/>
        <w:autoSpaceDE/>
        <w:autoSpaceDN/>
        <w:bidi w:val="0"/>
        <w:adjustRightInd/>
        <w:snapToGrid/>
        <w:spacing w:line="360" w:lineRule="auto"/>
        <w:ind w:firstLine="630" w:firstLineChars="300"/>
        <w:jc w:val="left"/>
        <w:textAlignment w:val="auto"/>
        <w:rPr>
          <w:color w:val="auto"/>
          <w:highlight w:val="none"/>
        </w:rPr>
      </w:pPr>
      <w:r>
        <w:rPr>
          <w:rFonts w:hint="eastAsia" w:cs="宋体"/>
          <w:color w:val="auto"/>
          <w:highlight w:val="none"/>
        </w:rPr>
        <w:t>⑥总承包服务费计价表（表</w:t>
      </w:r>
      <w:r>
        <w:rPr>
          <w:color w:val="auto"/>
          <w:highlight w:val="none"/>
        </w:rPr>
        <w:t>12-5</w:t>
      </w:r>
      <w:r>
        <w:rPr>
          <w:rFonts w:hint="eastAsia" w:cs="宋体"/>
          <w:color w:val="auto"/>
          <w:highlight w:val="none"/>
        </w:rPr>
        <w:t>）</w:t>
      </w:r>
    </w:p>
    <w:p w14:paraId="475BC7CC">
      <w:pPr>
        <w:pageBreakBefore w:val="0"/>
        <w:widowControl w:val="0"/>
        <w:kinsoku/>
        <w:wordWrap/>
        <w:overflowPunct/>
        <w:topLinePunct w:val="0"/>
        <w:autoSpaceDE/>
        <w:autoSpaceDN/>
        <w:bidi w:val="0"/>
        <w:adjustRightInd/>
        <w:snapToGrid/>
        <w:spacing w:line="360" w:lineRule="auto"/>
        <w:ind w:firstLine="630" w:firstLineChars="300"/>
        <w:jc w:val="left"/>
        <w:textAlignment w:val="auto"/>
        <w:rPr>
          <w:rFonts w:cs="宋体"/>
          <w:color w:val="auto"/>
          <w:highlight w:val="none"/>
        </w:rPr>
      </w:pPr>
      <w:r>
        <w:rPr>
          <w:rFonts w:hint="eastAsia" w:cs="宋体"/>
          <w:color w:val="auto"/>
          <w:highlight w:val="none"/>
        </w:rPr>
        <w:t>⑦税前项目清单与计价表（表</w:t>
      </w:r>
      <w:r>
        <w:rPr>
          <w:color w:val="auto"/>
          <w:highlight w:val="none"/>
        </w:rPr>
        <w:t>-14</w:t>
      </w:r>
      <w:r>
        <w:rPr>
          <w:rFonts w:hint="eastAsia" w:cs="宋体"/>
          <w:color w:val="auto"/>
          <w:highlight w:val="none"/>
        </w:rPr>
        <w:t>）</w:t>
      </w:r>
    </w:p>
    <w:p w14:paraId="5B90218E">
      <w:pPr>
        <w:pageBreakBefore w:val="0"/>
        <w:widowControl w:val="0"/>
        <w:kinsoku/>
        <w:wordWrap/>
        <w:overflowPunct/>
        <w:topLinePunct w:val="0"/>
        <w:autoSpaceDE/>
        <w:autoSpaceDN/>
        <w:bidi w:val="0"/>
        <w:adjustRightInd/>
        <w:snapToGrid/>
        <w:spacing w:line="360" w:lineRule="auto"/>
        <w:ind w:firstLine="630" w:firstLineChars="300"/>
        <w:textAlignment w:val="auto"/>
        <w:rPr>
          <w:color w:val="auto"/>
          <w:highlight w:val="none"/>
        </w:rPr>
      </w:pPr>
      <w:r>
        <w:rPr>
          <w:color w:val="auto"/>
          <w:highlight w:val="none"/>
        </w:rPr>
        <w:fldChar w:fldCharType="begin"/>
      </w:r>
      <w:r>
        <w:rPr>
          <w:rFonts w:hint="eastAsia"/>
          <w:color w:val="auto"/>
          <w:highlight w:val="none"/>
        </w:rPr>
        <w:instrText xml:space="preserve">= 8 \* GB3</w:instrText>
      </w:r>
      <w:r>
        <w:rPr>
          <w:color w:val="auto"/>
          <w:highlight w:val="none"/>
        </w:rPr>
        <w:fldChar w:fldCharType="separate"/>
      </w:r>
      <w:r>
        <w:rPr>
          <w:rFonts w:hint="eastAsia"/>
          <w:color w:val="auto"/>
          <w:highlight w:val="none"/>
        </w:rPr>
        <w:t>⑧</w:t>
      </w:r>
      <w:r>
        <w:rPr>
          <w:color w:val="auto"/>
          <w:highlight w:val="none"/>
        </w:rPr>
        <w:fldChar w:fldCharType="end"/>
      </w:r>
      <w:r>
        <w:rPr>
          <w:rFonts w:hint="eastAsia" w:cs="宋体"/>
          <w:color w:val="auto"/>
          <w:highlight w:val="none"/>
        </w:rPr>
        <w:t>允许调整主要材料和工程设备一览表（适用于价格指数差额调整法）（表</w:t>
      </w:r>
      <w:r>
        <w:rPr>
          <w:color w:val="auto"/>
          <w:highlight w:val="none"/>
        </w:rPr>
        <w:t>-23</w:t>
      </w:r>
      <w:r>
        <w:rPr>
          <w:rFonts w:hint="eastAsia" w:cs="宋体"/>
          <w:color w:val="auto"/>
          <w:highlight w:val="none"/>
        </w:rPr>
        <w:t>）</w:t>
      </w:r>
    </w:p>
    <w:p w14:paraId="12DE7019">
      <w:pPr>
        <w:pStyle w:val="3"/>
        <w:pageBreakBefore w:val="0"/>
        <w:widowControl w:val="0"/>
        <w:kinsoku/>
        <w:wordWrap/>
        <w:overflowPunct/>
        <w:topLinePunct w:val="0"/>
        <w:autoSpaceDE/>
        <w:autoSpaceDN/>
        <w:bidi w:val="0"/>
        <w:adjustRightInd/>
        <w:snapToGrid/>
        <w:spacing w:before="0" w:after="0" w:line="360" w:lineRule="auto"/>
        <w:textAlignment w:val="auto"/>
        <w:rPr>
          <w:color w:val="auto"/>
          <w:highlight w:val="none"/>
        </w:rPr>
      </w:pPr>
      <w:bookmarkStart w:id="79" w:name="_Toc185869574"/>
      <w:bookmarkStart w:id="80" w:name="_Toc347872619"/>
      <w:bookmarkStart w:id="81" w:name="_Toc407135285"/>
      <w:bookmarkStart w:id="82" w:name="_Toc990933621"/>
      <w:bookmarkStart w:id="83" w:name="_Toc78449870"/>
      <w:r>
        <w:rPr>
          <w:color w:val="auto"/>
          <w:highlight w:val="none"/>
        </w:rPr>
        <w:t>2</w:t>
      </w:r>
      <w:r>
        <w:rPr>
          <w:rFonts w:hint="eastAsia"/>
          <w:color w:val="auto"/>
          <w:highlight w:val="none"/>
        </w:rPr>
        <w:t>.</w:t>
      </w:r>
      <w:r>
        <w:rPr>
          <w:rFonts w:hint="eastAsia" w:cs="黑体"/>
          <w:color w:val="auto"/>
          <w:highlight w:val="none"/>
        </w:rPr>
        <w:t>招标控制价编制说明</w:t>
      </w:r>
      <w:bookmarkEnd w:id="79"/>
      <w:bookmarkEnd w:id="80"/>
      <w:bookmarkEnd w:id="81"/>
      <w:bookmarkEnd w:id="82"/>
      <w:bookmarkEnd w:id="83"/>
    </w:p>
    <w:p w14:paraId="2D7A76A1">
      <w:pPr>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color w:val="auto"/>
          <w:highlight w:val="none"/>
        </w:rPr>
        <w:t xml:space="preserve">2.1 </w:t>
      </w:r>
      <w:r>
        <w:rPr>
          <w:rFonts w:hint="eastAsia" w:hAnsi="宋体" w:cs="宋体"/>
          <w:color w:val="auto"/>
          <w:highlight w:val="none"/>
        </w:rPr>
        <w:t>招标控制价编制依据：</w:t>
      </w:r>
    </w:p>
    <w:p w14:paraId="1D8309EF">
      <w:pPr>
        <w:pageBreakBefore w:val="0"/>
        <w:widowControl w:val="0"/>
        <w:kinsoku/>
        <w:wordWrap/>
        <w:overflowPunct/>
        <w:topLinePunct w:val="0"/>
        <w:autoSpaceDE/>
        <w:autoSpaceDN/>
        <w:bidi w:val="0"/>
        <w:adjustRightInd/>
        <w:snapToGrid/>
        <w:spacing w:line="360" w:lineRule="auto"/>
        <w:ind w:firstLine="420" w:firstLineChars="200"/>
        <w:textAlignment w:val="auto"/>
        <w:rPr>
          <w:rFonts w:hAnsi="宋体"/>
          <w:color w:val="auto"/>
          <w:highlight w:val="none"/>
        </w:rPr>
      </w:pPr>
      <w:r>
        <w:rPr>
          <w:rFonts w:hint="eastAsia" w:cs="宋体"/>
          <w:color w:val="auto"/>
          <w:highlight w:val="none"/>
        </w:rPr>
        <w:t>（</w:t>
      </w:r>
      <w:r>
        <w:rPr>
          <w:color w:val="auto"/>
          <w:highlight w:val="none"/>
        </w:rPr>
        <w:t>1</w:t>
      </w:r>
      <w:r>
        <w:rPr>
          <w:rFonts w:hint="eastAsia" w:cs="宋体"/>
          <w:color w:val="auto"/>
          <w:highlight w:val="none"/>
        </w:rPr>
        <w:t>）</w:t>
      </w:r>
      <w:r>
        <w:rPr>
          <w:rFonts w:hint="eastAsia" w:hAnsi="宋体" w:cs="宋体"/>
          <w:color w:val="auto"/>
          <w:highlight w:val="none"/>
        </w:rPr>
        <w:t>《计价规范》及《计算规范</w:t>
      </w:r>
      <w:r>
        <w:rPr>
          <w:rFonts w:hint="eastAsia" w:hAnsi="宋体" w:cs="宋体"/>
          <w:color w:val="auto"/>
          <w:highlight w:val="none"/>
          <w:lang w:eastAsia="zh-CN"/>
        </w:rPr>
        <w:t>》《</w:t>
      </w:r>
      <w:r>
        <w:rPr>
          <w:rFonts w:hint="eastAsia" w:hAnsi="宋体" w:cs="宋体"/>
          <w:color w:val="auto"/>
          <w:kern w:val="0"/>
          <w:highlight w:val="none"/>
        </w:rPr>
        <w:t>关于建筑业实施营业税改征增值税后广西壮族自治区建设工程计价依据调整的通知》（桂建标〔</w:t>
      </w:r>
      <w:r>
        <w:rPr>
          <w:rFonts w:hAnsi="宋体"/>
          <w:color w:val="auto"/>
          <w:kern w:val="0"/>
          <w:highlight w:val="none"/>
        </w:rPr>
        <w:t>2016</w:t>
      </w:r>
      <w:r>
        <w:rPr>
          <w:rFonts w:hint="eastAsia" w:hAnsi="宋体" w:cs="宋体"/>
          <w:color w:val="auto"/>
          <w:kern w:val="0"/>
          <w:highlight w:val="none"/>
        </w:rPr>
        <w:t>〕</w:t>
      </w:r>
      <w:r>
        <w:rPr>
          <w:rFonts w:hAnsi="宋体"/>
          <w:color w:val="auto"/>
          <w:kern w:val="0"/>
          <w:highlight w:val="none"/>
        </w:rPr>
        <w:t>17</w:t>
      </w:r>
      <w:r>
        <w:rPr>
          <w:rFonts w:hint="eastAsia" w:hAnsi="宋体" w:cs="宋体"/>
          <w:color w:val="auto"/>
          <w:kern w:val="0"/>
          <w:highlight w:val="none"/>
        </w:rPr>
        <w:t>号）等</w:t>
      </w:r>
      <w:r>
        <w:rPr>
          <w:rFonts w:hint="eastAsia" w:hAnsi="宋体" w:cs="宋体"/>
          <w:color w:val="auto"/>
          <w:highlight w:val="none"/>
        </w:rPr>
        <w:t>；</w:t>
      </w:r>
    </w:p>
    <w:p w14:paraId="2550A119">
      <w:pPr>
        <w:pageBreakBefore w:val="0"/>
        <w:widowControl w:val="0"/>
        <w:kinsoku/>
        <w:wordWrap/>
        <w:overflowPunct/>
        <w:topLinePunct w:val="0"/>
        <w:autoSpaceDE/>
        <w:autoSpaceDN/>
        <w:bidi w:val="0"/>
        <w:adjustRightInd/>
        <w:snapToGrid/>
        <w:spacing w:line="360" w:lineRule="auto"/>
        <w:ind w:firstLine="420" w:firstLineChars="200"/>
        <w:textAlignment w:val="auto"/>
        <w:rPr>
          <w:rFonts w:cs="宋体"/>
          <w:color w:val="auto"/>
          <w:highlight w:val="none"/>
        </w:rPr>
      </w:pPr>
      <w:r>
        <w:rPr>
          <w:rFonts w:hint="eastAsia" w:cs="宋体"/>
          <w:color w:val="auto"/>
          <w:highlight w:val="none"/>
        </w:rPr>
        <w:t>（</w:t>
      </w:r>
      <w:r>
        <w:rPr>
          <w:color w:val="auto"/>
          <w:highlight w:val="none"/>
        </w:rPr>
        <w:t>2</w:t>
      </w:r>
      <w:r>
        <w:rPr>
          <w:rFonts w:hint="eastAsia" w:cs="宋体"/>
          <w:color w:val="auto"/>
          <w:highlight w:val="none"/>
        </w:rPr>
        <w:t>）自治区住</w:t>
      </w:r>
      <w:r>
        <w:rPr>
          <w:rFonts w:hint="eastAsia" w:cs="宋体"/>
          <w:color w:val="auto"/>
          <w:highlight w:val="none"/>
          <w:lang w:eastAsia="zh-CN"/>
        </w:rPr>
        <w:t>房和</w:t>
      </w:r>
      <w:r>
        <w:rPr>
          <w:rFonts w:hint="eastAsia" w:cs="宋体"/>
          <w:color w:val="auto"/>
          <w:highlight w:val="none"/>
        </w:rPr>
        <w:t>城乡建设行政主管部门颁发的计价定额及有关规定：详见招标控制价编制说明。</w:t>
      </w:r>
    </w:p>
    <w:p w14:paraId="038D6D39">
      <w:pPr>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highlight w:val="none"/>
          <w:u w:val="single"/>
        </w:rPr>
      </w:pPr>
      <w:r>
        <w:rPr>
          <w:rFonts w:hint="eastAsia" w:cs="宋体"/>
          <w:color w:val="auto"/>
          <w:highlight w:val="none"/>
        </w:rPr>
        <w:t>（</w:t>
      </w:r>
      <w:r>
        <w:rPr>
          <w:color w:val="auto"/>
          <w:highlight w:val="none"/>
        </w:rPr>
        <w:t>3</w:t>
      </w:r>
      <w:r>
        <w:rPr>
          <w:rFonts w:hint="eastAsia" w:cs="宋体"/>
          <w:color w:val="auto"/>
          <w:highlight w:val="none"/>
        </w:rPr>
        <w:t>）建设工程设计文件及相关资料：</w:t>
      </w:r>
      <w:r>
        <w:rPr>
          <w:rFonts w:hint="eastAsia"/>
          <w:color w:val="auto"/>
          <w:highlight w:val="none"/>
          <w:u w:val="single"/>
        </w:rPr>
        <w:t>详见</w:t>
      </w:r>
      <w:r>
        <w:rPr>
          <w:color w:val="auto"/>
          <w:highlight w:val="none"/>
          <w:u w:val="single"/>
        </w:rPr>
        <w:t>施工图纸</w:t>
      </w:r>
      <w:r>
        <w:rPr>
          <w:rFonts w:hint="eastAsia" w:cs="宋体"/>
          <w:color w:val="auto"/>
          <w:highlight w:val="none"/>
        </w:rPr>
        <w:t>。</w:t>
      </w:r>
    </w:p>
    <w:p w14:paraId="3F304FA9">
      <w:pPr>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）本工程磋商文件及工程量清单；</w:t>
      </w:r>
    </w:p>
    <w:p w14:paraId="2151C8C5">
      <w:pPr>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）与建设项目相关的标准、规范、技术资料；</w:t>
      </w:r>
    </w:p>
    <w:p w14:paraId="23AA4C2B">
      <w:pPr>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rFonts w:hint="eastAsia" w:cs="宋体"/>
          <w:color w:val="auto"/>
          <w:highlight w:val="none"/>
        </w:rPr>
        <w:t>（</w:t>
      </w:r>
      <w:r>
        <w:rPr>
          <w:color w:val="auto"/>
          <w:highlight w:val="none"/>
        </w:rPr>
        <w:t>6</w:t>
      </w:r>
      <w:r>
        <w:rPr>
          <w:rFonts w:hint="eastAsia" w:cs="宋体"/>
          <w:color w:val="auto"/>
          <w:highlight w:val="none"/>
        </w:rPr>
        <w:t>）施工现场情况、工程特点及常规施工方案；</w:t>
      </w:r>
    </w:p>
    <w:p w14:paraId="0FC314C0">
      <w:pPr>
        <w:pageBreakBefore w:val="0"/>
        <w:widowControl w:val="0"/>
        <w:kinsoku/>
        <w:wordWrap/>
        <w:overflowPunct/>
        <w:topLinePunct w:val="0"/>
        <w:autoSpaceDE/>
        <w:autoSpaceDN/>
        <w:bidi w:val="0"/>
        <w:adjustRightInd/>
        <w:snapToGrid/>
        <w:spacing w:line="360" w:lineRule="auto"/>
        <w:ind w:firstLine="420" w:firstLineChars="200"/>
        <w:textAlignment w:val="auto"/>
        <w:rPr>
          <w:rFonts w:hAnsi="宋体"/>
          <w:color w:val="auto"/>
          <w:highlight w:val="none"/>
        </w:rPr>
      </w:pPr>
      <w:r>
        <w:rPr>
          <w:rFonts w:hint="eastAsia" w:cs="宋体"/>
          <w:color w:val="auto"/>
          <w:highlight w:val="none"/>
        </w:rPr>
        <w:t>（</w:t>
      </w:r>
      <w:r>
        <w:rPr>
          <w:color w:val="auto"/>
          <w:highlight w:val="none"/>
        </w:rPr>
        <w:t>7</w:t>
      </w:r>
      <w:r>
        <w:rPr>
          <w:rFonts w:hint="eastAsia" w:cs="宋体"/>
          <w:color w:val="auto"/>
          <w:highlight w:val="none"/>
        </w:rPr>
        <w:t>）材料价格信息</w:t>
      </w:r>
      <w:r>
        <w:rPr>
          <w:rFonts w:hint="eastAsia" w:hAnsi="宋体" w:cs="宋体"/>
          <w:color w:val="auto"/>
          <w:highlight w:val="none"/>
        </w:rPr>
        <w:t>：材料价格主要按照</w:t>
      </w:r>
      <w:r>
        <w:rPr>
          <w:rFonts w:hint="eastAsia"/>
          <w:color w:val="auto"/>
          <w:highlight w:val="none"/>
          <w:u w:val="single"/>
        </w:rPr>
        <w:t>《百色市建设工程造价信息》2025年第</w:t>
      </w:r>
      <w:r>
        <w:rPr>
          <w:rFonts w:hint="eastAsia"/>
          <w:color w:val="auto"/>
          <w:highlight w:val="none"/>
          <w:u w:val="single"/>
          <w:lang w:val="en-US" w:eastAsia="zh-CN"/>
        </w:rPr>
        <w:t>7</w:t>
      </w:r>
      <w:r>
        <w:rPr>
          <w:rFonts w:hint="eastAsia"/>
          <w:color w:val="auto"/>
          <w:highlight w:val="none"/>
          <w:u w:val="single"/>
        </w:rPr>
        <w:t>期信息价格除税价及按市场价询价计取</w:t>
      </w:r>
      <w:r>
        <w:rPr>
          <w:rFonts w:hint="eastAsia" w:cs="宋体"/>
          <w:color w:val="auto"/>
          <w:highlight w:val="none"/>
        </w:rPr>
        <w:t>，不足部分参考市场定价</w:t>
      </w:r>
      <w:r>
        <w:rPr>
          <w:rFonts w:hint="eastAsia" w:hAnsi="宋体" w:cs="宋体"/>
          <w:color w:val="auto"/>
          <w:highlight w:val="none"/>
        </w:rPr>
        <w:t>。</w:t>
      </w:r>
    </w:p>
    <w:p w14:paraId="37804E8B">
      <w:pPr>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color w:val="auto"/>
          <w:highlight w:val="none"/>
        </w:rPr>
        <w:t xml:space="preserve">2.2 </w:t>
      </w:r>
      <w:r>
        <w:rPr>
          <w:rFonts w:hint="eastAsia" w:hAnsi="宋体" w:cs="宋体"/>
          <w:color w:val="auto"/>
          <w:highlight w:val="none"/>
        </w:rPr>
        <w:t>分部分项及单价措施项目综合单价应包括磋商文件中采购人要求供应商所承担的风险内容及其范围（幅度）产生的风险费用。</w:t>
      </w:r>
    </w:p>
    <w:p w14:paraId="6CD5B3A6">
      <w:pPr>
        <w:pageBreakBefore w:val="0"/>
        <w:widowControl w:val="0"/>
        <w:kinsoku/>
        <w:wordWrap/>
        <w:overflowPunct/>
        <w:topLinePunct w:val="0"/>
        <w:autoSpaceDE/>
        <w:autoSpaceDN/>
        <w:bidi w:val="0"/>
        <w:adjustRightInd/>
        <w:snapToGrid/>
        <w:spacing w:line="360" w:lineRule="auto"/>
        <w:ind w:firstLine="420"/>
        <w:textAlignment w:val="auto"/>
        <w:rPr>
          <w:color w:val="auto"/>
          <w:highlight w:val="none"/>
        </w:rPr>
      </w:pPr>
      <w:r>
        <w:rPr>
          <w:color w:val="auto"/>
          <w:highlight w:val="none"/>
        </w:rPr>
        <w:t xml:space="preserve">2.3 </w:t>
      </w:r>
      <w:r>
        <w:rPr>
          <w:rFonts w:hint="eastAsia" w:hAnsi="宋体" w:cs="宋体"/>
          <w:color w:val="auto"/>
          <w:highlight w:val="none"/>
        </w:rPr>
        <w:t>总价措施项目应根据拟定的磋商文件和常规施工方案按《计价规范》和《计算规范》规定编制。</w:t>
      </w:r>
    </w:p>
    <w:p w14:paraId="5F5CEDAC">
      <w:pPr>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color w:val="auto"/>
          <w:highlight w:val="none"/>
        </w:rPr>
        <w:t xml:space="preserve">2.4 </w:t>
      </w:r>
      <w:r>
        <w:rPr>
          <w:rFonts w:hint="eastAsia" w:cs="宋体"/>
          <w:color w:val="auto"/>
          <w:highlight w:val="none"/>
        </w:rPr>
        <w:t>其他项目费应按下列规定报价：</w:t>
      </w:r>
    </w:p>
    <w:p w14:paraId="4D288637">
      <w:pPr>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）暂列金额应按工程量清单中列出的金额填写；</w:t>
      </w:r>
    </w:p>
    <w:p w14:paraId="6E1B36D7">
      <w:pPr>
        <w:pStyle w:val="22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）材料、工程设备暂估价应按工程量清单中列出的单价计入综合单价；</w:t>
      </w:r>
    </w:p>
    <w:p w14:paraId="2BB8EEBE">
      <w:pPr>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）专业工程暂估价应按工程量清单中列出的金额填写；</w:t>
      </w:r>
    </w:p>
    <w:p w14:paraId="1D45D2DC">
      <w:pPr>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）计日工应按工程量清单中列出的项目和数量，根据工程特点和有关计价依据确定的综合单价计算；</w:t>
      </w:r>
    </w:p>
    <w:p w14:paraId="2CCD6F61">
      <w:pPr>
        <w:pageBreakBefore w:val="0"/>
        <w:widowControl w:val="0"/>
        <w:kinsoku/>
        <w:wordWrap/>
        <w:overflowPunct/>
        <w:topLinePunct w:val="0"/>
        <w:autoSpaceDE/>
        <w:autoSpaceDN/>
        <w:bidi w:val="0"/>
        <w:adjustRightInd/>
        <w:snapToGrid/>
        <w:spacing w:line="360" w:lineRule="auto"/>
        <w:ind w:firstLine="420" w:firstLineChars="200"/>
        <w:textAlignment w:val="auto"/>
        <w:rPr>
          <w:rFonts w:cs="宋体"/>
          <w:color w:val="auto"/>
          <w:highlight w:val="none"/>
        </w:rPr>
      </w:pPr>
      <w:r>
        <w:rPr>
          <w:rFonts w:hint="eastAsia" w:cs="宋体"/>
          <w:color w:val="auto"/>
          <w:highlight w:val="none"/>
        </w:rPr>
        <w:t>（</w:t>
      </w:r>
      <w:r>
        <w:rPr>
          <w:color w:val="auto"/>
          <w:highlight w:val="none"/>
        </w:rPr>
        <w:t>5</w:t>
      </w:r>
      <w:r>
        <w:rPr>
          <w:rFonts w:hint="eastAsia" w:cs="宋体"/>
          <w:color w:val="auto"/>
          <w:highlight w:val="none"/>
        </w:rPr>
        <w:t>）总承包服务费应根据工程量清单列出的内容</w:t>
      </w:r>
      <w:r>
        <w:rPr>
          <w:rFonts w:hint="eastAsia" w:hAnsi="宋体" w:cs="宋体"/>
          <w:color w:val="auto"/>
          <w:highlight w:val="none"/>
        </w:rPr>
        <w:t>和要求，按自治区住</w:t>
      </w:r>
      <w:r>
        <w:rPr>
          <w:rFonts w:hint="eastAsia" w:hAnsi="宋体" w:cs="宋体"/>
          <w:color w:val="auto"/>
          <w:highlight w:val="none"/>
          <w:lang w:eastAsia="zh-CN"/>
        </w:rPr>
        <w:t>房和</w:t>
      </w:r>
      <w:r>
        <w:rPr>
          <w:rFonts w:hint="eastAsia" w:hAnsi="宋体" w:cs="宋体"/>
          <w:color w:val="auto"/>
          <w:highlight w:val="none"/>
        </w:rPr>
        <w:t>城乡建设行政主管部门颁发的计价定额及有关规定计算</w:t>
      </w:r>
      <w:r>
        <w:rPr>
          <w:rFonts w:hint="eastAsia" w:cs="宋体"/>
          <w:color w:val="auto"/>
          <w:highlight w:val="none"/>
        </w:rPr>
        <w:t>。</w:t>
      </w:r>
    </w:p>
    <w:p w14:paraId="74BE78B5">
      <w:pPr>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rFonts w:hint="eastAsia"/>
          <w:color w:val="auto"/>
          <w:highlight w:val="none"/>
        </w:rPr>
        <w:t>（6）对建设单位创建优质工程的，鼓励在招标控制价和预算中按广西壮族自治区工程建设定额规定计列工程优质费，并明确工程优质费不可竞争。</w:t>
      </w:r>
    </w:p>
    <w:p w14:paraId="335DF326">
      <w:pPr>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color w:val="auto"/>
          <w:highlight w:val="none"/>
        </w:rPr>
        <w:t xml:space="preserve">2.5 </w:t>
      </w:r>
      <w:r>
        <w:rPr>
          <w:rFonts w:hint="eastAsia" w:cs="宋体"/>
          <w:color w:val="auto"/>
          <w:highlight w:val="none"/>
        </w:rPr>
        <w:t>规费和增值税应按规定确定，作为不可竞争费用。</w:t>
      </w:r>
    </w:p>
    <w:p w14:paraId="1AB1181E">
      <w:pPr>
        <w:pageBreakBefore w:val="0"/>
        <w:widowControl w:val="0"/>
        <w:kinsoku/>
        <w:wordWrap/>
        <w:overflowPunct/>
        <w:topLinePunct w:val="0"/>
        <w:autoSpaceDE/>
        <w:autoSpaceDN/>
        <w:bidi w:val="0"/>
        <w:adjustRightInd/>
        <w:snapToGrid/>
        <w:spacing w:line="360" w:lineRule="auto"/>
        <w:ind w:firstLine="420"/>
        <w:textAlignment w:val="auto"/>
        <w:rPr>
          <w:rFonts w:hAnsi="宋体"/>
          <w:color w:val="auto"/>
          <w:highlight w:val="none"/>
        </w:rPr>
      </w:pPr>
      <w:r>
        <w:rPr>
          <w:color w:val="auto"/>
          <w:highlight w:val="none"/>
        </w:rPr>
        <w:t xml:space="preserve">2.6 </w:t>
      </w:r>
      <w:r>
        <w:rPr>
          <w:rFonts w:hint="eastAsia"/>
          <w:color w:val="auto"/>
          <w:highlight w:val="none"/>
        </w:rPr>
        <w:t>其他需要</w:t>
      </w:r>
      <w:r>
        <w:rPr>
          <w:rFonts w:hint="eastAsia" w:hAnsi="宋体" w:cs="宋体"/>
          <w:color w:val="auto"/>
          <w:highlight w:val="none"/>
        </w:rPr>
        <w:t>说明的问题：</w:t>
      </w:r>
      <w:r>
        <w:rPr>
          <w:rFonts w:hint="eastAsia"/>
          <w:color w:val="auto"/>
          <w:highlight w:val="none"/>
          <w:u w:val="single"/>
        </w:rPr>
        <w:t>无</w:t>
      </w:r>
      <w:r>
        <w:rPr>
          <w:rFonts w:hint="eastAsia" w:hAnsi="宋体" w:cs="宋体"/>
          <w:color w:val="auto"/>
          <w:highlight w:val="none"/>
        </w:rPr>
        <w:t>。</w:t>
      </w:r>
    </w:p>
    <w:p w14:paraId="52CE9406">
      <w:pPr>
        <w:pStyle w:val="3"/>
        <w:pageBreakBefore w:val="0"/>
        <w:widowControl w:val="0"/>
        <w:kinsoku/>
        <w:wordWrap/>
        <w:overflowPunct/>
        <w:topLinePunct w:val="0"/>
        <w:autoSpaceDE/>
        <w:autoSpaceDN/>
        <w:bidi w:val="0"/>
        <w:adjustRightInd/>
        <w:snapToGrid/>
        <w:spacing w:before="0" w:after="0" w:line="360" w:lineRule="auto"/>
        <w:textAlignment w:val="auto"/>
        <w:rPr>
          <w:color w:val="auto"/>
          <w:highlight w:val="none"/>
        </w:rPr>
      </w:pPr>
      <w:bookmarkStart w:id="84" w:name="_Toc879821176"/>
      <w:bookmarkStart w:id="85" w:name="_Toc378483916"/>
      <w:bookmarkStart w:id="86" w:name="_Toc185869575"/>
      <w:bookmarkStart w:id="87" w:name="_Toc407135286"/>
      <w:bookmarkStart w:id="88" w:name="_Toc78449871"/>
      <w:r>
        <w:rPr>
          <w:color w:val="auto"/>
          <w:highlight w:val="none"/>
        </w:rPr>
        <w:t>3</w:t>
      </w:r>
      <w:r>
        <w:rPr>
          <w:rFonts w:hint="eastAsia"/>
          <w:color w:val="auto"/>
          <w:highlight w:val="none"/>
        </w:rPr>
        <w:t>.</w:t>
      </w:r>
      <w:r>
        <w:rPr>
          <w:rFonts w:hint="eastAsia" w:cs="黑体"/>
          <w:color w:val="auto"/>
          <w:highlight w:val="none"/>
        </w:rPr>
        <w:t>竞标报价（已标价工程量清单）编制说明</w:t>
      </w:r>
      <w:bookmarkEnd w:id="84"/>
      <w:bookmarkEnd w:id="85"/>
      <w:bookmarkEnd w:id="86"/>
      <w:bookmarkEnd w:id="87"/>
      <w:bookmarkEnd w:id="88"/>
    </w:p>
    <w:p w14:paraId="42C39DE3">
      <w:pPr>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color w:val="auto"/>
          <w:highlight w:val="none"/>
        </w:rPr>
        <w:t xml:space="preserve">3.1 </w:t>
      </w:r>
      <w:r>
        <w:rPr>
          <w:rFonts w:hint="eastAsia" w:cs="宋体"/>
          <w:color w:val="auto"/>
          <w:highlight w:val="none"/>
        </w:rPr>
        <w:t>供应商应依据磋商文件、工程量清单以及《计价规范</w:t>
      </w:r>
      <w:r>
        <w:rPr>
          <w:rFonts w:hint="eastAsia" w:cs="宋体"/>
          <w:color w:val="auto"/>
          <w:highlight w:val="none"/>
          <w:lang w:eastAsia="zh-CN"/>
        </w:rPr>
        <w:t>》《</w:t>
      </w:r>
      <w:r>
        <w:rPr>
          <w:rFonts w:hint="eastAsia" w:cs="宋体"/>
          <w:color w:val="auto"/>
          <w:highlight w:val="none"/>
        </w:rPr>
        <w:t>计算规范》自主报价，自主报价</w:t>
      </w:r>
      <w:r>
        <w:rPr>
          <w:rFonts w:hint="eastAsia" w:hAnsi="宋体" w:cs="宋体"/>
          <w:color w:val="auto"/>
          <w:highlight w:val="none"/>
        </w:rPr>
        <w:t>不得违反计价规范强制性条文规定。</w:t>
      </w:r>
      <w:r>
        <w:rPr>
          <w:rFonts w:hint="eastAsia" w:cs="宋体"/>
          <w:color w:val="auto"/>
          <w:highlight w:val="none"/>
        </w:rPr>
        <w:t>供应商不得采用总价让利或以百分比让利等形式进行报价，任何优惠（或降价、让利）均应反映在相应清单项目的综合单价中。同时，不得出现任意一项单价重大让利，</w:t>
      </w:r>
      <w:r>
        <w:rPr>
          <w:rFonts w:hint="eastAsia" w:hAnsi="宋体" w:cs="宋体"/>
          <w:color w:val="auto"/>
          <w:highlight w:val="none"/>
        </w:rPr>
        <w:t>不得以自有机械闲置、自有材料等不计成本为由</w:t>
      </w:r>
      <w:r>
        <w:rPr>
          <w:rFonts w:hint="eastAsia" w:cs="宋体"/>
          <w:color w:val="auto"/>
          <w:highlight w:val="none"/>
        </w:rPr>
        <w:t>低于工程成本报价。</w:t>
      </w:r>
    </w:p>
    <w:p w14:paraId="612F84A2">
      <w:pPr>
        <w:pageBreakBefore w:val="0"/>
        <w:widowControl w:val="0"/>
        <w:kinsoku/>
        <w:wordWrap/>
        <w:overflowPunct/>
        <w:topLinePunct w:val="0"/>
        <w:autoSpaceDE/>
        <w:autoSpaceDN/>
        <w:bidi w:val="0"/>
        <w:adjustRightInd/>
        <w:snapToGrid/>
        <w:spacing w:line="360" w:lineRule="auto"/>
        <w:ind w:firstLine="420" w:firstLineChars="200"/>
        <w:textAlignment w:val="auto"/>
        <w:rPr>
          <w:rFonts w:hAnsi="宋体"/>
          <w:color w:val="auto"/>
          <w:highlight w:val="none"/>
        </w:rPr>
      </w:pPr>
      <w:r>
        <w:rPr>
          <w:color w:val="auto"/>
          <w:highlight w:val="none"/>
        </w:rPr>
        <w:t xml:space="preserve">3.2 </w:t>
      </w:r>
      <w:r>
        <w:rPr>
          <w:rFonts w:hint="eastAsia" w:cs="宋体"/>
          <w:color w:val="auto"/>
          <w:highlight w:val="none"/>
        </w:rPr>
        <w:t>供应商应按工程量清单填报价格。项目编码、项目名称、项目特征、计量单位、工程量必须与工程量清单一致，</w:t>
      </w:r>
      <w:r>
        <w:rPr>
          <w:rFonts w:hint="eastAsia" w:hAnsi="宋体" w:cs="宋体"/>
          <w:color w:val="auto"/>
          <w:highlight w:val="none"/>
        </w:rPr>
        <w:t>供应商不得对工程量清单项目进行增减调整。</w:t>
      </w:r>
    </w:p>
    <w:p w14:paraId="218374CE">
      <w:pPr>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color w:val="auto"/>
          <w:highlight w:val="none"/>
        </w:rPr>
        <w:t xml:space="preserve">3.3 </w:t>
      </w:r>
      <w:r>
        <w:rPr>
          <w:rFonts w:hint="eastAsia" w:cs="宋体"/>
          <w:color w:val="auto"/>
          <w:highlight w:val="none"/>
        </w:rPr>
        <w:t>综合单价中应包含磋商文件中划分的应由供应商承担的风险范围及其费用。</w:t>
      </w:r>
    </w:p>
    <w:p w14:paraId="7FA6F2EF">
      <w:pPr>
        <w:pageBreakBefore w:val="0"/>
        <w:widowControl w:val="0"/>
        <w:kinsoku/>
        <w:wordWrap/>
        <w:overflowPunct/>
        <w:topLinePunct w:val="0"/>
        <w:autoSpaceDE/>
        <w:autoSpaceDN/>
        <w:bidi w:val="0"/>
        <w:adjustRightInd/>
        <w:snapToGrid/>
        <w:spacing w:line="360" w:lineRule="auto"/>
        <w:ind w:firstLine="420" w:firstLineChars="200"/>
        <w:textAlignment w:val="auto"/>
        <w:rPr>
          <w:rFonts w:hAnsi="宋体"/>
          <w:color w:val="auto"/>
          <w:highlight w:val="none"/>
        </w:rPr>
      </w:pPr>
      <w:r>
        <w:rPr>
          <w:color w:val="auto"/>
          <w:highlight w:val="none"/>
        </w:rPr>
        <w:t xml:space="preserve">3.4 </w:t>
      </w:r>
      <w:r>
        <w:rPr>
          <w:rFonts w:hint="eastAsia" w:hAnsi="宋体" w:cs="宋体"/>
          <w:color w:val="auto"/>
          <w:highlight w:val="none"/>
        </w:rPr>
        <w:t>分部分项工程项目和单价措施项目，应根据磋商文件和工程量清单项目中的特征描述确定综合单价计算。如出现工程量清单特征描述与设计图纸不符时，供应商应以工程量清单的项目特征描述为准，确定竞标报价的综合单价。</w:t>
      </w:r>
    </w:p>
    <w:p w14:paraId="0E040BFA">
      <w:pPr>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color w:val="auto"/>
          <w:highlight w:val="none"/>
        </w:rPr>
        <w:t xml:space="preserve">3.5 </w:t>
      </w:r>
      <w:r>
        <w:rPr>
          <w:rFonts w:hint="eastAsia" w:hAnsi="宋体" w:cs="宋体"/>
          <w:color w:val="auto"/>
          <w:highlight w:val="none"/>
        </w:rPr>
        <w:t>总价措施项目的金额应根据磋商文件及竞标时拟定的施工组织设计或施工方案，按计价规范的规定自主确定。但</w:t>
      </w:r>
      <w:r>
        <w:rPr>
          <w:rFonts w:hint="eastAsia" w:cs="宋体"/>
          <w:color w:val="auto"/>
          <w:highlight w:val="none"/>
        </w:rPr>
        <w:t>安全文明施工费按国家、省级或行业建设主管部门的有关规定执行，作为不竞争费用单列。</w:t>
      </w:r>
    </w:p>
    <w:p w14:paraId="644BF9AE">
      <w:pPr>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color w:val="auto"/>
          <w:highlight w:val="none"/>
        </w:rPr>
        <w:t xml:space="preserve">3.6 </w:t>
      </w:r>
      <w:r>
        <w:rPr>
          <w:rFonts w:hint="eastAsia" w:cs="宋体"/>
          <w:color w:val="auto"/>
          <w:highlight w:val="none"/>
        </w:rPr>
        <w:t>其他项目费应按下列规定报价：</w:t>
      </w:r>
    </w:p>
    <w:p w14:paraId="1535CC6F">
      <w:pPr>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）暂列金额应按工程量清单中列出的金额填写；</w:t>
      </w:r>
    </w:p>
    <w:p w14:paraId="15BF6711">
      <w:pPr>
        <w:pStyle w:val="22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）材料、工程设备暂估价应按工程量清单中列出的单价计入综合单价；</w:t>
      </w:r>
    </w:p>
    <w:p w14:paraId="7E7D739A">
      <w:pPr>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）专业工程暂估价应按工程量清单中列出的金额填写；</w:t>
      </w:r>
    </w:p>
    <w:p w14:paraId="5296B479">
      <w:pPr>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）计日工应按工程量清单中列出的项目和估算数量，自主确定综合单价并计算计日工总额；计日工单价均不含规费和税金；</w:t>
      </w:r>
    </w:p>
    <w:p w14:paraId="280A5C29">
      <w:pPr>
        <w:pageBreakBefore w:val="0"/>
        <w:widowControl w:val="0"/>
        <w:kinsoku/>
        <w:wordWrap/>
        <w:overflowPunct/>
        <w:topLinePunct w:val="0"/>
        <w:autoSpaceDE/>
        <w:autoSpaceDN/>
        <w:bidi w:val="0"/>
        <w:adjustRightInd/>
        <w:snapToGrid/>
        <w:spacing w:line="360" w:lineRule="auto"/>
        <w:ind w:firstLine="420" w:firstLineChars="200"/>
        <w:textAlignment w:val="auto"/>
        <w:rPr>
          <w:rFonts w:cs="宋体"/>
          <w:color w:val="auto"/>
          <w:highlight w:val="none"/>
        </w:rPr>
      </w:pPr>
      <w:r>
        <w:rPr>
          <w:rFonts w:hint="eastAsia" w:cs="宋体"/>
          <w:color w:val="auto"/>
          <w:highlight w:val="none"/>
        </w:rPr>
        <w:t>（</w:t>
      </w:r>
      <w:r>
        <w:rPr>
          <w:color w:val="auto"/>
          <w:highlight w:val="none"/>
        </w:rPr>
        <w:t>5</w:t>
      </w:r>
      <w:r>
        <w:rPr>
          <w:rFonts w:hint="eastAsia" w:cs="宋体"/>
          <w:color w:val="auto"/>
          <w:highlight w:val="none"/>
        </w:rPr>
        <w:t>）总承包服务费应根据工程量清单中列出的内容</w:t>
      </w:r>
      <w:r>
        <w:rPr>
          <w:rFonts w:hint="eastAsia" w:hAnsi="宋体" w:cs="宋体"/>
          <w:color w:val="auto"/>
          <w:highlight w:val="none"/>
        </w:rPr>
        <w:t>和供应材料、设备情况，按照采购人提出的协调、配合与服务要求和施工现场管理需要</w:t>
      </w:r>
      <w:r>
        <w:rPr>
          <w:rFonts w:hint="eastAsia" w:cs="宋体"/>
          <w:color w:val="auto"/>
          <w:highlight w:val="none"/>
        </w:rPr>
        <w:t>自主确定。</w:t>
      </w:r>
    </w:p>
    <w:p w14:paraId="37DCE60C">
      <w:pPr>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rFonts w:hint="eastAsia"/>
          <w:color w:val="auto"/>
          <w:highlight w:val="none"/>
        </w:rPr>
        <w:t>（6）对建设单位创建优质工程的，鼓励在招标控制价和预算中按我区工程建设定额规定计列工程优质费，并明确工程优质费不可竞争。</w:t>
      </w:r>
    </w:p>
    <w:p w14:paraId="0435E684">
      <w:pPr>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color w:val="auto"/>
          <w:highlight w:val="none"/>
        </w:rPr>
        <w:t xml:space="preserve">3.7 </w:t>
      </w:r>
      <w:r>
        <w:rPr>
          <w:rFonts w:hint="eastAsia" w:cs="宋体"/>
          <w:color w:val="auto"/>
          <w:highlight w:val="none"/>
        </w:rPr>
        <w:t>规费和增值税应按规定确定，作为不可竞争费用。</w:t>
      </w:r>
    </w:p>
    <w:p w14:paraId="47951A42">
      <w:pPr>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color w:val="auto"/>
          <w:highlight w:val="none"/>
        </w:rPr>
        <w:t xml:space="preserve">3.8 </w:t>
      </w:r>
      <w:r>
        <w:rPr>
          <w:rFonts w:hint="eastAsia" w:cs="宋体"/>
          <w:color w:val="auto"/>
          <w:highlight w:val="none"/>
        </w:rPr>
        <w:t>工程量清单与计价表中列明的所有需要填写的单价和合价的项目，供应商均应填写且只允许有一个报价。未填写单价和合价的项目，视为此项费用已包含在已标价工程量清单中其他项目的单价和合价之中。竣工结算时，此项目不得重新组价予以调整。</w:t>
      </w:r>
    </w:p>
    <w:p w14:paraId="017CE1D6">
      <w:pPr>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color w:val="auto"/>
          <w:highlight w:val="none"/>
        </w:rPr>
        <w:t xml:space="preserve">3.9 </w:t>
      </w:r>
      <w:r>
        <w:rPr>
          <w:rFonts w:hint="eastAsia" w:cs="宋体"/>
          <w:color w:val="auto"/>
          <w:highlight w:val="none"/>
        </w:rPr>
        <w:t>投标总价应当与分部分项工程费、措施项目费、其他项目费和规费、增值税的合计金额一致。</w:t>
      </w:r>
    </w:p>
    <w:p w14:paraId="744B3021">
      <w:pPr>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color w:val="auto"/>
          <w:highlight w:val="none"/>
        </w:rPr>
        <w:t>3.1</w:t>
      </w:r>
      <w:r>
        <w:rPr>
          <w:rFonts w:hint="eastAsia"/>
          <w:color w:val="auto"/>
          <w:highlight w:val="none"/>
        </w:rPr>
        <w:t>0</w:t>
      </w:r>
      <w:r>
        <w:rPr>
          <w:rFonts w:hint="eastAsia" w:cs="宋体"/>
          <w:color w:val="auto"/>
          <w:highlight w:val="none"/>
        </w:rPr>
        <w:t>供应商应按《允许调整主要材料和工程设备一览表》的内容填报，不得擅自调整材料和设备名称型号规格、单位、风险系数、基准单价。</w:t>
      </w:r>
    </w:p>
    <w:p w14:paraId="2C8B7B89">
      <w:pPr>
        <w:pageBreakBefore w:val="0"/>
        <w:widowControl w:val="0"/>
        <w:kinsoku/>
        <w:wordWrap/>
        <w:overflowPunct/>
        <w:topLinePunct w:val="0"/>
        <w:autoSpaceDE/>
        <w:autoSpaceDN/>
        <w:bidi w:val="0"/>
        <w:adjustRightInd/>
        <w:snapToGrid/>
        <w:spacing w:line="360" w:lineRule="auto"/>
        <w:ind w:firstLine="420" w:firstLineChars="200"/>
        <w:textAlignment w:val="auto"/>
        <w:rPr>
          <w:rFonts w:hAnsi="宋体"/>
          <w:color w:val="auto"/>
          <w:highlight w:val="none"/>
        </w:rPr>
      </w:pPr>
      <w:r>
        <w:rPr>
          <w:color w:val="auto"/>
          <w:highlight w:val="none"/>
        </w:rPr>
        <w:t>3.1</w:t>
      </w:r>
      <w:r>
        <w:rPr>
          <w:rFonts w:hint="eastAsia"/>
          <w:color w:val="auto"/>
          <w:highlight w:val="none"/>
        </w:rPr>
        <w:t>1</w:t>
      </w:r>
      <w:r>
        <w:rPr>
          <w:rFonts w:hint="eastAsia" w:hAnsi="宋体" w:cs="宋体"/>
          <w:color w:val="auto"/>
          <w:highlight w:val="none"/>
        </w:rPr>
        <w:t>竞标报价</w:t>
      </w:r>
      <w:r>
        <w:rPr>
          <w:rFonts w:hint="eastAsia" w:cs="宋体"/>
          <w:color w:val="auto"/>
          <w:highlight w:val="none"/>
        </w:rPr>
        <w:t>表格按本工程工程量清单表格要求填写，并</w:t>
      </w:r>
      <w:r>
        <w:rPr>
          <w:rFonts w:hint="eastAsia" w:hAnsi="宋体" w:cs="宋体"/>
          <w:color w:val="auto"/>
          <w:highlight w:val="none"/>
        </w:rPr>
        <w:t>应按磋商文件的要求，附上《工程量清单综合单价分析表》（表</w:t>
      </w:r>
      <w:r>
        <w:rPr>
          <w:color w:val="auto"/>
          <w:highlight w:val="none"/>
        </w:rPr>
        <w:t>-09</w:t>
      </w:r>
      <w:r>
        <w:rPr>
          <w:rFonts w:hint="eastAsia" w:hAnsi="宋体" w:cs="宋体"/>
          <w:color w:val="auto"/>
          <w:highlight w:val="none"/>
        </w:rPr>
        <w:t>）和《主要清单项目工料机分析表》（表</w:t>
      </w:r>
      <w:r>
        <w:rPr>
          <w:color w:val="auto"/>
          <w:highlight w:val="none"/>
        </w:rPr>
        <w:t>-10</w:t>
      </w:r>
      <w:r>
        <w:rPr>
          <w:rFonts w:hint="eastAsia" w:hAnsi="宋体" w:cs="宋体"/>
          <w:color w:val="auto"/>
          <w:highlight w:val="none"/>
        </w:rPr>
        <w:t>）。</w:t>
      </w:r>
    </w:p>
    <w:p w14:paraId="67417F9D">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宋体"/>
          <w:color w:val="auto"/>
          <w:highlight w:val="none"/>
        </w:rPr>
      </w:pPr>
      <w:r>
        <w:rPr>
          <w:rFonts w:hint="eastAsia" w:cs="宋体"/>
          <w:i w:val="0"/>
          <w:iCs w:val="0"/>
          <w:caps w:val="0"/>
          <w:color w:val="auto"/>
          <w:spacing w:val="0"/>
          <w:sz w:val="21"/>
          <w:szCs w:val="24"/>
          <w:highlight w:val="none"/>
          <w:shd w:val="clear"/>
          <w:lang w:val="en-US" w:eastAsia="zh-CN"/>
        </w:rPr>
        <w:t>3.12</w:t>
      </w:r>
      <w:r>
        <w:rPr>
          <w:rFonts w:hint="eastAsia" w:ascii="Times New Roman" w:hAnsi="Times New Roman" w:eastAsia="宋体" w:cs="宋体"/>
          <w:i w:val="0"/>
          <w:iCs w:val="0"/>
          <w:caps w:val="0"/>
          <w:color w:val="auto"/>
          <w:spacing w:val="0"/>
          <w:sz w:val="21"/>
          <w:szCs w:val="24"/>
          <w:highlight w:val="none"/>
          <w:shd w:val="clear" w:fill="auto"/>
        </w:rPr>
        <w:t>安全生产责任保险费按分部分项工程费及措施项目费</w:t>
      </w:r>
      <w:r>
        <w:rPr>
          <w:rFonts w:hint="eastAsia" w:cs="宋体"/>
          <w:i w:val="0"/>
          <w:iCs w:val="0"/>
          <w:caps w:val="0"/>
          <w:color w:val="auto"/>
          <w:spacing w:val="0"/>
          <w:sz w:val="21"/>
          <w:szCs w:val="24"/>
          <w:highlight w:val="none"/>
          <w:shd w:val="clear" w:fill="auto"/>
          <w:lang w:eastAsia="zh-CN"/>
        </w:rPr>
        <w:t>（</w:t>
      </w:r>
      <w:r>
        <w:rPr>
          <w:rFonts w:hint="eastAsia" w:ascii="Times New Roman" w:hAnsi="Times New Roman" w:eastAsia="宋体" w:cs="宋体"/>
          <w:i w:val="0"/>
          <w:iCs w:val="0"/>
          <w:caps w:val="0"/>
          <w:color w:val="auto"/>
          <w:spacing w:val="0"/>
          <w:sz w:val="21"/>
          <w:szCs w:val="24"/>
          <w:highlight w:val="none"/>
          <w:shd w:val="clear" w:fill="auto"/>
        </w:rPr>
        <w:t>含单价及总价措施项目费</w:t>
      </w:r>
      <w:r>
        <w:rPr>
          <w:rFonts w:hint="eastAsia" w:cs="宋体"/>
          <w:i w:val="0"/>
          <w:iCs w:val="0"/>
          <w:caps w:val="0"/>
          <w:color w:val="auto"/>
          <w:spacing w:val="0"/>
          <w:sz w:val="21"/>
          <w:szCs w:val="24"/>
          <w:highlight w:val="none"/>
          <w:shd w:val="clear" w:fill="auto"/>
          <w:lang w:eastAsia="zh-CN"/>
        </w:rPr>
        <w:t>）</w:t>
      </w:r>
      <w:r>
        <w:rPr>
          <w:rFonts w:hint="eastAsia" w:ascii="Times New Roman" w:hAnsi="Times New Roman" w:eastAsia="宋体" w:cs="宋体"/>
          <w:i w:val="0"/>
          <w:iCs w:val="0"/>
          <w:caps w:val="0"/>
          <w:color w:val="auto"/>
          <w:spacing w:val="0"/>
          <w:sz w:val="21"/>
          <w:szCs w:val="24"/>
          <w:highlight w:val="none"/>
          <w:shd w:val="clear" w:fill="auto"/>
        </w:rPr>
        <w:t>为计算基数乘以0.2%计入暂估价，工程结算时，由发承包双方根据工程实际情况确认的安全生产责任保险费计入工程造价 。</w:t>
      </w:r>
    </w:p>
    <w:p w14:paraId="7B0E24EA">
      <w:pPr>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highlight w:val="none"/>
          <w:u w:val="single"/>
        </w:rPr>
      </w:pPr>
      <w:r>
        <w:rPr>
          <w:rFonts w:hint="eastAsia" w:cs="宋体"/>
          <w:color w:val="auto"/>
          <w:highlight w:val="none"/>
        </w:rPr>
        <w:t>未尽事宜详见本工程工程量清单、招标控制价编制说明以及现行《计价规范》等有关规定执行。</w:t>
      </w:r>
    </w:p>
    <w:p w14:paraId="0D38084D">
      <w:pPr>
        <w:pageBreakBefore w:val="0"/>
        <w:widowControl w:val="0"/>
        <w:kinsoku/>
        <w:wordWrap/>
        <w:overflowPunct/>
        <w:topLinePunct w:val="0"/>
        <w:autoSpaceDE/>
        <w:autoSpaceDN/>
        <w:bidi w:val="0"/>
        <w:adjustRightInd/>
        <w:snapToGrid/>
        <w:spacing w:line="360" w:lineRule="auto"/>
        <w:ind w:firstLine="420" w:firstLineChars="200"/>
        <w:textAlignment w:val="auto"/>
        <w:rPr>
          <w:rFonts w:cs="宋体"/>
          <w:color w:val="auto"/>
          <w:highlight w:val="none"/>
        </w:rPr>
      </w:pPr>
      <w:r>
        <w:rPr>
          <w:rFonts w:hint="eastAsia" w:cs="宋体"/>
          <w:color w:val="auto"/>
          <w:highlight w:val="none"/>
        </w:rPr>
        <w:t>注：因2021年《广西壮族自治区园林绿化及仿古建筑工程费用定额》采用全费用综合单价形式，故园林绿化及仿古建筑工程的工程量清单及计价采用《自治区住房和城乡建设厅关于建设工程造价改革试点项目招投标及计价规定调整的通知》（桂建标〔2021〕6号）中附件1《建设工程工程量清单计价规范（GB50500-2013）广西壮族自治区实施细则》（适用于工程造价改革试点项目）相关表格，具体以采购人另册发放的工程量清单及相关说明为准。</w:t>
      </w:r>
    </w:p>
    <w:p w14:paraId="7277006B">
      <w:pPr>
        <w:pStyle w:val="3"/>
        <w:pageBreakBefore w:val="0"/>
        <w:widowControl w:val="0"/>
        <w:kinsoku/>
        <w:wordWrap/>
        <w:overflowPunct/>
        <w:topLinePunct w:val="0"/>
        <w:autoSpaceDE/>
        <w:autoSpaceDN/>
        <w:bidi w:val="0"/>
        <w:adjustRightInd/>
        <w:snapToGrid/>
        <w:spacing w:before="0" w:after="0" w:line="360" w:lineRule="auto"/>
        <w:textAlignment w:val="auto"/>
        <w:rPr>
          <w:rFonts w:cs="黑体"/>
          <w:color w:val="auto"/>
          <w:highlight w:val="none"/>
        </w:rPr>
      </w:pPr>
      <w:bookmarkStart w:id="89" w:name="_Toc185869576"/>
      <w:r>
        <w:rPr>
          <w:rFonts w:hint="eastAsia" w:cs="黑体"/>
          <w:color w:val="auto"/>
          <w:highlight w:val="none"/>
        </w:rPr>
        <w:t>4.工程量</w:t>
      </w:r>
      <w:r>
        <w:rPr>
          <w:rFonts w:cs="黑体"/>
          <w:color w:val="auto"/>
          <w:highlight w:val="none"/>
        </w:rPr>
        <w:t>清单和</w:t>
      </w:r>
      <w:r>
        <w:rPr>
          <w:rFonts w:hint="eastAsia" w:cs="黑体"/>
          <w:color w:val="auto"/>
          <w:highlight w:val="none"/>
        </w:rPr>
        <w:t>图纸（另册）</w:t>
      </w:r>
      <w:bookmarkEnd w:id="89"/>
    </w:p>
    <w:p w14:paraId="2B9BC97F">
      <w:pPr>
        <w:pStyle w:val="3"/>
        <w:spacing w:before="0" w:after="0" w:line="360" w:lineRule="auto"/>
        <w:jc w:val="center"/>
        <w:rPr>
          <w:color w:val="auto"/>
          <w:highlight w:val="none"/>
        </w:rPr>
      </w:pPr>
      <w:r>
        <w:rPr>
          <w:rFonts w:cs="黑体"/>
          <w:color w:val="auto"/>
          <w:highlight w:val="none"/>
        </w:rPr>
        <w:br w:type="page"/>
      </w:r>
    </w:p>
    <w:p w14:paraId="7D78F62C">
      <w:pPr>
        <w:pStyle w:val="4"/>
        <w:spacing w:before="0" w:after="0" w:line="360" w:lineRule="auto"/>
        <w:rPr>
          <w:color w:val="auto"/>
          <w:highlight w:val="none"/>
        </w:rPr>
      </w:pPr>
    </w:p>
    <w:p w14:paraId="2D45D2E0">
      <w:pPr>
        <w:rPr>
          <w:color w:val="auto"/>
          <w:highlight w:val="none"/>
        </w:rPr>
      </w:pPr>
    </w:p>
    <w:p w14:paraId="3136F47B">
      <w:pPr>
        <w:rPr>
          <w:color w:val="auto"/>
          <w:highlight w:val="none"/>
        </w:rPr>
      </w:pPr>
    </w:p>
    <w:p w14:paraId="7A1E097C">
      <w:pPr>
        <w:rPr>
          <w:color w:val="auto"/>
          <w:highlight w:val="none"/>
        </w:rPr>
      </w:pPr>
    </w:p>
    <w:p w14:paraId="5A33217F">
      <w:pPr>
        <w:rPr>
          <w:color w:val="auto"/>
          <w:highlight w:val="none"/>
        </w:rPr>
      </w:pPr>
    </w:p>
    <w:p w14:paraId="000C09D8">
      <w:pPr>
        <w:rPr>
          <w:color w:val="auto"/>
          <w:highlight w:val="none"/>
        </w:rPr>
      </w:pPr>
    </w:p>
    <w:p w14:paraId="18DFF041">
      <w:pPr>
        <w:rPr>
          <w:color w:val="auto"/>
          <w:highlight w:val="none"/>
        </w:rPr>
      </w:pPr>
    </w:p>
    <w:p w14:paraId="7CA3942B">
      <w:pPr>
        <w:rPr>
          <w:color w:val="auto"/>
          <w:highlight w:val="none"/>
        </w:rPr>
      </w:pPr>
    </w:p>
    <w:p w14:paraId="703795C2">
      <w:pPr>
        <w:rPr>
          <w:color w:val="auto"/>
          <w:highlight w:val="none"/>
        </w:rPr>
      </w:pPr>
    </w:p>
    <w:p w14:paraId="20A341EA">
      <w:pPr>
        <w:rPr>
          <w:color w:val="auto"/>
          <w:highlight w:val="none"/>
        </w:rPr>
      </w:pPr>
    </w:p>
    <w:p w14:paraId="6C3EA079">
      <w:pPr>
        <w:rPr>
          <w:color w:val="auto"/>
          <w:highlight w:val="none"/>
        </w:rPr>
      </w:pPr>
    </w:p>
    <w:p w14:paraId="257EB521">
      <w:pPr>
        <w:rPr>
          <w:color w:val="auto"/>
          <w:highlight w:val="none"/>
        </w:rPr>
      </w:pPr>
    </w:p>
    <w:p w14:paraId="21EB6F57">
      <w:pPr>
        <w:rPr>
          <w:color w:val="auto"/>
          <w:highlight w:val="none"/>
        </w:rPr>
      </w:pPr>
    </w:p>
    <w:p w14:paraId="386132D9">
      <w:pPr>
        <w:rPr>
          <w:color w:val="auto"/>
          <w:highlight w:val="none"/>
        </w:rPr>
      </w:pPr>
    </w:p>
    <w:p w14:paraId="1378EC75">
      <w:pPr>
        <w:pStyle w:val="2"/>
        <w:spacing w:after="340" w:line="360" w:lineRule="auto"/>
        <w:jc w:val="center"/>
        <w:rPr>
          <w:color w:val="auto"/>
          <w:highlight w:val="none"/>
        </w:rPr>
      </w:pPr>
      <w:bookmarkStart w:id="90" w:name="_Toc185869577"/>
      <w:r>
        <w:rPr>
          <w:rFonts w:hint="eastAsia"/>
          <w:color w:val="auto"/>
          <w:highlight w:val="none"/>
        </w:rPr>
        <w:t>第六章响应文件格式</w:t>
      </w:r>
      <w:bookmarkEnd w:id="90"/>
    </w:p>
    <w:p w14:paraId="651E3630">
      <w:pPr>
        <w:spacing w:line="240" w:lineRule="atLeast"/>
        <w:rPr>
          <w:rFonts w:ascii="宋体" w:hAnsi="宋体"/>
          <w:b/>
          <w:color w:val="auto"/>
          <w:sz w:val="32"/>
          <w:szCs w:val="32"/>
          <w:highlight w:val="none"/>
        </w:rPr>
      </w:pPr>
    </w:p>
    <w:p w14:paraId="7B00B3A6">
      <w:pPr>
        <w:spacing w:line="240" w:lineRule="atLeast"/>
        <w:rPr>
          <w:rFonts w:ascii="宋体" w:hAnsi="宋体"/>
          <w:b/>
          <w:color w:val="auto"/>
          <w:sz w:val="32"/>
          <w:szCs w:val="32"/>
          <w:highlight w:val="none"/>
        </w:rPr>
      </w:pPr>
    </w:p>
    <w:p w14:paraId="6350F983">
      <w:pPr>
        <w:spacing w:line="240" w:lineRule="atLeast"/>
        <w:rPr>
          <w:rFonts w:ascii="宋体" w:hAnsi="宋体"/>
          <w:b/>
          <w:color w:val="auto"/>
          <w:sz w:val="32"/>
          <w:szCs w:val="32"/>
          <w:highlight w:val="none"/>
        </w:rPr>
      </w:pPr>
    </w:p>
    <w:p w14:paraId="435950EA">
      <w:pPr>
        <w:spacing w:line="240" w:lineRule="atLeast"/>
        <w:rPr>
          <w:rFonts w:ascii="宋体" w:hAnsi="宋体"/>
          <w:b/>
          <w:color w:val="auto"/>
          <w:sz w:val="32"/>
          <w:szCs w:val="32"/>
          <w:highlight w:val="none"/>
        </w:rPr>
      </w:pPr>
    </w:p>
    <w:p w14:paraId="60FA1706">
      <w:pPr>
        <w:spacing w:line="240" w:lineRule="atLeast"/>
        <w:rPr>
          <w:rFonts w:ascii="宋体" w:hAnsi="宋体"/>
          <w:b/>
          <w:color w:val="auto"/>
          <w:sz w:val="32"/>
          <w:szCs w:val="32"/>
          <w:highlight w:val="none"/>
        </w:rPr>
      </w:pPr>
    </w:p>
    <w:p w14:paraId="06780C9F">
      <w:pPr>
        <w:spacing w:line="240" w:lineRule="atLeast"/>
        <w:rPr>
          <w:rFonts w:ascii="宋体" w:hAnsi="宋体"/>
          <w:b/>
          <w:color w:val="auto"/>
          <w:sz w:val="32"/>
          <w:szCs w:val="32"/>
          <w:highlight w:val="none"/>
        </w:rPr>
      </w:pPr>
    </w:p>
    <w:p w14:paraId="0AE1A209">
      <w:pPr>
        <w:spacing w:line="240" w:lineRule="atLeast"/>
        <w:rPr>
          <w:rFonts w:ascii="宋体" w:hAnsi="宋体"/>
          <w:b/>
          <w:color w:val="auto"/>
          <w:sz w:val="32"/>
          <w:szCs w:val="32"/>
          <w:highlight w:val="none"/>
        </w:rPr>
      </w:pPr>
    </w:p>
    <w:p w14:paraId="22F7A104">
      <w:pPr>
        <w:spacing w:line="240" w:lineRule="atLeast"/>
        <w:rPr>
          <w:rFonts w:ascii="宋体" w:hAnsi="宋体"/>
          <w:b/>
          <w:color w:val="auto"/>
          <w:sz w:val="32"/>
          <w:szCs w:val="32"/>
          <w:highlight w:val="none"/>
        </w:rPr>
      </w:pPr>
    </w:p>
    <w:p w14:paraId="6404C445">
      <w:pPr>
        <w:spacing w:line="240" w:lineRule="atLeast"/>
        <w:rPr>
          <w:rFonts w:ascii="宋体" w:hAnsi="宋体"/>
          <w:b/>
          <w:color w:val="auto"/>
          <w:sz w:val="32"/>
          <w:szCs w:val="32"/>
          <w:highlight w:val="none"/>
        </w:rPr>
      </w:pPr>
    </w:p>
    <w:p w14:paraId="746834C1">
      <w:pPr>
        <w:spacing w:line="240" w:lineRule="atLeast"/>
        <w:rPr>
          <w:rFonts w:ascii="宋体" w:hAnsi="宋体"/>
          <w:b/>
          <w:color w:val="auto"/>
          <w:sz w:val="32"/>
          <w:szCs w:val="32"/>
          <w:highlight w:val="none"/>
        </w:rPr>
      </w:pPr>
    </w:p>
    <w:p w14:paraId="21850D30">
      <w:pPr>
        <w:spacing w:line="240" w:lineRule="atLeast"/>
        <w:rPr>
          <w:rFonts w:ascii="宋体" w:hAnsi="宋体"/>
          <w:b/>
          <w:color w:val="auto"/>
          <w:sz w:val="32"/>
          <w:szCs w:val="32"/>
          <w:highlight w:val="none"/>
        </w:rPr>
      </w:pPr>
    </w:p>
    <w:p w14:paraId="3B25EA4A">
      <w:pPr>
        <w:snapToGrid w:val="0"/>
        <w:spacing w:before="50" w:after="50"/>
        <w:outlineLvl w:val="1"/>
        <w:rPr>
          <w:rFonts w:ascii="宋体" w:hAnsi="宋体"/>
          <w:b/>
          <w:bCs/>
          <w:color w:val="auto"/>
          <w:sz w:val="24"/>
          <w:highlight w:val="none"/>
        </w:rPr>
      </w:pPr>
    </w:p>
    <w:p w14:paraId="6F0F36DA">
      <w:pPr>
        <w:snapToGrid w:val="0"/>
        <w:spacing w:before="120" w:beforeLines="50" w:after="50"/>
        <w:jc w:val="center"/>
        <w:rPr>
          <w:rFonts w:ascii="仿宋_GB2312" w:hAnsi="仿宋_GB2312" w:eastAsia="仿宋_GB2312" w:cs="仿宋_GB2312"/>
          <w:bCs/>
          <w:color w:val="auto"/>
          <w:sz w:val="32"/>
          <w:szCs w:val="32"/>
          <w:highlight w:val="none"/>
        </w:rPr>
      </w:pPr>
      <w:r>
        <w:rPr>
          <w:rFonts w:ascii="仿宋_GB2312" w:hAnsi="仿宋_GB2312" w:eastAsia="仿宋_GB2312" w:cs="仿宋_GB2312"/>
          <w:bCs/>
          <w:color w:val="auto"/>
          <w:sz w:val="32"/>
          <w:szCs w:val="32"/>
          <w:highlight w:val="none"/>
        </w:rPr>
        <w:br w:type="page"/>
      </w:r>
    </w:p>
    <w:p w14:paraId="76B965E1">
      <w:pPr>
        <w:rPr>
          <w:b/>
          <w:color w:val="auto"/>
          <w:sz w:val="32"/>
          <w:szCs w:val="32"/>
          <w:highlight w:val="none"/>
        </w:rPr>
      </w:pPr>
      <w:bookmarkStart w:id="91" w:name="_Toc71366186"/>
      <w:bookmarkStart w:id="92" w:name="_Toc44229899"/>
      <w:bookmarkStart w:id="93" w:name="_Toc31723070"/>
      <w:bookmarkStart w:id="94" w:name="_Toc31728084"/>
      <w:bookmarkStart w:id="95" w:name="_Toc35611438"/>
      <w:bookmarkStart w:id="96" w:name="_Toc35611516"/>
      <w:r>
        <w:rPr>
          <w:rFonts w:hint="eastAsia"/>
          <w:b/>
          <w:color w:val="auto"/>
          <w:sz w:val="32"/>
          <w:szCs w:val="32"/>
          <w:highlight w:val="none"/>
        </w:rPr>
        <w:t>一、资格证明文件格式</w:t>
      </w:r>
      <w:bookmarkEnd w:id="91"/>
      <w:bookmarkEnd w:id="92"/>
      <w:bookmarkEnd w:id="93"/>
      <w:bookmarkEnd w:id="94"/>
      <w:bookmarkEnd w:id="95"/>
      <w:bookmarkEnd w:id="96"/>
    </w:p>
    <w:p w14:paraId="4E8D8E4D">
      <w:pPr>
        <w:snapToGrid w:val="0"/>
        <w:spacing w:before="120" w:beforeLines="50" w:after="50" w:line="360" w:lineRule="auto"/>
        <w:jc w:val="left"/>
        <w:rPr>
          <w:rFonts w:ascii="宋体" w:hAnsi="宋体"/>
          <w:b/>
          <w:color w:val="auto"/>
          <w:sz w:val="24"/>
          <w:highlight w:val="none"/>
        </w:rPr>
      </w:pPr>
      <w:r>
        <w:rPr>
          <w:rFonts w:hint="eastAsia" w:ascii="宋体" w:hAnsi="宋体"/>
          <w:b/>
          <w:color w:val="auto"/>
          <w:sz w:val="32"/>
          <w:szCs w:val="32"/>
          <w:highlight w:val="none"/>
        </w:rPr>
        <w:t>1.资格证明文件封面格式：</w:t>
      </w:r>
    </w:p>
    <w:p w14:paraId="539E467F">
      <w:pPr>
        <w:snapToGrid w:val="0"/>
        <w:spacing w:before="120" w:beforeLines="50" w:after="50"/>
        <w:jc w:val="center"/>
        <w:rPr>
          <w:rFonts w:ascii="宋体" w:hAnsi="宋体"/>
          <w:color w:val="auto"/>
          <w:sz w:val="44"/>
          <w:szCs w:val="44"/>
          <w:highlight w:val="none"/>
        </w:rPr>
      </w:pPr>
    </w:p>
    <w:p w14:paraId="1D12FD99">
      <w:pPr>
        <w:snapToGrid w:val="0"/>
        <w:spacing w:before="120" w:beforeLines="50" w:after="50"/>
        <w:jc w:val="center"/>
        <w:rPr>
          <w:rFonts w:ascii="宋体" w:hAnsi="宋体"/>
          <w:color w:val="auto"/>
          <w:sz w:val="44"/>
          <w:szCs w:val="44"/>
          <w:highlight w:val="none"/>
        </w:rPr>
      </w:pPr>
      <w:r>
        <w:rPr>
          <w:rFonts w:hint="eastAsia" w:ascii="宋体" w:hAnsi="宋体"/>
          <w:color w:val="auto"/>
          <w:sz w:val="44"/>
          <w:szCs w:val="44"/>
          <w:highlight w:val="none"/>
        </w:rPr>
        <w:t>电 子 响 应 文 件</w:t>
      </w:r>
    </w:p>
    <w:p w14:paraId="1E89E49A">
      <w:pPr>
        <w:snapToGrid w:val="0"/>
        <w:spacing w:before="120" w:beforeLines="50" w:after="50"/>
        <w:rPr>
          <w:rFonts w:ascii="宋体" w:hAnsi="宋体"/>
          <w:color w:val="auto"/>
          <w:sz w:val="24"/>
          <w:szCs w:val="20"/>
          <w:highlight w:val="none"/>
        </w:rPr>
      </w:pPr>
    </w:p>
    <w:p w14:paraId="6654A639">
      <w:pPr>
        <w:snapToGrid w:val="0"/>
        <w:spacing w:before="120"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w:t>
      </w:r>
    </w:p>
    <w:p w14:paraId="5E6548FE">
      <w:pPr>
        <w:snapToGrid w:val="0"/>
        <w:spacing w:before="120" w:beforeLines="50" w:after="50"/>
        <w:rPr>
          <w:rFonts w:ascii="宋体" w:hAnsi="宋体"/>
          <w:bCs/>
          <w:color w:val="auto"/>
          <w:sz w:val="24"/>
          <w:szCs w:val="20"/>
          <w:highlight w:val="none"/>
        </w:rPr>
      </w:pPr>
    </w:p>
    <w:p w14:paraId="78FD1685">
      <w:pPr>
        <w:snapToGrid w:val="0"/>
        <w:spacing w:before="120" w:beforeLines="50" w:after="50"/>
        <w:rPr>
          <w:rFonts w:ascii="宋体" w:hAnsi="宋体"/>
          <w:bCs/>
          <w:color w:val="auto"/>
          <w:sz w:val="24"/>
          <w:szCs w:val="20"/>
          <w:highlight w:val="none"/>
        </w:rPr>
      </w:pPr>
    </w:p>
    <w:p w14:paraId="136A3EF8">
      <w:pPr>
        <w:snapToGrid w:val="0"/>
        <w:spacing w:before="120" w:beforeLines="50" w:after="50"/>
        <w:rPr>
          <w:rFonts w:ascii="宋体" w:hAnsi="宋体"/>
          <w:bCs/>
          <w:color w:val="auto"/>
          <w:sz w:val="24"/>
          <w:szCs w:val="20"/>
          <w:highlight w:val="none"/>
        </w:rPr>
      </w:pPr>
    </w:p>
    <w:p w14:paraId="6C0CA76B">
      <w:pPr>
        <w:snapToGrid w:val="0"/>
        <w:spacing w:before="120" w:beforeLines="50" w:after="50"/>
        <w:rPr>
          <w:rFonts w:ascii="宋体" w:hAnsi="宋体"/>
          <w:bCs/>
          <w:color w:val="auto"/>
          <w:sz w:val="24"/>
          <w:szCs w:val="20"/>
          <w:highlight w:val="none"/>
        </w:rPr>
      </w:pPr>
    </w:p>
    <w:p w14:paraId="4DABC7C9">
      <w:pPr>
        <w:snapToGrid w:val="0"/>
        <w:spacing w:before="120" w:beforeLines="50" w:after="50"/>
        <w:rPr>
          <w:rFonts w:ascii="宋体" w:hAnsi="宋体"/>
          <w:bCs/>
          <w:color w:val="auto"/>
          <w:sz w:val="24"/>
          <w:szCs w:val="20"/>
          <w:highlight w:val="none"/>
        </w:rPr>
      </w:pPr>
    </w:p>
    <w:p w14:paraId="5F4A6E1E">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58DE7814">
      <w:pPr>
        <w:snapToGrid w:val="0"/>
        <w:spacing w:before="120" w:beforeLines="50" w:after="50"/>
        <w:ind w:firstLine="720" w:firstLineChars="225"/>
        <w:rPr>
          <w:rFonts w:ascii="宋体" w:hAnsi="宋体" w:cs="仿宋_GB2312"/>
          <w:bCs/>
          <w:color w:val="auto"/>
          <w:sz w:val="32"/>
          <w:szCs w:val="32"/>
          <w:highlight w:val="none"/>
        </w:rPr>
      </w:pPr>
    </w:p>
    <w:p w14:paraId="78ED6509">
      <w:pPr>
        <w:snapToGrid w:val="0"/>
        <w:spacing w:before="120"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7F107402">
      <w:pPr>
        <w:snapToGrid w:val="0"/>
        <w:spacing w:before="120" w:beforeLines="50" w:after="50"/>
        <w:ind w:firstLine="720" w:firstLineChars="225"/>
        <w:rPr>
          <w:rFonts w:ascii="宋体" w:hAnsi="宋体" w:cs="仿宋_GB2312"/>
          <w:bCs/>
          <w:color w:val="auto"/>
          <w:sz w:val="32"/>
          <w:szCs w:val="32"/>
          <w:highlight w:val="none"/>
        </w:rPr>
      </w:pPr>
    </w:p>
    <w:p w14:paraId="23409097">
      <w:pPr>
        <w:snapToGrid w:val="0"/>
        <w:spacing w:before="120"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5494C817">
      <w:pPr>
        <w:snapToGrid w:val="0"/>
        <w:spacing w:before="120" w:beforeLines="50" w:after="50"/>
        <w:ind w:firstLine="720" w:firstLineChars="225"/>
        <w:rPr>
          <w:rFonts w:ascii="宋体" w:hAnsi="宋体" w:cs="仿宋_GB2312"/>
          <w:bCs/>
          <w:color w:val="auto"/>
          <w:sz w:val="32"/>
          <w:szCs w:val="32"/>
          <w:highlight w:val="none"/>
        </w:rPr>
      </w:pPr>
    </w:p>
    <w:p w14:paraId="472724EE">
      <w:pPr>
        <w:pStyle w:val="7"/>
        <w:snapToGrid w:val="0"/>
        <w:spacing w:before="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1172CB7C">
      <w:pPr>
        <w:snapToGrid w:val="0"/>
        <w:spacing w:before="120" w:beforeLines="50" w:after="50"/>
        <w:ind w:firstLine="640" w:firstLineChars="200"/>
        <w:rPr>
          <w:rFonts w:ascii="宋体" w:hAnsi="宋体" w:cs="仿宋_GB2312"/>
          <w:bCs/>
          <w:color w:val="auto"/>
          <w:sz w:val="32"/>
          <w:szCs w:val="32"/>
          <w:highlight w:val="none"/>
        </w:rPr>
      </w:pPr>
    </w:p>
    <w:p w14:paraId="4A9E1BC9">
      <w:pPr>
        <w:pStyle w:val="7"/>
        <w:snapToGrid w:val="0"/>
        <w:spacing w:before="50" w:after="50"/>
        <w:ind w:firstLine="720" w:firstLineChars="225"/>
        <w:rPr>
          <w:rFonts w:ascii="宋体" w:hAnsi="宋体" w:cs="仿宋_GB2312"/>
          <w:bCs/>
          <w:color w:val="auto"/>
          <w:sz w:val="32"/>
          <w:szCs w:val="32"/>
          <w:highlight w:val="none"/>
        </w:rPr>
      </w:pPr>
    </w:p>
    <w:p w14:paraId="6684FD02">
      <w:pPr>
        <w:pStyle w:val="7"/>
        <w:snapToGrid w:val="0"/>
        <w:spacing w:before="50" w:after="50"/>
        <w:ind w:firstLine="720" w:firstLineChars="225"/>
        <w:rPr>
          <w:rFonts w:ascii="宋体" w:hAnsi="宋体" w:cs="仿宋_GB2312"/>
          <w:bCs/>
          <w:color w:val="auto"/>
          <w:sz w:val="32"/>
          <w:szCs w:val="32"/>
          <w:highlight w:val="none"/>
        </w:rPr>
      </w:pPr>
    </w:p>
    <w:p w14:paraId="065F1ED9">
      <w:pPr>
        <w:pStyle w:val="7"/>
        <w:snapToGrid w:val="0"/>
        <w:spacing w:before="50" w:after="50"/>
        <w:ind w:firstLine="1280" w:firstLineChars="400"/>
        <w:rPr>
          <w:rFonts w:ascii="宋体" w:hAnsi="宋体" w:cs="仿宋_GB2312"/>
          <w:bCs/>
          <w:color w:val="auto"/>
          <w:sz w:val="32"/>
          <w:szCs w:val="32"/>
          <w:highlight w:val="none"/>
        </w:rPr>
      </w:pPr>
    </w:p>
    <w:p w14:paraId="46B61C80">
      <w:pPr>
        <w:snapToGrid w:val="0"/>
        <w:spacing w:before="120"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7441CAC5">
      <w:pPr>
        <w:snapToGrid w:val="0"/>
        <w:spacing w:before="120" w:beforeLines="50" w:after="50" w:line="360" w:lineRule="auto"/>
        <w:ind w:left="142"/>
        <w:jc w:val="left"/>
        <w:rPr>
          <w:rFonts w:ascii="宋体" w:hAnsi="宋体"/>
          <w:b/>
          <w:bCs/>
          <w:color w:val="auto"/>
          <w:sz w:val="32"/>
          <w:szCs w:val="32"/>
          <w:highlight w:val="none"/>
        </w:rPr>
      </w:pPr>
      <w:r>
        <w:rPr>
          <w:rFonts w:ascii="宋体" w:hAnsi="宋体"/>
          <w:color w:val="auto"/>
          <w:sz w:val="24"/>
          <w:highlight w:val="none"/>
        </w:rPr>
        <w:br w:type="page"/>
      </w:r>
      <w:r>
        <w:rPr>
          <w:rFonts w:hint="eastAsia" w:ascii="宋体" w:hAnsi="宋体"/>
          <w:b/>
          <w:bCs/>
          <w:color w:val="auto"/>
          <w:sz w:val="32"/>
          <w:szCs w:val="32"/>
          <w:highlight w:val="none"/>
        </w:rPr>
        <w:t>2.资格证明文件目录</w:t>
      </w:r>
    </w:p>
    <w:p w14:paraId="6E46DEB3">
      <w:pPr>
        <w:snapToGrid w:val="0"/>
        <w:spacing w:before="120" w:beforeLines="50" w:after="50" w:line="360" w:lineRule="auto"/>
        <w:ind w:firstLine="645"/>
        <w:rPr>
          <w:rFonts w:ascii="宋体" w:hAnsi="宋体"/>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p>
    <w:p w14:paraId="5C5F4D4F">
      <w:pPr>
        <w:snapToGrid w:val="0"/>
        <w:spacing w:before="120" w:beforeLines="50" w:after="50"/>
        <w:rPr>
          <w:rFonts w:ascii="宋体" w:hAnsi="宋体"/>
          <w:color w:val="auto"/>
          <w:sz w:val="24"/>
          <w:szCs w:val="20"/>
          <w:highlight w:val="none"/>
        </w:rPr>
      </w:pPr>
    </w:p>
    <w:p w14:paraId="005325D6">
      <w:pPr>
        <w:spacing w:line="300" w:lineRule="auto"/>
        <w:rPr>
          <w:rFonts w:ascii="宋体" w:hAnsi="宋体"/>
          <w:color w:val="auto"/>
          <w:szCs w:val="21"/>
          <w:highlight w:val="none"/>
        </w:rPr>
      </w:pPr>
    </w:p>
    <w:p w14:paraId="09C67143">
      <w:pPr>
        <w:spacing w:line="300" w:lineRule="auto"/>
        <w:rPr>
          <w:rFonts w:ascii="宋体" w:hAnsi="宋体"/>
          <w:color w:val="auto"/>
          <w:szCs w:val="21"/>
          <w:highlight w:val="none"/>
        </w:rPr>
      </w:pPr>
    </w:p>
    <w:p w14:paraId="64F4AF39">
      <w:pPr>
        <w:spacing w:line="300" w:lineRule="auto"/>
        <w:rPr>
          <w:rFonts w:ascii="宋体" w:hAnsi="宋体"/>
          <w:color w:val="auto"/>
          <w:szCs w:val="21"/>
          <w:highlight w:val="none"/>
        </w:rPr>
      </w:pPr>
    </w:p>
    <w:p w14:paraId="43E15503">
      <w:pPr>
        <w:spacing w:line="300" w:lineRule="auto"/>
        <w:rPr>
          <w:rFonts w:ascii="宋体" w:hAnsi="宋体"/>
          <w:color w:val="auto"/>
          <w:szCs w:val="21"/>
          <w:highlight w:val="none"/>
        </w:rPr>
      </w:pPr>
    </w:p>
    <w:p w14:paraId="38A1CE7E">
      <w:pPr>
        <w:spacing w:line="300" w:lineRule="auto"/>
        <w:rPr>
          <w:rFonts w:ascii="宋体" w:hAnsi="宋体"/>
          <w:color w:val="auto"/>
          <w:szCs w:val="21"/>
          <w:highlight w:val="none"/>
        </w:rPr>
      </w:pPr>
    </w:p>
    <w:p w14:paraId="4BFEB7B9">
      <w:pPr>
        <w:spacing w:line="300" w:lineRule="auto"/>
        <w:rPr>
          <w:rFonts w:ascii="宋体" w:hAnsi="宋体"/>
          <w:color w:val="auto"/>
          <w:szCs w:val="21"/>
          <w:highlight w:val="none"/>
        </w:rPr>
      </w:pPr>
    </w:p>
    <w:p w14:paraId="0FB3CF01">
      <w:pPr>
        <w:spacing w:line="300" w:lineRule="auto"/>
        <w:rPr>
          <w:rFonts w:ascii="宋体" w:hAnsi="宋体"/>
          <w:color w:val="auto"/>
          <w:szCs w:val="21"/>
          <w:highlight w:val="none"/>
        </w:rPr>
      </w:pPr>
    </w:p>
    <w:p w14:paraId="1C4B5401">
      <w:pPr>
        <w:spacing w:line="300" w:lineRule="auto"/>
        <w:rPr>
          <w:rFonts w:ascii="宋体" w:hAnsi="宋体"/>
          <w:color w:val="auto"/>
          <w:szCs w:val="21"/>
          <w:highlight w:val="none"/>
        </w:rPr>
      </w:pPr>
    </w:p>
    <w:p w14:paraId="151B5DFF">
      <w:pPr>
        <w:spacing w:line="300" w:lineRule="auto"/>
        <w:rPr>
          <w:rFonts w:ascii="宋体" w:hAnsi="宋体"/>
          <w:color w:val="auto"/>
          <w:szCs w:val="21"/>
          <w:highlight w:val="none"/>
        </w:rPr>
      </w:pPr>
    </w:p>
    <w:p w14:paraId="6060E4A9">
      <w:pPr>
        <w:spacing w:line="300" w:lineRule="auto"/>
        <w:rPr>
          <w:rFonts w:ascii="宋体" w:hAnsi="宋体"/>
          <w:color w:val="auto"/>
          <w:szCs w:val="21"/>
          <w:highlight w:val="none"/>
        </w:rPr>
      </w:pPr>
    </w:p>
    <w:p w14:paraId="37180AF4">
      <w:pPr>
        <w:spacing w:line="300" w:lineRule="auto"/>
        <w:rPr>
          <w:rFonts w:ascii="宋体" w:hAnsi="宋体"/>
          <w:color w:val="auto"/>
          <w:szCs w:val="21"/>
          <w:highlight w:val="none"/>
        </w:rPr>
      </w:pPr>
    </w:p>
    <w:p w14:paraId="1CAAD7E2">
      <w:pPr>
        <w:spacing w:line="300" w:lineRule="auto"/>
        <w:rPr>
          <w:rFonts w:ascii="宋体" w:hAnsi="宋体"/>
          <w:color w:val="auto"/>
          <w:szCs w:val="21"/>
          <w:highlight w:val="none"/>
        </w:rPr>
      </w:pPr>
    </w:p>
    <w:p w14:paraId="6E35C5BC">
      <w:pPr>
        <w:spacing w:line="300" w:lineRule="auto"/>
        <w:rPr>
          <w:rFonts w:ascii="宋体" w:hAnsi="宋体"/>
          <w:color w:val="auto"/>
          <w:szCs w:val="21"/>
          <w:highlight w:val="none"/>
        </w:rPr>
      </w:pPr>
    </w:p>
    <w:p w14:paraId="293E54D4">
      <w:pPr>
        <w:spacing w:line="300" w:lineRule="auto"/>
        <w:rPr>
          <w:rFonts w:ascii="宋体" w:hAnsi="宋体"/>
          <w:color w:val="auto"/>
          <w:szCs w:val="21"/>
          <w:highlight w:val="none"/>
        </w:rPr>
      </w:pPr>
    </w:p>
    <w:p w14:paraId="5F8541E0">
      <w:pPr>
        <w:spacing w:line="300" w:lineRule="auto"/>
        <w:rPr>
          <w:rFonts w:ascii="宋体" w:hAnsi="宋体"/>
          <w:color w:val="auto"/>
          <w:szCs w:val="21"/>
          <w:highlight w:val="none"/>
        </w:rPr>
      </w:pPr>
    </w:p>
    <w:p w14:paraId="738188B2">
      <w:pPr>
        <w:spacing w:line="320" w:lineRule="exact"/>
        <w:jc w:val="left"/>
        <w:rPr>
          <w:rFonts w:ascii="宋体" w:hAnsi="宋体"/>
          <w:color w:val="auto"/>
          <w:szCs w:val="21"/>
          <w:highlight w:val="none"/>
        </w:rPr>
      </w:pPr>
      <w:r>
        <w:rPr>
          <w:rFonts w:ascii="宋体" w:hAnsi="宋体"/>
          <w:color w:val="auto"/>
          <w:szCs w:val="21"/>
          <w:highlight w:val="none"/>
        </w:rPr>
        <w:br w:type="page"/>
      </w:r>
    </w:p>
    <w:p w14:paraId="2D4F6988">
      <w:pPr>
        <w:wordWrap w:val="0"/>
        <w:spacing w:before="120" w:beforeLines="50" w:after="50" w:line="320" w:lineRule="exact"/>
        <w:ind w:right="482" w:firstLine="210" w:firstLineChars="100"/>
        <w:contextualSpacing/>
        <w:jc w:val="center"/>
        <w:rPr>
          <w:rFonts w:ascii="宋体" w:hAnsi="宋体"/>
          <w:color w:val="auto"/>
          <w:szCs w:val="21"/>
          <w:highlight w:val="none"/>
        </w:rPr>
      </w:pPr>
    </w:p>
    <w:p w14:paraId="4081D0A4">
      <w:pPr>
        <w:spacing w:line="320" w:lineRule="exact"/>
        <w:jc w:val="center"/>
        <w:rPr>
          <w:rFonts w:ascii="宋体" w:hAnsi="宋体"/>
          <w:b/>
          <w:color w:val="auto"/>
          <w:sz w:val="32"/>
          <w:szCs w:val="32"/>
          <w:highlight w:val="none"/>
        </w:rPr>
      </w:pPr>
      <w:r>
        <w:rPr>
          <w:rFonts w:hint="eastAsia" w:ascii="宋体" w:hAnsi="宋体"/>
          <w:b/>
          <w:color w:val="auto"/>
          <w:sz w:val="32"/>
          <w:szCs w:val="32"/>
          <w:highlight w:val="none"/>
        </w:rPr>
        <w:t>供应商直接控股、管理关系信息表</w:t>
      </w:r>
    </w:p>
    <w:p w14:paraId="6F9FF92B">
      <w:pPr>
        <w:snapToGrid w:val="0"/>
        <w:spacing w:before="120" w:beforeLines="50" w:after="50" w:line="360" w:lineRule="auto"/>
        <w:jc w:val="center"/>
        <w:rPr>
          <w:rFonts w:ascii="宋体" w:hAnsi="宋体"/>
          <w:b/>
          <w:color w:val="auto"/>
          <w:sz w:val="24"/>
          <w:highlight w:val="none"/>
        </w:rPr>
      </w:pPr>
    </w:p>
    <w:p w14:paraId="098B83BE">
      <w:pPr>
        <w:spacing w:line="360" w:lineRule="auto"/>
        <w:contextualSpacing/>
        <w:jc w:val="center"/>
        <w:rPr>
          <w:rFonts w:ascii="宋体" w:hAnsi="宋体"/>
          <w:b/>
          <w:color w:val="auto"/>
          <w:sz w:val="32"/>
          <w:szCs w:val="32"/>
          <w:highlight w:val="none"/>
        </w:rPr>
      </w:pPr>
      <w:r>
        <w:rPr>
          <w:rFonts w:hint="eastAsia" w:ascii="宋体" w:hAnsi="宋体"/>
          <w:b/>
          <w:color w:val="auto"/>
          <w:sz w:val="32"/>
          <w:szCs w:val="32"/>
          <w:highlight w:val="none"/>
        </w:rPr>
        <w:t>供应商直接控股股东信息表</w:t>
      </w:r>
    </w:p>
    <w:p w14:paraId="625FF3FB">
      <w:pPr>
        <w:spacing w:line="360" w:lineRule="auto"/>
        <w:contextualSpacing/>
        <w:jc w:val="center"/>
        <w:rPr>
          <w:rFonts w:ascii="宋体" w:hAnsi="宋体"/>
          <w:b/>
          <w:color w:val="auto"/>
          <w:sz w:val="24"/>
          <w:highlight w:val="none"/>
        </w:rPr>
      </w:pPr>
    </w:p>
    <w:tbl>
      <w:tblPr>
        <w:tblStyle w:val="55"/>
        <w:tblW w:w="10147" w:type="dxa"/>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18ADBBF3">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B1096C6">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BFCB785">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2E683BA">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4E41133">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FCB6DBD">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417DC7A5">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7966AAA">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B78D5AA">
            <w:pPr>
              <w:widowControl/>
              <w:spacing w:line="360" w:lineRule="auto"/>
              <w:contextualSpacing/>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5395A83">
            <w:pPr>
              <w:widowControl/>
              <w:spacing w:line="360" w:lineRule="auto"/>
              <w:contextualSpacing/>
              <w:jc w:val="center"/>
              <w:rPr>
                <w:rFonts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AA11CDD">
            <w:pPr>
              <w:widowControl/>
              <w:spacing w:line="360" w:lineRule="auto"/>
              <w:contextualSpacing/>
              <w:jc w:val="center"/>
              <w:rPr>
                <w:rFonts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AB56713">
            <w:pPr>
              <w:widowControl/>
              <w:spacing w:line="360" w:lineRule="auto"/>
              <w:contextualSpacing/>
              <w:jc w:val="center"/>
              <w:rPr>
                <w:rFonts w:ascii="宋体" w:hAnsi="宋体" w:cs="宋体"/>
                <w:color w:val="auto"/>
                <w:kern w:val="0"/>
                <w:sz w:val="24"/>
                <w:highlight w:val="none"/>
              </w:rPr>
            </w:pPr>
          </w:p>
        </w:tc>
      </w:tr>
      <w:tr w14:paraId="5671ECFB">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CD20BF9">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61323CF">
            <w:pPr>
              <w:widowControl/>
              <w:spacing w:line="360" w:lineRule="auto"/>
              <w:contextualSpacing/>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9A6EDCD">
            <w:pPr>
              <w:widowControl/>
              <w:spacing w:line="360" w:lineRule="auto"/>
              <w:contextualSpacing/>
              <w:jc w:val="center"/>
              <w:rPr>
                <w:rFonts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8E809B6">
            <w:pPr>
              <w:widowControl/>
              <w:spacing w:line="360" w:lineRule="auto"/>
              <w:contextualSpacing/>
              <w:jc w:val="center"/>
              <w:rPr>
                <w:rFonts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15369DB">
            <w:pPr>
              <w:widowControl/>
              <w:spacing w:line="360" w:lineRule="auto"/>
              <w:contextualSpacing/>
              <w:jc w:val="center"/>
              <w:rPr>
                <w:rFonts w:ascii="宋体" w:hAnsi="宋体" w:cs="宋体"/>
                <w:color w:val="auto"/>
                <w:kern w:val="0"/>
                <w:sz w:val="24"/>
                <w:highlight w:val="none"/>
              </w:rPr>
            </w:pPr>
          </w:p>
        </w:tc>
      </w:tr>
      <w:tr w14:paraId="2827F5BC">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A140D7D">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09D9837">
            <w:pPr>
              <w:widowControl/>
              <w:spacing w:line="360" w:lineRule="auto"/>
              <w:contextualSpacing/>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1B25057">
            <w:pPr>
              <w:widowControl/>
              <w:spacing w:line="360" w:lineRule="auto"/>
              <w:contextualSpacing/>
              <w:jc w:val="center"/>
              <w:rPr>
                <w:rFonts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21E344A">
            <w:pPr>
              <w:widowControl/>
              <w:spacing w:line="360" w:lineRule="auto"/>
              <w:contextualSpacing/>
              <w:jc w:val="center"/>
              <w:rPr>
                <w:rFonts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755BE11">
            <w:pPr>
              <w:widowControl/>
              <w:spacing w:line="360" w:lineRule="auto"/>
              <w:contextualSpacing/>
              <w:jc w:val="center"/>
              <w:rPr>
                <w:rFonts w:ascii="宋体" w:hAnsi="宋体" w:cs="宋体"/>
                <w:color w:val="auto"/>
                <w:kern w:val="0"/>
                <w:sz w:val="24"/>
                <w:highlight w:val="none"/>
              </w:rPr>
            </w:pPr>
          </w:p>
        </w:tc>
      </w:tr>
      <w:tr w14:paraId="06EE8A4B">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666A933">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50F53BA">
            <w:pPr>
              <w:widowControl/>
              <w:spacing w:line="360" w:lineRule="auto"/>
              <w:contextualSpacing/>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BCC5A69">
            <w:pPr>
              <w:widowControl/>
              <w:spacing w:line="360" w:lineRule="auto"/>
              <w:contextualSpacing/>
              <w:jc w:val="center"/>
              <w:rPr>
                <w:rFonts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536AA77">
            <w:pPr>
              <w:widowControl/>
              <w:spacing w:line="360" w:lineRule="auto"/>
              <w:contextualSpacing/>
              <w:jc w:val="center"/>
              <w:rPr>
                <w:rFonts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1472C41">
            <w:pPr>
              <w:widowControl/>
              <w:spacing w:line="360" w:lineRule="auto"/>
              <w:contextualSpacing/>
              <w:jc w:val="center"/>
              <w:rPr>
                <w:rFonts w:ascii="宋体" w:hAnsi="宋体" w:cs="宋体"/>
                <w:color w:val="auto"/>
                <w:kern w:val="0"/>
                <w:sz w:val="24"/>
                <w:highlight w:val="none"/>
              </w:rPr>
            </w:pPr>
          </w:p>
        </w:tc>
      </w:tr>
    </w:tbl>
    <w:p w14:paraId="54B54ED3">
      <w:pPr>
        <w:spacing w:line="360" w:lineRule="auto"/>
        <w:contextualSpacing/>
        <w:jc w:val="left"/>
        <w:rPr>
          <w:rFonts w:ascii="宋体" w:hAnsi="宋体" w:cs="宋体"/>
          <w:color w:val="auto"/>
          <w:sz w:val="24"/>
          <w:highlight w:val="none"/>
        </w:rPr>
      </w:pPr>
      <w:r>
        <w:rPr>
          <w:rFonts w:hint="eastAsia" w:ascii="宋体" w:hAnsi="宋体" w:cs="宋体"/>
          <w:color w:val="auto"/>
          <w:sz w:val="24"/>
          <w:highlight w:val="none"/>
        </w:rPr>
        <w:t>注：</w:t>
      </w:r>
    </w:p>
    <w:p w14:paraId="1EF01216">
      <w:pPr>
        <w:spacing w:line="360" w:lineRule="auto"/>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A25A91B">
      <w:pPr>
        <w:spacing w:line="360" w:lineRule="auto"/>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2.本表所指的控股关系仅限于直接控股关系，不包括间接的控股关系。公司实际控制人与公司之间的关系不属于本表所指的直接控股关系。</w:t>
      </w:r>
    </w:p>
    <w:p w14:paraId="6FB60362">
      <w:pPr>
        <w:spacing w:line="360" w:lineRule="auto"/>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3.供应商不存在直接控股股东的，</w:t>
      </w:r>
      <w:r>
        <w:rPr>
          <w:rFonts w:hint="eastAsia" w:ascii="宋体" w:hAnsi="宋体"/>
          <w:color w:val="auto"/>
          <w:sz w:val="24"/>
          <w:highlight w:val="none"/>
        </w:rPr>
        <w:t>则在“直接控股股东名称”填“无”</w:t>
      </w:r>
      <w:r>
        <w:rPr>
          <w:rFonts w:hint="eastAsia" w:ascii="宋体" w:hAnsi="宋体" w:cs="宋体"/>
          <w:color w:val="auto"/>
          <w:sz w:val="24"/>
          <w:highlight w:val="none"/>
        </w:rPr>
        <w:t>。</w:t>
      </w:r>
    </w:p>
    <w:p w14:paraId="1FB254AE">
      <w:pPr>
        <w:spacing w:line="360" w:lineRule="auto"/>
        <w:ind w:firstLine="420" w:firstLineChars="200"/>
        <w:contextualSpacing/>
        <w:jc w:val="left"/>
        <w:rPr>
          <w:rFonts w:ascii="宋体" w:hAnsi="宋体" w:cs="宋体"/>
          <w:color w:val="auto"/>
          <w:szCs w:val="21"/>
          <w:highlight w:val="none"/>
        </w:rPr>
      </w:pPr>
    </w:p>
    <w:p w14:paraId="62C0E9A7">
      <w:pPr>
        <w:spacing w:line="360" w:lineRule="auto"/>
        <w:ind w:firstLine="560" w:firstLineChars="200"/>
        <w:contextualSpacing/>
        <w:jc w:val="left"/>
        <w:rPr>
          <w:rFonts w:ascii="宋体" w:hAnsi="宋体" w:cs="宋体"/>
          <w:color w:val="auto"/>
          <w:sz w:val="28"/>
          <w:szCs w:val="28"/>
          <w:highlight w:val="none"/>
        </w:rPr>
      </w:pPr>
    </w:p>
    <w:p w14:paraId="3D777711">
      <w:pPr>
        <w:spacing w:line="360" w:lineRule="auto"/>
        <w:ind w:right="480"/>
        <w:contextualSpacing/>
        <w:jc w:val="center"/>
        <w:rPr>
          <w:rFonts w:ascii="宋体" w:hAnsi="宋体" w:cs="宋体"/>
          <w:color w:val="auto"/>
          <w:sz w:val="24"/>
          <w:highlight w:val="none"/>
          <w:u w:val="single"/>
        </w:rPr>
      </w:pPr>
      <w:r>
        <w:rPr>
          <w:rFonts w:hint="eastAsia" w:ascii="宋体" w:hAnsi="宋体" w:cs="宋体"/>
          <w:color w:val="auto"/>
          <w:sz w:val="24"/>
          <w:highlight w:val="none"/>
        </w:rPr>
        <w:t>法定代表人或者委托代理人</w:t>
      </w:r>
      <w:r>
        <w:rPr>
          <w:rFonts w:hint="eastAsia" w:ascii="宋体" w:hAnsi="宋体"/>
          <w:color w:val="auto"/>
          <w:sz w:val="24"/>
          <w:highlight w:val="none"/>
        </w:rPr>
        <w:t>（签字或者电子签名）</w:t>
      </w:r>
      <w:r>
        <w:rPr>
          <w:rFonts w:hint="eastAsia" w:ascii="宋体" w:hAnsi="宋体" w:cs="宋体"/>
          <w:color w:val="auto"/>
          <w:sz w:val="24"/>
          <w:highlight w:val="none"/>
        </w:rPr>
        <w:t>：</w:t>
      </w:r>
    </w:p>
    <w:p w14:paraId="459DD1C0">
      <w:pPr>
        <w:spacing w:line="360" w:lineRule="auto"/>
        <w:ind w:right="480" w:firstLine="3000" w:firstLineChars="1250"/>
        <w:contextualSpacing/>
        <w:rPr>
          <w:rFonts w:ascii="宋体" w:hAnsi="宋体" w:cs="宋体"/>
          <w:color w:val="auto"/>
          <w:sz w:val="24"/>
          <w:highlight w:val="none"/>
          <w:u w:val="single"/>
        </w:rPr>
      </w:pPr>
      <w:r>
        <w:rPr>
          <w:rFonts w:hint="eastAsia" w:ascii="宋体" w:hAnsi="宋体" w:cs="宋体"/>
          <w:color w:val="auto"/>
          <w:sz w:val="24"/>
          <w:highlight w:val="none"/>
        </w:rPr>
        <w:t>供应商</w:t>
      </w:r>
      <w:r>
        <w:rPr>
          <w:rFonts w:hint="eastAsia" w:ascii="宋体" w:hAnsi="宋体"/>
          <w:color w:val="auto"/>
          <w:sz w:val="24"/>
          <w:highlight w:val="none"/>
        </w:rPr>
        <w:t>（电子签章）</w:t>
      </w:r>
      <w:r>
        <w:rPr>
          <w:rFonts w:hint="eastAsia" w:ascii="宋体" w:hAnsi="宋体" w:cs="宋体"/>
          <w:color w:val="auto"/>
          <w:sz w:val="24"/>
          <w:highlight w:val="none"/>
        </w:rPr>
        <w:t xml:space="preserve">： </w:t>
      </w:r>
    </w:p>
    <w:p w14:paraId="5146C837">
      <w:pPr>
        <w:spacing w:line="360" w:lineRule="auto"/>
        <w:ind w:firstLine="480" w:firstLineChars="200"/>
        <w:contextualSpacing/>
        <w:jc w:val="right"/>
        <w:rPr>
          <w:rFonts w:ascii="宋体" w:hAnsi="宋体" w:cs="宋体"/>
          <w:color w:val="auto"/>
          <w:sz w:val="28"/>
          <w:szCs w:val="28"/>
          <w:highlight w:val="none"/>
        </w:rPr>
      </w:pPr>
      <w:r>
        <w:rPr>
          <w:rFonts w:hint="eastAsia" w:ascii="宋体" w:hAnsi="宋体" w:cs="宋体"/>
          <w:color w:val="auto"/>
          <w:sz w:val="24"/>
          <w:highlight w:val="none"/>
        </w:rPr>
        <w:t>年    月    日</w:t>
      </w:r>
    </w:p>
    <w:p w14:paraId="651E354D">
      <w:pPr>
        <w:snapToGrid w:val="0"/>
        <w:jc w:val="center"/>
        <w:rPr>
          <w:rFonts w:ascii="宋体" w:hAnsi="宋体"/>
          <w:b/>
          <w:color w:val="auto"/>
          <w:sz w:val="28"/>
          <w:szCs w:val="28"/>
          <w:highlight w:val="none"/>
        </w:rPr>
      </w:pPr>
      <w:r>
        <w:rPr>
          <w:rFonts w:ascii="宋体" w:hAnsi="宋体"/>
          <w:b/>
          <w:color w:val="auto"/>
          <w:sz w:val="28"/>
          <w:szCs w:val="28"/>
          <w:highlight w:val="none"/>
        </w:rPr>
        <w:br w:type="page"/>
      </w:r>
    </w:p>
    <w:p w14:paraId="09C837AF">
      <w:pPr>
        <w:spacing w:line="320" w:lineRule="exact"/>
        <w:jc w:val="center"/>
        <w:rPr>
          <w:rFonts w:ascii="宋体" w:hAnsi="宋体"/>
          <w:b/>
          <w:color w:val="auto"/>
          <w:sz w:val="32"/>
          <w:szCs w:val="32"/>
          <w:highlight w:val="none"/>
        </w:rPr>
      </w:pPr>
      <w:r>
        <w:rPr>
          <w:rFonts w:hint="eastAsia" w:ascii="宋体" w:hAnsi="宋体"/>
          <w:b/>
          <w:color w:val="auto"/>
          <w:sz w:val="32"/>
          <w:szCs w:val="32"/>
          <w:highlight w:val="none"/>
        </w:rPr>
        <w:t>供应商直接管理关系信息表</w:t>
      </w:r>
    </w:p>
    <w:p w14:paraId="1970EC7C">
      <w:pPr>
        <w:snapToGrid w:val="0"/>
        <w:spacing w:line="360" w:lineRule="auto"/>
        <w:jc w:val="center"/>
        <w:rPr>
          <w:rFonts w:ascii="宋体" w:hAnsi="宋体"/>
          <w:b/>
          <w:color w:val="auto"/>
          <w:sz w:val="24"/>
          <w:highlight w:val="none"/>
        </w:rPr>
      </w:pPr>
    </w:p>
    <w:tbl>
      <w:tblPr>
        <w:tblStyle w:val="55"/>
        <w:tblW w:w="9652" w:type="dxa"/>
        <w:jc w:val="center"/>
        <w:shd w:val="clear" w:color="auto" w:fill="FBFBFB"/>
        <w:tblLayout w:type="fixed"/>
        <w:tblCellMar>
          <w:top w:w="0" w:type="dxa"/>
          <w:left w:w="0" w:type="dxa"/>
          <w:bottom w:w="0" w:type="dxa"/>
          <w:right w:w="0" w:type="dxa"/>
        </w:tblCellMar>
      </w:tblPr>
      <w:tblGrid>
        <w:gridCol w:w="808"/>
        <w:gridCol w:w="3600"/>
        <w:gridCol w:w="3555"/>
        <w:gridCol w:w="1689"/>
      </w:tblGrid>
      <w:tr w14:paraId="341E3948">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40D008B">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EE38936">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D091A8D">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F2466CB">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相互关系</w:t>
            </w:r>
          </w:p>
        </w:tc>
      </w:tr>
      <w:tr w14:paraId="1232B71F">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BB90CBA">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9440D32">
            <w:pPr>
              <w:widowControl/>
              <w:spacing w:line="360" w:lineRule="auto"/>
              <w:contextualSpacing/>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FE96C2F">
            <w:pPr>
              <w:widowControl/>
              <w:spacing w:line="360" w:lineRule="auto"/>
              <w:contextualSpacing/>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E482033">
            <w:pPr>
              <w:widowControl/>
              <w:spacing w:line="360" w:lineRule="auto"/>
              <w:contextualSpacing/>
              <w:jc w:val="center"/>
              <w:rPr>
                <w:rFonts w:ascii="宋体" w:hAnsi="宋体" w:cs="宋体"/>
                <w:color w:val="auto"/>
                <w:kern w:val="0"/>
                <w:sz w:val="24"/>
                <w:highlight w:val="none"/>
              </w:rPr>
            </w:pPr>
          </w:p>
        </w:tc>
      </w:tr>
      <w:tr w14:paraId="4BED7AD1">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47862B1">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CDC947C">
            <w:pPr>
              <w:widowControl/>
              <w:spacing w:line="360" w:lineRule="auto"/>
              <w:contextualSpacing/>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1F2805B">
            <w:pPr>
              <w:widowControl/>
              <w:spacing w:line="360" w:lineRule="auto"/>
              <w:contextualSpacing/>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E2B7221">
            <w:pPr>
              <w:widowControl/>
              <w:spacing w:line="360" w:lineRule="auto"/>
              <w:contextualSpacing/>
              <w:jc w:val="center"/>
              <w:rPr>
                <w:rFonts w:ascii="宋体" w:hAnsi="宋体" w:cs="宋体"/>
                <w:color w:val="auto"/>
                <w:kern w:val="0"/>
                <w:sz w:val="24"/>
                <w:highlight w:val="none"/>
              </w:rPr>
            </w:pPr>
          </w:p>
        </w:tc>
      </w:tr>
      <w:tr w14:paraId="364F49FE">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B8E2E00">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7D6A0AF">
            <w:pPr>
              <w:widowControl/>
              <w:spacing w:line="360" w:lineRule="auto"/>
              <w:contextualSpacing/>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44B15F1">
            <w:pPr>
              <w:widowControl/>
              <w:spacing w:line="360" w:lineRule="auto"/>
              <w:contextualSpacing/>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9C3002C">
            <w:pPr>
              <w:widowControl/>
              <w:spacing w:line="360" w:lineRule="auto"/>
              <w:contextualSpacing/>
              <w:jc w:val="center"/>
              <w:rPr>
                <w:rFonts w:ascii="宋体" w:hAnsi="宋体" w:cs="宋体"/>
                <w:color w:val="auto"/>
                <w:kern w:val="0"/>
                <w:sz w:val="24"/>
                <w:highlight w:val="none"/>
              </w:rPr>
            </w:pPr>
          </w:p>
        </w:tc>
      </w:tr>
      <w:tr w14:paraId="7D0B7002">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35EEB87">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E0425C0">
            <w:pPr>
              <w:widowControl/>
              <w:spacing w:line="360" w:lineRule="auto"/>
              <w:contextualSpacing/>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1C7DDE1">
            <w:pPr>
              <w:widowControl/>
              <w:spacing w:line="360" w:lineRule="auto"/>
              <w:contextualSpacing/>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F5A0DD0">
            <w:pPr>
              <w:widowControl/>
              <w:spacing w:line="360" w:lineRule="auto"/>
              <w:contextualSpacing/>
              <w:jc w:val="center"/>
              <w:rPr>
                <w:rFonts w:ascii="宋体" w:hAnsi="宋体" w:cs="宋体"/>
                <w:color w:val="auto"/>
                <w:kern w:val="0"/>
                <w:sz w:val="24"/>
                <w:highlight w:val="none"/>
              </w:rPr>
            </w:pPr>
          </w:p>
        </w:tc>
      </w:tr>
    </w:tbl>
    <w:p w14:paraId="2D37BA43">
      <w:pPr>
        <w:spacing w:line="360" w:lineRule="auto"/>
        <w:contextualSpacing/>
        <w:jc w:val="left"/>
        <w:rPr>
          <w:rFonts w:ascii="宋体" w:hAnsi="宋体"/>
          <w:color w:val="auto"/>
          <w:sz w:val="24"/>
          <w:highlight w:val="none"/>
        </w:rPr>
      </w:pPr>
      <w:r>
        <w:rPr>
          <w:rFonts w:hint="eastAsia" w:ascii="宋体" w:hAnsi="宋体"/>
          <w:color w:val="auto"/>
          <w:sz w:val="24"/>
          <w:highlight w:val="none"/>
        </w:rPr>
        <w:t>注：</w:t>
      </w:r>
    </w:p>
    <w:p w14:paraId="52EC0516">
      <w:pPr>
        <w:spacing w:line="360" w:lineRule="auto"/>
        <w:ind w:firstLine="480" w:firstLineChars="200"/>
        <w:contextualSpacing/>
        <w:jc w:val="left"/>
        <w:rPr>
          <w:rFonts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2FF538B9">
      <w:pPr>
        <w:spacing w:line="360" w:lineRule="auto"/>
        <w:ind w:firstLine="480" w:firstLineChars="200"/>
        <w:contextualSpacing/>
        <w:jc w:val="left"/>
        <w:rPr>
          <w:rFonts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40AF1B20">
      <w:pPr>
        <w:spacing w:line="360" w:lineRule="auto"/>
        <w:ind w:firstLine="480" w:firstLineChars="200"/>
        <w:contextualSpacing/>
        <w:jc w:val="left"/>
        <w:rPr>
          <w:rFonts w:ascii="宋体" w:hAnsi="宋体"/>
          <w:color w:val="auto"/>
          <w:sz w:val="24"/>
          <w:highlight w:val="none"/>
        </w:rPr>
      </w:pPr>
      <w:r>
        <w:rPr>
          <w:rFonts w:hint="eastAsia" w:ascii="宋体" w:hAnsi="宋体"/>
          <w:color w:val="auto"/>
          <w:sz w:val="24"/>
          <w:highlight w:val="none"/>
        </w:rPr>
        <w:t>3.供应商不存在直接管理关系的，则在“直接管理关系单位名称”填“无”。</w:t>
      </w:r>
    </w:p>
    <w:p w14:paraId="2DC3438C">
      <w:pPr>
        <w:spacing w:line="360" w:lineRule="auto"/>
        <w:contextualSpacing/>
        <w:jc w:val="left"/>
        <w:rPr>
          <w:rFonts w:ascii="宋体" w:hAnsi="宋体"/>
          <w:color w:val="auto"/>
          <w:sz w:val="28"/>
          <w:szCs w:val="28"/>
          <w:highlight w:val="none"/>
        </w:rPr>
      </w:pPr>
    </w:p>
    <w:p w14:paraId="541C6EBE">
      <w:pPr>
        <w:spacing w:line="360" w:lineRule="auto"/>
        <w:contextualSpacing/>
        <w:jc w:val="left"/>
        <w:rPr>
          <w:rFonts w:ascii="宋体" w:hAnsi="宋体"/>
          <w:color w:val="auto"/>
          <w:sz w:val="28"/>
          <w:szCs w:val="28"/>
          <w:highlight w:val="none"/>
        </w:rPr>
      </w:pPr>
    </w:p>
    <w:p w14:paraId="79E2FCDB">
      <w:pPr>
        <w:spacing w:line="360" w:lineRule="auto"/>
        <w:contextualSpacing/>
        <w:jc w:val="left"/>
        <w:rPr>
          <w:color w:val="auto"/>
          <w:sz w:val="28"/>
          <w:szCs w:val="28"/>
          <w:highlight w:val="none"/>
        </w:rPr>
      </w:pPr>
    </w:p>
    <w:p w14:paraId="3E61AF9B">
      <w:pPr>
        <w:spacing w:line="360" w:lineRule="auto"/>
        <w:contextualSpacing/>
        <w:jc w:val="left"/>
        <w:rPr>
          <w:color w:val="auto"/>
          <w:sz w:val="28"/>
          <w:szCs w:val="28"/>
          <w:highlight w:val="none"/>
        </w:rPr>
      </w:pPr>
    </w:p>
    <w:p w14:paraId="6B3772CF">
      <w:pPr>
        <w:spacing w:line="360" w:lineRule="auto"/>
        <w:contextualSpacing/>
        <w:jc w:val="left"/>
        <w:rPr>
          <w:color w:val="auto"/>
          <w:sz w:val="28"/>
          <w:szCs w:val="28"/>
          <w:highlight w:val="none"/>
        </w:rPr>
      </w:pPr>
    </w:p>
    <w:p w14:paraId="5FF27A7D">
      <w:pPr>
        <w:spacing w:line="360" w:lineRule="auto"/>
        <w:contextualSpacing/>
        <w:jc w:val="left"/>
        <w:rPr>
          <w:rFonts w:ascii="宋体" w:hAnsi="宋体"/>
          <w:color w:val="auto"/>
          <w:sz w:val="28"/>
          <w:szCs w:val="28"/>
          <w:highlight w:val="none"/>
        </w:rPr>
      </w:pPr>
    </w:p>
    <w:p w14:paraId="4193EF7D">
      <w:pPr>
        <w:spacing w:line="360" w:lineRule="auto"/>
        <w:ind w:right="480"/>
        <w:contextualSpacing/>
        <w:jc w:val="center"/>
        <w:rPr>
          <w:rFonts w:ascii="宋体" w:hAnsi="宋体"/>
          <w:color w:val="auto"/>
          <w:sz w:val="24"/>
          <w:highlight w:val="none"/>
          <w:u w:val="single"/>
        </w:rPr>
      </w:pPr>
      <w:r>
        <w:rPr>
          <w:rFonts w:hint="eastAsia" w:ascii="宋体" w:hAnsi="宋体"/>
          <w:color w:val="auto"/>
          <w:sz w:val="24"/>
          <w:highlight w:val="none"/>
        </w:rPr>
        <w:t>法定代表人或者委托代理人（签字或者电子签名）：</w:t>
      </w:r>
    </w:p>
    <w:p w14:paraId="1BB7919A">
      <w:pPr>
        <w:spacing w:line="360" w:lineRule="auto"/>
        <w:ind w:right="480" w:firstLine="3360" w:firstLineChars="1400"/>
        <w:contextualSpacing/>
        <w:rPr>
          <w:rFonts w:ascii="宋体" w:hAnsi="宋体"/>
          <w:color w:val="auto"/>
          <w:sz w:val="24"/>
          <w:highlight w:val="none"/>
        </w:rPr>
      </w:pPr>
      <w:r>
        <w:rPr>
          <w:rFonts w:hint="eastAsia" w:ascii="宋体" w:hAnsi="宋体"/>
          <w:color w:val="auto"/>
          <w:sz w:val="24"/>
          <w:highlight w:val="none"/>
        </w:rPr>
        <w:t>供应商（电子签章）：</w:t>
      </w:r>
    </w:p>
    <w:p w14:paraId="6246078D">
      <w:pPr>
        <w:spacing w:line="360" w:lineRule="auto"/>
        <w:ind w:firstLine="480" w:firstLineChars="200"/>
        <w:contextualSpacing/>
        <w:jc w:val="left"/>
        <w:rPr>
          <w:rFonts w:ascii="宋体" w:hAnsi="宋体"/>
          <w:color w:val="auto"/>
          <w:sz w:val="28"/>
          <w:szCs w:val="28"/>
          <w:highlight w:val="none"/>
        </w:rPr>
      </w:pPr>
      <w:r>
        <w:rPr>
          <w:rFonts w:hint="eastAsia" w:ascii="宋体" w:hAnsi="宋体"/>
          <w:color w:val="auto"/>
          <w:sz w:val="24"/>
          <w:highlight w:val="none"/>
        </w:rPr>
        <w:t xml:space="preserve">                                        年    月    日</w:t>
      </w:r>
    </w:p>
    <w:p w14:paraId="3D42850A">
      <w:pPr>
        <w:spacing w:line="320" w:lineRule="exact"/>
        <w:jc w:val="center"/>
        <w:rPr>
          <w:rFonts w:ascii="宋体" w:hAnsi="宋体"/>
          <w:b/>
          <w:color w:val="auto"/>
          <w:sz w:val="32"/>
          <w:szCs w:val="32"/>
          <w:highlight w:val="none"/>
        </w:rPr>
      </w:pPr>
      <w:r>
        <w:rPr>
          <w:rFonts w:ascii="宋体" w:hAnsi="宋体"/>
          <w:color w:val="auto"/>
          <w:sz w:val="28"/>
          <w:szCs w:val="28"/>
          <w:highlight w:val="none"/>
        </w:rPr>
        <w:br w:type="page"/>
      </w:r>
      <w:r>
        <w:rPr>
          <w:rFonts w:hint="eastAsia" w:ascii="宋体" w:hAnsi="宋体"/>
          <w:b/>
          <w:color w:val="auto"/>
          <w:sz w:val="32"/>
          <w:szCs w:val="32"/>
          <w:highlight w:val="none"/>
        </w:rPr>
        <w:t>竞标声明</w:t>
      </w:r>
    </w:p>
    <w:p w14:paraId="50D36E96">
      <w:pPr>
        <w:spacing w:line="320" w:lineRule="exact"/>
        <w:jc w:val="center"/>
        <w:rPr>
          <w:rFonts w:ascii="宋体" w:hAnsi="宋体"/>
          <w:color w:val="auto"/>
          <w:sz w:val="24"/>
          <w:szCs w:val="20"/>
          <w:highlight w:val="none"/>
        </w:rPr>
      </w:pPr>
    </w:p>
    <w:p w14:paraId="7CBDD986">
      <w:pPr>
        <w:spacing w:line="360" w:lineRule="auto"/>
        <w:contextualSpacing/>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（采购人名称）</w:t>
      </w:r>
      <w:r>
        <w:rPr>
          <w:rFonts w:hint="eastAsia" w:ascii="宋体" w:hAnsi="宋体" w:cs="宋体"/>
          <w:color w:val="auto"/>
          <w:sz w:val="24"/>
          <w:highlight w:val="none"/>
        </w:rPr>
        <w:t>：</w:t>
      </w:r>
    </w:p>
    <w:p w14:paraId="47DB4267">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w:t>
      </w:r>
      <w:r>
        <w:rPr>
          <w:rFonts w:hint="eastAsia" w:ascii="宋体" w:hAnsi="宋体" w:cs="宋体"/>
          <w:color w:val="auto"/>
          <w:sz w:val="24"/>
          <w:highlight w:val="none"/>
          <w:u w:val="single"/>
        </w:rPr>
        <w:t>（供应商名称）</w:t>
      </w:r>
      <w:r>
        <w:rPr>
          <w:rFonts w:hint="eastAsia" w:ascii="宋体" w:hAnsi="宋体" w:cs="宋体"/>
          <w:color w:val="auto"/>
          <w:sz w:val="24"/>
          <w:highlight w:val="none"/>
        </w:rPr>
        <w:t>系中华人民共和国合法供应商，经营地址。</w:t>
      </w:r>
    </w:p>
    <w:p w14:paraId="480BB238">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我方愿意参加贵方组织的</w:t>
      </w:r>
      <w:r>
        <w:rPr>
          <w:rFonts w:hint="eastAsia" w:ascii="宋体" w:hAnsi="宋体" w:cs="宋体"/>
          <w:color w:val="auto"/>
          <w:sz w:val="24"/>
          <w:highlight w:val="none"/>
          <w:u w:val="single"/>
        </w:rPr>
        <w:t>（项目名称）（项目编号）</w:t>
      </w:r>
      <w:r>
        <w:rPr>
          <w:rFonts w:hint="eastAsia" w:ascii="宋体" w:hAnsi="宋体" w:cs="宋体"/>
          <w:color w:val="auto"/>
          <w:sz w:val="24"/>
          <w:highlight w:val="none"/>
        </w:rPr>
        <w:t>项目的竞标，为便于贵方公正、择优地确定成交供应商及其服务，我方就本次竞标有关事项郑重声明如下：</w:t>
      </w:r>
    </w:p>
    <w:p w14:paraId="73D0982E">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1.我方向贵方提交的所有响应文件、资料都是准确的和真实的。</w:t>
      </w:r>
    </w:p>
    <w:p w14:paraId="5461CA47">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olor w:val="auto"/>
          <w:sz w:val="24"/>
          <w:highlight w:val="none"/>
        </w:rPr>
        <w:t>我方不是为本次采购项目提供整体设计、规范编制或者项目管理、监理、检测等服务的供应商</w:t>
      </w:r>
      <w:r>
        <w:rPr>
          <w:rFonts w:hint="eastAsia" w:ascii="宋体" w:hAnsi="宋体" w:cs="宋体"/>
          <w:color w:val="auto"/>
          <w:sz w:val="24"/>
          <w:highlight w:val="none"/>
        </w:rPr>
        <w:t>。</w:t>
      </w:r>
    </w:p>
    <w:p w14:paraId="3025307E">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3.在此，我方宣布同意如下：</w:t>
      </w:r>
    </w:p>
    <w:p w14:paraId="1CA27E43">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（1）将按磋商文件的约定履行合同责任和义务；</w:t>
      </w:r>
    </w:p>
    <w:p w14:paraId="65238A0A">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（2）已详细审查全部磋商文件，包括澄清或者更正公告（如有）；</w:t>
      </w:r>
    </w:p>
    <w:p w14:paraId="33C3E411">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（3）同意提供按照贵方可能要求的与磋商有关的一切数据或者资料；</w:t>
      </w:r>
    </w:p>
    <w:p w14:paraId="7F859707">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（4）响应磋商文件规定的竞标有效期。</w:t>
      </w:r>
    </w:p>
    <w:p w14:paraId="7836BF44">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4.我方承诺符合《中华人民共和国政府采购法》第二十二条规定：</w:t>
      </w:r>
    </w:p>
    <w:p w14:paraId="68448880">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4F6A95DF">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14:paraId="7E4EED03">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34AA1966">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4348BDCB">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190AE53E">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（6）法律、行政法规规定的其他条件。</w:t>
      </w:r>
    </w:p>
    <w:p w14:paraId="6E17794B">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3CE0D4D9">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3EEFFB25">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内容中</w:t>
      </w:r>
      <w:r>
        <w:rPr>
          <w:rFonts w:hint="eastAsia" w:ascii="宋体" w:hAnsi="宋体" w:cs="宋体"/>
          <w:color w:val="auto"/>
          <w:sz w:val="24"/>
          <w:highlight w:val="none"/>
        </w:rPr>
        <w:t>未</w:t>
      </w:r>
      <w:r>
        <w:rPr>
          <w:rFonts w:hint="eastAsia" w:ascii="宋体" w:hAnsi="宋体" w:cs="宋体"/>
          <w:color w:val="auto"/>
          <w:kern w:val="0"/>
          <w:sz w:val="24"/>
          <w:highlight w:val="none"/>
        </w:rPr>
        <w:t>涉及商业秘密；</w:t>
      </w:r>
    </w:p>
    <w:p w14:paraId="5BEFC59C">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涉及商业秘密的内容有</w:t>
      </w:r>
      <w:r>
        <w:rPr>
          <w:rFonts w:hint="eastAsia" w:ascii="宋体" w:hAnsi="宋体" w:cs="宋体"/>
          <w:color w:val="auto"/>
          <w:kern w:val="0"/>
          <w:sz w:val="24"/>
          <w:highlight w:val="none"/>
          <w:u w:val="single"/>
        </w:rPr>
        <w:t>：           ；</w:t>
      </w:r>
    </w:p>
    <w:p w14:paraId="37923BC5">
      <w:pPr>
        <w:pStyle w:val="29"/>
        <w:spacing w:line="360" w:lineRule="auto"/>
        <w:ind w:firstLine="480" w:firstLineChars="200"/>
        <w:contextualSpacing/>
        <w:rPr>
          <w:rFonts w:hAnsi="宋体" w:cs="宋体"/>
          <w:color w:val="auto"/>
          <w:sz w:val="24"/>
          <w:szCs w:val="24"/>
          <w:highlight w:val="none"/>
          <w:u w:val="single"/>
        </w:rPr>
      </w:pPr>
      <w:r>
        <w:rPr>
          <w:rFonts w:hint="eastAsia" w:hAnsi="宋体" w:cs="宋体"/>
          <w:color w:val="auto"/>
          <w:sz w:val="24"/>
          <w:szCs w:val="24"/>
          <w:highlight w:val="none"/>
        </w:rPr>
        <w:t>7.与本磋商有关的一切正式往来信函请寄：邮政编号：</w:t>
      </w:r>
    </w:p>
    <w:p w14:paraId="524A0D3C">
      <w:pPr>
        <w:pStyle w:val="29"/>
        <w:spacing w:line="360" w:lineRule="auto"/>
        <w:ind w:firstLine="480" w:firstLineChars="200"/>
        <w:contextualSpacing/>
        <w:rPr>
          <w:rFonts w:hAnsi="宋体" w:cs="宋体"/>
          <w:color w:val="auto"/>
          <w:sz w:val="24"/>
          <w:szCs w:val="24"/>
          <w:highlight w:val="none"/>
        </w:rPr>
      </w:pPr>
      <w:r>
        <w:rPr>
          <w:rFonts w:hint="eastAsia" w:hAnsi="宋体" w:cs="宋体"/>
          <w:color w:val="auto"/>
          <w:sz w:val="24"/>
          <w:szCs w:val="24"/>
          <w:highlight w:val="none"/>
        </w:rPr>
        <w:t>电话/传真： 电子邮箱：</w:t>
      </w:r>
    </w:p>
    <w:p w14:paraId="73643263">
      <w:pPr>
        <w:pStyle w:val="24"/>
        <w:tabs>
          <w:tab w:val="left" w:pos="939"/>
        </w:tabs>
        <w:spacing w:line="360" w:lineRule="auto"/>
        <w:ind w:left="141" w:leftChars="67" w:firstLine="360" w:firstLineChars="150"/>
        <w:rPr>
          <w:rFonts w:ascii="宋体" w:hAnsi="宋体" w:cs="宋体"/>
          <w:color w:val="auto"/>
          <w:sz w:val="24"/>
          <w:highlight w:val="none"/>
        </w:rPr>
      </w:pPr>
      <w:r>
        <w:rPr>
          <w:rFonts w:hint="eastAsia" w:ascii="宋体" w:hAnsi="宋体" w:cs="宋体"/>
          <w:color w:val="auto"/>
          <w:sz w:val="24"/>
          <w:highlight w:val="none"/>
        </w:rPr>
        <w:t>开户银行：  账号：</w:t>
      </w:r>
    </w:p>
    <w:p w14:paraId="3E569524">
      <w:pPr>
        <w:pStyle w:val="24"/>
        <w:tabs>
          <w:tab w:val="left" w:pos="939"/>
        </w:tabs>
        <w:spacing w:line="360" w:lineRule="auto"/>
        <w:ind w:left="0" w:leftChars="0" w:firstLine="480" w:firstLineChars="200"/>
        <w:rPr>
          <w:rFonts w:ascii="宋体" w:hAnsi="宋体" w:cs="宋体"/>
          <w:color w:val="auto"/>
          <w:sz w:val="24"/>
          <w:highlight w:val="none"/>
        </w:rPr>
      </w:pPr>
      <w:r>
        <w:rPr>
          <w:rFonts w:hint="eastAsia" w:ascii="宋体" w:hAnsi="宋体" w:cs="宋体"/>
          <w:color w:val="auto"/>
          <w:sz w:val="24"/>
          <w:highlight w:val="none"/>
        </w:rPr>
        <w:t>8.以上事项如有虚假或者隐瞒，我方愿意承担一切后果，并不再寻求任何旨在减轻或者免除法律责任的辩解。</w:t>
      </w:r>
    </w:p>
    <w:p w14:paraId="1515B5F9">
      <w:pPr>
        <w:pStyle w:val="24"/>
        <w:tabs>
          <w:tab w:val="left" w:pos="939"/>
        </w:tabs>
        <w:spacing w:line="360" w:lineRule="auto"/>
        <w:ind w:left="141" w:leftChars="67" w:firstLine="360" w:firstLineChars="150"/>
        <w:rPr>
          <w:rFonts w:ascii="宋体" w:hAnsi="宋体" w:cs="宋体"/>
          <w:color w:val="auto"/>
          <w:sz w:val="24"/>
          <w:highlight w:val="none"/>
        </w:rPr>
      </w:pPr>
      <w:r>
        <w:rPr>
          <w:rFonts w:hint="eastAsia" w:ascii="宋体" w:hAnsi="宋体" w:cs="宋体"/>
          <w:color w:val="auto"/>
          <w:sz w:val="24"/>
          <w:highlight w:val="none"/>
        </w:rPr>
        <w:t>特此承诺。</w:t>
      </w:r>
    </w:p>
    <w:p w14:paraId="28F3091F">
      <w:pPr>
        <w:spacing w:line="360" w:lineRule="auto"/>
        <w:ind w:firstLine="482" w:firstLineChars="200"/>
        <w:contextualSpacing/>
        <w:jc w:val="left"/>
        <w:rPr>
          <w:rFonts w:ascii="宋体" w:hAnsi="宋体"/>
          <w:b/>
          <w:color w:val="auto"/>
          <w:sz w:val="24"/>
          <w:highlight w:val="none"/>
        </w:rPr>
      </w:pPr>
      <w:r>
        <w:rPr>
          <w:rFonts w:hint="eastAsia" w:ascii="宋体" w:hAnsi="宋体" w:cs="宋体"/>
          <w:b/>
          <w:color w:val="auto"/>
          <w:sz w:val="24"/>
          <w:highlight w:val="none"/>
        </w:rPr>
        <w:t>注：</w:t>
      </w:r>
      <w:r>
        <w:rPr>
          <w:rFonts w:hint="eastAsia" w:ascii="宋体" w:hAnsi="宋体"/>
          <w:b/>
          <w:color w:val="auto"/>
          <w:sz w:val="24"/>
          <w:highlight w:val="none"/>
        </w:rPr>
        <w:t>如为联合体竞标，盖章处须加盖联合体牵头人电子签章并由联合体牵头人法定代表人分别签字或者盖章或者电子签名，否则响应文件按无效处理。</w:t>
      </w:r>
    </w:p>
    <w:p w14:paraId="52083108">
      <w:pPr>
        <w:spacing w:line="360" w:lineRule="auto"/>
        <w:contextualSpacing/>
        <w:jc w:val="left"/>
        <w:rPr>
          <w:rFonts w:ascii="宋体" w:hAnsi="宋体" w:cs="宋体"/>
          <w:color w:val="auto"/>
          <w:szCs w:val="21"/>
          <w:highlight w:val="none"/>
        </w:rPr>
      </w:pPr>
    </w:p>
    <w:p w14:paraId="72EC346E">
      <w:pPr>
        <w:spacing w:line="360" w:lineRule="auto"/>
        <w:ind w:firstLine="1575" w:firstLineChars="750"/>
        <w:contextualSpacing/>
        <w:rPr>
          <w:color w:val="auto"/>
          <w:highlight w:val="none"/>
        </w:rPr>
      </w:pPr>
      <w:r>
        <w:rPr>
          <w:rFonts w:hint="eastAsia"/>
          <w:color w:val="auto"/>
          <w:highlight w:val="none"/>
        </w:rPr>
        <w:t>法定代表人（</w:t>
      </w:r>
      <w:r>
        <w:rPr>
          <w:rFonts w:hint="eastAsia" w:ascii="宋体" w:hAnsi="宋体"/>
          <w:color w:val="auto"/>
          <w:sz w:val="24"/>
          <w:highlight w:val="none"/>
        </w:rPr>
        <w:t>签字或者盖章或者电子签名</w:t>
      </w:r>
      <w:r>
        <w:rPr>
          <w:rFonts w:hint="eastAsia"/>
          <w:color w:val="auto"/>
          <w:highlight w:val="none"/>
        </w:rPr>
        <w:t>）：</w:t>
      </w:r>
    </w:p>
    <w:p w14:paraId="1BAD436C">
      <w:pPr>
        <w:spacing w:line="360" w:lineRule="auto"/>
        <w:ind w:firstLine="3780" w:firstLineChars="1800"/>
        <w:contextualSpacing/>
        <w:rPr>
          <w:rFonts w:ascii="宋体" w:hAnsi="宋体" w:cs="宋体"/>
          <w:color w:val="auto"/>
          <w:szCs w:val="21"/>
          <w:highlight w:val="none"/>
          <w:u w:val="single"/>
        </w:rPr>
      </w:pPr>
      <w:r>
        <w:rPr>
          <w:rFonts w:hint="eastAsia"/>
          <w:color w:val="auto"/>
          <w:highlight w:val="none"/>
        </w:rPr>
        <w:t>供应商（电子签章）：</w:t>
      </w:r>
    </w:p>
    <w:p w14:paraId="7FC78A72">
      <w:pPr>
        <w:pStyle w:val="24"/>
        <w:tabs>
          <w:tab w:val="left" w:pos="939"/>
        </w:tabs>
        <w:spacing w:line="360" w:lineRule="auto"/>
        <w:ind w:left="0" w:leftChars="0" w:firstLine="420" w:firstLineChars="200"/>
        <w:jc w:val="right"/>
        <w:rPr>
          <w:color w:val="auto"/>
          <w:sz w:val="24"/>
          <w:highlight w:val="none"/>
        </w:rPr>
      </w:pPr>
      <w:r>
        <w:rPr>
          <w:rFonts w:hint="eastAsia"/>
          <w:color w:val="auto"/>
          <w:highlight w:val="none"/>
          <w:u w:val="single"/>
        </w:rPr>
        <w:t xml:space="preserve">    年  月  日</w:t>
      </w:r>
    </w:p>
    <w:p w14:paraId="71174953">
      <w:pPr>
        <w:pStyle w:val="7"/>
        <w:overflowPunct w:val="0"/>
        <w:spacing w:line="520" w:lineRule="exact"/>
        <w:ind w:firstLine="0"/>
        <w:jc w:val="center"/>
        <w:rPr>
          <w:rFonts w:ascii="宋体" w:hAnsi="宋体" w:cs="方正小标宋简体"/>
          <w:b/>
          <w:color w:val="auto"/>
          <w:sz w:val="32"/>
          <w:szCs w:val="32"/>
          <w:highlight w:val="none"/>
        </w:rPr>
      </w:pPr>
      <w:r>
        <w:rPr>
          <w:rFonts w:hint="eastAsia"/>
          <w:color w:val="auto"/>
          <w:sz w:val="24"/>
          <w:highlight w:val="none"/>
        </w:rPr>
        <w:br w:type="page"/>
      </w:r>
      <w:r>
        <w:rPr>
          <w:rFonts w:hint="eastAsia" w:ascii="宋体" w:hAnsi="宋体" w:cs="方正小标宋简体"/>
          <w:b/>
          <w:color w:val="auto"/>
          <w:sz w:val="32"/>
          <w:szCs w:val="32"/>
          <w:highlight w:val="none"/>
        </w:rPr>
        <w:t>联合体竞标协议书</w:t>
      </w:r>
    </w:p>
    <w:p w14:paraId="65CA5A87">
      <w:pPr>
        <w:pStyle w:val="7"/>
        <w:overflowPunct w:val="0"/>
        <w:spacing w:line="360" w:lineRule="auto"/>
        <w:ind w:firstLine="0"/>
        <w:rPr>
          <w:rFonts w:ascii="宋体" w:hAnsi="宋体"/>
          <w:color w:val="auto"/>
          <w:sz w:val="24"/>
          <w:szCs w:val="24"/>
          <w:highlight w:val="none"/>
        </w:rPr>
      </w:pPr>
    </w:p>
    <w:p w14:paraId="6DFFD68F">
      <w:pPr>
        <w:pStyle w:val="7"/>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u w:val="single"/>
        </w:rPr>
        <w:t xml:space="preserve">      （所有成员单位名称）</w:t>
      </w:r>
      <w:r>
        <w:rPr>
          <w:rFonts w:hint="eastAsia" w:ascii="宋体" w:hAnsi="宋体" w:cs="仿宋_GB2312"/>
          <w:color w:val="auto"/>
          <w:sz w:val="24"/>
          <w:szCs w:val="24"/>
          <w:highlight w:val="none"/>
        </w:rPr>
        <w:t>自愿组成</w:t>
      </w:r>
      <w:r>
        <w:rPr>
          <w:rFonts w:hint="eastAsia" w:ascii="宋体" w:hAnsi="宋体" w:cs="仿宋_GB2312"/>
          <w:color w:val="auto"/>
          <w:sz w:val="24"/>
          <w:szCs w:val="24"/>
          <w:highlight w:val="none"/>
          <w:u w:val="single"/>
        </w:rPr>
        <w:t xml:space="preserve">      （联合体名称）</w:t>
      </w:r>
      <w:r>
        <w:rPr>
          <w:rFonts w:hint="eastAsia" w:ascii="宋体" w:hAnsi="宋体" w:cs="仿宋_GB2312"/>
          <w:color w:val="auto"/>
          <w:sz w:val="24"/>
          <w:szCs w:val="24"/>
          <w:highlight w:val="none"/>
        </w:rPr>
        <w:t>联合体，共同参加</w:t>
      </w:r>
      <w:r>
        <w:rPr>
          <w:rFonts w:hint="eastAsia" w:ascii="宋体" w:hAnsi="宋体" w:cs="仿宋_GB2312"/>
          <w:color w:val="auto"/>
          <w:sz w:val="24"/>
          <w:szCs w:val="24"/>
          <w:highlight w:val="none"/>
          <w:u w:val="single"/>
        </w:rPr>
        <w:t xml:space="preserve">      （项目名称）</w:t>
      </w:r>
      <w:r>
        <w:rPr>
          <w:rFonts w:hint="eastAsia" w:ascii="宋体" w:hAnsi="宋体" w:cs="宋体"/>
          <w:color w:val="auto"/>
          <w:sz w:val="24"/>
          <w:highlight w:val="none"/>
          <w:u w:val="single"/>
        </w:rPr>
        <w:t>（项目编号）</w:t>
      </w:r>
      <w:r>
        <w:rPr>
          <w:rFonts w:hint="eastAsia" w:ascii="宋体" w:hAnsi="宋体" w:cs="仿宋_GB2312"/>
          <w:color w:val="auto"/>
          <w:sz w:val="24"/>
          <w:szCs w:val="24"/>
          <w:highlight w:val="none"/>
        </w:rPr>
        <w:t>采购项目竞标。现就联合体竞标事宜订立如下协议。</w:t>
      </w:r>
    </w:p>
    <w:p w14:paraId="1F9229AB">
      <w:pPr>
        <w:pStyle w:val="7"/>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1.</w:t>
      </w:r>
      <w:r>
        <w:rPr>
          <w:rFonts w:hint="eastAsia" w:ascii="宋体" w:hAnsi="宋体" w:cs="仿宋_GB2312"/>
          <w:color w:val="auto"/>
          <w:sz w:val="24"/>
          <w:szCs w:val="24"/>
          <w:highlight w:val="none"/>
          <w:u w:val="single"/>
        </w:rPr>
        <w:tab/>
      </w:r>
      <w:r>
        <w:rPr>
          <w:rFonts w:hint="eastAsia" w:ascii="宋体" w:hAnsi="宋体" w:cs="仿宋_GB2312"/>
          <w:color w:val="auto"/>
          <w:sz w:val="24"/>
          <w:szCs w:val="24"/>
          <w:highlight w:val="none"/>
          <w:u w:val="single"/>
        </w:rPr>
        <w:t xml:space="preserve">   （某成员单位名称）</w:t>
      </w:r>
      <w:r>
        <w:rPr>
          <w:rFonts w:hint="eastAsia" w:ascii="宋体" w:hAnsi="宋体" w:cs="仿宋_GB2312"/>
          <w:color w:val="auto"/>
          <w:sz w:val="24"/>
          <w:szCs w:val="24"/>
          <w:highlight w:val="none"/>
        </w:rPr>
        <w:t>为</w:t>
      </w:r>
      <w:r>
        <w:rPr>
          <w:rFonts w:hint="eastAsia" w:ascii="宋体" w:hAnsi="宋体" w:cs="仿宋_GB2312"/>
          <w:color w:val="auto"/>
          <w:sz w:val="24"/>
          <w:szCs w:val="24"/>
          <w:highlight w:val="none"/>
          <w:u w:val="single"/>
        </w:rPr>
        <w:t xml:space="preserve">     （联合体名称）</w:t>
      </w:r>
      <w:r>
        <w:rPr>
          <w:rFonts w:hint="eastAsia" w:ascii="宋体" w:hAnsi="宋体" w:cs="仿宋_GB2312"/>
          <w:color w:val="auto"/>
          <w:sz w:val="24"/>
          <w:szCs w:val="24"/>
          <w:highlight w:val="none"/>
        </w:rPr>
        <w:t>牵头人。</w:t>
      </w:r>
    </w:p>
    <w:p w14:paraId="1ECFB7E8">
      <w:pPr>
        <w:pStyle w:val="7"/>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2.联合体各成员授权牵头人代表联合体参加竞标活动，签署文件及对文件的盖章，提交和接收相关的资料、信息及指示，进行合同磋商活动，负责合同实施阶段的组织和协调工作，以及处理与本竞标项目有关的一切事宜。</w:t>
      </w:r>
    </w:p>
    <w:p w14:paraId="7D59E019">
      <w:pPr>
        <w:pStyle w:val="7"/>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3.联合体牵头人在本项目中签署和盖章的一切文件和处理的一切事宜，联合体各成员均予以承认。联合体各成员将严格按照磋商文件、响应文件和合同的要求全面履行义务，并向采购人承担连带责任。</w:t>
      </w:r>
    </w:p>
    <w:p w14:paraId="187E1C7C">
      <w:pPr>
        <w:pStyle w:val="7"/>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4.联合体各成员单位内部的职责分工如下</w:t>
      </w:r>
      <w:r>
        <w:rPr>
          <w:rFonts w:hint="eastAsia" w:ascii="宋体" w:hAnsi="宋体" w:cs="仿宋_GB2312"/>
          <w:color w:val="auto"/>
          <w:sz w:val="24"/>
          <w:szCs w:val="24"/>
          <w:highlight w:val="none"/>
          <w:u w:val="single"/>
        </w:rPr>
        <w:t>：             。</w:t>
      </w:r>
    </w:p>
    <w:p w14:paraId="7F28AA6B">
      <w:pPr>
        <w:pStyle w:val="7"/>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5.本</w:t>
      </w:r>
      <w:r>
        <w:rPr>
          <w:rFonts w:hint="eastAsia" w:ascii="宋体" w:hAnsi="宋体" w:cs="仿宋_GB2312"/>
          <w:color w:val="auto"/>
          <w:spacing w:val="-6"/>
          <w:sz w:val="24"/>
          <w:szCs w:val="24"/>
          <w:highlight w:val="none"/>
        </w:rPr>
        <w:t>协议书自所有成员单位法定代表人或者其委托代理人签字或</w:t>
      </w:r>
      <w:r>
        <w:rPr>
          <w:rFonts w:hint="eastAsia" w:ascii="宋体" w:hAnsi="宋体" w:cs="仿宋_GB2312"/>
          <w:color w:val="auto"/>
          <w:spacing w:val="-6"/>
          <w:sz w:val="24"/>
          <w:szCs w:val="24"/>
          <w:highlight w:val="none"/>
          <w:lang w:eastAsia="zh-CN"/>
        </w:rPr>
        <w:t>者加</w:t>
      </w:r>
      <w:r>
        <w:rPr>
          <w:rFonts w:hint="eastAsia" w:ascii="宋体" w:hAnsi="宋体" w:cs="仿宋_GB2312"/>
          <w:color w:val="auto"/>
          <w:spacing w:val="-6"/>
          <w:sz w:val="24"/>
          <w:szCs w:val="24"/>
          <w:highlight w:val="none"/>
        </w:rPr>
        <w:t>盖单</w:t>
      </w:r>
      <w:r>
        <w:rPr>
          <w:rFonts w:hint="eastAsia" w:ascii="宋体" w:hAnsi="宋体" w:cs="仿宋_GB2312"/>
          <w:color w:val="auto"/>
          <w:spacing w:val="-6"/>
          <w:sz w:val="24"/>
          <w:szCs w:val="24"/>
          <w:highlight w:val="none"/>
          <w:lang w:eastAsia="zh-CN"/>
        </w:rPr>
        <w:t>位公</w:t>
      </w:r>
      <w:r>
        <w:rPr>
          <w:rFonts w:hint="eastAsia" w:ascii="宋体" w:hAnsi="宋体" w:cs="仿宋_GB2312"/>
          <w:color w:val="auto"/>
          <w:spacing w:val="-6"/>
          <w:sz w:val="24"/>
          <w:szCs w:val="24"/>
          <w:highlight w:val="none"/>
        </w:rPr>
        <w:t>章之日起生效，合同履行完毕后自动失效。</w:t>
      </w:r>
    </w:p>
    <w:p w14:paraId="590422AD">
      <w:pPr>
        <w:pStyle w:val="7"/>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6.本协议书一式</w:t>
      </w:r>
      <w:r>
        <w:rPr>
          <w:rFonts w:hint="eastAsia" w:ascii="宋体" w:hAnsi="宋体" w:cs="仿宋_GB2312"/>
          <w:color w:val="auto"/>
          <w:sz w:val="24"/>
          <w:szCs w:val="24"/>
          <w:highlight w:val="none"/>
          <w:u w:val="single"/>
        </w:rPr>
        <w:tab/>
      </w:r>
      <w:r>
        <w:rPr>
          <w:rFonts w:hint="eastAsia" w:ascii="宋体" w:hAnsi="宋体" w:cs="仿宋_GB2312"/>
          <w:color w:val="auto"/>
          <w:sz w:val="24"/>
          <w:szCs w:val="24"/>
          <w:highlight w:val="none"/>
        </w:rPr>
        <w:t>份，联合体成员和采购人各执一份。</w:t>
      </w:r>
    </w:p>
    <w:p w14:paraId="0B83F363">
      <w:pPr>
        <w:pStyle w:val="7"/>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注：本协议书应附法定代表人身份证明书；有委托代理的，应附权委托书（格式自拟）。</w:t>
      </w:r>
    </w:p>
    <w:p w14:paraId="21422829">
      <w:pPr>
        <w:pStyle w:val="7"/>
        <w:overflowPunct w:val="0"/>
        <w:spacing w:line="360" w:lineRule="auto"/>
        <w:ind w:firstLineChars="175"/>
        <w:contextualSpacing/>
        <w:rPr>
          <w:rFonts w:ascii="宋体" w:hAnsi="宋体" w:cs="仿宋_GB2312"/>
          <w:color w:val="auto"/>
          <w:sz w:val="24"/>
          <w:szCs w:val="24"/>
          <w:highlight w:val="none"/>
        </w:rPr>
      </w:pPr>
    </w:p>
    <w:p w14:paraId="261E2BDD">
      <w:pPr>
        <w:pStyle w:val="7"/>
        <w:overflowPunct w:val="0"/>
        <w:spacing w:line="360" w:lineRule="auto"/>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联合体牵头人名称（电子签章）：</w:t>
      </w:r>
    </w:p>
    <w:p w14:paraId="3195E45F">
      <w:pPr>
        <w:pStyle w:val="7"/>
        <w:overflowPunct w:val="0"/>
        <w:spacing w:line="360" w:lineRule="auto"/>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法定代表人或者其委托代理人（签字或者电子签名）：</w:t>
      </w:r>
    </w:p>
    <w:p w14:paraId="2F6ECB37">
      <w:pPr>
        <w:pStyle w:val="7"/>
        <w:overflowPunct w:val="0"/>
        <w:spacing w:line="360" w:lineRule="auto"/>
        <w:ind w:firstLine="0"/>
        <w:contextualSpacing/>
        <w:rPr>
          <w:rFonts w:ascii="宋体" w:hAnsi="宋体" w:cs="仿宋_GB2312"/>
          <w:color w:val="auto"/>
          <w:sz w:val="24"/>
          <w:szCs w:val="24"/>
          <w:highlight w:val="none"/>
        </w:rPr>
      </w:pPr>
    </w:p>
    <w:p w14:paraId="77717D4B">
      <w:pPr>
        <w:pStyle w:val="7"/>
        <w:overflowPunct w:val="0"/>
        <w:spacing w:line="360" w:lineRule="auto"/>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联合体成员名称（盖公章或者电子签章）：</w:t>
      </w:r>
    </w:p>
    <w:p w14:paraId="2E0C7088">
      <w:pPr>
        <w:pStyle w:val="7"/>
        <w:overflowPunct w:val="0"/>
        <w:spacing w:line="360" w:lineRule="auto"/>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法定代表人或者其委托代理人（签字或者电子签名）：</w:t>
      </w:r>
    </w:p>
    <w:p w14:paraId="54F45FFB">
      <w:pPr>
        <w:pStyle w:val="7"/>
        <w:overflowPunct w:val="0"/>
        <w:spacing w:line="360" w:lineRule="auto"/>
        <w:ind w:firstLine="0"/>
        <w:contextualSpacing/>
        <w:rPr>
          <w:rFonts w:ascii="宋体" w:hAnsi="宋体" w:cs="仿宋_GB2312"/>
          <w:color w:val="auto"/>
          <w:sz w:val="24"/>
          <w:szCs w:val="24"/>
          <w:highlight w:val="none"/>
        </w:rPr>
      </w:pPr>
    </w:p>
    <w:p w14:paraId="70474269">
      <w:pPr>
        <w:pStyle w:val="7"/>
        <w:overflowPunct w:val="0"/>
        <w:spacing w:line="360" w:lineRule="auto"/>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联合体成员名称（盖公章或者电子签章）：</w:t>
      </w:r>
    </w:p>
    <w:p w14:paraId="20FA1AB7">
      <w:pPr>
        <w:pStyle w:val="7"/>
        <w:overflowPunct w:val="0"/>
        <w:spacing w:line="360" w:lineRule="auto"/>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法定代表人或者其委托代理人（签字或者电子签名）：</w:t>
      </w:r>
    </w:p>
    <w:p w14:paraId="2E73F087">
      <w:pPr>
        <w:pStyle w:val="7"/>
        <w:overflowPunct w:val="0"/>
        <w:spacing w:line="360" w:lineRule="auto"/>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w:t>
      </w:r>
    </w:p>
    <w:p w14:paraId="7EE215FD">
      <w:pPr>
        <w:spacing w:line="360" w:lineRule="auto"/>
        <w:ind w:right="480" w:firstLine="240" w:firstLineChars="100"/>
        <w:contextualSpacing/>
        <w:jc w:val="center"/>
        <w:rPr>
          <w:rFonts w:ascii="宋体" w:hAnsi="宋体" w:cs="仿宋_GB2312"/>
          <w:color w:val="auto"/>
          <w:sz w:val="24"/>
          <w:highlight w:val="none"/>
        </w:rPr>
      </w:pPr>
    </w:p>
    <w:p w14:paraId="6F530717">
      <w:pPr>
        <w:spacing w:line="360" w:lineRule="auto"/>
        <w:ind w:firstLine="240" w:firstLineChars="100"/>
        <w:contextualSpacing/>
        <w:jc w:val="center"/>
        <w:rPr>
          <w:rFonts w:ascii="宋体" w:hAnsi="宋体"/>
          <w:b/>
          <w:color w:val="auto"/>
          <w:sz w:val="32"/>
          <w:szCs w:val="32"/>
          <w:highlight w:val="none"/>
        </w:rPr>
      </w:pPr>
      <w:r>
        <w:rPr>
          <w:rFonts w:hint="eastAsia" w:ascii="宋体" w:hAnsi="宋体" w:cs="仿宋_GB2312"/>
          <w:color w:val="auto"/>
          <w:sz w:val="24"/>
          <w:highlight w:val="none"/>
        </w:rPr>
        <w:t xml:space="preserve">                                        日期：    年   月   日</w:t>
      </w:r>
      <w:r>
        <w:rPr>
          <w:rFonts w:ascii="宋体" w:hAnsi="宋体"/>
          <w:b/>
          <w:bCs/>
          <w:color w:val="auto"/>
          <w:sz w:val="32"/>
          <w:szCs w:val="32"/>
          <w:highlight w:val="none"/>
        </w:rPr>
        <w:br w:type="page"/>
      </w:r>
      <w:r>
        <w:rPr>
          <w:rFonts w:hint="eastAsia" w:ascii="宋体" w:hAnsi="宋体"/>
          <w:b/>
          <w:bCs/>
          <w:color w:val="auto"/>
          <w:sz w:val="32"/>
          <w:szCs w:val="32"/>
          <w:highlight w:val="none"/>
        </w:rPr>
        <w:t>二、</w:t>
      </w:r>
      <w:r>
        <w:rPr>
          <w:rFonts w:hint="eastAsia" w:ascii="宋体" w:hAnsi="宋体"/>
          <w:b/>
          <w:color w:val="auto"/>
          <w:sz w:val="32"/>
          <w:szCs w:val="32"/>
          <w:highlight w:val="none"/>
        </w:rPr>
        <w:t xml:space="preserve">报价文件格式 </w:t>
      </w:r>
    </w:p>
    <w:p w14:paraId="5283CB1B">
      <w:pPr>
        <w:snapToGrid w:val="0"/>
        <w:spacing w:before="120" w:beforeLines="50" w:after="50" w:line="360" w:lineRule="auto"/>
        <w:jc w:val="left"/>
        <w:rPr>
          <w:rFonts w:ascii="宋体" w:hAnsi="宋体"/>
          <w:b/>
          <w:color w:val="auto"/>
          <w:sz w:val="32"/>
          <w:szCs w:val="32"/>
          <w:highlight w:val="none"/>
        </w:rPr>
      </w:pPr>
      <w:r>
        <w:rPr>
          <w:rFonts w:hint="eastAsia" w:ascii="宋体" w:hAnsi="宋体"/>
          <w:b/>
          <w:color w:val="auto"/>
          <w:sz w:val="32"/>
          <w:szCs w:val="32"/>
          <w:highlight w:val="none"/>
        </w:rPr>
        <w:t>1.报价文件封面格式</w:t>
      </w:r>
    </w:p>
    <w:p w14:paraId="129C9E51">
      <w:pPr>
        <w:snapToGrid w:val="0"/>
        <w:spacing w:before="120" w:beforeLines="50" w:after="50"/>
        <w:rPr>
          <w:rFonts w:ascii="宋体" w:hAnsi="宋体"/>
          <w:bCs/>
          <w:color w:val="auto"/>
          <w:sz w:val="32"/>
          <w:szCs w:val="20"/>
          <w:highlight w:val="none"/>
        </w:rPr>
      </w:pPr>
    </w:p>
    <w:p w14:paraId="62C382B7">
      <w:pPr>
        <w:snapToGrid w:val="0"/>
        <w:spacing w:before="120" w:beforeLines="50" w:after="50"/>
        <w:jc w:val="center"/>
        <w:rPr>
          <w:rFonts w:ascii="宋体" w:hAnsi="宋体"/>
          <w:color w:val="auto"/>
          <w:sz w:val="24"/>
          <w:szCs w:val="20"/>
          <w:highlight w:val="none"/>
        </w:rPr>
      </w:pPr>
      <w:r>
        <w:rPr>
          <w:rFonts w:hint="eastAsia" w:ascii="宋体" w:hAnsi="宋体"/>
          <w:color w:val="auto"/>
          <w:sz w:val="44"/>
          <w:szCs w:val="44"/>
          <w:highlight w:val="none"/>
        </w:rPr>
        <w:t>电 子 响 应 文 件</w:t>
      </w:r>
    </w:p>
    <w:p w14:paraId="159FFB6F">
      <w:pPr>
        <w:snapToGrid w:val="0"/>
        <w:spacing w:before="120" w:beforeLines="50" w:after="50"/>
        <w:rPr>
          <w:rFonts w:ascii="宋体" w:hAnsi="宋体"/>
          <w:color w:val="auto"/>
          <w:sz w:val="24"/>
          <w:szCs w:val="20"/>
          <w:highlight w:val="none"/>
        </w:rPr>
      </w:pPr>
    </w:p>
    <w:p w14:paraId="2AB38467">
      <w:pPr>
        <w:snapToGrid w:val="0"/>
        <w:spacing w:before="120" w:beforeLines="50" w:after="50"/>
        <w:rPr>
          <w:rFonts w:ascii="宋体" w:hAnsi="宋体"/>
          <w:color w:val="auto"/>
          <w:sz w:val="24"/>
          <w:szCs w:val="20"/>
          <w:highlight w:val="none"/>
        </w:rPr>
      </w:pPr>
    </w:p>
    <w:p w14:paraId="31BBA66A">
      <w:pPr>
        <w:snapToGrid w:val="0"/>
        <w:spacing w:before="120"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报  价  文  件</w:t>
      </w:r>
    </w:p>
    <w:p w14:paraId="3AE1AAC6">
      <w:pPr>
        <w:snapToGrid w:val="0"/>
        <w:spacing w:before="120" w:beforeLines="50" w:after="50"/>
        <w:rPr>
          <w:rFonts w:ascii="宋体" w:hAnsi="宋体"/>
          <w:bCs/>
          <w:color w:val="auto"/>
          <w:sz w:val="24"/>
          <w:szCs w:val="20"/>
          <w:highlight w:val="none"/>
        </w:rPr>
      </w:pPr>
    </w:p>
    <w:p w14:paraId="6E183FCF">
      <w:pPr>
        <w:snapToGrid w:val="0"/>
        <w:spacing w:before="120" w:beforeLines="50" w:after="50"/>
        <w:rPr>
          <w:rFonts w:ascii="宋体" w:hAnsi="宋体"/>
          <w:bCs/>
          <w:color w:val="auto"/>
          <w:sz w:val="24"/>
          <w:szCs w:val="20"/>
          <w:highlight w:val="none"/>
        </w:rPr>
      </w:pPr>
    </w:p>
    <w:p w14:paraId="604B6A21">
      <w:pPr>
        <w:snapToGrid w:val="0"/>
        <w:spacing w:before="120" w:beforeLines="50" w:after="50"/>
        <w:rPr>
          <w:rFonts w:ascii="宋体" w:hAnsi="宋体"/>
          <w:bCs/>
          <w:color w:val="auto"/>
          <w:sz w:val="24"/>
          <w:szCs w:val="20"/>
          <w:highlight w:val="none"/>
        </w:rPr>
      </w:pPr>
    </w:p>
    <w:p w14:paraId="4C834D08">
      <w:pPr>
        <w:snapToGrid w:val="0"/>
        <w:spacing w:before="120" w:beforeLines="50" w:after="50"/>
        <w:rPr>
          <w:rFonts w:ascii="宋体" w:hAnsi="宋体"/>
          <w:bCs/>
          <w:color w:val="auto"/>
          <w:sz w:val="24"/>
          <w:szCs w:val="20"/>
          <w:highlight w:val="none"/>
        </w:rPr>
      </w:pPr>
    </w:p>
    <w:p w14:paraId="03777C29">
      <w:pPr>
        <w:snapToGrid w:val="0"/>
        <w:spacing w:before="120" w:beforeLines="50" w:after="50"/>
        <w:rPr>
          <w:rFonts w:ascii="宋体" w:hAnsi="宋体"/>
          <w:bCs/>
          <w:color w:val="auto"/>
          <w:sz w:val="24"/>
          <w:szCs w:val="20"/>
          <w:highlight w:val="none"/>
        </w:rPr>
      </w:pPr>
    </w:p>
    <w:p w14:paraId="6E55DBC5">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2C9A3A16">
      <w:pPr>
        <w:snapToGrid w:val="0"/>
        <w:spacing w:before="120" w:beforeLines="50" w:after="50"/>
        <w:ind w:firstLine="720" w:firstLineChars="225"/>
        <w:rPr>
          <w:rFonts w:ascii="宋体" w:hAnsi="宋体" w:cs="仿宋_GB2312"/>
          <w:bCs/>
          <w:color w:val="auto"/>
          <w:sz w:val="32"/>
          <w:szCs w:val="32"/>
          <w:highlight w:val="none"/>
        </w:rPr>
      </w:pPr>
    </w:p>
    <w:p w14:paraId="6E29BF03">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2196BE25">
      <w:pPr>
        <w:snapToGrid w:val="0"/>
        <w:spacing w:before="120" w:beforeLines="50" w:after="50"/>
        <w:ind w:firstLine="720" w:firstLineChars="225"/>
        <w:rPr>
          <w:rFonts w:ascii="宋体" w:hAnsi="宋体" w:cs="仿宋_GB2312"/>
          <w:bCs/>
          <w:color w:val="auto"/>
          <w:sz w:val="32"/>
          <w:szCs w:val="32"/>
          <w:highlight w:val="none"/>
        </w:rPr>
      </w:pPr>
    </w:p>
    <w:p w14:paraId="69D3139E">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6266D279">
      <w:pPr>
        <w:snapToGrid w:val="0"/>
        <w:spacing w:before="120" w:beforeLines="50" w:after="50"/>
        <w:ind w:firstLine="720" w:firstLineChars="225"/>
        <w:rPr>
          <w:rFonts w:ascii="宋体" w:hAnsi="宋体" w:cs="仿宋_GB2312"/>
          <w:bCs/>
          <w:color w:val="auto"/>
          <w:sz w:val="32"/>
          <w:szCs w:val="32"/>
          <w:highlight w:val="none"/>
        </w:rPr>
      </w:pPr>
    </w:p>
    <w:p w14:paraId="42DB14E6">
      <w:pPr>
        <w:pStyle w:val="7"/>
        <w:snapToGrid w:val="0"/>
        <w:spacing w:before="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56511D44">
      <w:pPr>
        <w:pStyle w:val="7"/>
        <w:snapToGrid w:val="0"/>
        <w:spacing w:before="50" w:after="50"/>
        <w:ind w:firstLine="640" w:firstLineChars="200"/>
        <w:rPr>
          <w:rFonts w:ascii="宋体" w:hAnsi="宋体" w:cs="仿宋_GB2312"/>
          <w:bCs/>
          <w:color w:val="auto"/>
          <w:sz w:val="32"/>
          <w:szCs w:val="32"/>
          <w:highlight w:val="none"/>
        </w:rPr>
      </w:pPr>
    </w:p>
    <w:p w14:paraId="062477A9">
      <w:pPr>
        <w:pStyle w:val="7"/>
        <w:snapToGrid w:val="0"/>
        <w:spacing w:before="50" w:after="50"/>
        <w:ind w:firstLine="720" w:firstLineChars="225"/>
        <w:rPr>
          <w:rFonts w:ascii="宋体" w:hAnsi="宋体" w:cs="仿宋_GB2312"/>
          <w:bCs/>
          <w:color w:val="auto"/>
          <w:sz w:val="32"/>
          <w:szCs w:val="32"/>
          <w:highlight w:val="none"/>
        </w:rPr>
      </w:pPr>
    </w:p>
    <w:p w14:paraId="3D1E6ED9">
      <w:pPr>
        <w:pStyle w:val="7"/>
        <w:snapToGrid w:val="0"/>
        <w:spacing w:before="50" w:after="50"/>
        <w:ind w:firstLine="0"/>
        <w:rPr>
          <w:rFonts w:ascii="宋体" w:hAnsi="宋体" w:cs="仿宋_GB2312"/>
          <w:bCs/>
          <w:color w:val="auto"/>
          <w:sz w:val="32"/>
          <w:szCs w:val="32"/>
          <w:highlight w:val="none"/>
        </w:rPr>
      </w:pPr>
    </w:p>
    <w:p w14:paraId="7C138B3C">
      <w:pPr>
        <w:pStyle w:val="7"/>
        <w:snapToGrid w:val="0"/>
        <w:spacing w:before="50" w:after="50"/>
        <w:ind w:firstLine="1280" w:firstLineChars="400"/>
        <w:rPr>
          <w:rFonts w:ascii="宋体" w:hAnsi="宋体" w:cs="仿宋_GB2312"/>
          <w:bCs/>
          <w:color w:val="auto"/>
          <w:sz w:val="32"/>
          <w:szCs w:val="32"/>
          <w:highlight w:val="none"/>
        </w:rPr>
      </w:pPr>
    </w:p>
    <w:p w14:paraId="66877FCF">
      <w:pPr>
        <w:snapToGrid w:val="0"/>
        <w:spacing w:before="120"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3551C86C">
      <w:pPr>
        <w:snapToGrid w:val="0"/>
        <w:spacing w:before="120" w:beforeLines="50" w:after="50" w:line="360" w:lineRule="auto"/>
        <w:ind w:left="142"/>
        <w:jc w:val="left"/>
        <w:rPr>
          <w:rFonts w:ascii="宋体" w:hAnsi="宋体"/>
          <w:b/>
          <w:bCs/>
          <w:color w:val="auto"/>
          <w:sz w:val="24"/>
          <w:highlight w:val="none"/>
        </w:rPr>
      </w:pPr>
      <w:r>
        <w:rPr>
          <w:rFonts w:hint="eastAsia" w:ascii="宋体" w:hAnsi="宋体"/>
          <w:color w:val="auto"/>
          <w:szCs w:val="21"/>
          <w:highlight w:val="none"/>
        </w:rPr>
        <w:br w:type="page"/>
      </w:r>
      <w:r>
        <w:rPr>
          <w:rFonts w:hint="eastAsia" w:ascii="宋体" w:hAnsi="宋体"/>
          <w:b/>
          <w:bCs/>
          <w:color w:val="auto"/>
          <w:sz w:val="32"/>
          <w:szCs w:val="32"/>
          <w:highlight w:val="none"/>
        </w:rPr>
        <w:t>2.报价文件目录</w:t>
      </w:r>
    </w:p>
    <w:p w14:paraId="72590C2A">
      <w:pPr>
        <w:spacing w:line="520" w:lineRule="exact"/>
        <w:jc w:val="center"/>
        <w:rPr>
          <w:rFonts w:ascii="宋体" w:hAnsi="宋体" w:cs="方正小标宋简体"/>
          <w:b/>
          <w:bCs/>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r>
        <w:rPr>
          <w:rFonts w:ascii="宋体" w:hAnsi="宋体"/>
          <w:b/>
          <w:bCs/>
          <w:color w:val="auto"/>
          <w:sz w:val="32"/>
          <w:szCs w:val="32"/>
          <w:highlight w:val="none"/>
        </w:rPr>
        <w:br w:type="page"/>
      </w:r>
      <w:r>
        <w:rPr>
          <w:rFonts w:hint="eastAsia" w:ascii="宋体" w:hAnsi="宋体" w:cs="方正小标宋简体"/>
          <w:b/>
          <w:bCs/>
          <w:color w:val="auto"/>
          <w:sz w:val="32"/>
          <w:szCs w:val="32"/>
          <w:highlight w:val="none"/>
        </w:rPr>
        <w:t>竞标函及竞标函附录</w:t>
      </w:r>
    </w:p>
    <w:p w14:paraId="3657EE2A">
      <w:pPr>
        <w:spacing w:line="520" w:lineRule="exact"/>
        <w:jc w:val="center"/>
        <w:rPr>
          <w:rFonts w:ascii="宋体" w:hAnsi="宋体" w:cs="方正小标宋简体"/>
          <w:b/>
          <w:bCs/>
          <w:color w:val="auto"/>
          <w:sz w:val="32"/>
          <w:szCs w:val="32"/>
          <w:highlight w:val="none"/>
        </w:rPr>
      </w:pPr>
    </w:p>
    <w:p w14:paraId="57D64D41">
      <w:pPr>
        <w:spacing w:line="520" w:lineRule="exact"/>
        <w:jc w:val="center"/>
        <w:rPr>
          <w:rFonts w:ascii="宋体" w:hAnsi="宋体" w:cs="方正小标宋简体"/>
          <w:b/>
          <w:bCs/>
          <w:color w:val="auto"/>
          <w:sz w:val="32"/>
          <w:szCs w:val="32"/>
          <w:highlight w:val="none"/>
        </w:rPr>
      </w:pPr>
      <w:r>
        <w:rPr>
          <w:rFonts w:hint="eastAsia" w:ascii="宋体" w:hAnsi="宋体" w:cs="方正小标宋简体"/>
          <w:b/>
          <w:bCs/>
          <w:color w:val="auto"/>
          <w:sz w:val="32"/>
          <w:szCs w:val="32"/>
          <w:highlight w:val="none"/>
        </w:rPr>
        <w:t>（一）竞标函</w:t>
      </w:r>
    </w:p>
    <w:p w14:paraId="279B9007">
      <w:pPr>
        <w:spacing w:line="520" w:lineRule="exact"/>
        <w:jc w:val="center"/>
        <w:rPr>
          <w:rFonts w:ascii="宋体" w:hAnsi="宋体" w:cs="方正小标宋简体"/>
          <w:b/>
          <w:bCs/>
          <w:color w:val="auto"/>
          <w:sz w:val="32"/>
          <w:szCs w:val="32"/>
          <w:highlight w:val="none"/>
        </w:rPr>
      </w:pPr>
    </w:p>
    <w:p w14:paraId="5843D316">
      <w:pPr>
        <w:spacing w:line="360" w:lineRule="auto"/>
        <w:rPr>
          <w:color w:val="auto"/>
          <w:szCs w:val="21"/>
          <w:highlight w:val="none"/>
        </w:rPr>
      </w:pPr>
      <w:r>
        <w:rPr>
          <w:color w:val="auto"/>
          <w:szCs w:val="21"/>
          <w:highlight w:val="none"/>
        </w:rPr>
        <w:t>（</w:t>
      </w:r>
      <w:r>
        <w:rPr>
          <w:rFonts w:hint="eastAsia"/>
          <w:color w:val="auto"/>
          <w:szCs w:val="21"/>
          <w:highlight w:val="none"/>
          <w:lang w:val="zh-CN" w:bidi="zh-CN"/>
        </w:rPr>
        <w:t>采购人</w:t>
      </w:r>
      <w:r>
        <w:rPr>
          <w:color w:val="auto"/>
          <w:szCs w:val="21"/>
          <w:highlight w:val="none"/>
          <w:lang w:val="zh-CN" w:bidi="zh-CN"/>
        </w:rPr>
        <w:t>名称</w:t>
      </w:r>
      <w:r>
        <w:rPr>
          <w:color w:val="auto"/>
          <w:szCs w:val="21"/>
          <w:highlight w:val="none"/>
        </w:rPr>
        <w:t>）：</w:t>
      </w:r>
    </w:p>
    <w:p w14:paraId="4DF3F181">
      <w:pPr>
        <w:pStyle w:val="113"/>
        <w:numPr>
          <w:ilvl w:val="0"/>
          <w:numId w:val="2"/>
        </w:numPr>
        <w:tabs>
          <w:tab w:val="left" w:pos="762"/>
          <w:tab w:val="left" w:pos="2074"/>
          <w:tab w:val="left" w:pos="3430"/>
          <w:tab w:val="left" w:pos="4687"/>
          <w:tab w:val="left" w:pos="7898"/>
        </w:tabs>
        <w:ind w:firstLine="440"/>
        <w:rPr>
          <w:rFonts w:ascii="Times New Roman" w:hAnsi="Times New Roman" w:cs="Times New Roman"/>
          <w:color w:val="auto"/>
          <w:szCs w:val="21"/>
          <w:highlight w:val="none"/>
        </w:rPr>
      </w:pPr>
      <w:bookmarkStart w:id="97" w:name="bookmark2065"/>
      <w:bookmarkEnd w:id="97"/>
      <w:r>
        <w:rPr>
          <w:rFonts w:ascii="Times New Roman" w:hAnsi="Times New Roman" w:cs="Times New Roman"/>
          <w:color w:val="auto"/>
          <w:szCs w:val="21"/>
          <w:highlight w:val="none"/>
        </w:rPr>
        <w:t>我方已仔细研究了</w:t>
      </w:r>
      <w:r>
        <w:rPr>
          <w:rFonts w:ascii="Times New Roman" w:hAnsi="Times New Roman" w:cs="Times New Roman"/>
          <w:color w:val="auto"/>
          <w:szCs w:val="21"/>
          <w:highlight w:val="none"/>
          <w:u w:val="single"/>
        </w:rPr>
        <w:t>（项目名称</w:t>
      </w:r>
      <w:r>
        <w:rPr>
          <w:rFonts w:hint="eastAsia" w:ascii="Times New Roman" w:hAnsi="Times New Roman" w:cs="Times New Roman"/>
          <w:color w:val="auto"/>
          <w:szCs w:val="21"/>
          <w:highlight w:val="none"/>
          <w:u w:val="single"/>
        </w:rPr>
        <w:t>、项目编号</w:t>
      </w:r>
      <w:r>
        <w:rPr>
          <w:rFonts w:ascii="Times New Roman" w:hAnsi="Times New Roman" w:cs="Times New Roman"/>
          <w:color w:val="auto"/>
          <w:szCs w:val="21"/>
          <w:highlight w:val="none"/>
          <w:u w:val="single"/>
        </w:rPr>
        <w:t>）</w:t>
      </w:r>
      <w:r>
        <w:rPr>
          <w:rFonts w:hint="eastAsia" w:ascii="Times New Roman" w:hAnsi="Times New Roman" w:cs="Times New Roman"/>
          <w:color w:val="auto"/>
          <w:szCs w:val="21"/>
          <w:highlight w:val="none"/>
        </w:rPr>
        <w:t>磋商</w:t>
      </w:r>
      <w:r>
        <w:rPr>
          <w:rFonts w:ascii="Times New Roman" w:hAnsi="Times New Roman" w:cs="Times New Roman"/>
          <w:color w:val="auto"/>
          <w:szCs w:val="21"/>
          <w:highlight w:val="none"/>
        </w:rPr>
        <w:t>文件的全部内容，愿意以人民币（大写）</w:t>
      </w:r>
      <w:r>
        <w:rPr>
          <w:rFonts w:hint="eastAsia" w:ascii="Times New Roman" w:hAnsi="Times New Roman" w:cs="Times New Roman"/>
          <w:color w:val="auto"/>
          <w:szCs w:val="21"/>
          <w:highlight w:val="none"/>
          <w:lang w:val="en-US" w:eastAsia="zh-CN"/>
        </w:rPr>
        <w:t xml:space="preserve">       </w:t>
      </w:r>
      <w:r>
        <w:rPr>
          <w:rFonts w:ascii="Times New Roman" w:hAnsi="Times New Roman" w:cs="Times New Roman"/>
          <w:color w:val="auto"/>
          <w:szCs w:val="21"/>
          <w:highlight w:val="none"/>
        </w:rPr>
        <w:t>元（¥</w:t>
      </w:r>
      <w:r>
        <w:rPr>
          <w:rFonts w:hint="eastAsia" w:ascii="Times New Roman" w:hAnsi="Times New Roman" w:cs="Times New Roman"/>
          <w:color w:val="auto"/>
          <w:szCs w:val="21"/>
          <w:highlight w:val="none"/>
          <w:lang w:val="en-US" w:eastAsia="zh-CN"/>
        </w:rPr>
        <w:t xml:space="preserve">            </w:t>
      </w:r>
      <w:r>
        <w:rPr>
          <w:rFonts w:ascii="Times New Roman" w:hAnsi="Times New Roman" w:cs="Times New Roman"/>
          <w:color w:val="auto"/>
          <w:szCs w:val="21"/>
          <w:highlight w:val="none"/>
        </w:rPr>
        <w:t>）的</w:t>
      </w:r>
      <w:r>
        <w:rPr>
          <w:rFonts w:hint="eastAsia" w:ascii="Times New Roman" w:hAnsi="Times New Roman" w:cs="Times New Roman"/>
          <w:color w:val="auto"/>
          <w:szCs w:val="21"/>
          <w:highlight w:val="none"/>
        </w:rPr>
        <w:t>竞</w:t>
      </w:r>
      <w:r>
        <w:rPr>
          <w:rFonts w:ascii="Times New Roman" w:hAnsi="Times New Roman" w:cs="Times New Roman"/>
          <w:color w:val="auto"/>
          <w:szCs w:val="21"/>
          <w:highlight w:val="none"/>
        </w:rPr>
        <w:t>标总报价，工期</w:t>
      </w:r>
      <w:r>
        <w:rPr>
          <w:rFonts w:hint="eastAsia" w:ascii="Times New Roman" w:hAnsi="Times New Roman" w:cs="Times New Roman"/>
          <w:color w:val="auto"/>
          <w:szCs w:val="21"/>
          <w:highlight w:val="none"/>
          <w:lang w:val="en-US" w:eastAsia="zh-CN"/>
        </w:rPr>
        <w:t xml:space="preserve">           </w:t>
      </w:r>
      <w:r>
        <w:rPr>
          <w:rFonts w:ascii="Times New Roman" w:hAnsi="Times New Roman" w:cs="Times New Roman"/>
          <w:color w:val="auto"/>
          <w:szCs w:val="21"/>
          <w:highlight w:val="none"/>
        </w:rPr>
        <w:t>日历天，按合同约定实施和完成承包工程，修补工程中的任何缺陷，工程质量达到</w:t>
      </w:r>
      <w:r>
        <w:rPr>
          <w:rFonts w:hint="eastAsia" w:ascii="Times New Roman" w:hAnsi="Times New Roman" w:cs="Times New Roman"/>
          <w:color w:val="auto"/>
          <w:szCs w:val="21"/>
          <w:highlight w:val="none"/>
        </w:rPr>
        <w:t>标准</w:t>
      </w:r>
      <w:r>
        <w:rPr>
          <w:rFonts w:ascii="Times New Roman" w:hAnsi="Times New Roman" w:cs="Times New Roman"/>
          <w:color w:val="auto"/>
          <w:szCs w:val="21"/>
          <w:highlight w:val="none"/>
          <w:lang w:val="en-US" w:bidi="en-US"/>
        </w:rPr>
        <w:t>。</w:t>
      </w:r>
    </w:p>
    <w:p w14:paraId="5A3D608D">
      <w:pPr>
        <w:pStyle w:val="113"/>
        <w:numPr>
          <w:ilvl w:val="0"/>
          <w:numId w:val="2"/>
        </w:numPr>
        <w:tabs>
          <w:tab w:val="left" w:pos="762"/>
        </w:tabs>
        <w:ind w:firstLine="420"/>
        <w:rPr>
          <w:rFonts w:ascii="Times New Roman" w:hAnsi="Times New Roman" w:cs="Times New Roman"/>
          <w:color w:val="auto"/>
          <w:szCs w:val="21"/>
          <w:highlight w:val="none"/>
        </w:rPr>
      </w:pPr>
      <w:bookmarkStart w:id="98" w:name="bookmark2066"/>
      <w:bookmarkEnd w:id="98"/>
      <w:bookmarkStart w:id="99" w:name="bookmark2067"/>
      <w:bookmarkEnd w:id="99"/>
      <w:bookmarkStart w:id="100" w:name="bookmark2068"/>
      <w:bookmarkEnd w:id="100"/>
      <w:r>
        <w:rPr>
          <w:rFonts w:hint="eastAsia"/>
          <w:color w:val="auto"/>
          <w:highlight w:val="none"/>
        </w:rPr>
        <w:t>我方承认竞标函附录是我方竞标函的组成部分。</w:t>
      </w:r>
    </w:p>
    <w:p w14:paraId="7C69BA65">
      <w:pPr>
        <w:pStyle w:val="113"/>
        <w:numPr>
          <w:ilvl w:val="0"/>
          <w:numId w:val="2"/>
        </w:numPr>
        <w:tabs>
          <w:tab w:val="left" w:pos="762"/>
        </w:tabs>
        <w:ind w:firstLine="420"/>
        <w:rPr>
          <w:rFonts w:ascii="Times New Roman" w:hAnsi="Times New Roman" w:cs="Times New Roman"/>
          <w:color w:val="auto"/>
          <w:szCs w:val="21"/>
          <w:highlight w:val="none"/>
        </w:rPr>
      </w:pPr>
      <w:r>
        <w:rPr>
          <w:rFonts w:ascii="Times New Roman" w:hAnsi="Times New Roman" w:cs="Times New Roman"/>
          <w:color w:val="auto"/>
          <w:szCs w:val="21"/>
          <w:highlight w:val="none"/>
        </w:rPr>
        <w:t>如我方</w:t>
      </w:r>
      <w:r>
        <w:rPr>
          <w:rFonts w:hint="eastAsia" w:ascii="Times New Roman" w:hAnsi="Times New Roman" w:cs="Times New Roman"/>
          <w:color w:val="auto"/>
          <w:szCs w:val="21"/>
          <w:highlight w:val="none"/>
        </w:rPr>
        <w:t>成交</w:t>
      </w:r>
      <w:r>
        <w:rPr>
          <w:rFonts w:ascii="Times New Roman" w:hAnsi="Times New Roman" w:cs="Times New Roman"/>
          <w:color w:val="auto"/>
          <w:szCs w:val="21"/>
          <w:highlight w:val="none"/>
        </w:rPr>
        <w:t>：</w:t>
      </w:r>
    </w:p>
    <w:p w14:paraId="3683403A">
      <w:pPr>
        <w:pStyle w:val="113"/>
        <w:tabs>
          <w:tab w:val="left" w:pos="903"/>
        </w:tabs>
        <w:ind w:firstLine="420"/>
        <w:rPr>
          <w:rFonts w:ascii="Times New Roman" w:hAnsi="Times New Roman" w:cs="Times New Roman"/>
          <w:color w:val="auto"/>
          <w:szCs w:val="21"/>
          <w:highlight w:val="none"/>
        </w:rPr>
      </w:pPr>
      <w:bookmarkStart w:id="101" w:name="bookmark2069"/>
      <w:r>
        <w:rPr>
          <w:rFonts w:ascii="Times New Roman" w:hAnsi="Times New Roman" w:cs="Times New Roman"/>
          <w:color w:val="auto"/>
          <w:szCs w:val="21"/>
          <w:highlight w:val="none"/>
        </w:rPr>
        <w:t>（</w:t>
      </w:r>
      <w:bookmarkEnd w:id="101"/>
      <w:r>
        <w:rPr>
          <w:rFonts w:ascii="Times New Roman" w:hAnsi="Times New Roman" w:cs="Times New Roman"/>
          <w:color w:val="auto"/>
          <w:szCs w:val="21"/>
          <w:highlight w:val="none"/>
        </w:rPr>
        <w:t>1）我方承诺在收到</w:t>
      </w:r>
      <w:r>
        <w:rPr>
          <w:rFonts w:hint="eastAsia" w:ascii="Times New Roman" w:hAnsi="Times New Roman" w:cs="Times New Roman"/>
          <w:color w:val="auto"/>
          <w:szCs w:val="21"/>
          <w:highlight w:val="none"/>
        </w:rPr>
        <w:t>成交</w:t>
      </w:r>
      <w:r>
        <w:rPr>
          <w:rFonts w:ascii="Times New Roman" w:hAnsi="Times New Roman" w:cs="Times New Roman"/>
          <w:color w:val="auto"/>
          <w:szCs w:val="21"/>
          <w:highlight w:val="none"/>
        </w:rPr>
        <w:t>通知书后，在</w:t>
      </w:r>
      <w:r>
        <w:rPr>
          <w:rFonts w:hint="eastAsia" w:ascii="Times New Roman" w:hAnsi="Times New Roman" w:cs="Times New Roman"/>
          <w:color w:val="auto"/>
          <w:szCs w:val="21"/>
          <w:highlight w:val="none"/>
        </w:rPr>
        <w:t>成交</w:t>
      </w:r>
      <w:r>
        <w:rPr>
          <w:rFonts w:ascii="Times New Roman" w:hAnsi="Times New Roman" w:cs="Times New Roman"/>
          <w:color w:val="auto"/>
          <w:szCs w:val="21"/>
          <w:highlight w:val="none"/>
        </w:rPr>
        <w:t>通知书规定的期限内与你方签订合同。</w:t>
      </w:r>
    </w:p>
    <w:p w14:paraId="71CAAD07">
      <w:pPr>
        <w:pStyle w:val="113"/>
        <w:tabs>
          <w:tab w:val="left" w:pos="903"/>
        </w:tabs>
        <w:ind w:firstLine="420"/>
        <w:rPr>
          <w:rFonts w:ascii="Times New Roman" w:hAnsi="Times New Roman" w:cs="Times New Roman"/>
          <w:color w:val="auto"/>
          <w:szCs w:val="21"/>
          <w:highlight w:val="none"/>
        </w:rPr>
      </w:pPr>
      <w:bookmarkStart w:id="102" w:name="bookmark2070"/>
      <w:r>
        <w:rPr>
          <w:rFonts w:ascii="Times New Roman" w:hAnsi="Times New Roman" w:cs="Times New Roman"/>
          <w:color w:val="auto"/>
          <w:szCs w:val="21"/>
          <w:highlight w:val="none"/>
        </w:rPr>
        <w:t>（</w:t>
      </w:r>
      <w:bookmarkEnd w:id="102"/>
      <w:r>
        <w:rPr>
          <w:rFonts w:ascii="Times New Roman" w:hAnsi="Times New Roman" w:cs="Times New Roman"/>
          <w:color w:val="auto"/>
          <w:szCs w:val="21"/>
          <w:highlight w:val="none"/>
        </w:rPr>
        <w:t>2）</w:t>
      </w:r>
      <w:r>
        <w:rPr>
          <w:color w:val="auto"/>
          <w:highlight w:val="none"/>
        </w:rPr>
        <w:t>在签订合同时不向你方提出附加条件</w:t>
      </w:r>
      <w:r>
        <w:rPr>
          <w:rFonts w:ascii="Times New Roman" w:hAnsi="Times New Roman" w:cs="Times New Roman"/>
          <w:color w:val="auto"/>
          <w:szCs w:val="21"/>
          <w:highlight w:val="none"/>
        </w:rPr>
        <w:t>。</w:t>
      </w:r>
    </w:p>
    <w:p w14:paraId="4BE21014">
      <w:pPr>
        <w:pStyle w:val="113"/>
        <w:tabs>
          <w:tab w:val="left" w:pos="903"/>
        </w:tabs>
        <w:ind w:firstLine="420"/>
        <w:rPr>
          <w:rFonts w:ascii="Times New Roman" w:hAnsi="Times New Roman" w:cs="Times New Roman"/>
          <w:color w:val="auto"/>
          <w:szCs w:val="21"/>
          <w:highlight w:val="none"/>
        </w:rPr>
      </w:pPr>
      <w:bookmarkStart w:id="103" w:name="bookmark2071"/>
      <w:r>
        <w:rPr>
          <w:rFonts w:ascii="Times New Roman" w:hAnsi="Times New Roman" w:cs="Times New Roman"/>
          <w:color w:val="auto"/>
          <w:szCs w:val="21"/>
          <w:highlight w:val="none"/>
        </w:rPr>
        <w:t>（</w:t>
      </w:r>
      <w:bookmarkEnd w:id="103"/>
      <w:r>
        <w:rPr>
          <w:rFonts w:ascii="Times New Roman" w:hAnsi="Times New Roman" w:cs="Times New Roman"/>
          <w:color w:val="auto"/>
          <w:szCs w:val="21"/>
          <w:highlight w:val="none"/>
        </w:rPr>
        <w:t>3）我方承诺按照</w:t>
      </w:r>
      <w:r>
        <w:rPr>
          <w:rFonts w:hint="eastAsia" w:ascii="Times New Roman" w:hAnsi="Times New Roman" w:cs="Times New Roman"/>
          <w:color w:val="auto"/>
          <w:szCs w:val="21"/>
          <w:highlight w:val="none"/>
        </w:rPr>
        <w:t>磋商</w:t>
      </w:r>
      <w:r>
        <w:rPr>
          <w:rFonts w:ascii="Times New Roman" w:hAnsi="Times New Roman" w:cs="Times New Roman"/>
          <w:color w:val="auto"/>
          <w:szCs w:val="21"/>
          <w:highlight w:val="none"/>
        </w:rPr>
        <w:t>文件规定向你方递交履约担保。</w:t>
      </w:r>
    </w:p>
    <w:p w14:paraId="443BF706">
      <w:pPr>
        <w:pStyle w:val="113"/>
        <w:tabs>
          <w:tab w:val="left" w:pos="903"/>
        </w:tabs>
        <w:ind w:firstLine="420"/>
        <w:rPr>
          <w:rFonts w:ascii="Times New Roman" w:hAnsi="Times New Roman" w:cs="Times New Roman"/>
          <w:color w:val="auto"/>
          <w:szCs w:val="21"/>
          <w:highlight w:val="none"/>
        </w:rPr>
      </w:pPr>
      <w:bookmarkStart w:id="104" w:name="bookmark2072"/>
      <w:r>
        <w:rPr>
          <w:rFonts w:ascii="Times New Roman" w:hAnsi="Times New Roman" w:cs="Times New Roman"/>
          <w:color w:val="auto"/>
          <w:szCs w:val="21"/>
          <w:highlight w:val="none"/>
        </w:rPr>
        <w:t>（</w:t>
      </w:r>
      <w:bookmarkEnd w:id="104"/>
      <w:r>
        <w:rPr>
          <w:rFonts w:ascii="Times New Roman" w:hAnsi="Times New Roman" w:cs="Times New Roman"/>
          <w:color w:val="auto"/>
          <w:szCs w:val="21"/>
          <w:highlight w:val="none"/>
        </w:rPr>
        <w:t>4）我方承诺在合同约定的期限内完成并移交全部合同工程。</w:t>
      </w:r>
    </w:p>
    <w:p w14:paraId="292FF8FB">
      <w:pPr>
        <w:pStyle w:val="113"/>
        <w:numPr>
          <w:ilvl w:val="0"/>
          <w:numId w:val="2"/>
        </w:numPr>
        <w:tabs>
          <w:tab w:val="left" w:pos="762"/>
        </w:tabs>
        <w:ind w:firstLine="440"/>
        <w:rPr>
          <w:rFonts w:ascii="Times New Roman" w:hAnsi="Times New Roman" w:cs="Times New Roman"/>
          <w:color w:val="auto"/>
          <w:szCs w:val="21"/>
          <w:highlight w:val="none"/>
        </w:rPr>
      </w:pPr>
      <w:bookmarkStart w:id="105" w:name="bookmark2073"/>
      <w:bookmarkEnd w:id="105"/>
      <w:r>
        <w:rPr>
          <w:color w:val="auto"/>
          <w:highlight w:val="none"/>
        </w:rPr>
        <w:t>在合同协议书正式签署生效之前，本</w:t>
      </w:r>
      <w:r>
        <w:rPr>
          <w:rFonts w:hint="eastAsia" w:ascii="Times New Roman" w:hAnsi="Times New Roman" w:cs="Times New Roman"/>
          <w:color w:val="auto"/>
          <w:szCs w:val="21"/>
          <w:highlight w:val="none"/>
        </w:rPr>
        <w:t>竞</w:t>
      </w:r>
      <w:r>
        <w:rPr>
          <w:rFonts w:ascii="Times New Roman" w:hAnsi="Times New Roman" w:cs="Times New Roman"/>
          <w:color w:val="auto"/>
          <w:szCs w:val="21"/>
          <w:highlight w:val="none"/>
        </w:rPr>
        <w:t>标</w:t>
      </w:r>
      <w:r>
        <w:rPr>
          <w:color w:val="auto"/>
          <w:highlight w:val="none"/>
        </w:rPr>
        <w:t>函连同你方的</w:t>
      </w:r>
      <w:r>
        <w:rPr>
          <w:rFonts w:hint="eastAsia"/>
          <w:color w:val="auto"/>
          <w:highlight w:val="none"/>
        </w:rPr>
        <w:t>成交</w:t>
      </w:r>
      <w:r>
        <w:rPr>
          <w:color w:val="auto"/>
          <w:highlight w:val="none"/>
        </w:rPr>
        <w:t>通知书将构成我们双方之间共同遵守的文件，对双方具有约束力</w:t>
      </w:r>
      <w:r>
        <w:rPr>
          <w:rFonts w:ascii="Times New Roman" w:hAnsi="Times New Roman" w:cs="Times New Roman"/>
          <w:color w:val="auto"/>
          <w:szCs w:val="21"/>
          <w:highlight w:val="none"/>
        </w:rPr>
        <w:t>。</w:t>
      </w:r>
    </w:p>
    <w:p w14:paraId="5FD4B9C2">
      <w:pPr>
        <w:spacing w:line="360" w:lineRule="auto"/>
        <w:ind w:firstLine="420" w:firstLineChars="200"/>
        <w:rPr>
          <w:color w:val="auto"/>
          <w:szCs w:val="21"/>
          <w:highlight w:val="none"/>
        </w:rPr>
      </w:pPr>
      <w:bookmarkStart w:id="106" w:name="bookmark2074"/>
      <w:bookmarkEnd w:id="106"/>
      <w:r>
        <w:rPr>
          <w:rFonts w:hint="eastAsia"/>
          <w:color w:val="auto"/>
          <w:szCs w:val="21"/>
          <w:highlight w:val="none"/>
        </w:rPr>
        <w:t>5.</w:t>
      </w:r>
      <w:r>
        <w:rPr>
          <w:color w:val="auto"/>
          <w:szCs w:val="21"/>
          <w:highlight w:val="none"/>
        </w:rPr>
        <w:t>（其他补充说明）。</w:t>
      </w:r>
    </w:p>
    <w:p w14:paraId="3EFE1FF0">
      <w:pPr>
        <w:spacing w:line="360" w:lineRule="auto"/>
        <w:jc w:val="center"/>
        <w:rPr>
          <w:rFonts w:ascii="宋体" w:hAnsi="宋体" w:cs="方正小标宋简体"/>
          <w:b/>
          <w:bCs/>
          <w:color w:val="auto"/>
          <w:sz w:val="32"/>
          <w:szCs w:val="32"/>
          <w:highlight w:val="none"/>
        </w:rPr>
      </w:pPr>
    </w:p>
    <w:p w14:paraId="020D82AD">
      <w:pPr>
        <w:spacing w:line="360" w:lineRule="auto"/>
        <w:ind w:right="-817" w:rightChars="-389" w:firstLine="2640" w:firstLineChars="1100"/>
        <w:contextualSpacing/>
        <w:rPr>
          <w:rFonts w:ascii="宋体" w:hAnsi="宋体" w:cs="仿宋_GB2312"/>
          <w:color w:val="auto"/>
          <w:sz w:val="24"/>
          <w:highlight w:val="none"/>
        </w:rPr>
      </w:pPr>
      <w:r>
        <w:rPr>
          <w:rFonts w:hint="eastAsia" w:ascii="宋体" w:hAnsi="宋体" w:cs="仿宋_GB2312"/>
          <w:color w:val="auto"/>
          <w:sz w:val="24"/>
          <w:highlight w:val="none"/>
        </w:rPr>
        <w:t xml:space="preserve">法定代表人或者委托代理人（签字或者电子签名）：                    </w:t>
      </w:r>
    </w:p>
    <w:p w14:paraId="157DF078">
      <w:pPr>
        <w:spacing w:line="360" w:lineRule="auto"/>
        <w:ind w:right="-817" w:rightChars="-389" w:firstLine="2640" w:firstLineChars="11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70CCFAC8">
      <w:pPr>
        <w:spacing w:line="360" w:lineRule="auto"/>
        <w:jc w:val="center"/>
        <w:rPr>
          <w:rFonts w:ascii="宋体" w:hAnsi="宋体" w:cs="方正小标宋简体"/>
          <w:b/>
          <w:bCs/>
          <w:color w:val="auto"/>
          <w:sz w:val="32"/>
          <w:szCs w:val="32"/>
          <w:highlight w:val="none"/>
        </w:rPr>
      </w:pPr>
      <w:r>
        <w:rPr>
          <w:rFonts w:hint="eastAsia" w:ascii="宋体" w:hAnsi="宋体" w:cs="仿宋_GB2312"/>
          <w:color w:val="auto"/>
          <w:sz w:val="24"/>
          <w:highlight w:val="none"/>
        </w:rPr>
        <w:t>日期：   年   月   日</w:t>
      </w:r>
      <w:r>
        <w:rPr>
          <w:rFonts w:ascii="宋体" w:hAnsi="宋体" w:cs="方正小标宋简体"/>
          <w:b/>
          <w:bCs/>
          <w:color w:val="auto"/>
          <w:sz w:val="32"/>
          <w:szCs w:val="32"/>
          <w:highlight w:val="none"/>
        </w:rPr>
        <w:br w:type="page"/>
      </w:r>
      <w:r>
        <w:rPr>
          <w:rFonts w:hint="eastAsia" w:ascii="宋体" w:hAnsi="宋体" w:cs="方正小标宋简体"/>
          <w:b/>
          <w:bCs/>
          <w:color w:val="auto"/>
          <w:sz w:val="32"/>
          <w:szCs w:val="32"/>
          <w:highlight w:val="none"/>
        </w:rPr>
        <w:t>（二）竞标函附录</w:t>
      </w:r>
    </w:p>
    <w:p w14:paraId="323C7E50">
      <w:pPr>
        <w:spacing w:line="360" w:lineRule="auto"/>
        <w:jc w:val="center"/>
        <w:rPr>
          <w:rFonts w:ascii="宋体" w:hAnsi="宋体"/>
          <w:b/>
          <w:bCs/>
          <w:color w:val="auto"/>
          <w:sz w:val="32"/>
          <w:szCs w:val="32"/>
          <w:highlight w:val="none"/>
        </w:rPr>
      </w:pPr>
    </w:p>
    <w:tbl>
      <w:tblPr>
        <w:tblStyle w:val="55"/>
        <w:tblW w:w="89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985"/>
        <w:gridCol w:w="2126"/>
        <w:gridCol w:w="1984"/>
        <w:gridCol w:w="1843"/>
      </w:tblGrid>
      <w:tr w14:paraId="1F688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79FAE88C">
            <w:pPr>
              <w:jc w:val="center"/>
              <w:rPr>
                <w:color w:val="auto"/>
                <w:highlight w:val="none"/>
              </w:rPr>
            </w:pPr>
            <w:r>
              <w:rPr>
                <w:rFonts w:hint="eastAsia" w:cs="宋体"/>
                <w:color w:val="auto"/>
                <w:highlight w:val="none"/>
              </w:rPr>
              <w:t>序号</w:t>
            </w:r>
          </w:p>
        </w:tc>
        <w:tc>
          <w:tcPr>
            <w:tcW w:w="1985" w:type="dxa"/>
            <w:vAlign w:val="center"/>
          </w:tcPr>
          <w:p w14:paraId="682B2245">
            <w:pPr>
              <w:jc w:val="center"/>
              <w:rPr>
                <w:color w:val="auto"/>
                <w:highlight w:val="none"/>
              </w:rPr>
            </w:pPr>
            <w:r>
              <w:rPr>
                <w:rFonts w:hint="eastAsia" w:cs="宋体"/>
                <w:color w:val="auto"/>
                <w:highlight w:val="none"/>
              </w:rPr>
              <w:t>条款内容</w:t>
            </w:r>
          </w:p>
        </w:tc>
        <w:tc>
          <w:tcPr>
            <w:tcW w:w="2126" w:type="dxa"/>
            <w:vAlign w:val="center"/>
          </w:tcPr>
          <w:p w14:paraId="7762D03E">
            <w:pPr>
              <w:jc w:val="center"/>
              <w:rPr>
                <w:color w:val="auto"/>
                <w:highlight w:val="none"/>
              </w:rPr>
            </w:pPr>
            <w:r>
              <w:rPr>
                <w:rFonts w:hint="eastAsia" w:cs="宋体"/>
                <w:color w:val="auto"/>
                <w:highlight w:val="none"/>
              </w:rPr>
              <w:t>合同条款号</w:t>
            </w:r>
          </w:p>
        </w:tc>
        <w:tc>
          <w:tcPr>
            <w:tcW w:w="1984" w:type="dxa"/>
            <w:vAlign w:val="center"/>
          </w:tcPr>
          <w:p w14:paraId="68EE9808">
            <w:pPr>
              <w:jc w:val="center"/>
              <w:rPr>
                <w:color w:val="auto"/>
                <w:highlight w:val="none"/>
              </w:rPr>
            </w:pPr>
            <w:r>
              <w:rPr>
                <w:rFonts w:hint="eastAsia" w:cs="宋体"/>
                <w:color w:val="auto"/>
                <w:highlight w:val="none"/>
              </w:rPr>
              <w:t>约定内容</w:t>
            </w:r>
          </w:p>
        </w:tc>
        <w:tc>
          <w:tcPr>
            <w:tcW w:w="1843" w:type="dxa"/>
            <w:vAlign w:val="center"/>
          </w:tcPr>
          <w:p w14:paraId="294CEC42">
            <w:pPr>
              <w:jc w:val="center"/>
              <w:rPr>
                <w:color w:val="auto"/>
                <w:highlight w:val="none"/>
              </w:rPr>
            </w:pPr>
            <w:r>
              <w:rPr>
                <w:rFonts w:hint="eastAsia" w:cs="宋体"/>
                <w:color w:val="auto"/>
                <w:highlight w:val="none"/>
              </w:rPr>
              <w:t>供应商响应情况</w:t>
            </w:r>
          </w:p>
        </w:tc>
      </w:tr>
      <w:tr w14:paraId="3707F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2F25C4B2">
            <w:pPr>
              <w:jc w:val="center"/>
              <w:rPr>
                <w:color w:val="auto"/>
                <w:highlight w:val="none"/>
              </w:rPr>
            </w:pPr>
            <w:r>
              <w:rPr>
                <w:color w:val="auto"/>
                <w:highlight w:val="none"/>
              </w:rPr>
              <w:t>1</w:t>
            </w:r>
          </w:p>
        </w:tc>
        <w:tc>
          <w:tcPr>
            <w:tcW w:w="1985" w:type="dxa"/>
            <w:vAlign w:val="center"/>
          </w:tcPr>
          <w:p w14:paraId="1FF79BDA">
            <w:pPr>
              <w:rPr>
                <w:color w:val="auto"/>
                <w:highlight w:val="none"/>
              </w:rPr>
            </w:pPr>
            <w:r>
              <w:rPr>
                <w:rFonts w:hint="eastAsia" w:cs="宋体"/>
                <w:color w:val="auto"/>
                <w:highlight w:val="none"/>
              </w:rPr>
              <w:t>项目经理</w:t>
            </w:r>
          </w:p>
        </w:tc>
        <w:tc>
          <w:tcPr>
            <w:tcW w:w="2126" w:type="dxa"/>
            <w:tcMar>
              <w:left w:w="170" w:type="dxa"/>
            </w:tcMar>
            <w:vAlign w:val="center"/>
          </w:tcPr>
          <w:p w14:paraId="626455FF">
            <w:pPr>
              <w:jc w:val="center"/>
              <w:rPr>
                <w:color w:val="auto"/>
                <w:highlight w:val="none"/>
              </w:rPr>
            </w:pPr>
            <w:r>
              <w:rPr>
                <w:rFonts w:hint="eastAsia" w:cs="宋体"/>
                <w:color w:val="auto"/>
                <w:highlight w:val="none"/>
              </w:rPr>
              <w:t>专用条款</w:t>
            </w:r>
          </w:p>
        </w:tc>
        <w:tc>
          <w:tcPr>
            <w:tcW w:w="1984" w:type="dxa"/>
            <w:vAlign w:val="center"/>
          </w:tcPr>
          <w:p w14:paraId="08845766">
            <w:pPr>
              <w:rPr>
                <w:color w:val="auto"/>
                <w:highlight w:val="none"/>
              </w:rPr>
            </w:pPr>
            <w:r>
              <w:rPr>
                <w:rFonts w:hint="eastAsia" w:cs="宋体"/>
                <w:color w:val="auto"/>
                <w:highlight w:val="none"/>
              </w:rPr>
              <w:t>姓名：</w:t>
            </w:r>
          </w:p>
        </w:tc>
        <w:tc>
          <w:tcPr>
            <w:tcW w:w="1843" w:type="dxa"/>
            <w:vAlign w:val="center"/>
          </w:tcPr>
          <w:p w14:paraId="26FE95FE">
            <w:pPr>
              <w:jc w:val="center"/>
              <w:rPr>
                <w:color w:val="auto"/>
                <w:highlight w:val="none"/>
              </w:rPr>
            </w:pPr>
          </w:p>
        </w:tc>
      </w:tr>
      <w:tr w14:paraId="4D9B2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0F1B0BAC">
            <w:pPr>
              <w:jc w:val="center"/>
              <w:rPr>
                <w:color w:val="auto"/>
                <w:highlight w:val="none"/>
              </w:rPr>
            </w:pPr>
            <w:r>
              <w:rPr>
                <w:color w:val="auto"/>
                <w:highlight w:val="none"/>
              </w:rPr>
              <w:t>2</w:t>
            </w:r>
          </w:p>
        </w:tc>
        <w:tc>
          <w:tcPr>
            <w:tcW w:w="1985" w:type="dxa"/>
            <w:vAlign w:val="center"/>
          </w:tcPr>
          <w:p w14:paraId="36476CA5">
            <w:pPr>
              <w:rPr>
                <w:color w:val="auto"/>
                <w:highlight w:val="none"/>
              </w:rPr>
            </w:pPr>
            <w:r>
              <w:rPr>
                <w:rFonts w:hint="eastAsia" w:cs="宋体"/>
                <w:color w:val="auto"/>
                <w:highlight w:val="none"/>
              </w:rPr>
              <w:t>竞标有效期</w:t>
            </w:r>
          </w:p>
        </w:tc>
        <w:tc>
          <w:tcPr>
            <w:tcW w:w="2126" w:type="dxa"/>
            <w:tcMar>
              <w:left w:w="170" w:type="dxa"/>
            </w:tcMar>
            <w:vAlign w:val="center"/>
          </w:tcPr>
          <w:p w14:paraId="77799243">
            <w:pPr>
              <w:rPr>
                <w:color w:val="auto"/>
                <w:highlight w:val="none"/>
              </w:rPr>
            </w:pPr>
          </w:p>
        </w:tc>
        <w:tc>
          <w:tcPr>
            <w:tcW w:w="1984" w:type="dxa"/>
            <w:vAlign w:val="center"/>
          </w:tcPr>
          <w:p w14:paraId="1FFE66BA">
            <w:pPr>
              <w:jc w:val="center"/>
              <w:rPr>
                <w:color w:val="auto"/>
                <w:highlight w:val="none"/>
                <w:u w:val="single"/>
              </w:rPr>
            </w:pPr>
            <w:r>
              <w:rPr>
                <w:rFonts w:hint="eastAsia" w:ascii="宋体" w:hAnsi="宋体" w:cs="宋体"/>
                <w:color w:val="auto"/>
                <w:szCs w:val="21"/>
                <w:highlight w:val="none"/>
              </w:rPr>
              <w:t>自首次响应文件提交截止之日起</w:t>
            </w:r>
            <w:r>
              <w:rPr>
                <w:rFonts w:ascii="宋体" w:hAnsi="宋体" w:cs="宋体"/>
                <w:color w:val="auto"/>
                <w:szCs w:val="21"/>
                <w:highlight w:val="none"/>
                <w:u w:val="single"/>
              </w:rPr>
              <w:t>60</w:t>
            </w:r>
            <w:r>
              <w:rPr>
                <w:rFonts w:hint="eastAsia" w:ascii="宋体" w:hAnsi="宋体" w:cs="宋体"/>
                <w:color w:val="auto"/>
                <w:szCs w:val="21"/>
                <w:highlight w:val="none"/>
              </w:rPr>
              <w:t>日</w:t>
            </w:r>
          </w:p>
        </w:tc>
        <w:tc>
          <w:tcPr>
            <w:tcW w:w="1843" w:type="dxa"/>
            <w:vAlign w:val="center"/>
          </w:tcPr>
          <w:p w14:paraId="02A3FF82">
            <w:pPr>
              <w:jc w:val="center"/>
              <w:rPr>
                <w:color w:val="auto"/>
                <w:highlight w:val="none"/>
              </w:rPr>
            </w:pPr>
          </w:p>
        </w:tc>
      </w:tr>
      <w:tr w14:paraId="153E3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4C6E9182">
            <w:pPr>
              <w:jc w:val="center"/>
              <w:rPr>
                <w:color w:val="auto"/>
                <w:highlight w:val="none"/>
              </w:rPr>
            </w:pPr>
            <w:r>
              <w:rPr>
                <w:color w:val="auto"/>
                <w:highlight w:val="none"/>
              </w:rPr>
              <w:t>3</w:t>
            </w:r>
          </w:p>
        </w:tc>
        <w:tc>
          <w:tcPr>
            <w:tcW w:w="1985" w:type="dxa"/>
            <w:vAlign w:val="center"/>
          </w:tcPr>
          <w:p w14:paraId="5C3A9A26">
            <w:pPr>
              <w:rPr>
                <w:color w:val="auto"/>
                <w:highlight w:val="none"/>
              </w:rPr>
            </w:pPr>
            <w:r>
              <w:rPr>
                <w:rFonts w:hint="eastAsia" w:cs="宋体"/>
                <w:color w:val="auto"/>
                <w:highlight w:val="none"/>
              </w:rPr>
              <w:t>工期</w:t>
            </w:r>
          </w:p>
        </w:tc>
        <w:tc>
          <w:tcPr>
            <w:tcW w:w="2126" w:type="dxa"/>
            <w:tcMar>
              <w:left w:w="170" w:type="dxa"/>
            </w:tcMar>
            <w:vAlign w:val="center"/>
          </w:tcPr>
          <w:p w14:paraId="22F55458">
            <w:pPr>
              <w:jc w:val="center"/>
              <w:rPr>
                <w:color w:val="auto"/>
                <w:highlight w:val="none"/>
              </w:rPr>
            </w:pPr>
            <w:r>
              <w:rPr>
                <w:rFonts w:hint="eastAsia" w:cs="宋体"/>
                <w:color w:val="auto"/>
                <w:highlight w:val="none"/>
              </w:rPr>
              <w:t>专用条款</w:t>
            </w:r>
          </w:p>
        </w:tc>
        <w:tc>
          <w:tcPr>
            <w:tcW w:w="1984" w:type="dxa"/>
            <w:vAlign w:val="center"/>
          </w:tcPr>
          <w:p w14:paraId="5985082F">
            <w:pPr>
              <w:jc w:val="center"/>
              <w:rPr>
                <w:color w:val="auto"/>
                <w:highlight w:val="none"/>
              </w:rPr>
            </w:pPr>
            <w:r>
              <w:rPr>
                <w:rFonts w:hint="eastAsia" w:cs="宋体"/>
                <w:color w:val="auto"/>
                <w:highlight w:val="none"/>
              </w:rPr>
              <w:t>日历天</w:t>
            </w:r>
          </w:p>
        </w:tc>
        <w:tc>
          <w:tcPr>
            <w:tcW w:w="1843" w:type="dxa"/>
            <w:vAlign w:val="center"/>
          </w:tcPr>
          <w:p w14:paraId="03531BEF">
            <w:pPr>
              <w:jc w:val="center"/>
              <w:rPr>
                <w:color w:val="auto"/>
                <w:highlight w:val="none"/>
              </w:rPr>
            </w:pPr>
          </w:p>
        </w:tc>
      </w:tr>
      <w:tr w14:paraId="6E21F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69D55DB5">
            <w:pPr>
              <w:jc w:val="center"/>
              <w:rPr>
                <w:color w:val="auto"/>
                <w:highlight w:val="none"/>
              </w:rPr>
            </w:pPr>
            <w:r>
              <w:rPr>
                <w:color w:val="auto"/>
                <w:highlight w:val="none"/>
              </w:rPr>
              <w:t>4</w:t>
            </w:r>
          </w:p>
        </w:tc>
        <w:tc>
          <w:tcPr>
            <w:tcW w:w="1985" w:type="dxa"/>
            <w:vAlign w:val="center"/>
          </w:tcPr>
          <w:p w14:paraId="7512AECF">
            <w:pPr>
              <w:rPr>
                <w:color w:val="auto"/>
                <w:highlight w:val="none"/>
              </w:rPr>
            </w:pPr>
            <w:r>
              <w:rPr>
                <w:rFonts w:hint="eastAsia" w:cs="宋体"/>
                <w:color w:val="auto"/>
                <w:highlight w:val="none"/>
              </w:rPr>
              <w:t>缺陷责任期</w:t>
            </w:r>
          </w:p>
        </w:tc>
        <w:tc>
          <w:tcPr>
            <w:tcW w:w="2126" w:type="dxa"/>
            <w:tcMar>
              <w:left w:w="170" w:type="dxa"/>
            </w:tcMar>
            <w:vAlign w:val="center"/>
          </w:tcPr>
          <w:p w14:paraId="0B5F7316">
            <w:pPr>
              <w:jc w:val="center"/>
              <w:rPr>
                <w:color w:val="auto"/>
                <w:highlight w:val="none"/>
              </w:rPr>
            </w:pPr>
            <w:r>
              <w:rPr>
                <w:rFonts w:hint="eastAsia" w:cs="宋体"/>
                <w:color w:val="auto"/>
                <w:highlight w:val="none"/>
              </w:rPr>
              <w:t>专用条款</w:t>
            </w:r>
          </w:p>
        </w:tc>
        <w:tc>
          <w:tcPr>
            <w:tcW w:w="1984" w:type="dxa"/>
            <w:vAlign w:val="center"/>
          </w:tcPr>
          <w:p w14:paraId="0C776924">
            <w:pPr>
              <w:jc w:val="center"/>
              <w:rPr>
                <w:color w:val="auto"/>
                <w:highlight w:val="none"/>
              </w:rPr>
            </w:pPr>
          </w:p>
        </w:tc>
        <w:tc>
          <w:tcPr>
            <w:tcW w:w="1843" w:type="dxa"/>
            <w:vAlign w:val="center"/>
          </w:tcPr>
          <w:p w14:paraId="6DA9238C">
            <w:pPr>
              <w:jc w:val="center"/>
              <w:rPr>
                <w:color w:val="auto"/>
                <w:highlight w:val="none"/>
              </w:rPr>
            </w:pPr>
          </w:p>
        </w:tc>
      </w:tr>
      <w:tr w14:paraId="77D31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0968FEE2">
            <w:pPr>
              <w:jc w:val="center"/>
              <w:rPr>
                <w:color w:val="auto"/>
                <w:highlight w:val="none"/>
              </w:rPr>
            </w:pPr>
            <w:r>
              <w:rPr>
                <w:color w:val="auto"/>
                <w:highlight w:val="none"/>
              </w:rPr>
              <w:t>5</w:t>
            </w:r>
          </w:p>
        </w:tc>
        <w:tc>
          <w:tcPr>
            <w:tcW w:w="1985" w:type="dxa"/>
            <w:vAlign w:val="center"/>
          </w:tcPr>
          <w:p w14:paraId="11088B45">
            <w:pPr>
              <w:rPr>
                <w:color w:val="auto"/>
                <w:highlight w:val="none"/>
              </w:rPr>
            </w:pPr>
            <w:r>
              <w:rPr>
                <w:rFonts w:hint="eastAsia" w:cs="宋体"/>
                <w:color w:val="auto"/>
                <w:highlight w:val="none"/>
              </w:rPr>
              <w:t>承包人履约担保金额</w:t>
            </w:r>
          </w:p>
        </w:tc>
        <w:tc>
          <w:tcPr>
            <w:tcW w:w="2126" w:type="dxa"/>
            <w:tcMar>
              <w:left w:w="170" w:type="dxa"/>
            </w:tcMar>
            <w:vAlign w:val="center"/>
          </w:tcPr>
          <w:p w14:paraId="69FD5D23">
            <w:pPr>
              <w:jc w:val="center"/>
              <w:rPr>
                <w:color w:val="auto"/>
                <w:highlight w:val="none"/>
              </w:rPr>
            </w:pPr>
            <w:r>
              <w:rPr>
                <w:rFonts w:hint="eastAsia" w:cs="宋体"/>
                <w:color w:val="auto"/>
                <w:highlight w:val="none"/>
              </w:rPr>
              <w:t>专用条款</w:t>
            </w:r>
          </w:p>
        </w:tc>
        <w:tc>
          <w:tcPr>
            <w:tcW w:w="1984" w:type="dxa"/>
            <w:vAlign w:val="center"/>
          </w:tcPr>
          <w:p w14:paraId="350F876E">
            <w:pPr>
              <w:jc w:val="center"/>
              <w:rPr>
                <w:color w:val="auto"/>
                <w:highlight w:val="none"/>
              </w:rPr>
            </w:pPr>
          </w:p>
        </w:tc>
        <w:tc>
          <w:tcPr>
            <w:tcW w:w="1843" w:type="dxa"/>
            <w:vAlign w:val="center"/>
          </w:tcPr>
          <w:p w14:paraId="4AD70A56">
            <w:pPr>
              <w:jc w:val="center"/>
              <w:rPr>
                <w:color w:val="auto"/>
                <w:highlight w:val="none"/>
              </w:rPr>
            </w:pPr>
          </w:p>
        </w:tc>
      </w:tr>
      <w:tr w14:paraId="6A49C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7777E0E2">
            <w:pPr>
              <w:jc w:val="center"/>
              <w:rPr>
                <w:color w:val="auto"/>
                <w:highlight w:val="none"/>
              </w:rPr>
            </w:pPr>
            <w:r>
              <w:rPr>
                <w:color w:val="auto"/>
                <w:highlight w:val="none"/>
              </w:rPr>
              <w:t>6</w:t>
            </w:r>
          </w:p>
        </w:tc>
        <w:tc>
          <w:tcPr>
            <w:tcW w:w="1985" w:type="dxa"/>
            <w:vAlign w:val="center"/>
          </w:tcPr>
          <w:p w14:paraId="559E82F2">
            <w:pPr>
              <w:rPr>
                <w:color w:val="auto"/>
                <w:highlight w:val="none"/>
              </w:rPr>
            </w:pPr>
            <w:r>
              <w:rPr>
                <w:rFonts w:hint="eastAsia" w:cs="宋体"/>
                <w:color w:val="auto"/>
                <w:highlight w:val="none"/>
              </w:rPr>
              <w:t>分包</w:t>
            </w:r>
          </w:p>
        </w:tc>
        <w:tc>
          <w:tcPr>
            <w:tcW w:w="2126" w:type="dxa"/>
            <w:tcMar>
              <w:left w:w="170" w:type="dxa"/>
            </w:tcMar>
            <w:vAlign w:val="center"/>
          </w:tcPr>
          <w:p w14:paraId="3F041CFB">
            <w:pPr>
              <w:jc w:val="center"/>
              <w:rPr>
                <w:color w:val="auto"/>
                <w:highlight w:val="none"/>
              </w:rPr>
            </w:pPr>
            <w:r>
              <w:rPr>
                <w:rFonts w:hint="eastAsia" w:cs="宋体"/>
                <w:color w:val="auto"/>
                <w:highlight w:val="none"/>
              </w:rPr>
              <w:t>专用条款</w:t>
            </w:r>
          </w:p>
        </w:tc>
        <w:tc>
          <w:tcPr>
            <w:tcW w:w="1984" w:type="dxa"/>
            <w:vAlign w:val="center"/>
          </w:tcPr>
          <w:p w14:paraId="3CB288FA">
            <w:pPr>
              <w:jc w:val="center"/>
              <w:rPr>
                <w:color w:val="auto"/>
                <w:highlight w:val="none"/>
              </w:rPr>
            </w:pPr>
          </w:p>
        </w:tc>
        <w:tc>
          <w:tcPr>
            <w:tcW w:w="1843" w:type="dxa"/>
            <w:vAlign w:val="center"/>
          </w:tcPr>
          <w:p w14:paraId="4A3EE5DF">
            <w:pPr>
              <w:jc w:val="center"/>
              <w:rPr>
                <w:color w:val="auto"/>
                <w:highlight w:val="none"/>
              </w:rPr>
            </w:pPr>
          </w:p>
        </w:tc>
      </w:tr>
      <w:tr w14:paraId="63946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55ECAD53">
            <w:pPr>
              <w:jc w:val="center"/>
              <w:rPr>
                <w:color w:val="auto"/>
                <w:highlight w:val="none"/>
              </w:rPr>
            </w:pPr>
            <w:r>
              <w:rPr>
                <w:color w:val="auto"/>
                <w:highlight w:val="none"/>
              </w:rPr>
              <w:t>7</w:t>
            </w:r>
          </w:p>
        </w:tc>
        <w:tc>
          <w:tcPr>
            <w:tcW w:w="1985" w:type="dxa"/>
            <w:vAlign w:val="center"/>
          </w:tcPr>
          <w:p w14:paraId="7FF72475">
            <w:pPr>
              <w:rPr>
                <w:color w:val="auto"/>
                <w:highlight w:val="none"/>
              </w:rPr>
            </w:pPr>
            <w:r>
              <w:rPr>
                <w:rFonts w:hint="eastAsia" w:cs="宋体"/>
                <w:color w:val="auto"/>
                <w:highlight w:val="none"/>
              </w:rPr>
              <w:t>逾期竣工违约金</w:t>
            </w:r>
          </w:p>
        </w:tc>
        <w:tc>
          <w:tcPr>
            <w:tcW w:w="2126" w:type="dxa"/>
            <w:tcMar>
              <w:left w:w="170" w:type="dxa"/>
            </w:tcMar>
            <w:vAlign w:val="center"/>
          </w:tcPr>
          <w:p w14:paraId="5993A24C">
            <w:pPr>
              <w:jc w:val="center"/>
              <w:rPr>
                <w:color w:val="auto"/>
                <w:highlight w:val="none"/>
              </w:rPr>
            </w:pPr>
            <w:r>
              <w:rPr>
                <w:rFonts w:hint="eastAsia" w:cs="宋体"/>
                <w:color w:val="auto"/>
                <w:highlight w:val="none"/>
              </w:rPr>
              <w:t>专用条款</w:t>
            </w:r>
          </w:p>
        </w:tc>
        <w:tc>
          <w:tcPr>
            <w:tcW w:w="1984" w:type="dxa"/>
            <w:vAlign w:val="center"/>
          </w:tcPr>
          <w:p w14:paraId="5E49D6EB">
            <w:pPr>
              <w:rPr>
                <w:color w:val="auto"/>
                <w:highlight w:val="none"/>
              </w:rPr>
            </w:pPr>
          </w:p>
        </w:tc>
        <w:tc>
          <w:tcPr>
            <w:tcW w:w="1843" w:type="dxa"/>
            <w:vAlign w:val="center"/>
          </w:tcPr>
          <w:p w14:paraId="2C5C3540">
            <w:pPr>
              <w:jc w:val="center"/>
              <w:rPr>
                <w:color w:val="auto"/>
                <w:highlight w:val="none"/>
              </w:rPr>
            </w:pPr>
          </w:p>
        </w:tc>
      </w:tr>
      <w:tr w14:paraId="6B4A1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42866628">
            <w:pPr>
              <w:jc w:val="center"/>
              <w:rPr>
                <w:color w:val="auto"/>
                <w:highlight w:val="none"/>
              </w:rPr>
            </w:pPr>
            <w:r>
              <w:rPr>
                <w:color w:val="auto"/>
                <w:highlight w:val="none"/>
              </w:rPr>
              <w:t>8</w:t>
            </w:r>
          </w:p>
        </w:tc>
        <w:tc>
          <w:tcPr>
            <w:tcW w:w="1985" w:type="dxa"/>
            <w:vAlign w:val="center"/>
          </w:tcPr>
          <w:p w14:paraId="6FB69B2F">
            <w:pPr>
              <w:rPr>
                <w:color w:val="auto"/>
                <w:highlight w:val="none"/>
              </w:rPr>
            </w:pPr>
            <w:r>
              <w:rPr>
                <w:rFonts w:hint="eastAsia" w:cs="宋体"/>
                <w:color w:val="auto"/>
                <w:highlight w:val="none"/>
              </w:rPr>
              <w:t>逾期竣工违约金最高限额</w:t>
            </w:r>
          </w:p>
        </w:tc>
        <w:tc>
          <w:tcPr>
            <w:tcW w:w="2126" w:type="dxa"/>
            <w:tcMar>
              <w:left w:w="170" w:type="dxa"/>
            </w:tcMar>
            <w:vAlign w:val="center"/>
          </w:tcPr>
          <w:p w14:paraId="0316942B">
            <w:pPr>
              <w:jc w:val="center"/>
              <w:rPr>
                <w:color w:val="auto"/>
                <w:highlight w:val="none"/>
              </w:rPr>
            </w:pPr>
            <w:r>
              <w:rPr>
                <w:rFonts w:hint="eastAsia" w:cs="宋体"/>
                <w:color w:val="auto"/>
                <w:highlight w:val="none"/>
              </w:rPr>
              <w:t>专用条款</w:t>
            </w:r>
          </w:p>
        </w:tc>
        <w:tc>
          <w:tcPr>
            <w:tcW w:w="1984" w:type="dxa"/>
            <w:vAlign w:val="center"/>
          </w:tcPr>
          <w:p w14:paraId="3C121D75">
            <w:pPr>
              <w:jc w:val="center"/>
              <w:rPr>
                <w:color w:val="auto"/>
                <w:highlight w:val="none"/>
              </w:rPr>
            </w:pPr>
          </w:p>
        </w:tc>
        <w:tc>
          <w:tcPr>
            <w:tcW w:w="1843" w:type="dxa"/>
            <w:vAlign w:val="center"/>
          </w:tcPr>
          <w:p w14:paraId="3E2EFE4B">
            <w:pPr>
              <w:jc w:val="center"/>
              <w:rPr>
                <w:color w:val="auto"/>
                <w:highlight w:val="none"/>
              </w:rPr>
            </w:pPr>
          </w:p>
        </w:tc>
      </w:tr>
      <w:tr w14:paraId="0A932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54866808">
            <w:pPr>
              <w:jc w:val="center"/>
              <w:rPr>
                <w:color w:val="auto"/>
                <w:highlight w:val="none"/>
              </w:rPr>
            </w:pPr>
            <w:r>
              <w:rPr>
                <w:color w:val="auto"/>
                <w:highlight w:val="none"/>
              </w:rPr>
              <w:t>9</w:t>
            </w:r>
          </w:p>
        </w:tc>
        <w:tc>
          <w:tcPr>
            <w:tcW w:w="1985" w:type="dxa"/>
            <w:vAlign w:val="center"/>
          </w:tcPr>
          <w:p w14:paraId="466FBEF0">
            <w:pPr>
              <w:rPr>
                <w:color w:val="auto"/>
                <w:highlight w:val="none"/>
              </w:rPr>
            </w:pPr>
            <w:r>
              <w:rPr>
                <w:rFonts w:hint="eastAsia" w:cs="宋体"/>
                <w:color w:val="auto"/>
                <w:highlight w:val="none"/>
              </w:rPr>
              <w:t>质量标准</w:t>
            </w:r>
          </w:p>
        </w:tc>
        <w:tc>
          <w:tcPr>
            <w:tcW w:w="2126" w:type="dxa"/>
            <w:tcMar>
              <w:left w:w="170" w:type="dxa"/>
            </w:tcMar>
            <w:vAlign w:val="center"/>
          </w:tcPr>
          <w:p w14:paraId="36F5677C">
            <w:pPr>
              <w:jc w:val="center"/>
              <w:rPr>
                <w:color w:val="auto"/>
                <w:highlight w:val="none"/>
              </w:rPr>
            </w:pPr>
            <w:r>
              <w:rPr>
                <w:rFonts w:hint="eastAsia" w:cs="宋体"/>
                <w:color w:val="auto"/>
                <w:highlight w:val="none"/>
              </w:rPr>
              <w:t>专用条款</w:t>
            </w:r>
          </w:p>
        </w:tc>
        <w:tc>
          <w:tcPr>
            <w:tcW w:w="1984" w:type="dxa"/>
            <w:vAlign w:val="center"/>
          </w:tcPr>
          <w:p w14:paraId="72FF076F">
            <w:pPr>
              <w:jc w:val="center"/>
              <w:rPr>
                <w:color w:val="auto"/>
                <w:highlight w:val="none"/>
              </w:rPr>
            </w:pPr>
          </w:p>
        </w:tc>
        <w:tc>
          <w:tcPr>
            <w:tcW w:w="1843" w:type="dxa"/>
            <w:vAlign w:val="center"/>
          </w:tcPr>
          <w:p w14:paraId="03BA982F">
            <w:pPr>
              <w:jc w:val="center"/>
              <w:rPr>
                <w:color w:val="auto"/>
                <w:highlight w:val="none"/>
              </w:rPr>
            </w:pPr>
          </w:p>
        </w:tc>
      </w:tr>
      <w:tr w14:paraId="56C76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287702A5">
            <w:pPr>
              <w:jc w:val="center"/>
              <w:rPr>
                <w:color w:val="auto"/>
                <w:highlight w:val="none"/>
              </w:rPr>
            </w:pPr>
            <w:r>
              <w:rPr>
                <w:color w:val="auto"/>
                <w:highlight w:val="none"/>
              </w:rPr>
              <w:t>10</w:t>
            </w:r>
          </w:p>
        </w:tc>
        <w:tc>
          <w:tcPr>
            <w:tcW w:w="1985" w:type="dxa"/>
            <w:vAlign w:val="center"/>
          </w:tcPr>
          <w:p w14:paraId="52071587">
            <w:pPr>
              <w:rPr>
                <w:color w:val="auto"/>
                <w:highlight w:val="none"/>
              </w:rPr>
            </w:pPr>
            <w:r>
              <w:rPr>
                <w:rFonts w:hint="eastAsia" w:cs="宋体"/>
                <w:color w:val="auto"/>
                <w:highlight w:val="none"/>
              </w:rPr>
              <w:t>预付款额度</w:t>
            </w:r>
          </w:p>
        </w:tc>
        <w:tc>
          <w:tcPr>
            <w:tcW w:w="2126" w:type="dxa"/>
            <w:tcMar>
              <w:left w:w="170" w:type="dxa"/>
            </w:tcMar>
            <w:vAlign w:val="center"/>
          </w:tcPr>
          <w:p w14:paraId="482F135B">
            <w:pPr>
              <w:jc w:val="center"/>
              <w:rPr>
                <w:color w:val="auto"/>
                <w:highlight w:val="none"/>
              </w:rPr>
            </w:pPr>
            <w:r>
              <w:rPr>
                <w:rFonts w:hint="eastAsia" w:cs="宋体"/>
                <w:color w:val="auto"/>
                <w:highlight w:val="none"/>
              </w:rPr>
              <w:t>专用条款</w:t>
            </w:r>
          </w:p>
        </w:tc>
        <w:tc>
          <w:tcPr>
            <w:tcW w:w="1984" w:type="dxa"/>
            <w:vAlign w:val="center"/>
          </w:tcPr>
          <w:p w14:paraId="5179534C">
            <w:pPr>
              <w:jc w:val="center"/>
              <w:rPr>
                <w:color w:val="auto"/>
                <w:highlight w:val="none"/>
              </w:rPr>
            </w:pPr>
          </w:p>
        </w:tc>
        <w:tc>
          <w:tcPr>
            <w:tcW w:w="1843" w:type="dxa"/>
            <w:vAlign w:val="center"/>
          </w:tcPr>
          <w:p w14:paraId="53CF05A3">
            <w:pPr>
              <w:jc w:val="center"/>
              <w:rPr>
                <w:color w:val="auto"/>
                <w:highlight w:val="none"/>
              </w:rPr>
            </w:pPr>
          </w:p>
        </w:tc>
      </w:tr>
      <w:tr w14:paraId="77CBE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6AF93D93">
            <w:pPr>
              <w:jc w:val="center"/>
              <w:rPr>
                <w:color w:val="auto"/>
                <w:highlight w:val="none"/>
              </w:rPr>
            </w:pPr>
            <w:r>
              <w:rPr>
                <w:color w:val="auto"/>
                <w:highlight w:val="none"/>
              </w:rPr>
              <w:t>11</w:t>
            </w:r>
          </w:p>
        </w:tc>
        <w:tc>
          <w:tcPr>
            <w:tcW w:w="1985" w:type="dxa"/>
            <w:vAlign w:val="center"/>
          </w:tcPr>
          <w:p w14:paraId="2B6B10BC">
            <w:pPr>
              <w:rPr>
                <w:color w:val="auto"/>
                <w:highlight w:val="none"/>
              </w:rPr>
            </w:pPr>
            <w:r>
              <w:rPr>
                <w:rFonts w:hint="eastAsia" w:cs="宋体"/>
                <w:color w:val="auto"/>
                <w:highlight w:val="none"/>
              </w:rPr>
              <w:t>预付款保函金额</w:t>
            </w:r>
          </w:p>
        </w:tc>
        <w:tc>
          <w:tcPr>
            <w:tcW w:w="2126" w:type="dxa"/>
            <w:tcMar>
              <w:left w:w="170" w:type="dxa"/>
            </w:tcMar>
            <w:vAlign w:val="center"/>
          </w:tcPr>
          <w:p w14:paraId="653CE0E9">
            <w:pPr>
              <w:jc w:val="center"/>
              <w:rPr>
                <w:color w:val="auto"/>
                <w:highlight w:val="none"/>
              </w:rPr>
            </w:pPr>
            <w:r>
              <w:rPr>
                <w:rFonts w:hint="eastAsia" w:cs="宋体"/>
                <w:color w:val="auto"/>
                <w:highlight w:val="none"/>
              </w:rPr>
              <w:t>专用条款</w:t>
            </w:r>
          </w:p>
        </w:tc>
        <w:tc>
          <w:tcPr>
            <w:tcW w:w="1984" w:type="dxa"/>
            <w:vAlign w:val="center"/>
          </w:tcPr>
          <w:p w14:paraId="3C91B2FC">
            <w:pPr>
              <w:jc w:val="center"/>
              <w:rPr>
                <w:color w:val="auto"/>
                <w:highlight w:val="none"/>
              </w:rPr>
            </w:pPr>
          </w:p>
        </w:tc>
        <w:tc>
          <w:tcPr>
            <w:tcW w:w="1843" w:type="dxa"/>
            <w:vAlign w:val="center"/>
          </w:tcPr>
          <w:p w14:paraId="709890AA">
            <w:pPr>
              <w:jc w:val="center"/>
              <w:rPr>
                <w:color w:val="auto"/>
                <w:highlight w:val="none"/>
              </w:rPr>
            </w:pPr>
          </w:p>
        </w:tc>
      </w:tr>
      <w:tr w14:paraId="79F2D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1BF66498">
            <w:pPr>
              <w:jc w:val="center"/>
              <w:rPr>
                <w:color w:val="auto"/>
                <w:highlight w:val="none"/>
              </w:rPr>
            </w:pPr>
            <w:r>
              <w:rPr>
                <w:color w:val="auto"/>
                <w:highlight w:val="none"/>
              </w:rPr>
              <w:t>12</w:t>
            </w:r>
          </w:p>
        </w:tc>
        <w:tc>
          <w:tcPr>
            <w:tcW w:w="1985" w:type="dxa"/>
            <w:vAlign w:val="center"/>
          </w:tcPr>
          <w:p w14:paraId="2370F4F5">
            <w:pPr>
              <w:rPr>
                <w:color w:val="auto"/>
                <w:highlight w:val="none"/>
              </w:rPr>
            </w:pPr>
            <w:r>
              <w:rPr>
                <w:rFonts w:hint="eastAsia" w:cs="宋体"/>
                <w:color w:val="auto"/>
                <w:highlight w:val="none"/>
              </w:rPr>
              <w:t>质量保证金额度</w:t>
            </w:r>
          </w:p>
        </w:tc>
        <w:tc>
          <w:tcPr>
            <w:tcW w:w="2126" w:type="dxa"/>
            <w:tcMar>
              <w:left w:w="170" w:type="dxa"/>
            </w:tcMar>
            <w:vAlign w:val="center"/>
          </w:tcPr>
          <w:p w14:paraId="47B905BD">
            <w:pPr>
              <w:jc w:val="center"/>
              <w:rPr>
                <w:color w:val="auto"/>
                <w:highlight w:val="none"/>
              </w:rPr>
            </w:pPr>
            <w:r>
              <w:rPr>
                <w:rFonts w:hint="eastAsia" w:cs="宋体"/>
                <w:color w:val="auto"/>
                <w:highlight w:val="none"/>
              </w:rPr>
              <w:t>专用条款</w:t>
            </w:r>
          </w:p>
        </w:tc>
        <w:tc>
          <w:tcPr>
            <w:tcW w:w="1984" w:type="dxa"/>
            <w:vAlign w:val="center"/>
          </w:tcPr>
          <w:p w14:paraId="78AB5691">
            <w:pPr>
              <w:jc w:val="center"/>
              <w:rPr>
                <w:color w:val="auto"/>
                <w:highlight w:val="none"/>
              </w:rPr>
            </w:pPr>
          </w:p>
        </w:tc>
        <w:tc>
          <w:tcPr>
            <w:tcW w:w="1843" w:type="dxa"/>
            <w:vAlign w:val="center"/>
          </w:tcPr>
          <w:p w14:paraId="7BC8133B">
            <w:pPr>
              <w:jc w:val="center"/>
              <w:rPr>
                <w:color w:val="auto"/>
                <w:highlight w:val="none"/>
              </w:rPr>
            </w:pPr>
          </w:p>
        </w:tc>
      </w:tr>
      <w:tr w14:paraId="02CC7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712146DC">
            <w:pPr>
              <w:jc w:val="center"/>
              <w:rPr>
                <w:color w:val="auto"/>
                <w:highlight w:val="none"/>
              </w:rPr>
            </w:pPr>
            <w:r>
              <w:rPr>
                <w:color w:val="auto"/>
                <w:highlight w:val="none"/>
              </w:rPr>
              <w:t>……</w:t>
            </w:r>
          </w:p>
        </w:tc>
        <w:tc>
          <w:tcPr>
            <w:tcW w:w="1985" w:type="dxa"/>
            <w:vAlign w:val="center"/>
          </w:tcPr>
          <w:p w14:paraId="317D879F">
            <w:pPr>
              <w:jc w:val="center"/>
              <w:rPr>
                <w:color w:val="auto"/>
                <w:highlight w:val="none"/>
              </w:rPr>
            </w:pPr>
            <w:r>
              <w:rPr>
                <w:color w:val="auto"/>
                <w:highlight w:val="none"/>
              </w:rPr>
              <w:t>……</w:t>
            </w:r>
          </w:p>
        </w:tc>
        <w:tc>
          <w:tcPr>
            <w:tcW w:w="2126" w:type="dxa"/>
            <w:tcMar>
              <w:left w:w="170" w:type="dxa"/>
            </w:tcMar>
            <w:vAlign w:val="center"/>
          </w:tcPr>
          <w:p w14:paraId="53C65E01">
            <w:pPr>
              <w:rPr>
                <w:color w:val="auto"/>
                <w:highlight w:val="none"/>
              </w:rPr>
            </w:pPr>
          </w:p>
        </w:tc>
        <w:tc>
          <w:tcPr>
            <w:tcW w:w="1984" w:type="dxa"/>
            <w:vAlign w:val="center"/>
          </w:tcPr>
          <w:p w14:paraId="1C81A84B">
            <w:pPr>
              <w:jc w:val="center"/>
              <w:rPr>
                <w:color w:val="auto"/>
                <w:highlight w:val="none"/>
              </w:rPr>
            </w:pPr>
          </w:p>
        </w:tc>
        <w:tc>
          <w:tcPr>
            <w:tcW w:w="1843" w:type="dxa"/>
            <w:vAlign w:val="center"/>
          </w:tcPr>
          <w:p w14:paraId="20C6E5BC">
            <w:pPr>
              <w:jc w:val="center"/>
              <w:rPr>
                <w:color w:val="auto"/>
                <w:highlight w:val="none"/>
              </w:rPr>
            </w:pPr>
          </w:p>
        </w:tc>
      </w:tr>
      <w:tr w14:paraId="50B45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8930" w:type="dxa"/>
            <w:gridSpan w:val="5"/>
            <w:vAlign w:val="center"/>
          </w:tcPr>
          <w:p w14:paraId="7E6C0A6C">
            <w:pPr>
              <w:spacing w:line="360" w:lineRule="auto"/>
              <w:rPr>
                <w:color w:val="auto"/>
                <w:highlight w:val="none"/>
              </w:rPr>
            </w:pPr>
            <w:r>
              <w:rPr>
                <w:rFonts w:hint="eastAsia" w:cs="宋体"/>
                <w:color w:val="auto"/>
                <w:highlight w:val="none"/>
              </w:rPr>
              <w:t>说明：供应商在响应磋商文件中规定的实质性要求和条件的基础上，可做出其他有利于采购人的承诺。此类承诺可在本表中予以补充填写。</w:t>
            </w:r>
          </w:p>
        </w:tc>
      </w:tr>
    </w:tbl>
    <w:p w14:paraId="127DA84D">
      <w:pPr>
        <w:spacing w:line="360" w:lineRule="auto"/>
        <w:ind w:right="-817" w:rightChars="-389" w:firstLine="2640" w:firstLineChars="1100"/>
        <w:contextualSpacing/>
        <w:rPr>
          <w:rFonts w:ascii="宋体" w:hAnsi="宋体" w:cs="仿宋_GB2312"/>
          <w:color w:val="auto"/>
          <w:sz w:val="24"/>
          <w:highlight w:val="none"/>
        </w:rPr>
      </w:pPr>
    </w:p>
    <w:p w14:paraId="3B97CE30">
      <w:pPr>
        <w:spacing w:line="360" w:lineRule="auto"/>
        <w:ind w:right="-817" w:rightChars="-389" w:firstLine="2640" w:firstLineChars="1100"/>
        <w:contextualSpacing/>
        <w:rPr>
          <w:rFonts w:ascii="宋体" w:hAnsi="宋体" w:cs="仿宋_GB2312"/>
          <w:color w:val="auto"/>
          <w:sz w:val="24"/>
          <w:highlight w:val="none"/>
        </w:rPr>
      </w:pPr>
      <w:r>
        <w:rPr>
          <w:rFonts w:hint="eastAsia" w:ascii="宋体" w:hAnsi="宋体" w:cs="仿宋_GB2312"/>
          <w:color w:val="auto"/>
          <w:sz w:val="24"/>
          <w:highlight w:val="none"/>
        </w:rPr>
        <w:t xml:space="preserve">法定代表人或者委托代理人（签字或者电子签名）：                    </w:t>
      </w:r>
    </w:p>
    <w:p w14:paraId="2B7CC1D6">
      <w:pPr>
        <w:spacing w:line="360" w:lineRule="auto"/>
        <w:ind w:right="-817" w:rightChars="-389" w:firstLine="2640" w:firstLineChars="11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41E474DC">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7F7F3ABB">
      <w:pPr>
        <w:spacing w:line="360" w:lineRule="auto"/>
        <w:jc w:val="center"/>
        <w:rPr>
          <w:rFonts w:ascii="方正小标宋简体" w:hAnsi="方正小标宋简体" w:eastAsia="方正小标宋简体" w:cs="方正小标宋简体"/>
          <w:bCs/>
          <w:color w:val="auto"/>
          <w:sz w:val="32"/>
          <w:szCs w:val="32"/>
          <w:highlight w:val="none"/>
        </w:rPr>
      </w:pPr>
      <w:r>
        <w:rPr>
          <w:rFonts w:ascii="宋体" w:hAnsi="宋体" w:cs="仿宋_GB2312"/>
          <w:color w:val="auto"/>
          <w:sz w:val="24"/>
          <w:highlight w:val="none"/>
        </w:rPr>
        <w:br w:type="page"/>
      </w:r>
      <w:r>
        <w:rPr>
          <w:rFonts w:hint="eastAsia" w:ascii="宋体" w:hAnsi="宋体" w:cs="方正小标宋简体"/>
          <w:b/>
          <w:bCs/>
          <w:color w:val="auto"/>
          <w:sz w:val="32"/>
          <w:szCs w:val="32"/>
          <w:highlight w:val="none"/>
        </w:rPr>
        <w:t>竞标报价表</w:t>
      </w:r>
    </w:p>
    <w:p w14:paraId="600E87EF">
      <w:pPr>
        <w:spacing w:line="440" w:lineRule="exact"/>
        <w:jc w:val="center"/>
        <w:rPr>
          <w:rFonts w:ascii="方正小标宋简体" w:hAnsi="方正小标宋简体" w:eastAsia="方正小标宋简体" w:cs="方正小标宋简体"/>
          <w:bCs/>
          <w:color w:val="auto"/>
          <w:sz w:val="32"/>
          <w:szCs w:val="32"/>
          <w:highlight w:val="none"/>
        </w:rPr>
      </w:pPr>
    </w:p>
    <w:p w14:paraId="65720BEF">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项目名称：项目编号：</w:t>
      </w:r>
    </w:p>
    <w:p w14:paraId="1A8139E4">
      <w:pPr>
        <w:spacing w:line="360" w:lineRule="auto"/>
        <w:contextualSpacing/>
        <w:rPr>
          <w:rFonts w:ascii="宋体" w:hAnsi="宋体" w:cs="仿宋_GB2312"/>
          <w:color w:val="auto"/>
          <w:sz w:val="24"/>
          <w:highlight w:val="none"/>
          <w:u w:val="single"/>
        </w:rPr>
      </w:pPr>
      <w:r>
        <w:rPr>
          <w:rFonts w:hint="eastAsia" w:ascii="宋体" w:hAnsi="宋体" w:cs="仿宋_GB2312"/>
          <w:color w:val="auto"/>
          <w:sz w:val="24"/>
          <w:highlight w:val="none"/>
        </w:rPr>
        <w:t>分标（如有）：</w:t>
      </w:r>
    </w:p>
    <w:p w14:paraId="2301335D">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供应商名称：</w:t>
      </w:r>
    </w:p>
    <w:p w14:paraId="3B575649">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 xml:space="preserve">                                                单位：元</w:t>
      </w:r>
    </w:p>
    <w:tbl>
      <w:tblPr>
        <w:tblStyle w:val="55"/>
        <w:tblW w:w="9095"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2712"/>
        <w:gridCol w:w="1505"/>
        <w:gridCol w:w="3107"/>
        <w:gridCol w:w="1184"/>
      </w:tblGrid>
      <w:tr w14:paraId="0F262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587" w:type="dxa"/>
            <w:tcBorders>
              <w:top w:val="single" w:color="auto" w:sz="4" w:space="0"/>
              <w:left w:val="single" w:color="auto" w:sz="4" w:space="0"/>
              <w:bottom w:val="single" w:color="auto" w:sz="4" w:space="0"/>
              <w:right w:val="single" w:color="auto" w:sz="4" w:space="0"/>
            </w:tcBorders>
            <w:vAlign w:val="center"/>
          </w:tcPr>
          <w:p w14:paraId="1698B6F4">
            <w:pPr>
              <w:spacing w:line="360" w:lineRule="auto"/>
              <w:contextualSpacing/>
              <w:jc w:val="center"/>
              <w:rPr>
                <w:rFonts w:ascii="宋体" w:hAnsi="宋体" w:cs="仿宋_GB2312"/>
                <w:color w:val="auto"/>
                <w:sz w:val="24"/>
                <w:highlight w:val="none"/>
              </w:rPr>
            </w:pPr>
            <w:r>
              <w:rPr>
                <w:rFonts w:ascii="宋体" w:hAnsi="宋体" w:cs="仿宋_GB2312"/>
                <w:color w:val="auto"/>
                <w:sz w:val="24"/>
                <w:highlight w:val="none"/>
              </w:rPr>
              <w:t>序号</w:t>
            </w:r>
          </w:p>
        </w:tc>
        <w:tc>
          <w:tcPr>
            <w:tcW w:w="2712" w:type="dxa"/>
            <w:tcBorders>
              <w:top w:val="single" w:color="auto" w:sz="4" w:space="0"/>
              <w:left w:val="single" w:color="auto" w:sz="4" w:space="0"/>
              <w:bottom w:val="single" w:color="auto" w:sz="4" w:space="0"/>
              <w:right w:val="single" w:color="auto" w:sz="4" w:space="0"/>
            </w:tcBorders>
            <w:vAlign w:val="center"/>
          </w:tcPr>
          <w:p w14:paraId="16A26968">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标的</w:t>
            </w:r>
            <w:r>
              <w:rPr>
                <w:rFonts w:ascii="宋体" w:hAnsi="宋体" w:cs="仿宋_GB2312"/>
                <w:color w:val="auto"/>
                <w:sz w:val="24"/>
                <w:highlight w:val="none"/>
              </w:rPr>
              <w:t>名称</w:t>
            </w:r>
          </w:p>
        </w:tc>
        <w:tc>
          <w:tcPr>
            <w:tcW w:w="1505" w:type="dxa"/>
            <w:tcBorders>
              <w:top w:val="single" w:color="auto" w:sz="4" w:space="0"/>
              <w:left w:val="single" w:color="auto" w:sz="4" w:space="0"/>
              <w:bottom w:val="single" w:color="auto" w:sz="4" w:space="0"/>
              <w:right w:val="single" w:color="auto" w:sz="4" w:space="0"/>
            </w:tcBorders>
            <w:vAlign w:val="center"/>
          </w:tcPr>
          <w:p w14:paraId="349FED2F">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数量及单位</w:t>
            </w:r>
          </w:p>
        </w:tc>
        <w:tc>
          <w:tcPr>
            <w:tcW w:w="3107" w:type="dxa"/>
            <w:tcBorders>
              <w:top w:val="single" w:color="auto" w:sz="4" w:space="0"/>
              <w:left w:val="single" w:color="auto" w:sz="4" w:space="0"/>
              <w:bottom w:val="single" w:color="auto" w:sz="4" w:space="0"/>
              <w:right w:val="single" w:color="auto" w:sz="4" w:space="0"/>
            </w:tcBorders>
            <w:vAlign w:val="center"/>
          </w:tcPr>
          <w:p w14:paraId="13348592">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总价</w:t>
            </w:r>
          </w:p>
        </w:tc>
        <w:tc>
          <w:tcPr>
            <w:tcW w:w="1184" w:type="dxa"/>
            <w:tcBorders>
              <w:top w:val="single" w:color="auto" w:sz="4" w:space="0"/>
              <w:left w:val="single" w:color="auto" w:sz="4" w:space="0"/>
              <w:bottom w:val="single" w:color="auto" w:sz="4" w:space="0"/>
              <w:right w:val="single" w:color="auto" w:sz="4" w:space="0"/>
            </w:tcBorders>
            <w:vAlign w:val="center"/>
          </w:tcPr>
          <w:p w14:paraId="01A03089">
            <w:pPr>
              <w:spacing w:line="360" w:lineRule="auto"/>
              <w:contextualSpacing/>
              <w:jc w:val="center"/>
              <w:rPr>
                <w:rFonts w:ascii="宋体" w:hAnsi="宋体" w:cs="仿宋_GB2312"/>
                <w:color w:val="auto"/>
                <w:sz w:val="24"/>
                <w:highlight w:val="none"/>
              </w:rPr>
            </w:pPr>
            <w:r>
              <w:rPr>
                <w:rFonts w:ascii="宋体" w:hAnsi="宋体" w:cs="仿宋_GB2312"/>
                <w:color w:val="auto"/>
                <w:sz w:val="24"/>
                <w:highlight w:val="none"/>
              </w:rPr>
              <w:t>备注</w:t>
            </w:r>
          </w:p>
        </w:tc>
      </w:tr>
      <w:tr w14:paraId="7B436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587" w:type="dxa"/>
            <w:tcBorders>
              <w:top w:val="single" w:color="auto" w:sz="4" w:space="0"/>
              <w:left w:val="single" w:color="auto" w:sz="4" w:space="0"/>
              <w:bottom w:val="single" w:color="auto" w:sz="4" w:space="0"/>
              <w:right w:val="single" w:color="auto" w:sz="4" w:space="0"/>
            </w:tcBorders>
            <w:vAlign w:val="center"/>
          </w:tcPr>
          <w:p w14:paraId="61C93F27">
            <w:pPr>
              <w:spacing w:line="360" w:lineRule="auto"/>
              <w:contextualSpacing/>
              <w:jc w:val="center"/>
              <w:rPr>
                <w:rFonts w:ascii="宋体" w:hAnsi="宋体" w:cs="仿宋_GB2312"/>
                <w:color w:val="auto"/>
                <w:sz w:val="24"/>
                <w:highlight w:val="none"/>
              </w:rPr>
            </w:pPr>
            <w:r>
              <w:rPr>
                <w:rFonts w:ascii="宋体" w:hAnsi="宋体" w:cs="仿宋_GB2312"/>
                <w:color w:val="auto"/>
                <w:sz w:val="24"/>
                <w:highlight w:val="none"/>
              </w:rPr>
              <w:t>1</w:t>
            </w:r>
          </w:p>
        </w:tc>
        <w:tc>
          <w:tcPr>
            <w:tcW w:w="2712" w:type="dxa"/>
            <w:tcBorders>
              <w:top w:val="single" w:color="auto" w:sz="4" w:space="0"/>
              <w:left w:val="single" w:color="auto" w:sz="4" w:space="0"/>
              <w:bottom w:val="single" w:color="auto" w:sz="4" w:space="0"/>
              <w:right w:val="single" w:color="auto" w:sz="4" w:space="0"/>
            </w:tcBorders>
            <w:vAlign w:val="center"/>
          </w:tcPr>
          <w:p w14:paraId="0D3EF11D">
            <w:pPr>
              <w:spacing w:line="360" w:lineRule="auto"/>
              <w:contextualSpacing/>
              <w:jc w:val="center"/>
              <w:rPr>
                <w:rFonts w:ascii="宋体" w:hAnsi="宋体" w:cs="仿宋_GB2312"/>
                <w:color w:val="auto"/>
                <w:sz w:val="24"/>
                <w:highlight w:val="none"/>
              </w:rPr>
            </w:pPr>
          </w:p>
        </w:tc>
        <w:tc>
          <w:tcPr>
            <w:tcW w:w="1505" w:type="dxa"/>
            <w:tcBorders>
              <w:top w:val="single" w:color="auto" w:sz="4" w:space="0"/>
              <w:left w:val="single" w:color="auto" w:sz="4" w:space="0"/>
              <w:bottom w:val="single" w:color="auto" w:sz="4" w:space="0"/>
              <w:right w:val="single" w:color="auto" w:sz="4" w:space="0"/>
            </w:tcBorders>
            <w:vAlign w:val="center"/>
          </w:tcPr>
          <w:p w14:paraId="4954FD94">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1项</w:t>
            </w:r>
          </w:p>
        </w:tc>
        <w:tc>
          <w:tcPr>
            <w:tcW w:w="3107" w:type="dxa"/>
            <w:tcBorders>
              <w:top w:val="single" w:color="auto" w:sz="4" w:space="0"/>
              <w:left w:val="single" w:color="auto" w:sz="4" w:space="0"/>
              <w:bottom w:val="single" w:color="auto" w:sz="4" w:space="0"/>
              <w:right w:val="single" w:color="auto" w:sz="4" w:space="0"/>
            </w:tcBorders>
          </w:tcPr>
          <w:p w14:paraId="4F9C6A02">
            <w:pPr>
              <w:spacing w:line="360" w:lineRule="auto"/>
              <w:contextualSpacing/>
              <w:rPr>
                <w:rFonts w:ascii="宋体" w:hAnsi="宋体" w:cs="仿宋_GB2312"/>
                <w:color w:val="auto"/>
                <w:sz w:val="24"/>
                <w:highlight w:val="none"/>
              </w:rPr>
            </w:pPr>
          </w:p>
        </w:tc>
        <w:tc>
          <w:tcPr>
            <w:tcW w:w="1184" w:type="dxa"/>
            <w:tcBorders>
              <w:top w:val="single" w:color="auto" w:sz="4" w:space="0"/>
              <w:left w:val="single" w:color="auto" w:sz="4" w:space="0"/>
              <w:bottom w:val="single" w:color="auto" w:sz="4" w:space="0"/>
              <w:right w:val="single" w:color="auto" w:sz="4" w:space="0"/>
            </w:tcBorders>
            <w:vAlign w:val="center"/>
          </w:tcPr>
          <w:p w14:paraId="15F21D00">
            <w:pPr>
              <w:spacing w:line="360" w:lineRule="auto"/>
              <w:contextualSpacing/>
              <w:rPr>
                <w:rFonts w:ascii="宋体" w:hAnsi="宋体" w:cs="仿宋_GB2312"/>
                <w:color w:val="auto"/>
                <w:sz w:val="24"/>
                <w:highlight w:val="none"/>
              </w:rPr>
            </w:pPr>
          </w:p>
        </w:tc>
      </w:tr>
    </w:tbl>
    <w:p w14:paraId="5F2D32ED">
      <w:pPr>
        <w:spacing w:line="360" w:lineRule="auto"/>
        <w:contextualSpacing/>
        <w:jc w:val="left"/>
        <w:rPr>
          <w:rFonts w:ascii="宋体" w:hAnsi="宋体" w:cs="仿宋_GB2312"/>
          <w:color w:val="auto"/>
          <w:sz w:val="24"/>
          <w:highlight w:val="none"/>
        </w:rPr>
      </w:pPr>
    </w:p>
    <w:p w14:paraId="6E10FB8C">
      <w:pPr>
        <w:spacing w:line="360" w:lineRule="auto"/>
        <w:contextualSpacing/>
        <w:jc w:val="left"/>
        <w:rPr>
          <w:rFonts w:ascii="宋体" w:hAnsi="宋体" w:cs="仿宋_GB2312"/>
          <w:color w:val="auto"/>
          <w:sz w:val="24"/>
          <w:highlight w:val="none"/>
        </w:rPr>
      </w:pPr>
      <w:r>
        <w:rPr>
          <w:rFonts w:hint="eastAsia" w:ascii="宋体" w:hAnsi="宋体" w:cs="仿宋_GB2312"/>
          <w:color w:val="auto"/>
          <w:sz w:val="24"/>
          <w:highlight w:val="none"/>
        </w:rPr>
        <w:t>注：</w:t>
      </w:r>
    </w:p>
    <w:p w14:paraId="6FCAEE4A">
      <w:pPr>
        <w:spacing w:line="360" w:lineRule="auto"/>
        <w:ind w:firstLine="480" w:firstLineChars="200"/>
        <w:contextualSpacing/>
        <w:jc w:val="left"/>
        <w:rPr>
          <w:rFonts w:ascii="宋体" w:hAnsi="宋体" w:cs="仿宋_GB2312"/>
          <w:color w:val="auto"/>
          <w:sz w:val="24"/>
          <w:highlight w:val="none"/>
        </w:rPr>
      </w:pPr>
      <w:r>
        <w:rPr>
          <w:rFonts w:hint="eastAsia" w:ascii="宋体" w:hAnsi="宋体" w:cs="仿宋_GB2312"/>
          <w:color w:val="auto"/>
          <w:sz w:val="24"/>
          <w:highlight w:val="none"/>
        </w:rPr>
        <w:t>1. 供应商的报价表必须加盖供应商电子签章并由法定代表人或者委托代理人签字或者电子签名，</w:t>
      </w:r>
      <w:r>
        <w:rPr>
          <w:rFonts w:hint="eastAsia" w:ascii="宋体" w:hAnsi="宋体" w:cs="仿宋_GB2312"/>
          <w:b/>
          <w:color w:val="auto"/>
          <w:sz w:val="24"/>
          <w:highlight w:val="none"/>
        </w:rPr>
        <w:t>否则其响应文件按无效处理</w:t>
      </w:r>
      <w:r>
        <w:rPr>
          <w:rFonts w:hint="eastAsia" w:ascii="宋体" w:hAnsi="宋体" w:cs="仿宋_GB2312"/>
          <w:color w:val="auto"/>
          <w:sz w:val="24"/>
          <w:highlight w:val="none"/>
        </w:rPr>
        <w:t>。</w:t>
      </w:r>
    </w:p>
    <w:p w14:paraId="00AD20A8">
      <w:pPr>
        <w:spacing w:line="360" w:lineRule="auto"/>
        <w:ind w:firstLine="480" w:firstLineChars="200"/>
        <w:contextualSpacing/>
        <w:jc w:val="left"/>
        <w:rPr>
          <w:rFonts w:ascii="宋体" w:hAnsi="宋体" w:cs="仿宋_GB2312"/>
          <w:b/>
          <w:color w:val="auto"/>
          <w:sz w:val="24"/>
          <w:highlight w:val="none"/>
        </w:rPr>
      </w:pPr>
      <w:r>
        <w:rPr>
          <w:rFonts w:hint="eastAsia" w:ascii="宋体" w:hAnsi="宋体" w:cs="仿宋_GB2312"/>
          <w:bCs/>
          <w:color w:val="auto"/>
          <w:sz w:val="24"/>
          <w:highlight w:val="none"/>
        </w:rPr>
        <w:t>2.</w:t>
      </w:r>
      <w:r>
        <w:rPr>
          <w:rFonts w:hint="eastAsia" w:ascii="宋体" w:hAnsi="宋体" w:cs="仿宋_GB2312"/>
          <w:color w:val="auto"/>
          <w:sz w:val="24"/>
          <w:highlight w:val="none"/>
        </w:rPr>
        <w:t xml:space="preserve"> 报价一经涂改，应在涂改处加盖供应商公章或者加盖电子签章或者由法定代表人或者授权委托人签字</w:t>
      </w:r>
      <w:r>
        <w:rPr>
          <w:rFonts w:hint="eastAsia" w:ascii="宋体" w:hAnsi="宋体"/>
          <w:color w:val="auto"/>
          <w:sz w:val="24"/>
          <w:highlight w:val="none"/>
        </w:rPr>
        <w:t>（或者电子签名）</w:t>
      </w:r>
      <w:r>
        <w:rPr>
          <w:rFonts w:hint="eastAsia" w:ascii="宋体" w:hAnsi="宋体" w:cs="仿宋_GB2312"/>
          <w:b/>
          <w:color w:val="auto"/>
          <w:sz w:val="24"/>
          <w:highlight w:val="none"/>
        </w:rPr>
        <w:t>，否则其响应文件按无效处理。</w:t>
      </w:r>
    </w:p>
    <w:p w14:paraId="054BBA79">
      <w:pPr>
        <w:spacing w:line="360" w:lineRule="auto"/>
        <w:ind w:firstLine="480" w:firstLineChars="200"/>
        <w:contextualSpacing/>
        <w:jc w:val="left"/>
        <w:rPr>
          <w:rFonts w:ascii="宋体" w:hAnsi="宋体" w:cs="仿宋_GB2312"/>
          <w:b/>
          <w:color w:val="auto"/>
          <w:sz w:val="24"/>
          <w:highlight w:val="none"/>
        </w:rPr>
      </w:pPr>
      <w:r>
        <w:rPr>
          <w:rFonts w:ascii="宋体" w:hAnsi="宋体" w:cs="仿宋_GB2312"/>
          <w:color w:val="auto"/>
          <w:sz w:val="24"/>
          <w:highlight w:val="none"/>
        </w:rPr>
        <w:t>3</w:t>
      </w:r>
      <w:r>
        <w:rPr>
          <w:rFonts w:hint="eastAsia" w:ascii="宋体" w:hAnsi="宋体" w:cs="仿宋_GB2312"/>
          <w:color w:val="auto"/>
          <w:sz w:val="24"/>
          <w:highlight w:val="none"/>
        </w:rPr>
        <w:t>.如为联合体竞标，“供应商名称”处必须列明联合体各方名称，标注联合体牵头人名称，</w:t>
      </w:r>
      <w:r>
        <w:rPr>
          <w:rFonts w:hint="eastAsia" w:ascii="宋体" w:hAnsi="宋体" w:cs="仿宋_GB2312"/>
          <w:b/>
          <w:color w:val="auto"/>
          <w:sz w:val="24"/>
          <w:highlight w:val="none"/>
        </w:rPr>
        <w:t>否则其响应文件按无效处理。</w:t>
      </w:r>
    </w:p>
    <w:p w14:paraId="390A9C45">
      <w:pPr>
        <w:spacing w:line="360" w:lineRule="auto"/>
        <w:ind w:firstLine="480" w:firstLineChars="200"/>
        <w:contextualSpacing/>
        <w:jc w:val="left"/>
        <w:rPr>
          <w:rFonts w:ascii="宋体" w:hAnsi="宋体" w:cs="仿宋_GB2312"/>
          <w:color w:val="auto"/>
          <w:sz w:val="24"/>
          <w:highlight w:val="none"/>
        </w:rPr>
      </w:pPr>
      <w:r>
        <w:rPr>
          <w:rFonts w:ascii="宋体" w:hAnsi="宋体" w:cs="仿宋_GB2312"/>
          <w:color w:val="auto"/>
          <w:sz w:val="24"/>
          <w:highlight w:val="none"/>
        </w:rPr>
        <w:t>4</w:t>
      </w:r>
      <w:r>
        <w:rPr>
          <w:rFonts w:hint="eastAsia" w:ascii="宋体" w:hAnsi="宋体" w:cs="仿宋_GB2312"/>
          <w:color w:val="auto"/>
          <w:sz w:val="24"/>
          <w:highlight w:val="none"/>
        </w:rPr>
        <w:t>. 如为联合体竞标，</w:t>
      </w:r>
      <w:r>
        <w:rPr>
          <w:rFonts w:hint="eastAsia" w:ascii="宋体" w:hAnsi="宋体"/>
          <w:color w:val="auto"/>
          <w:spacing w:val="-6"/>
          <w:sz w:val="24"/>
          <w:highlight w:val="none"/>
        </w:rPr>
        <w:t xml:space="preserve"> 盖章处须加盖联合体牵头人电子签章</w:t>
      </w:r>
      <w:r>
        <w:rPr>
          <w:rFonts w:hint="eastAsia" w:ascii="宋体" w:hAnsi="宋体" w:cs="仿宋_GB2312"/>
          <w:color w:val="auto"/>
          <w:sz w:val="24"/>
          <w:highlight w:val="none"/>
        </w:rPr>
        <w:t>，</w:t>
      </w:r>
      <w:r>
        <w:rPr>
          <w:rFonts w:hint="eastAsia" w:ascii="宋体" w:hAnsi="宋体" w:cs="仿宋_GB2312"/>
          <w:b/>
          <w:color w:val="auto"/>
          <w:sz w:val="24"/>
          <w:highlight w:val="none"/>
        </w:rPr>
        <w:t>否则其响应文件按无效处理。</w:t>
      </w:r>
    </w:p>
    <w:p w14:paraId="624FA30B">
      <w:pPr>
        <w:spacing w:line="360" w:lineRule="auto"/>
        <w:ind w:firstLine="480" w:firstLineChars="200"/>
        <w:contextualSpacing/>
        <w:rPr>
          <w:rFonts w:ascii="宋体" w:hAnsi="宋体" w:cs="仿宋_GB2312"/>
          <w:color w:val="auto"/>
          <w:sz w:val="24"/>
          <w:highlight w:val="none"/>
        </w:rPr>
      </w:pPr>
      <w:r>
        <w:rPr>
          <w:rFonts w:ascii="宋体" w:hAnsi="宋体" w:cs="仿宋_GB2312"/>
          <w:color w:val="auto"/>
          <w:sz w:val="24"/>
          <w:highlight w:val="none"/>
        </w:rPr>
        <w:t>5</w:t>
      </w:r>
      <w:r>
        <w:rPr>
          <w:rFonts w:hint="eastAsia" w:ascii="宋体" w:hAnsi="宋体" w:cs="仿宋_GB2312"/>
          <w:color w:val="auto"/>
          <w:sz w:val="24"/>
          <w:highlight w:val="none"/>
        </w:rPr>
        <w:t>.</w:t>
      </w:r>
      <w:r>
        <w:rPr>
          <w:rFonts w:hint="eastAsia" w:ascii="宋体" w:hAnsi="宋体" w:cs="仿宋_GB2312"/>
          <w:color w:val="auto"/>
          <w:spacing w:val="-6"/>
          <w:sz w:val="24"/>
          <w:highlight w:val="none"/>
        </w:rPr>
        <w:t>如有多分标，分别列明各分标的报价表，</w:t>
      </w:r>
      <w:r>
        <w:rPr>
          <w:rFonts w:hint="eastAsia" w:ascii="宋体" w:hAnsi="宋体" w:cs="仿宋_GB2312"/>
          <w:b/>
          <w:color w:val="auto"/>
          <w:spacing w:val="-6"/>
          <w:sz w:val="24"/>
          <w:highlight w:val="none"/>
        </w:rPr>
        <w:t>否则其响应文件按无效处理。</w:t>
      </w:r>
    </w:p>
    <w:p w14:paraId="415DC006">
      <w:pPr>
        <w:spacing w:line="360" w:lineRule="auto"/>
        <w:ind w:right="-817" w:rightChars="-389"/>
        <w:contextualSpacing/>
        <w:rPr>
          <w:rFonts w:ascii="宋体" w:hAnsi="宋体" w:cs="仿宋_GB2312"/>
          <w:color w:val="auto"/>
          <w:sz w:val="24"/>
          <w:highlight w:val="none"/>
        </w:rPr>
      </w:pPr>
    </w:p>
    <w:p w14:paraId="5CDCA5D4">
      <w:pPr>
        <w:spacing w:line="360" w:lineRule="auto"/>
        <w:ind w:right="-817" w:rightChars="-389" w:firstLine="2640" w:firstLineChars="1100"/>
        <w:contextualSpacing/>
        <w:rPr>
          <w:rFonts w:ascii="宋体" w:hAnsi="宋体" w:cs="仿宋_GB2312"/>
          <w:color w:val="auto"/>
          <w:sz w:val="24"/>
          <w:highlight w:val="none"/>
        </w:rPr>
      </w:pPr>
      <w:r>
        <w:rPr>
          <w:rFonts w:hint="eastAsia" w:ascii="宋体" w:hAnsi="宋体" w:cs="仿宋_GB2312"/>
          <w:color w:val="auto"/>
          <w:sz w:val="24"/>
          <w:highlight w:val="none"/>
        </w:rPr>
        <w:t xml:space="preserve">法定代表人或者委托代理人（签字或者电子签名）：                    </w:t>
      </w:r>
    </w:p>
    <w:p w14:paraId="32508841">
      <w:pPr>
        <w:spacing w:line="360" w:lineRule="auto"/>
        <w:ind w:right="-817" w:rightChars="-389" w:firstLine="2640" w:firstLineChars="11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73C20D1C">
      <w:pPr>
        <w:spacing w:line="360" w:lineRule="auto"/>
        <w:ind w:right="-817" w:rightChars="-389" w:firstLine="4080" w:firstLineChars="17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3503BA0A">
      <w:pPr>
        <w:spacing w:line="360" w:lineRule="auto"/>
        <w:contextualSpacing/>
        <w:jc w:val="center"/>
        <w:rPr>
          <w:rFonts w:ascii="宋体" w:hAnsi="宋体" w:cs="仿宋_GB2312"/>
          <w:b/>
          <w:color w:val="auto"/>
          <w:sz w:val="32"/>
          <w:szCs w:val="32"/>
          <w:highlight w:val="none"/>
        </w:rPr>
      </w:pPr>
      <w:r>
        <w:rPr>
          <w:rFonts w:ascii="宋体" w:hAnsi="宋体" w:cs="仿宋_GB2312"/>
          <w:color w:val="auto"/>
          <w:sz w:val="24"/>
          <w:highlight w:val="none"/>
        </w:rPr>
        <w:br w:type="page"/>
      </w:r>
      <w:r>
        <w:rPr>
          <w:rFonts w:hint="eastAsia" w:ascii="宋体" w:hAnsi="宋体" w:cs="宋体"/>
          <w:b/>
          <w:color w:val="auto"/>
          <w:sz w:val="32"/>
          <w:szCs w:val="32"/>
          <w:highlight w:val="none"/>
        </w:rPr>
        <w:t>已标价工程量清单</w:t>
      </w:r>
    </w:p>
    <w:p w14:paraId="4950A32D">
      <w:pPr>
        <w:spacing w:line="360" w:lineRule="auto"/>
        <w:ind w:firstLine="420" w:firstLineChars="200"/>
        <w:rPr>
          <w:color w:val="auto"/>
          <w:highlight w:val="none"/>
        </w:rPr>
      </w:pPr>
      <w:r>
        <w:rPr>
          <w:color w:val="auto"/>
          <w:highlight w:val="none"/>
        </w:rPr>
        <w:t xml:space="preserve">1. </w:t>
      </w:r>
      <w:r>
        <w:rPr>
          <w:rFonts w:hint="eastAsia" w:cs="宋体"/>
          <w:color w:val="auto"/>
          <w:highlight w:val="none"/>
        </w:rPr>
        <w:t>已标价工程量清单应按第五章</w:t>
      </w:r>
      <w:r>
        <w:rPr>
          <w:rFonts w:hint="eastAsia"/>
          <w:color w:val="auto"/>
          <w:highlight w:val="none"/>
        </w:rPr>
        <w:t>“工程量清单及图纸”</w:t>
      </w:r>
      <w:r>
        <w:rPr>
          <w:rFonts w:hint="eastAsia" w:cs="宋体"/>
          <w:color w:val="auto"/>
          <w:highlight w:val="none"/>
        </w:rPr>
        <w:t>中的相关表格及竞标报价说明填写。构成合同文件的已标价工程量清单包括第五章</w:t>
      </w:r>
      <w:r>
        <w:rPr>
          <w:rFonts w:hint="eastAsia"/>
          <w:color w:val="auto"/>
          <w:highlight w:val="none"/>
        </w:rPr>
        <w:t>“工程量清单及图纸”</w:t>
      </w:r>
      <w:r>
        <w:rPr>
          <w:rFonts w:hint="eastAsia" w:cs="宋体"/>
          <w:color w:val="auto"/>
          <w:highlight w:val="none"/>
        </w:rPr>
        <w:t>有关工程量清单、竞标报价以及其他说明的内容。</w:t>
      </w:r>
    </w:p>
    <w:p w14:paraId="4E23155A">
      <w:pPr>
        <w:spacing w:line="360" w:lineRule="auto"/>
        <w:ind w:firstLine="420" w:firstLineChars="200"/>
        <w:rPr>
          <w:color w:val="auto"/>
          <w:highlight w:val="none"/>
        </w:rPr>
      </w:pPr>
      <w:r>
        <w:rPr>
          <w:color w:val="auto"/>
          <w:highlight w:val="none"/>
        </w:rPr>
        <w:t xml:space="preserve">2. </w:t>
      </w:r>
      <w:r>
        <w:rPr>
          <w:rFonts w:hint="eastAsia" w:cs="宋体"/>
          <w:color w:val="auto"/>
          <w:highlight w:val="none"/>
        </w:rPr>
        <w:t>一般计税法建设工程已标价工程量清单表格按</w:t>
      </w:r>
      <w:r>
        <w:rPr>
          <w:rFonts w:hint="eastAsia" w:hAnsi="宋体" w:cs="宋体"/>
          <w:color w:val="auto"/>
          <w:kern w:val="0"/>
          <w:highlight w:val="none"/>
        </w:rPr>
        <w:t>《关于建筑业实施营业税改征增值税后广西壮族自治区建设工程计价依据调整的通知》（桂建标〔</w:t>
      </w:r>
      <w:r>
        <w:rPr>
          <w:rFonts w:hAnsi="宋体"/>
          <w:color w:val="auto"/>
          <w:kern w:val="0"/>
          <w:highlight w:val="none"/>
        </w:rPr>
        <w:t>2016</w:t>
      </w:r>
      <w:r>
        <w:rPr>
          <w:rFonts w:hint="eastAsia" w:hAnsi="宋体" w:cs="宋体"/>
          <w:color w:val="auto"/>
          <w:kern w:val="0"/>
          <w:highlight w:val="none"/>
        </w:rPr>
        <w:t>〕</w:t>
      </w:r>
      <w:r>
        <w:rPr>
          <w:rFonts w:hAnsi="宋体"/>
          <w:color w:val="auto"/>
          <w:kern w:val="0"/>
          <w:highlight w:val="none"/>
        </w:rPr>
        <w:t>17</w:t>
      </w:r>
      <w:r>
        <w:rPr>
          <w:rFonts w:hint="eastAsia" w:hAnsi="宋体" w:cs="宋体"/>
          <w:color w:val="auto"/>
          <w:kern w:val="0"/>
          <w:highlight w:val="none"/>
        </w:rPr>
        <w:t>号）</w:t>
      </w:r>
      <w:r>
        <w:rPr>
          <w:rFonts w:hint="eastAsia" w:ascii="宋体" w:hAnsi="宋体" w:cs="宋体"/>
          <w:color w:val="auto"/>
          <w:highlight w:val="none"/>
        </w:rPr>
        <w:t>附件“增值税一般计税方法工程计价表”</w:t>
      </w:r>
      <w:r>
        <w:rPr>
          <w:rFonts w:hint="eastAsia" w:cs="宋体"/>
          <w:color w:val="auto"/>
          <w:highlight w:val="none"/>
        </w:rPr>
        <w:t>要求提供，简易计税法表格按《〈建设工程工程量清单计价规范〉（</w:t>
      </w:r>
      <w:r>
        <w:rPr>
          <w:color w:val="auto"/>
          <w:highlight w:val="none"/>
        </w:rPr>
        <w:t>GB5050-2013</w:t>
      </w:r>
      <w:r>
        <w:rPr>
          <w:rFonts w:hint="eastAsia" w:cs="宋体"/>
          <w:color w:val="auto"/>
          <w:highlight w:val="none"/>
        </w:rPr>
        <w:t>）广西壮族自治区实施细则》要求的表格提供，但规费和税费按照</w:t>
      </w:r>
      <w:r>
        <w:rPr>
          <w:rFonts w:hint="eastAsia" w:hAnsi="宋体" w:cs="宋体"/>
          <w:color w:val="auto"/>
          <w:kern w:val="0"/>
          <w:highlight w:val="none"/>
        </w:rPr>
        <w:t>《关于建筑业实施营业税改征增值税后广西壮族自治区建设工程计价依据调整的通知》（桂建标〔</w:t>
      </w:r>
      <w:r>
        <w:rPr>
          <w:rFonts w:hAnsi="宋体"/>
          <w:color w:val="auto"/>
          <w:kern w:val="0"/>
          <w:highlight w:val="none"/>
        </w:rPr>
        <w:t>2016</w:t>
      </w:r>
      <w:r>
        <w:rPr>
          <w:rFonts w:hint="eastAsia" w:hAnsi="宋体" w:cs="宋体"/>
          <w:color w:val="auto"/>
          <w:kern w:val="0"/>
          <w:highlight w:val="none"/>
        </w:rPr>
        <w:t>〕</w:t>
      </w:r>
      <w:r>
        <w:rPr>
          <w:rFonts w:hAnsi="宋体"/>
          <w:color w:val="auto"/>
          <w:kern w:val="0"/>
          <w:highlight w:val="none"/>
        </w:rPr>
        <w:t>17</w:t>
      </w:r>
      <w:r>
        <w:rPr>
          <w:rFonts w:hint="eastAsia" w:hAnsi="宋体" w:cs="宋体"/>
          <w:color w:val="auto"/>
          <w:kern w:val="0"/>
          <w:highlight w:val="none"/>
        </w:rPr>
        <w:t>号）、《自治区住房城乡建设厅关于调整建设工程计价增值税税率的通知》（桂建标〔2018〕14号）、《自治区住房城乡建设厅关于调整建设工程计价增值税税率的通知》（桂建标〔2019〕12号）</w:t>
      </w:r>
      <w:r>
        <w:rPr>
          <w:rFonts w:hint="eastAsia" w:ascii="宋体" w:hAnsi="宋体" w:cs="宋体"/>
          <w:color w:val="auto"/>
          <w:highlight w:val="none"/>
        </w:rPr>
        <w:t>调整</w:t>
      </w:r>
      <w:r>
        <w:rPr>
          <w:rFonts w:hint="eastAsia" w:cs="宋体"/>
          <w:color w:val="auto"/>
          <w:highlight w:val="none"/>
        </w:rPr>
        <w:t>，具体内容包括：</w:t>
      </w:r>
    </w:p>
    <w:p w14:paraId="0191393B">
      <w:pPr>
        <w:spacing w:line="360" w:lineRule="auto"/>
        <w:ind w:firstLine="630" w:firstLineChars="300"/>
        <w:rPr>
          <w:color w:val="auto"/>
          <w:highlight w:val="none"/>
        </w:rPr>
      </w:pPr>
      <w:r>
        <w:rPr>
          <w:color w:val="auto"/>
          <w:highlight w:val="none"/>
        </w:rPr>
        <w:t xml:space="preserve">1.1 </w:t>
      </w:r>
      <w:r>
        <w:rPr>
          <w:rFonts w:hint="eastAsia" w:cs="宋体"/>
          <w:color w:val="auto"/>
          <w:highlight w:val="none"/>
        </w:rPr>
        <w:t>投标总价（封</w:t>
      </w:r>
      <w:r>
        <w:rPr>
          <w:color w:val="auto"/>
          <w:highlight w:val="none"/>
        </w:rPr>
        <w:t>-3</w:t>
      </w:r>
      <w:r>
        <w:rPr>
          <w:rFonts w:hint="eastAsia" w:cs="宋体"/>
          <w:color w:val="auto"/>
          <w:highlight w:val="none"/>
        </w:rPr>
        <w:t>）</w:t>
      </w:r>
    </w:p>
    <w:p w14:paraId="65CA5916">
      <w:pPr>
        <w:spacing w:line="360" w:lineRule="auto"/>
        <w:ind w:firstLine="630" w:firstLineChars="300"/>
        <w:rPr>
          <w:color w:val="auto"/>
          <w:highlight w:val="none"/>
        </w:rPr>
      </w:pPr>
      <w:r>
        <w:rPr>
          <w:color w:val="auto"/>
          <w:highlight w:val="none"/>
        </w:rPr>
        <w:t xml:space="preserve">1.2 </w:t>
      </w:r>
      <w:r>
        <w:rPr>
          <w:rFonts w:hint="eastAsia" w:cs="宋体"/>
          <w:color w:val="auto"/>
          <w:highlight w:val="none"/>
        </w:rPr>
        <w:t>投标总价（扉</w:t>
      </w:r>
      <w:r>
        <w:rPr>
          <w:color w:val="auto"/>
          <w:highlight w:val="none"/>
        </w:rPr>
        <w:t>-3</w:t>
      </w:r>
      <w:r>
        <w:rPr>
          <w:rFonts w:hint="eastAsia" w:cs="宋体"/>
          <w:color w:val="auto"/>
          <w:highlight w:val="none"/>
        </w:rPr>
        <w:t>）</w:t>
      </w:r>
    </w:p>
    <w:p w14:paraId="05278BE2">
      <w:pPr>
        <w:spacing w:line="360" w:lineRule="auto"/>
        <w:ind w:firstLine="630" w:firstLineChars="300"/>
        <w:rPr>
          <w:color w:val="auto"/>
          <w:highlight w:val="none"/>
        </w:rPr>
      </w:pPr>
      <w:r>
        <w:rPr>
          <w:color w:val="auto"/>
          <w:highlight w:val="none"/>
        </w:rPr>
        <w:t xml:space="preserve">1.3 </w:t>
      </w:r>
      <w:r>
        <w:rPr>
          <w:rFonts w:hint="eastAsia" w:cs="宋体"/>
          <w:color w:val="auto"/>
          <w:highlight w:val="none"/>
        </w:rPr>
        <w:t>总说明（表</w:t>
      </w:r>
      <w:r>
        <w:rPr>
          <w:color w:val="auto"/>
          <w:highlight w:val="none"/>
        </w:rPr>
        <w:t>-01</w:t>
      </w:r>
      <w:r>
        <w:rPr>
          <w:rFonts w:hint="eastAsia" w:cs="宋体"/>
          <w:color w:val="auto"/>
          <w:highlight w:val="none"/>
        </w:rPr>
        <w:t>）</w:t>
      </w:r>
    </w:p>
    <w:p w14:paraId="33B2B25A">
      <w:pPr>
        <w:spacing w:line="360" w:lineRule="auto"/>
        <w:ind w:firstLine="630" w:firstLineChars="300"/>
        <w:rPr>
          <w:color w:val="auto"/>
          <w:highlight w:val="none"/>
        </w:rPr>
      </w:pPr>
      <w:r>
        <w:rPr>
          <w:color w:val="auto"/>
          <w:highlight w:val="none"/>
        </w:rPr>
        <w:t xml:space="preserve">1.4 </w:t>
      </w:r>
      <w:r>
        <w:rPr>
          <w:rFonts w:hint="eastAsia" w:cs="宋体"/>
          <w:color w:val="auto"/>
          <w:highlight w:val="none"/>
        </w:rPr>
        <w:t>建设项目投标报价汇总表（表</w:t>
      </w:r>
      <w:r>
        <w:rPr>
          <w:color w:val="auto"/>
          <w:highlight w:val="none"/>
        </w:rPr>
        <w:t>-02</w:t>
      </w:r>
      <w:r>
        <w:rPr>
          <w:rFonts w:hint="eastAsia" w:cs="宋体"/>
          <w:color w:val="auto"/>
          <w:highlight w:val="none"/>
        </w:rPr>
        <w:t>）</w:t>
      </w:r>
    </w:p>
    <w:p w14:paraId="5439439A">
      <w:pPr>
        <w:spacing w:line="360" w:lineRule="auto"/>
        <w:ind w:firstLine="630" w:firstLineChars="300"/>
        <w:rPr>
          <w:color w:val="auto"/>
          <w:highlight w:val="none"/>
        </w:rPr>
      </w:pPr>
      <w:r>
        <w:rPr>
          <w:color w:val="auto"/>
          <w:highlight w:val="none"/>
        </w:rPr>
        <w:t xml:space="preserve">1.5 </w:t>
      </w:r>
      <w:r>
        <w:rPr>
          <w:rFonts w:hint="eastAsia" w:cs="宋体"/>
          <w:color w:val="auto"/>
          <w:highlight w:val="none"/>
        </w:rPr>
        <w:t>单项工程投标报价汇总表（表</w:t>
      </w:r>
      <w:r>
        <w:rPr>
          <w:color w:val="auto"/>
          <w:highlight w:val="none"/>
        </w:rPr>
        <w:t>-03</w:t>
      </w:r>
      <w:r>
        <w:rPr>
          <w:rFonts w:hint="eastAsia" w:cs="宋体"/>
          <w:color w:val="auto"/>
          <w:highlight w:val="none"/>
        </w:rPr>
        <w:t>）</w:t>
      </w:r>
    </w:p>
    <w:p w14:paraId="4B0FA9DF">
      <w:pPr>
        <w:spacing w:line="360" w:lineRule="auto"/>
        <w:ind w:firstLine="630" w:firstLineChars="300"/>
        <w:rPr>
          <w:color w:val="auto"/>
          <w:highlight w:val="none"/>
        </w:rPr>
      </w:pPr>
      <w:r>
        <w:rPr>
          <w:color w:val="auto"/>
          <w:highlight w:val="none"/>
        </w:rPr>
        <w:t xml:space="preserve">1.6 </w:t>
      </w:r>
      <w:r>
        <w:rPr>
          <w:rFonts w:hint="eastAsia" w:cs="宋体"/>
          <w:color w:val="auto"/>
          <w:highlight w:val="none"/>
        </w:rPr>
        <w:t>单位工程投标报价汇总表（表</w:t>
      </w:r>
      <w:r>
        <w:rPr>
          <w:color w:val="auto"/>
          <w:highlight w:val="none"/>
        </w:rPr>
        <w:t>-04</w:t>
      </w:r>
      <w:r>
        <w:rPr>
          <w:rFonts w:hint="eastAsia" w:cs="宋体"/>
          <w:color w:val="auto"/>
          <w:highlight w:val="none"/>
        </w:rPr>
        <w:t>）</w:t>
      </w:r>
    </w:p>
    <w:p w14:paraId="0762F316">
      <w:pPr>
        <w:spacing w:line="360" w:lineRule="auto"/>
        <w:ind w:firstLine="630" w:firstLineChars="300"/>
        <w:rPr>
          <w:color w:val="auto"/>
          <w:highlight w:val="none"/>
        </w:rPr>
      </w:pPr>
      <w:r>
        <w:rPr>
          <w:color w:val="auto"/>
          <w:highlight w:val="none"/>
        </w:rPr>
        <w:t xml:space="preserve">1.7 </w:t>
      </w:r>
      <w:r>
        <w:rPr>
          <w:rFonts w:hint="eastAsia" w:cs="宋体"/>
          <w:color w:val="auto"/>
          <w:highlight w:val="none"/>
        </w:rPr>
        <w:t>分部分项工程和单价措施项目清单与计价表（表</w:t>
      </w:r>
      <w:r>
        <w:rPr>
          <w:color w:val="auto"/>
          <w:highlight w:val="none"/>
        </w:rPr>
        <w:t>-08</w:t>
      </w:r>
      <w:r>
        <w:rPr>
          <w:rFonts w:hint="eastAsia" w:cs="宋体"/>
          <w:color w:val="auto"/>
          <w:highlight w:val="none"/>
        </w:rPr>
        <w:t>）</w:t>
      </w:r>
    </w:p>
    <w:p w14:paraId="46D6B10C">
      <w:pPr>
        <w:spacing w:line="360" w:lineRule="auto"/>
        <w:ind w:firstLine="630" w:firstLineChars="300"/>
        <w:rPr>
          <w:color w:val="auto"/>
          <w:highlight w:val="none"/>
        </w:rPr>
      </w:pPr>
      <w:r>
        <w:rPr>
          <w:color w:val="auto"/>
          <w:highlight w:val="none"/>
        </w:rPr>
        <w:t xml:space="preserve">1.8 </w:t>
      </w:r>
      <w:r>
        <w:rPr>
          <w:rFonts w:hint="eastAsia" w:cs="宋体"/>
          <w:color w:val="auto"/>
          <w:highlight w:val="none"/>
        </w:rPr>
        <w:t>工程量清单综合单价分析表（表</w:t>
      </w:r>
      <w:r>
        <w:rPr>
          <w:color w:val="auto"/>
          <w:highlight w:val="none"/>
        </w:rPr>
        <w:t>-09</w:t>
      </w:r>
      <w:r>
        <w:rPr>
          <w:rFonts w:hint="eastAsia" w:cs="宋体"/>
          <w:color w:val="auto"/>
          <w:highlight w:val="none"/>
        </w:rPr>
        <w:t>）</w:t>
      </w:r>
    </w:p>
    <w:p w14:paraId="4B0E4D24">
      <w:pPr>
        <w:spacing w:line="360" w:lineRule="auto"/>
        <w:ind w:firstLine="630" w:firstLineChars="300"/>
        <w:rPr>
          <w:color w:val="auto"/>
          <w:highlight w:val="none"/>
        </w:rPr>
      </w:pPr>
      <w:r>
        <w:rPr>
          <w:color w:val="auto"/>
          <w:highlight w:val="none"/>
        </w:rPr>
        <w:t xml:space="preserve">1.9 </w:t>
      </w:r>
      <w:r>
        <w:rPr>
          <w:rFonts w:hint="eastAsia" w:cs="宋体"/>
          <w:color w:val="auto"/>
          <w:highlight w:val="none"/>
        </w:rPr>
        <w:t>主要清单项目工料机分析表（表</w:t>
      </w:r>
      <w:r>
        <w:rPr>
          <w:color w:val="auto"/>
          <w:highlight w:val="none"/>
        </w:rPr>
        <w:t>-10</w:t>
      </w:r>
      <w:r>
        <w:rPr>
          <w:rFonts w:hint="eastAsia" w:cs="宋体"/>
          <w:color w:val="auto"/>
          <w:highlight w:val="none"/>
        </w:rPr>
        <w:t>）【备注：可按要求有选择的提供】</w:t>
      </w:r>
    </w:p>
    <w:p w14:paraId="1B191A1B">
      <w:pPr>
        <w:spacing w:line="360" w:lineRule="auto"/>
        <w:ind w:firstLine="630" w:firstLineChars="300"/>
        <w:rPr>
          <w:color w:val="auto"/>
          <w:highlight w:val="none"/>
        </w:rPr>
      </w:pPr>
      <w:r>
        <w:rPr>
          <w:color w:val="auto"/>
          <w:highlight w:val="none"/>
        </w:rPr>
        <w:t xml:space="preserve">1.10 </w:t>
      </w:r>
      <w:r>
        <w:rPr>
          <w:rFonts w:hint="eastAsia" w:cs="宋体"/>
          <w:color w:val="auto"/>
          <w:highlight w:val="none"/>
        </w:rPr>
        <w:t>总价措施项目清单与计价表（表</w:t>
      </w:r>
      <w:r>
        <w:rPr>
          <w:color w:val="auto"/>
          <w:highlight w:val="none"/>
        </w:rPr>
        <w:t>-11</w:t>
      </w:r>
      <w:r>
        <w:rPr>
          <w:rFonts w:hint="eastAsia" w:cs="宋体"/>
          <w:color w:val="auto"/>
          <w:highlight w:val="none"/>
        </w:rPr>
        <w:t>）</w:t>
      </w:r>
    </w:p>
    <w:p w14:paraId="558B5122">
      <w:pPr>
        <w:spacing w:line="360" w:lineRule="auto"/>
        <w:ind w:firstLine="630" w:firstLineChars="300"/>
        <w:rPr>
          <w:color w:val="auto"/>
          <w:highlight w:val="none"/>
        </w:rPr>
      </w:pPr>
      <w:r>
        <w:rPr>
          <w:color w:val="auto"/>
          <w:highlight w:val="none"/>
        </w:rPr>
        <w:t xml:space="preserve">1.11 </w:t>
      </w:r>
      <w:r>
        <w:rPr>
          <w:rFonts w:hint="eastAsia" w:cs="宋体"/>
          <w:color w:val="auto"/>
          <w:highlight w:val="none"/>
        </w:rPr>
        <w:t>其他项目清单与计价汇总表（表</w:t>
      </w:r>
      <w:r>
        <w:rPr>
          <w:color w:val="auto"/>
          <w:highlight w:val="none"/>
        </w:rPr>
        <w:t>-12</w:t>
      </w:r>
      <w:r>
        <w:rPr>
          <w:rFonts w:hint="eastAsia" w:cs="宋体"/>
          <w:color w:val="auto"/>
          <w:highlight w:val="none"/>
        </w:rPr>
        <w:t>）</w:t>
      </w:r>
    </w:p>
    <w:p w14:paraId="6E5B9FAB">
      <w:pPr>
        <w:spacing w:line="360" w:lineRule="auto"/>
        <w:ind w:firstLine="630" w:firstLineChars="300"/>
        <w:rPr>
          <w:color w:val="auto"/>
          <w:highlight w:val="none"/>
        </w:rPr>
      </w:pPr>
      <w:r>
        <w:rPr>
          <w:color w:val="auto"/>
          <w:highlight w:val="none"/>
        </w:rPr>
        <w:t xml:space="preserve">1.12 </w:t>
      </w:r>
      <w:r>
        <w:rPr>
          <w:rFonts w:hint="eastAsia" w:cs="宋体"/>
          <w:color w:val="auto"/>
          <w:highlight w:val="none"/>
        </w:rPr>
        <w:t>暂列金额明细表（表</w:t>
      </w:r>
      <w:r>
        <w:rPr>
          <w:color w:val="auto"/>
          <w:highlight w:val="none"/>
        </w:rPr>
        <w:t>12-1</w:t>
      </w:r>
      <w:r>
        <w:rPr>
          <w:rFonts w:hint="eastAsia" w:cs="宋体"/>
          <w:color w:val="auto"/>
          <w:highlight w:val="none"/>
        </w:rPr>
        <w:t>）</w:t>
      </w:r>
    </w:p>
    <w:p w14:paraId="722D4D2A">
      <w:pPr>
        <w:spacing w:line="360" w:lineRule="auto"/>
        <w:ind w:firstLine="630" w:firstLineChars="300"/>
        <w:rPr>
          <w:color w:val="auto"/>
          <w:highlight w:val="none"/>
        </w:rPr>
      </w:pPr>
      <w:r>
        <w:rPr>
          <w:color w:val="auto"/>
          <w:highlight w:val="none"/>
        </w:rPr>
        <w:t xml:space="preserve">1.13 </w:t>
      </w:r>
      <w:r>
        <w:rPr>
          <w:rFonts w:hint="eastAsia" w:cs="宋体"/>
          <w:color w:val="auto"/>
          <w:highlight w:val="none"/>
        </w:rPr>
        <w:t>材料（工程设备）暂估单价及调整表（表</w:t>
      </w:r>
      <w:r>
        <w:rPr>
          <w:color w:val="auto"/>
          <w:highlight w:val="none"/>
        </w:rPr>
        <w:t>12-2</w:t>
      </w:r>
      <w:r>
        <w:rPr>
          <w:rFonts w:hint="eastAsia" w:cs="宋体"/>
          <w:color w:val="auto"/>
          <w:highlight w:val="none"/>
        </w:rPr>
        <w:t>）</w:t>
      </w:r>
    </w:p>
    <w:p w14:paraId="23A8AD11">
      <w:pPr>
        <w:spacing w:line="360" w:lineRule="auto"/>
        <w:ind w:firstLine="630" w:firstLineChars="300"/>
        <w:rPr>
          <w:color w:val="auto"/>
          <w:highlight w:val="none"/>
        </w:rPr>
      </w:pPr>
      <w:r>
        <w:rPr>
          <w:color w:val="auto"/>
          <w:highlight w:val="none"/>
        </w:rPr>
        <w:t xml:space="preserve">1.14 </w:t>
      </w:r>
      <w:r>
        <w:rPr>
          <w:rFonts w:hint="eastAsia" w:cs="宋体"/>
          <w:color w:val="auto"/>
          <w:highlight w:val="none"/>
        </w:rPr>
        <w:t>专业工程暂估价及结算价表（表</w:t>
      </w:r>
      <w:r>
        <w:rPr>
          <w:color w:val="auto"/>
          <w:highlight w:val="none"/>
        </w:rPr>
        <w:t>12-3</w:t>
      </w:r>
      <w:r>
        <w:rPr>
          <w:rFonts w:hint="eastAsia" w:cs="宋体"/>
          <w:color w:val="auto"/>
          <w:highlight w:val="none"/>
        </w:rPr>
        <w:t>）</w:t>
      </w:r>
    </w:p>
    <w:p w14:paraId="29041825">
      <w:pPr>
        <w:spacing w:line="360" w:lineRule="auto"/>
        <w:ind w:firstLine="630" w:firstLineChars="300"/>
        <w:rPr>
          <w:color w:val="auto"/>
          <w:highlight w:val="none"/>
        </w:rPr>
      </w:pPr>
      <w:r>
        <w:rPr>
          <w:color w:val="auto"/>
          <w:highlight w:val="none"/>
        </w:rPr>
        <w:t>1.15</w:t>
      </w:r>
      <w:r>
        <w:rPr>
          <w:rFonts w:hint="eastAsia" w:cs="宋体"/>
          <w:color w:val="auto"/>
          <w:highlight w:val="none"/>
        </w:rPr>
        <w:t>计日工表（表</w:t>
      </w:r>
      <w:r>
        <w:rPr>
          <w:color w:val="auto"/>
          <w:highlight w:val="none"/>
        </w:rPr>
        <w:t>12-4</w:t>
      </w:r>
      <w:r>
        <w:rPr>
          <w:rFonts w:hint="eastAsia" w:cs="宋体"/>
          <w:color w:val="auto"/>
          <w:highlight w:val="none"/>
        </w:rPr>
        <w:t>）</w:t>
      </w:r>
    </w:p>
    <w:p w14:paraId="5391D547">
      <w:pPr>
        <w:spacing w:line="360" w:lineRule="auto"/>
        <w:ind w:firstLine="630" w:firstLineChars="300"/>
        <w:rPr>
          <w:color w:val="auto"/>
          <w:highlight w:val="none"/>
        </w:rPr>
      </w:pPr>
      <w:r>
        <w:rPr>
          <w:color w:val="auto"/>
          <w:highlight w:val="none"/>
        </w:rPr>
        <w:t xml:space="preserve">1.16 </w:t>
      </w:r>
      <w:r>
        <w:rPr>
          <w:rFonts w:hint="eastAsia" w:cs="宋体"/>
          <w:color w:val="auto"/>
          <w:highlight w:val="none"/>
        </w:rPr>
        <w:t>总承包服务费计价表（表</w:t>
      </w:r>
      <w:r>
        <w:rPr>
          <w:color w:val="auto"/>
          <w:highlight w:val="none"/>
        </w:rPr>
        <w:t>12-5</w:t>
      </w:r>
      <w:r>
        <w:rPr>
          <w:rFonts w:hint="eastAsia" w:cs="宋体"/>
          <w:color w:val="auto"/>
          <w:highlight w:val="none"/>
        </w:rPr>
        <w:t>）</w:t>
      </w:r>
    </w:p>
    <w:p w14:paraId="2B5ADBC0">
      <w:pPr>
        <w:spacing w:line="360" w:lineRule="auto"/>
        <w:ind w:firstLine="630" w:firstLineChars="300"/>
        <w:rPr>
          <w:color w:val="auto"/>
          <w:highlight w:val="none"/>
        </w:rPr>
      </w:pPr>
      <w:r>
        <w:rPr>
          <w:color w:val="auto"/>
          <w:highlight w:val="none"/>
        </w:rPr>
        <w:t xml:space="preserve">1.17 </w:t>
      </w:r>
      <w:r>
        <w:rPr>
          <w:rFonts w:hint="eastAsia" w:cs="宋体"/>
          <w:color w:val="auto"/>
          <w:highlight w:val="none"/>
        </w:rPr>
        <w:t>税前项目清单与计价表（表</w:t>
      </w:r>
      <w:r>
        <w:rPr>
          <w:color w:val="auto"/>
          <w:highlight w:val="none"/>
        </w:rPr>
        <w:t>-14</w:t>
      </w:r>
      <w:r>
        <w:rPr>
          <w:rFonts w:hint="eastAsia" w:cs="宋体"/>
          <w:color w:val="auto"/>
          <w:highlight w:val="none"/>
        </w:rPr>
        <w:t>）</w:t>
      </w:r>
    </w:p>
    <w:p w14:paraId="719BD612">
      <w:pPr>
        <w:spacing w:line="360" w:lineRule="auto"/>
        <w:ind w:firstLine="630" w:firstLineChars="300"/>
        <w:rPr>
          <w:color w:val="auto"/>
          <w:highlight w:val="none"/>
        </w:rPr>
      </w:pPr>
      <w:r>
        <w:rPr>
          <w:color w:val="auto"/>
          <w:highlight w:val="none"/>
        </w:rPr>
        <w:t xml:space="preserve">1.18 </w:t>
      </w:r>
      <w:r>
        <w:rPr>
          <w:rFonts w:hint="eastAsia" w:cs="宋体"/>
          <w:color w:val="auto"/>
          <w:highlight w:val="none"/>
        </w:rPr>
        <w:t>规费、增值税计价表（表</w:t>
      </w:r>
      <w:r>
        <w:rPr>
          <w:color w:val="auto"/>
          <w:highlight w:val="none"/>
        </w:rPr>
        <w:t>-15</w:t>
      </w:r>
      <w:r>
        <w:rPr>
          <w:rFonts w:hint="eastAsia" w:cs="宋体"/>
          <w:color w:val="auto"/>
          <w:highlight w:val="none"/>
        </w:rPr>
        <w:t>）</w:t>
      </w:r>
    </w:p>
    <w:p w14:paraId="41ED312F">
      <w:pPr>
        <w:spacing w:line="360" w:lineRule="auto"/>
        <w:ind w:firstLine="630" w:firstLineChars="300"/>
        <w:rPr>
          <w:color w:val="auto"/>
          <w:highlight w:val="none"/>
        </w:rPr>
      </w:pPr>
      <w:r>
        <w:rPr>
          <w:color w:val="auto"/>
          <w:highlight w:val="none"/>
        </w:rPr>
        <w:t xml:space="preserve">1.19 </w:t>
      </w:r>
      <w:r>
        <w:rPr>
          <w:rFonts w:hint="eastAsia" w:cs="宋体"/>
          <w:color w:val="auto"/>
          <w:highlight w:val="none"/>
        </w:rPr>
        <w:t>发包人提供主要材料和工程设备一览表（表</w:t>
      </w:r>
      <w:r>
        <w:rPr>
          <w:color w:val="auto"/>
          <w:highlight w:val="none"/>
        </w:rPr>
        <w:t>-21</w:t>
      </w:r>
      <w:r>
        <w:rPr>
          <w:rFonts w:hint="eastAsia" w:cs="宋体"/>
          <w:color w:val="auto"/>
          <w:highlight w:val="none"/>
        </w:rPr>
        <w:t>）</w:t>
      </w:r>
    </w:p>
    <w:p w14:paraId="2DD9389C">
      <w:pPr>
        <w:spacing w:line="360" w:lineRule="auto"/>
        <w:ind w:firstLine="630" w:firstLineChars="300"/>
        <w:rPr>
          <w:color w:val="auto"/>
          <w:highlight w:val="none"/>
        </w:rPr>
      </w:pPr>
      <w:r>
        <w:rPr>
          <w:color w:val="auto"/>
          <w:highlight w:val="none"/>
        </w:rPr>
        <w:t xml:space="preserve">1.20 </w:t>
      </w:r>
      <w:r>
        <w:rPr>
          <w:rFonts w:hint="eastAsia" w:cs="宋体"/>
          <w:color w:val="auto"/>
          <w:highlight w:val="none"/>
        </w:rPr>
        <w:t>允许调整主要材料和工程设备一览表（适用于造价信息差额调整法）（表</w:t>
      </w:r>
      <w:r>
        <w:rPr>
          <w:color w:val="auto"/>
          <w:highlight w:val="none"/>
        </w:rPr>
        <w:t>-22</w:t>
      </w:r>
      <w:r>
        <w:rPr>
          <w:rFonts w:hint="eastAsia" w:cs="宋体"/>
          <w:color w:val="auto"/>
          <w:highlight w:val="none"/>
        </w:rPr>
        <w:t>）</w:t>
      </w:r>
    </w:p>
    <w:p w14:paraId="77C08113">
      <w:pPr>
        <w:spacing w:line="360" w:lineRule="auto"/>
        <w:ind w:firstLine="630" w:firstLineChars="300"/>
        <w:rPr>
          <w:color w:val="auto"/>
          <w:highlight w:val="none"/>
        </w:rPr>
      </w:pPr>
      <w:r>
        <w:rPr>
          <w:color w:val="auto"/>
          <w:highlight w:val="none"/>
        </w:rPr>
        <w:t xml:space="preserve">1.21 </w:t>
      </w:r>
      <w:r>
        <w:rPr>
          <w:rFonts w:hint="eastAsia" w:cs="宋体"/>
          <w:color w:val="auto"/>
          <w:highlight w:val="none"/>
        </w:rPr>
        <w:t>允许调整主要材料和工程设备一览表（适用于价格指数差额调整法）（表</w:t>
      </w:r>
      <w:r>
        <w:rPr>
          <w:color w:val="auto"/>
          <w:highlight w:val="none"/>
        </w:rPr>
        <w:t>-23</w:t>
      </w:r>
      <w:r>
        <w:rPr>
          <w:rFonts w:hint="eastAsia" w:cs="宋体"/>
          <w:color w:val="auto"/>
          <w:highlight w:val="none"/>
        </w:rPr>
        <w:t>）</w:t>
      </w:r>
    </w:p>
    <w:p w14:paraId="06EF6325">
      <w:pPr>
        <w:spacing w:line="360" w:lineRule="auto"/>
        <w:ind w:firstLine="630" w:firstLineChars="300"/>
        <w:rPr>
          <w:color w:val="auto"/>
          <w:highlight w:val="none"/>
        </w:rPr>
      </w:pPr>
      <w:r>
        <w:rPr>
          <w:rFonts w:hint="eastAsia"/>
          <w:color w:val="auto"/>
          <w:highlight w:val="none"/>
        </w:rPr>
        <w:t>1.22</w:t>
      </w:r>
      <w:r>
        <w:rPr>
          <w:rFonts w:hint="eastAsia" w:cs="宋体"/>
          <w:color w:val="auto"/>
          <w:highlight w:val="none"/>
        </w:rPr>
        <w:t>本工程</w:t>
      </w:r>
      <w:r>
        <w:rPr>
          <w:rFonts w:cs="宋体"/>
          <w:color w:val="auto"/>
          <w:highlight w:val="none"/>
        </w:rPr>
        <w:t>材料和工程设备</w:t>
      </w:r>
      <w:r>
        <w:rPr>
          <w:rFonts w:hint="eastAsia" w:cs="宋体"/>
          <w:color w:val="auto"/>
          <w:highlight w:val="none"/>
        </w:rPr>
        <w:t>一览表（表-24）</w:t>
      </w:r>
    </w:p>
    <w:p w14:paraId="3E39AA72">
      <w:pPr>
        <w:spacing w:line="360" w:lineRule="auto"/>
        <w:rPr>
          <w:color w:val="auto"/>
          <w:highlight w:val="none"/>
        </w:rPr>
      </w:pPr>
      <w:r>
        <w:rPr>
          <w:rFonts w:hint="eastAsia" w:cs="宋体"/>
          <w:color w:val="auto"/>
          <w:highlight w:val="none"/>
        </w:rPr>
        <w:t>备注：</w:t>
      </w:r>
    </w:p>
    <w:p w14:paraId="4D657445">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）供应商在上传竞标报价文件时应上传纸质投标总价封面的原件扫描件。投标总价封面必须经供应商盖章，并由法定代表人（或其授权人）签字（或盖章），同时由编制人签字盖专用章。</w:t>
      </w:r>
    </w:p>
    <w:p w14:paraId="0B3472BA">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w:t>
      </w:r>
      <w:r>
        <w:rPr>
          <w:color w:val="auto"/>
          <w:highlight w:val="none"/>
        </w:rPr>
        <w:t>1.8</w:t>
      </w:r>
      <w:r>
        <w:rPr>
          <w:rFonts w:hint="eastAsia" w:cs="宋体"/>
          <w:color w:val="auto"/>
          <w:highlight w:val="none"/>
        </w:rPr>
        <w:t>工程量清单综合单价分析表和</w:t>
      </w:r>
      <w:r>
        <w:rPr>
          <w:color w:val="auto"/>
          <w:highlight w:val="none"/>
        </w:rPr>
        <w:t>1.9</w:t>
      </w:r>
      <w:r>
        <w:rPr>
          <w:rFonts w:hint="eastAsia" w:cs="宋体"/>
          <w:color w:val="auto"/>
          <w:highlight w:val="none"/>
        </w:rPr>
        <w:t>主要清单项目工料机分析表要求附上。</w:t>
      </w:r>
    </w:p>
    <w:p w14:paraId="7767FCEC">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）已标价工程量清单表格要严格按照招标工程量清单给出的表格要求和内容填报。如本工程在合同中约定采用造价信息价差调整法，1.</w:t>
      </w:r>
      <w:r>
        <w:rPr>
          <w:color w:val="auto"/>
          <w:highlight w:val="none"/>
        </w:rPr>
        <w:t xml:space="preserve">18 </w:t>
      </w:r>
      <w:r>
        <w:rPr>
          <w:rFonts w:hint="eastAsia" w:cs="宋体"/>
          <w:color w:val="auto"/>
          <w:highlight w:val="none"/>
        </w:rPr>
        <w:t>允许调整主要材料和工程设备一览表（适用于造价信息差额调整法）（表</w:t>
      </w:r>
      <w:r>
        <w:rPr>
          <w:color w:val="auto"/>
          <w:highlight w:val="none"/>
        </w:rPr>
        <w:t>-22</w:t>
      </w:r>
      <w:r>
        <w:rPr>
          <w:rFonts w:hint="eastAsia" w:cs="宋体"/>
          <w:color w:val="auto"/>
          <w:highlight w:val="none"/>
        </w:rPr>
        <w:t>）载明的主要材料和工程设备为本工程允许调整的材料和工程设备，招标工程量清单必须提供该表格，且不能提供空白表。以下表格视工程实际需要选用，如该工程不发生如下表格相关项目和费用，招标工程量清单不应列入该部分表格，已标价工程量清单亦不包括这部分表格。</w:t>
      </w:r>
    </w:p>
    <w:p w14:paraId="0C002D8B">
      <w:pPr>
        <w:spacing w:line="360" w:lineRule="auto"/>
        <w:ind w:firstLine="420" w:firstLineChars="200"/>
        <w:rPr>
          <w:color w:val="auto"/>
          <w:highlight w:val="none"/>
        </w:rPr>
      </w:pPr>
      <w:r>
        <w:rPr>
          <w:rFonts w:hint="eastAsia" w:ascii="宋体" w:hAnsi="宋体" w:cs="宋体"/>
          <w:color w:val="auto"/>
          <w:highlight w:val="none"/>
        </w:rPr>
        <w:t>①</w:t>
      </w:r>
      <w:r>
        <w:rPr>
          <w:rFonts w:hint="eastAsia" w:cs="宋体"/>
          <w:color w:val="auto"/>
          <w:highlight w:val="none"/>
        </w:rPr>
        <w:t>建设项目投标报价汇总表（表</w:t>
      </w:r>
      <w:r>
        <w:rPr>
          <w:color w:val="auto"/>
          <w:highlight w:val="none"/>
        </w:rPr>
        <w:t>-02</w:t>
      </w:r>
      <w:r>
        <w:rPr>
          <w:rFonts w:hint="eastAsia" w:cs="宋体"/>
          <w:color w:val="auto"/>
          <w:highlight w:val="none"/>
        </w:rPr>
        <w:t>）</w:t>
      </w:r>
    </w:p>
    <w:p w14:paraId="45C1465E">
      <w:pPr>
        <w:spacing w:line="360" w:lineRule="auto"/>
        <w:ind w:firstLine="420" w:firstLineChars="200"/>
        <w:rPr>
          <w:color w:val="auto"/>
          <w:highlight w:val="none"/>
        </w:rPr>
      </w:pPr>
      <w:r>
        <w:rPr>
          <w:rFonts w:hint="eastAsia" w:cs="宋体"/>
          <w:color w:val="auto"/>
          <w:highlight w:val="none"/>
        </w:rPr>
        <w:t>②暂列金额明细表（表</w:t>
      </w:r>
      <w:r>
        <w:rPr>
          <w:color w:val="auto"/>
          <w:highlight w:val="none"/>
        </w:rPr>
        <w:t>12-1</w:t>
      </w:r>
      <w:r>
        <w:rPr>
          <w:rFonts w:hint="eastAsia" w:cs="宋体"/>
          <w:color w:val="auto"/>
          <w:highlight w:val="none"/>
        </w:rPr>
        <w:t>）</w:t>
      </w:r>
    </w:p>
    <w:p w14:paraId="71645F10">
      <w:pPr>
        <w:spacing w:line="360" w:lineRule="auto"/>
        <w:ind w:firstLine="420" w:firstLineChars="200"/>
        <w:rPr>
          <w:color w:val="auto"/>
          <w:highlight w:val="none"/>
        </w:rPr>
      </w:pPr>
      <w:r>
        <w:rPr>
          <w:rFonts w:hint="eastAsia" w:cs="宋体"/>
          <w:color w:val="auto"/>
          <w:highlight w:val="none"/>
        </w:rPr>
        <w:t>③材料（工程设备）暂估单位及调整表（表</w:t>
      </w:r>
      <w:r>
        <w:rPr>
          <w:color w:val="auto"/>
          <w:highlight w:val="none"/>
        </w:rPr>
        <w:t>12-2</w:t>
      </w:r>
      <w:r>
        <w:rPr>
          <w:rFonts w:hint="eastAsia" w:cs="宋体"/>
          <w:color w:val="auto"/>
          <w:highlight w:val="none"/>
        </w:rPr>
        <w:t>）</w:t>
      </w:r>
    </w:p>
    <w:p w14:paraId="68CE3619">
      <w:pPr>
        <w:spacing w:line="360" w:lineRule="auto"/>
        <w:ind w:firstLine="420" w:firstLineChars="200"/>
        <w:rPr>
          <w:color w:val="auto"/>
          <w:highlight w:val="none"/>
        </w:rPr>
      </w:pPr>
      <w:r>
        <w:rPr>
          <w:rFonts w:hint="eastAsia" w:cs="宋体"/>
          <w:color w:val="auto"/>
          <w:highlight w:val="none"/>
        </w:rPr>
        <w:t>④专业工程暂估价及结算价表（表</w:t>
      </w:r>
      <w:r>
        <w:rPr>
          <w:color w:val="auto"/>
          <w:highlight w:val="none"/>
        </w:rPr>
        <w:t>12-3</w:t>
      </w:r>
      <w:r>
        <w:rPr>
          <w:rFonts w:hint="eastAsia" w:cs="宋体"/>
          <w:color w:val="auto"/>
          <w:highlight w:val="none"/>
        </w:rPr>
        <w:t>）</w:t>
      </w:r>
    </w:p>
    <w:p w14:paraId="5D6AD3C2">
      <w:pPr>
        <w:spacing w:line="360" w:lineRule="auto"/>
        <w:ind w:firstLine="420" w:firstLineChars="200"/>
        <w:rPr>
          <w:color w:val="auto"/>
          <w:highlight w:val="none"/>
        </w:rPr>
      </w:pPr>
      <w:r>
        <w:rPr>
          <w:rFonts w:hint="eastAsia" w:cs="宋体"/>
          <w:color w:val="auto"/>
          <w:highlight w:val="none"/>
        </w:rPr>
        <w:t>⑤计日工表表</w:t>
      </w:r>
      <w:r>
        <w:rPr>
          <w:color w:val="auto"/>
          <w:highlight w:val="none"/>
        </w:rPr>
        <w:t>12-4</w:t>
      </w:r>
      <w:r>
        <w:rPr>
          <w:rFonts w:hint="eastAsia" w:cs="宋体"/>
          <w:color w:val="auto"/>
          <w:highlight w:val="none"/>
        </w:rPr>
        <w:t>）</w:t>
      </w:r>
    </w:p>
    <w:p w14:paraId="11CF0367">
      <w:pPr>
        <w:spacing w:line="360" w:lineRule="auto"/>
        <w:ind w:firstLine="420" w:firstLineChars="200"/>
        <w:rPr>
          <w:color w:val="auto"/>
          <w:highlight w:val="none"/>
        </w:rPr>
      </w:pPr>
      <w:r>
        <w:rPr>
          <w:rFonts w:hint="eastAsia" w:cs="宋体"/>
          <w:color w:val="auto"/>
          <w:highlight w:val="none"/>
        </w:rPr>
        <w:t>⑥总承包服务费计价表（表</w:t>
      </w:r>
      <w:r>
        <w:rPr>
          <w:color w:val="auto"/>
          <w:highlight w:val="none"/>
        </w:rPr>
        <w:t>12-5</w:t>
      </w:r>
      <w:r>
        <w:rPr>
          <w:rFonts w:hint="eastAsia" w:cs="宋体"/>
          <w:color w:val="auto"/>
          <w:highlight w:val="none"/>
        </w:rPr>
        <w:t>）</w:t>
      </w:r>
    </w:p>
    <w:p w14:paraId="1D364559">
      <w:pPr>
        <w:spacing w:line="360" w:lineRule="auto"/>
        <w:ind w:firstLine="420" w:firstLineChars="200"/>
        <w:rPr>
          <w:color w:val="auto"/>
          <w:highlight w:val="none"/>
        </w:rPr>
      </w:pPr>
      <w:r>
        <w:rPr>
          <w:rFonts w:hint="eastAsia" w:cs="宋体"/>
          <w:color w:val="auto"/>
          <w:highlight w:val="none"/>
        </w:rPr>
        <w:t>⑦税前项目清单与计价表（表</w:t>
      </w:r>
      <w:r>
        <w:rPr>
          <w:color w:val="auto"/>
          <w:highlight w:val="none"/>
        </w:rPr>
        <w:t>-14</w:t>
      </w:r>
      <w:r>
        <w:rPr>
          <w:rFonts w:hint="eastAsia" w:cs="宋体"/>
          <w:color w:val="auto"/>
          <w:highlight w:val="none"/>
        </w:rPr>
        <w:t>）</w:t>
      </w:r>
    </w:p>
    <w:p w14:paraId="12749CA1">
      <w:pPr>
        <w:spacing w:line="360" w:lineRule="auto"/>
        <w:ind w:firstLine="420" w:firstLineChars="200"/>
        <w:rPr>
          <w:rFonts w:cs="宋体"/>
          <w:color w:val="auto"/>
          <w:highlight w:val="none"/>
        </w:rPr>
      </w:pPr>
      <w:r>
        <w:rPr>
          <w:color w:val="auto"/>
          <w:highlight w:val="none"/>
        </w:rPr>
        <w:fldChar w:fldCharType="begin"/>
      </w:r>
      <w:r>
        <w:rPr>
          <w:rFonts w:hint="eastAsia"/>
          <w:color w:val="auto"/>
          <w:highlight w:val="none"/>
        </w:rPr>
        <w:instrText xml:space="preserve">= 8 \* GB3</w:instrText>
      </w:r>
      <w:r>
        <w:rPr>
          <w:color w:val="auto"/>
          <w:highlight w:val="none"/>
        </w:rPr>
        <w:fldChar w:fldCharType="separate"/>
      </w:r>
      <w:r>
        <w:rPr>
          <w:rFonts w:hint="eastAsia"/>
          <w:color w:val="auto"/>
          <w:highlight w:val="none"/>
        </w:rPr>
        <w:t>⑧</w:t>
      </w:r>
      <w:r>
        <w:rPr>
          <w:color w:val="auto"/>
          <w:highlight w:val="none"/>
        </w:rPr>
        <w:fldChar w:fldCharType="end"/>
      </w:r>
      <w:r>
        <w:rPr>
          <w:rFonts w:hint="eastAsia" w:cs="宋体"/>
          <w:color w:val="auto"/>
          <w:highlight w:val="none"/>
        </w:rPr>
        <w:t>允许调整主要材料和工程设备一览表（适用于价格指数差额调整法）（表</w:t>
      </w:r>
      <w:r>
        <w:rPr>
          <w:color w:val="auto"/>
          <w:highlight w:val="none"/>
        </w:rPr>
        <w:t>-23</w:t>
      </w:r>
      <w:r>
        <w:rPr>
          <w:rFonts w:hint="eastAsia" w:cs="宋体"/>
          <w:color w:val="auto"/>
          <w:highlight w:val="none"/>
        </w:rPr>
        <w:t>）</w:t>
      </w:r>
    </w:p>
    <w:p w14:paraId="1B2EBBC4">
      <w:pPr>
        <w:spacing w:line="360" w:lineRule="auto"/>
        <w:ind w:firstLine="420" w:firstLineChars="200"/>
        <w:contextualSpacing/>
        <w:jc w:val="left"/>
        <w:rPr>
          <w:rFonts w:hint="eastAsia" w:hAnsi="宋体" w:cs="宋体"/>
          <w:color w:val="auto"/>
          <w:kern w:val="0"/>
          <w:highlight w:val="none"/>
        </w:rPr>
      </w:pPr>
      <w:r>
        <w:rPr>
          <w:rFonts w:hint="eastAsia" w:cs="宋体"/>
          <w:color w:val="auto"/>
          <w:highlight w:val="none"/>
        </w:rPr>
        <w:t>注：</w:t>
      </w:r>
      <w:r>
        <w:rPr>
          <w:rFonts w:hint="eastAsia" w:hAnsi="宋体" w:cs="宋体"/>
          <w:color w:val="auto"/>
          <w:kern w:val="0"/>
          <w:highlight w:val="none"/>
        </w:rPr>
        <w:t>因2021年《广西壮族自治区园林绿化及仿古建筑工程费用定额》采用全费用综合单价形式，故园林绿化及仿古建筑工程的已标价工程量清单</w:t>
      </w:r>
      <w:r>
        <w:rPr>
          <w:rFonts w:hint="eastAsia" w:cs="黑体"/>
          <w:color w:val="auto"/>
          <w:highlight w:val="none"/>
        </w:rPr>
        <w:t>采用</w:t>
      </w:r>
      <w:r>
        <w:rPr>
          <w:rFonts w:hint="eastAsia" w:hAnsi="宋体" w:cs="宋体"/>
          <w:color w:val="auto"/>
          <w:kern w:val="0"/>
          <w:highlight w:val="none"/>
        </w:rPr>
        <w:t>《自治区住房和城乡建设厅关于建设工程造价改革试点项目招投标及计价规定调整的通知》（桂建标〔2021〕6号）中附件1《建设工程工程量清单计价规范（GB50500-2013）广西壮族自治区实施细则》（适用于工程造价改革试点项目）相关表格，具体以采购人另册发放的工程量清单及相关说明为准。</w:t>
      </w:r>
    </w:p>
    <w:p w14:paraId="5B0024BE">
      <w:pPr>
        <w:pStyle w:val="21"/>
        <w:rPr>
          <w:rFonts w:hint="eastAsia" w:hAnsi="宋体" w:cs="宋体"/>
          <w:color w:val="auto"/>
          <w:kern w:val="0"/>
          <w:highlight w:val="none"/>
        </w:rPr>
      </w:pPr>
    </w:p>
    <w:p w14:paraId="07514257">
      <w:pPr>
        <w:rPr>
          <w:rFonts w:hint="eastAsia" w:hAnsi="宋体" w:cs="宋体"/>
          <w:color w:val="auto"/>
          <w:kern w:val="0"/>
          <w:highlight w:val="none"/>
        </w:rPr>
      </w:pPr>
    </w:p>
    <w:p w14:paraId="2E4232E6">
      <w:pPr>
        <w:pStyle w:val="21"/>
        <w:rPr>
          <w:rFonts w:hint="eastAsia" w:eastAsia="宋体"/>
          <w:b/>
          <w:bCs/>
          <w:color w:val="auto"/>
          <w:sz w:val="28"/>
          <w:szCs w:val="36"/>
          <w:highlight w:val="none"/>
          <w:lang w:eastAsia="zh-CN"/>
        </w:rPr>
      </w:pPr>
      <w:r>
        <w:rPr>
          <w:rFonts w:hint="eastAsia" w:hAnsi="宋体" w:cs="宋体"/>
          <w:b/>
          <w:bCs/>
          <w:color w:val="auto"/>
          <w:kern w:val="0"/>
          <w:sz w:val="28"/>
          <w:szCs w:val="36"/>
          <w:highlight w:val="none"/>
          <w:lang w:eastAsia="zh-CN"/>
        </w:rPr>
        <w:t>注意：本项目采用竞争性磋商方式</w:t>
      </w:r>
      <w:r>
        <w:rPr>
          <w:rFonts w:hint="eastAsia" w:hAnsi="宋体" w:eastAsia="宋体" w:cs="宋体"/>
          <w:b/>
          <w:bCs/>
          <w:color w:val="auto"/>
          <w:kern w:val="0"/>
          <w:sz w:val="28"/>
          <w:szCs w:val="36"/>
          <w:highlight w:val="none"/>
          <w:lang w:eastAsia="zh-CN"/>
        </w:rPr>
        <w:t>，有二次报价</w:t>
      </w:r>
      <w:r>
        <w:rPr>
          <w:rFonts w:hint="eastAsia" w:hAnsi="宋体" w:eastAsia="宋体" w:cs="宋体"/>
          <w:b/>
          <w:bCs/>
          <w:color w:val="auto"/>
          <w:kern w:val="0"/>
          <w:sz w:val="28"/>
          <w:szCs w:val="36"/>
          <w:highlight w:val="none"/>
          <w:lang w:val="en-US" w:eastAsia="zh-CN"/>
        </w:rPr>
        <w:t>/最终</w:t>
      </w:r>
      <w:r>
        <w:rPr>
          <w:rFonts w:hint="eastAsia" w:hAnsi="宋体" w:eastAsia="宋体" w:cs="宋体"/>
          <w:b/>
          <w:bCs/>
          <w:color w:val="auto"/>
          <w:kern w:val="0"/>
          <w:sz w:val="28"/>
          <w:szCs w:val="36"/>
          <w:highlight w:val="none"/>
          <w:lang w:eastAsia="zh-CN"/>
        </w:rPr>
        <w:t>报价环节，如供应商二次</w:t>
      </w:r>
      <w:r>
        <w:rPr>
          <w:rFonts w:hint="eastAsia" w:hAnsi="宋体" w:eastAsia="宋体" w:cs="宋体"/>
          <w:b/>
          <w:bCs/>
          <w:color w:val="auto"/>
          <w:kern w:val="0"/>
          <w:sz w:val="28"/>
          <w:szCs w:val="36"/>
          <w:highlight w:val="none"/>
          <w:lang w:val="en-US" w:eastAsia="zh-CN"/>
        </w:rPr>
        <w:t>/最终</w:t>
      </w:r>
      <w:r>
        <w:rPr>
          <w:rFonts w:hint="eastAsia" w:hAnsi="宋体" w:eastAsia="宋体" w:cs="宋体"/>
          <w:b/>
          <w:bCs/>
          <w:color w:val="auto"/>
          <w:kern w:val="0"/>
          <w:sz w:val="28"/>
          <w:szCs w:val="36"/>
          <w:highlight w:val="none"/>
          <w:lang w:eastAsia="zh-CN"/>
        </w:rPr>
        <w:t>报价与首次报价不同，请自行提前准备二次</w:t>
      </w:r>
      <w:r>
        <w:rPr>
          <w:rFonts w:hint="eastAsia" w:hAnsi="宋体" w:eastAsia="宋体" w:cs="宋体"/>
          <w:b/>
          <w:bCs/>
          <w:color w:val="auto"/>
          <w:kern w:val="0"/>
          <w:sz w:val="28"/>
          <w:szCs w:val="36"/>
          <w:highlight w:val="none"/>
          <w:lang w:val="en-US" w:eastAsia="zh-CN"/>
        </w:rPr>
        <w:t>/最终</w:t>
      </w:r>
      <w:r>
        <w:rPr>
          <w:rFonts w:hint="eastAsia" w:hAnsi="宋体" w:eastAsia="宋体" w:cs="宋体"/>
          <w:b/>
          <w:bCs/>
          <w:color w:val="auto"/>
          <w:kern w:val="0"/>
          <w:sz w:val="28"/>
          <w:szCs w:val="36"/>
          <w:highlight w:val="none"/>
          <w:lang w:eastAsia="zh-CN"/>
        </w:rPr>
        <w:t>报价的已标价工程量清单，用于系统报价时作为附件上传，注意报价时限。</w:t>
      </w:r>
    </w:p>
    <w:p w14:paraId="0D0E4797">
      <w:pPr>
        <w:spacing w:line="360" w:lineRule="auto"/>
        <w:ind w:right="420"/>
        <w:contextualSpacing/>
        <w:jc w:val="center"/>
        <w:rPr>
          <w:rFonts w:ascii="宋体" w:hAnsi="宋体"/>
          <w:b/>
          <w:bCs/>
          <w:color w:val="auto"/>
          <w:sz w:val="32"/>
          <w:szCs w:val="32"/>
          <w:highlight w:val="none"/>
        </w:rPr>
      </w:pPr>
      <w:r>
        <w:rPr>
          <w:rFonts w:ascii="宋体" w:hAnsi="宋体"/>
          <w:b/>
          <w:bCs/>
          <w:color w:val="auto"/>
          <w:sz w:val="32"/>
          <w:szCs w:val="32"/>
          <w:highlight w:val="none"/>
        </w:rPr>
        <w:br w:type="page"/>
      </w:r>
    </w:p>
    <w:p w14:paraId="27732BFA">
      <w:pPr>
        <w:spacing w:line="360" w:lineRule="auto"/>
        <w:ind w:firstLine="643" w:firstLineChars="200"/>
        <w:contextualSpacing/>
        <w:jc w:val="center"/>
        <w:rPr>
          <w:rFonts w:ascii="宋体" w:hAnsi="宋体"/>
          <w:b/>
          <w:color w:val="auto"/>
          <w:sz w:val="32"/>
          <w:szCs w:val="32"/>
          <w:highlight w:val="none"/>
        </w:rPr>
      </w:pPr>
      <w:r>
        <w:rPr>
          <w:rFonts w:hint="eastAsia" w:ascii="宋体" w:hAnsi="宋体"/>
          <w:b/>
          <w:bCs/>
          <w:color w:val="auto"/>
          <w:sz w:val="32"/>
          <w:szCs w:val="32"/>
          <w:highlight w:val="none"/>
        </w:rPr>
        <w:t>三、</w:t>
      </w:r>
      <w:r>
        <w:rPr>
          <w:rFonts w:hint="eastAsia" w:ascii="宋体" w:hAnsi="宋体"/>
          <w:b/>
          <w:color w:val="auto"/>
          <w:sz w:val="32"/>
          <w:szCs w:val="32"/>
          <w:highlight w:val="none"/>
        </w:rPr>
        <w:t>商务技术文件格式</w:t>
      </w:r>
    </w:p>
    <w:p w14:paraId="3872CAA7">
      <w:pPr>
        <w:snapToGrid w:val="0"/>
        <w:spacing w:before="120" w:beforeLines="50" w:after="50" w:line="360" w:lineRule="auto"/>
        <w:jc w:val="left"/>
        <w:rPr>
          <w:rFonts w:ascii="宋体" w:hAnsi="宋体"/>
          <w:b/>
          <w:color w:val="auto"/>
          <w:sz w:val="32"/>
          <w:szCs w:val="32"/>
          <w:highlight w:val="none"/>
        </w:rPr>
      </w:pPr>
      <w:r>
        <w:rPr>
          <w:rFonts w:hint="eastAsia" w:ascii="宋体" w:hAnsi="宋体"/>
          <w:b/>
          <w:color w:val="auto"/>
          <w:sz w:val="32"/>
          <w:szCs w:val="32"/>
          <w:highlight w:val="none"/>
        </w:rPr>
        <w:t>1.商务技术文件封面格式</w:t>
      </w:r>
    </w:p>
    <w:p w14:paraId="044743C5">
      <w:pPr>
        <w:snapToGrid w:val="0"/>
        <w:spacing w:before="120" w:beforeLines="50" w:after="50"/>
        <w:rPr>
          <w:rFonts w:ascii="宋体" w:hAnsi="宋体"/>
          <w:bCs/>
          <w:color w:val="auto"/>
          <w:sz w:val="32"/>
          <w:szCs w:val="20"/>
          <w:highlight w:val="none"/>
        </w:rPr>
      </w:pPr>
    </w:p>
    <w:p w14:paraId="54488BA1">
      <w:pPr>
        <w:snapToGrid w:val="0"/>
        <w:spacing w:before="120" w:beforeLines="50" w:after="50"/>
        <w:jc w:val="center"/>
        <w:rPr>
          <w:rFonts w:ascii="宋体" w:hAnsi="宋体"/>
          <w:color w:val="auto"/>
          <w:sz w:val="24"/>
          <w:szCs w:val="20"/>
          <w:highlight w:val="none"/>
        </w:rPr>
      </w:pPr>
      <w:r>
        <w:rPr>
          <w:rFonts w:hint="eastAsia" w:ascii="宋体" w:hAnsi="宋体"/>
          <w:color w:val="auto"/>
          <w:sz w:val="44"/>
          <w:szCs w:val="44"/>
          <w:highlight w:val="none"/>
        </w:rPr>
        <w:t>电 子 响 应 文 件</w:t>
      </w:r>
    </w:p>
    <w:p w14:paraId="21AF8888">
      <w:pPr>
        <w:snapToGrid w:val="0"/>
        <w:spacing w:before="120" w:beforeLines="50" w:after="50"/>
        <w:rPr>
          <w:rFonts w:ascii="宋体" w:hAnsi="宋体"/>
          <w:color w:val="auto"/>
          <w:sz w:val="24"/>
          <w:szCs w:val="20"/>
          <w:highlight w:val="none"/>
        </w:rPr>
      </w:pPr>
    </w:p>
    <w:p w14:paraId="33D484EF">
      <w:pPr>
        <w:snapToGrid w:val="0"/>
        <w:spacing w:before="120" w:beforeLines="50" w:after="50"/>
        <w:rPr>
          <w:rFonts w:ascii="宋体" w:hAnsi="宋体"/>
          <w:color w:val="auto"/>
          <w:sz w:val="24"/>
          <w:szCs w:val="20"/>
          <w:highlight w:val="none"/>
        </w:rPr>
      </w:pPr>
    </w:p>
    <w:p w14:paraId="461C818D">
      <w:pPr>
        <w:snapToGrid w:val="0"/>
        <w:spacing w:before="120"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  务  技  术  文  件</w:t>
      </w:r>
    </w:p>
    <w:p w14:paraId="2D27C7E2">
      <w:pPr>
        <w:snapToGrid w:val="0"/>
        <w:spacing w:before="120" w:beforeLines="50" w:after="50"/>
        <w:rPr>
          <w:rFonts w:ascii="宋体" w:hAnsi="宋体"/>
          <w:bCs/>
          <w:color w:val="auto"/>
          <w:sz w:val="24"/>
          <w:szCs w:val="20"/>
          <w:highlight w:val="none"/>
        </w:rPr>
      </w:pPr>
    </w:p>
    <w:p w14:paraId="5DBFFD15">
      <w:pPr>
        <w:snapToGrid w:val="0"/>
        <w:spacing w:before="120" w:beforeLines="50" w:after="50"/>
        <w:rPr>
          <w:rFonts w:ascii="宋体" w:hAnsi="宋体"/>
          <w:bCs/>
          <w:color w:val="auto"/>
          <w:sz w:val="24"/>
          <w:szCs w:val="20"/>
          <w:highlight w:val="none"/>
        </w:rPr>
      </w:pPr>
    </w:p>
    <w:p w14:paraId="7B9EE680">
      <w:pPr>
        <w:snapToGrid w:val="0"/>
        <w:spacing w:before="120" w:beforeLines="50" w:after="50"/>
        <w:rPr>
          <w:rFonts w:ascii="宋体" w:hAnsi="宋体"/>
          <w:bCs/>
          <w:color w:val="auto"/>
          <w:sz w:val="24"/>
          <w:szCs w:val="20"/>
          <w:highlight w:val="none"/>
        </w:rPr>
      </w:pPr>
    </w:p>
    <w:p w14:paraId="101A7B0A">
      <w:pPr>
        <w:snapToGrid w:val="0"/>
        <w:spacing w:before="120" w:beforeLines="50" w:after="50"/>
        <w:rPr>
          <w:rFonts w:ascii="宋体" w:hAnsi="宋体"/>
          <w:bCs/>
          <w:color w:val="auto"/>
          <w:sz w:val="24"/>
          <w:szCs w:val="20"/>
          <w:highlight w:val="none"/>
        </w:rPr>
      </w:pPr>
    </w:p>
    <w:p w14:paraId="3D355A6D">
      <w:pPr>
        <w:snapToGrid w:val="0"/>
        <w:spacing w:before="120" w:beforeLines="50" w:after="50"/>
        <w:rPr>
          <w:rFonts w:ascii="宋体" w:hAnsi="宋体"/>
          <w:bCs/>
          <w:color w:val="auto"/>
          <w:sz w:val="24"/>
          <w:szCs w:val="20"/>
          <w:highlight w:val="none"/>
        </w:rPr>
      </w:pPr>
    </w:p>
    <w:p w14:paraId="1C268143">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130C65E6">
      <w:pPr>
        <w:snapToGrid w:val="0"/>
        <w:spacing w:before="120" w:beforeLines="50" w:after="50"/>
        <w:ind w:firstLine="720" w:firstLineChars="225"/>
        <w:rPr>
          <w:rFonts w:ascii="宋体" w:hAnsi="宋体" w:cs="仿宋_GB2312"/>
          <w:bCs/>
          <w:color w:val="auto"/>
          <w:sz w:val="32"/>
          <w:szCs w:val="32"/>
          <w:highlight w:val="none"/>
        </w:rPr>
      </w:pPr>
    </w:p>
    <w:p w14:paraId="31A39408">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1FFDE8AA">
      <w:pPr>
        <w:snapToGrid w:val="0"/>
        <w:spacing w:before="120" w:beforeLines="50" w:after="50"/>
        <w:ind w:firstLine="720" w:firstLineChars="225"/>
        <w:rPr>
          <w:rFonts w:ascii="宋体" w:hAnsi="宋体" w:cs="仿宋_GB2312"/>
          <w:bCs/>
          <w:color w:val="auto"/>
          <w:sz w:val="32"/>
          <w:szCs w:val="32"/>
          <w:highlight w:val="none"/>
        </w:rPr>
      </w:pPr>
    </w:p>
    <w:p w14:paraId="25E50705">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465E6DCA">
      <w:pPr>
        <w:snapToGrid w:val="0"/>
        <w:spacing w:before="120" w:beforeLines="50" w:after="50"/>
        <w:ind w:firstLine="720" w:firstLineChars="225"/>
        <w:rPr>
          <w:rFonts w:ascii="宋体" w:hAnsi="宋体" w:cs="仿宋_GB2312"/>
          <w:bCs/>
          <w:color w:val="auto"/>
          <w:sz w:val="32"/>
          <w:szCs w:val="32"/>
          <w:highlight w:val="none"/>
        </w:rPr>
      </w:pPr>
    </w:p>
    <w:p w14:paraId="086E6E75">
      <w:pPr>
        <w:pStyle w:val="7"/>
        <w:snapToGrid w:val="0"/>
        <w:spacing w:before="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1C80393A">
      <w:pPr>
        <w:pStyle w:val="7"/>
        <w:snapToGrid w:val="0"/>
        <w:spacing w:before="50" w:after="50"/>
        <w:ind w:firstLine="640" w:firstLineChars="200"/>
        <w:rPr>
          <w:rFonts w:ascii="宋体" w:hAnsi="宋体" w:cs="仿宋_GB2312"/>
          <w:bCs/>
          <w:color w:val="auto"/>
          <w:sz w:val="32"/>
          <w:szCs w:val="32"/>
          <w:highlight w:val="none"/>
        </w:rPr>
      </w:pPr>
    </w:p>
    <w:p w14:paraId="369E7B6C">
      <w:pPr>
        <w:pStyle w:val="7"/>
        <w:snapToGrid w:val="0"/>
        <w:spacing w:before="50" w:after="50"/>
        <w:ind w:firstLine="720" w:firstLineChars="225"/>
        <w:rPr>
          <w:rFonts w:ascii="宋体" w:hAnsi="宋体" w:cs="仿宋_GB2312"/>
          <w:bCs/>
          <w:color w:val="auto"/>
          <w:sz w:val="32"/>
          <w:szCs w:val="32"/>
          <w:highlight w:val="none"/>
        </w:rPr>
      </w:pPr>
    </w:p>
    <w:p w14:paraId="2F767563">
      <w:pPr>
        <w:pStyle w:val="7"/>
        <w:snapToGrid w:val="0"/>
        <w:spacing w:before="50" w:after="50"/>
        <w:ind w:firstLine="0"/>
        <w:rPr>
          <w:rFonts w:ascii="宋体" w:hAnsi="宋体" w:cs="仿宋_GB2312"/>
          <w:bCs/>
          <w:color w:val="auto"/>
          <w:sz w:val="32"/>
          <w:szCs w:val="32"/>
          <w:highlight w:val="none"/>
        </w:rPr>
      </w:pPr>
    </w:p>
    <w:p w14:paraId="54AD20B8">
      <w:pPr>
        <w:pStyle w:val="7"/>
        <w:snapToGrid w:val="0"/>
        <w:spacing w:before="50" w:after="50"/>
        <w:ind w:firstLine="1280" w:firstLineChars="400"/>
        <w:rPr>
          <w:rFonts w:ascii="宋体" w:hAnsi="宋体" w:cs="仿宋_GB2312"/>
          <w:bCs/>
          <w:color w:val="auto"/>
          <w:sz w:val="32"/>
          <w:szCs w:val="32"/>
          <w:highlight w:val="none"/>
        </w:rPr>
      </w:pPr>
    </w:p>
    <w:p w14:paraId="704A3E86">
      <w:pPr>
        <w:snapToGrid w:val="0"/>
        <w:spacing w:before="120"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6895ED41">
      <w:pPr>
        <w:snapToGrid w:val="0"/>
        <w:spacing w:before="120" w:beforeLines="50" w:after="50" w:line="360" w:lineRule="auto"/>
        <w:ind w:right="480" w:firstLine="240" w:firstLineChars="100"/>
        <w:jc w:val="left"/>
        <w:rPr>
          <w:rFonts w:ascii="宋体" w:hAnsi="宋体"/>
          <w:b/>
          <w:bCs/>
          <w:color w:val="auto"/>
          <w:sz w:val="24"/>
          <w:highlight w:val="none"/>
        </w:rPr>
      </w:pPr>
      <w:r>
        <w:rPr>
          <w:rFonts w:ascii="宋体" w:hAnsi="宋体"/>
          <w:color w:val="auto"/>
          <w:sz w:val="24"/>
          <w:highlight w:val="none"/>
        </w:rPr>
        <w:br w:type="page"/>
      </w:r>
      <w:r>
        <w:rPr>
          <w:rFonts w:hint="eastAsia" w:ascii="宋体" w:hAnsi="宋体"/>
          <w:b/>
          <w:bCs/>
          <w:color w:val="auto"/>
          <w:sz w:val="32"/>
          <w:szCs w:val="32"/>
          <w:highlight w:val="none"/>
        </w:rPr>
        <w:t>2.商务技术文件目录</w:t>
      </w:r>
    </w:p>
    <w:p w14:paraId="14835666">
      <w:pPr>
        <w:snapToGrid w:val="0"/>
        <w:spacing w:before="120" w:beforeLines="50" w:after="50" w:line="360" w:lineRule="auto"/>
        <w:ind w:firstLine="640" w:firstLineChars="200"/>
        <w:rPr>
          <w:rFonts w:ascii="宋体" w:hAnsi="宋体"/>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p>
    <w:p w14:paraId="5C251D6A">
      <w:pPr>
        <w:spacing w:line="400" w:lineRule="exact"/>
        <w:rPr>
          <w:rFonts w:ascii="仿宋_GB2312" w:hAnsi="仿宋_GB2312" w:eastAsia="仿宋_GB2312" w:cs="仿宋_GB2312"/>
          <w:color w:val="auto"/>
          <w:sz w:val="32"/>
          <w:szCs w:val="32"/>
          <w:highlight w:val="none"/>
        </w:rPr>
      </w:pPr>
    </w:p>
    <w:p w14:paraId="7052934D">
      <w:pPr>
        <w:spacing w:line="520" w:lineRule="exact"/>
        <w:jc w:val="center"/>
        <w:rPr>
          <w:rFonts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方正小标宋简体" w:hAnsi="方正小标宋简体" w:eastAsia="方正小标宋简体" w:cs="方正小标宋简体"/>
          <w:color w:val="auto"/>
          <w:sz w:val="44"/>
          <w:szCs w:val="44"/>
          <w:highlight w:val="none"/>
        </w:rPr>
        <w:t>无串通竞标行为的承诺函</w:t>
      </w:r>
    </w:p>
    <w:p w14:paraId="62064897">
      <w:pPr>
        <w:spacing w:line="360" w:lineRule="auto"/>
        <w:ind w:firstLine="640" w:firstLineChars="200"/>
        <w:contextualSpacing/>
        <w:rPr>
          <w:rFonts w:ascii="仿宋_GB2312" w:hAnsi="仿宋_GB2312" w:eastAsia="仿宋_GB2312" w:cs="仿宋_GB2312"/>
          <w:color w:val="auto"/>
          <w:sz w:val="32"/>
          <w:szCs w:val="32"/>
          <w:highlight w:val="none"/>
        </w:rPr>
      </w:pPr>
    </w:p>
    <w:p w14:paraId="093F689D">
      <w:pPr>
        <w:spacing w:line="360" w:lineRule="auto"/>
        <w:ind w:firstLine="482" w:firstLineChars="200"/>
        <w:contextualSpacing/>
        <w:rPr>
          <w:rFonts w:ascii="宋体" w:hAnsi="宋体" w:cs="仿宋_GB2312"/>
          <w:b/>
          <w:bCs/>
          <w:color w:val="auto"/>
          <w:sz w:val="24"/>
          <w:highlight w:val="none"/>
        </w:rPr>
      </w:pPr>
      <w:r>
        <w:rPr>
          <w:rFonts w:hint="eastAsia" w:ascii="宋体" w:hAnsi="宋体" w:cs="仿宋_GB2312"/>
          <w:b/>
          <w:bCs/>
          <w:color w:val="auto"/>
          <w:sz w:val="24"/>
          <w:highlight w:val="none"/>
        </w:rPr>
        <w:t>一、我方承诺无下列相互串通竞标的情形：</w:t>
      </w:r>
    </w:p>
    <w:p w14:paraId="19EE9093">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 xml:space="preserve">1.不同供应商的响应文件由同一单位或者个人编制； </w:t>
      </w:r>
    </w:p>
    <w:p w14:paraId="74051A87">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2.不同供应商委托同一单位或者个人办理竞标事宜；</w:t>
      </w:r>
    </w:p>
    <w:p w14:paraId="4A28BCEC">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3.不同供应商的响应文件载明的项目管理员为同一个人；</w:t>
      </w:r>
    </w:p>
    <w:p w14:paraId="6F2FD58D">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4.不</w:t>
      </w:r>
      <w:r>
        <w:rPr>
          <w:rFonts w:hint="eastAsia" w:ascii="宋体" w:hAnsi="宋体" w:cs="仿宋_GB2312"/>
          <w:color w:val="auto"/>
          <w:spacing w:val="-6"/>
          <w:sz w:val="24"/>
          <w:highlight w:val="none"/>
        </w:rPr>
        <w:t>同供应商的响应文件异常一致或者竞标报价呈规律性差异；</w:t>
      </w:r>
    </w:p>
    <w:p w14:paraId="55016227">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5.不同供应商的响应文件相互混装；</w:t>
      </w:r>
    </w:p>
    <w:p w14:paraId="7B9B405D">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6.不同供应商的磋商保证金从同一单位或者个人账户转出。</w:t>
      </w:r>
    </w:p>
    <w:p w14:paraId="109EBD61">
      <w:pPr>
        <w:spacing w:line="360" w:lineRule="auto"/>
        <w:ind w:firstLine="482" w:firstLineChars="200"/>
        <w:contextualSpacing/>
        <w:rPr>
          <w:rFonts w:ascii="宋体" w:hAnsi="宋体" w:cs="仿宋_GB2312"/>
          <w:b/>
          <w:bCs/>
          <w:color w:val="auto"/>
          <w:sz w:val="24"/>
          <w:highlight w:val="none"/>
        </w:rPr>
      </w:pPr>
      <w:r>
        <w:rPr>
          <w:rFonts w:hint="eastAsia" w:ascii="宋体" w:hAnsi="宋体" w:cs="仿宋_GB2312"/>
          <w:b/>
          <w:bCs/>
          <w:color w:val="auto"/>
          <w:sz w:val="24"/>
          <w:highlight w:val="none"/>
        </w:rPr>
        <w:t>二、我方承诺无下列恶意串通的情形：</w:t>
      </w:r>
    </w:p>
    <w:p w14:paraId="5A20C1EF">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1.供应商直接或者间接从采购人或者采购代理机构处获得其他供应商的相关信息并修改其响应文件；</w:t>
      </w:r>
    </w:p>
    <w:p w14:paraId="4CDA1027">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2.供应商按照采购人或者采购代理机构的授意撤换、修改响应文件；</w:t>
      </w:r>
    </w:p>
    <w:p w14:paraId="4BD6B639">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3.供</w:t>
      </w:r>
      <w:r>
        <w:rPr>
          <w:rFonts w:hint="eastAsia" w:ascii="宋体" w:hAnsi="宋体" w:cs="仿宋_GB2312"/>
          <w:color w:val="auto"/>
          <w:spacing w:val="-6"/>
          <w:sz w:val="24"/>
          <w:highlight w:val="none"/>
        </w:rPr>
        <w:t>应商之间协商报价、技术方案等响应文件的实质性内容；</w:t>
      </w:r>
    </w:p>
    <w:p w14:paraId="1EC34061">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4.属于同一集团、协会、商会等组织成员的供应商按照该组织要求协同参加政府采购活动；</w:t>
      </w:r>
    </w:p>
    <w:p w14:paraId="2642CA1A">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5.供应商之间事先约定一致抬高或者压低竞标报价，或者在竞争性磋商项目中事先约定轮流以高价位或者低价位成交，或者事先约定由某一特定供应商成交，然后再参加竞标；</w:t>
      </w:r>
    </w:p>
    <w:p w14:paraId="1D731B3C">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6.供应商之间商定部分供应商放弃参加政府采购活动或者放弃成交；</w:t>
      </w:r>
    </w:p>
    <w:p w14:paraId="0A5B49CC">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7.供应商与采购人或者采购代理机构之间、供应商相互之间，为</w:t>
      </w:r>
      <w:r>
        <w:rPr>
          <w:rFonts w:hint="eastAsia" w:ascii="宋体" w:hAnsi="宋体" w:cs="仿宋_GB2312"/>
          <w:color w:val="auto"/>
          <w:spacing w:val="-6"/>
          <w:sz w:val="24"/>
          <w:highlight w:val="none"/>
        </w:rPr>
        <w:t>谋求特定供应商成交或者排斥其他供应商的其他串通行为。</w:t>
      </w:r>
    </w:p>
    <w:p w14:paraId="5E6330AA">
      <w:pPr>
        <w:spacing w:line="360" w:lineRule="auto"/>
        <w:ind w:firstLine="480" w:firstLineChars="200"/>
        <w:contextualSpacing/>
        <w:rPr>
          <w:rFonts w:ascii="宋体" w:hAnsi="宋体" w:cs="仿宋_GB2312"/>
          <w:color w:val="auto"/>
          <w:sz w:val="24"/>
          <w:highlight w:val="none"/>
        </w:rPr>
      </w:pPr>
    </w:p>
    <w:p w14:paraId="4601695C">
      <w:pPr>
        <w:spacing w:line="360" w:lineRule="auto"/>
        <w:ind w:firstLine="482" w:firstLineChars="200"/>
        <w:contextualSpacing/>
        <w:rPr>
          <w:rFonts w:ascii="宋体" w:hAnsi="宋体" w:cs="仿宋_GB2312"/>
          <w:b/>
          <w:bCs/>
          <w:color w:val="auto"/>
          <w:sz w:val="24"/>
          <w:highlight w:val="none"/>
        </w:rPr>
      </w:pPr>
      <w:r>
        <w:rPr>
          <w:rFonts w:hint="eastAsia" w:ascii="宋体" w:hAnsi="宋体" w:cs="仿宋_GB2312"/>
          <w:b/>
          <w:bCs/>
          <w:color w:val="auto"/>
          <w:sz w:val="24"/>
          <w:highlight w:val="none"/>
        </w:rPr>
        <w:t>以上情形一经核查属实，我方愿意承担一切后果，并不再寻求任何旨在减轻或者免除法律责任的辩解。</w:t>
      </w:r>
    </w:p>
    <w:p w14:paraId="1A2EE8EF">
      <w:pPr>
        <w:spacing w:line="360" w:lineRule="auto"/>
        <w:contextualSpacing/>
        <w:rPr>
          <w:rFonts w:ascii="宋体" w:hAnsi="宋体" w:cs="仿宋_GB2312"/>
          <w:color w:val="auto"/>
          <w:sz w:val="24"/>
          <w:highlight w:val="none"/>
        </w:rPr>
      </w:pPr>
    </w:p>
    <w:p w14:paraId="1619DB92">
      <w:pPr>
        <w:spacing w:line="360" w:lineRule="auto"/>
        <w:ind w:firstLine="3600" w:firstLineChars="1500"/>
        <w:contextualSpacing/>
        <w:rPr>
          <w:rFonts w:ascii="宋体" w:hAnsi="宋体" w:cs="仿宋_GB2312"/>
          <w:color w:val="auto"/>
          <w:sz w:val="24"/>
          <w:highlight w:val="none"/>
        </w:rPr>
      </w:pPr>
      <w:r>
        <w:rPr>
          <w:rFonts w:hint="eastAsia" w:ascii="宋体" w:hAnsi="宋体" w:cs="仿宋_GB2312"/>
          <w:color w:val="auto"/>
          <w:sz w:val="24"/>
          <w:highlight w:val="none"/>
        </w:rPr>
        <w:t>供应商（电子签章）：</w:t>
      </w:r>
    </w:p>
    <w:p w14:paraId="3E6447DA">
      <w:pPr>
        <w:spacing w:line="360" w:lineRule="auto"/>
        <w:ind w:firstLine="480" w:firstLineChars="200"/>
        <w:contextualSpacing/>
        <w:jc w:val="center"/>
        <w:rPr>
          <w:rFonts w:ascii="仿宋_GB2312" w:hAnsi="仿宋_GB2312" w:eastAsia="仿宋_GB2312" w:cs="仿宋_GB2312"/>
          <w:color w:val="auto"/>
          <w:sz w:val="32"/>
          <w:szCs w:val="32"/>
          <w:highlight w:val="none"/>
        </w:rPr>
      </w:pPr>
      <w:r>
        <w:rPr>
          <w:rFonts w:hint="eastAsia" w:ascii="宋体" w:hAnsi="宋体" w:cs="仿宋_GB2312"/>
          <w:color w:val="auto"/>
          <w:sz w:val="24"/>
          <w:highlight w:val="none"/>
        </w:rPr>
        <w:t xml:space="preserve">                               年   月   日</w:t>
      </w:r>
    </w:p>
    <w:p w14:paraId="26835114">
      <w:pPr>
        <w:spacing w:line="520" w:lineRule="exact"/>
        <w:jc w:val="center"/>
        <w:rPr>
          <w:rFonts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bCs/>
          <w:color w:val="auto"/>
          <w:sz w:val="44"/>
          <w:szCs w:val="44"/>
          <w:highlight w:val="none"/>
        </w:rPr>
        <w:br w:type="page"/>
      </w:r>
      <w:r>
        <w:rPr>
          <w:rFonts w:hint="eastAsia" w:ascii="方正小标宋简体" w:hAnsi="方正小标宋简体" w:eastAsia="方正小标宋简体" w:cs="方正小标宋简体"/>
          <w:bCs/>
          <w:color w:val="auto"/>
          <w:sz w:val="44"/>
          <w:szCs w:val="44"/>
          <w:highlight w:val="none"/>
        </w:rPr>
        <w:t>法定代表人证明书</w:t>
      </w:r>
    </w:p>
    <w:p w14:paraId="21B60741">
      <w:pPr>
        <w:spacing w:line="360" w:lineRule="auto"/>
        <w:ind w:left="540"/>
        <w:contextualSpacing/>
        <w:rPr>
          <w:rFonts w:ascii="仿宋_GB2312" w:hAnsi="仿宋_GB2312" w:eastAsia="仿宋_GB2312" w:cs="仿宋_GB2312"/>
          <w:color w:val="auto"/>
          <w:sz w:val="32"/>
          <w:szCs w:val="32"/>
          <w:highlight w:val="none"/>
        </w:rPr>
      </w:pPr>
    </w:p>
    <w:p w14:paraId="065BBD2C">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供应商名称：</w:t>
      </w:r>
    </w:p>
    <w:p w14:paraId="753FEE82">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地    址：</w:t>
      </w:r>
    </w:p>
    <w:p w14:paraId="54129385">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姓    名：         性     别：</w:t>
      </w:r>
    </w:p>
    <w:p w14:paraId="418D04F2">
      <w:pPr>
        <w:spacing w:line="360" w:lineRule="auto"/>
        <w:ind w:left="540"/>
        <w:contextualSpacing/>
        <w:rPr>
          <w:rFonts w:ascii="宋体" w:hAnsi="宋体" w:cs="仿宋_GB2312"/>
          <w:color w:val="auto"/>
          <w:sz w:val="24"/>
          <w:highlight w:val="none"/>
          <w:u w:val="single"/>
        </w:rPr>
      </w:pPr>
      <w:r>
        <w:rPr>
          <w:rFonts w:hint="eastAsia" w:ascii="宋体" w:hAnsi="宋体" w:cs="仿宋_GB2312"/>
          <w:color w:val="auto"/>
          <w:sz w:val="24"/>
          <w:highlight w:val="none"/>
        </w:rPr>
        <w:t>年    龄：         职     务：</w:t>
      </w:r>
    </w:p>
    <w:p w14:paraId="2B199C7E">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身份证号码：</w:t>
      </w:r>
    </w:p>
    <w:p w14:paraId="2BB64927">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系</w:t>
      </w:r>
      <w:r>
        <w:rPr>
          <w:rFonts w:hint="eastAsia" w:ascii="宋体" w:hAnsi="宋体" w:cs="仿宋_GB2312"/>
          <w:color w:val="auto"/>
          <w:sz w:val="24"/>
          <w:highlight w:val="none"/>
          <w:u w:val="single"/>
        </w:rPr>
        <w:t>（供应商名称）</w:t>
      </w:r>
      <w:r>
        <w:rPr>
          <w:rFonts w:hint="eastAsia" w:ascii="宋体" w:hAnsi="宋体" w:cs="仿宋_GB2312"/>
          <w:color w:val="auto"/>
          <w:sz w:val="24"/>
          <w:highlight w:val="none"/>
        </w:rPr>
        <w:t>的法定代表人。</w:t>
      </w:r>
    </w:p>
    <w:p w14:paraId="58C56033">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特此证明。</w:t>
      </w:r>
    </w:p>
    <w:p w14:paraId="36AD2D72">
      <w:pPr>
        <w:spacing w:line="360" w:lineRule="auto"/>
        <w:ind w:left="540"/>
        <w:contextualSpacing/>
        <w:rPr>
          <w:rFonts w:ascii="宋体" w:hAnsi="宋体" w:cs="仿宋_GB2312"/>
          <w:color w:val="auto"/>
          <w:sz w:val="24"/>
          <w:highlight w:val="none"/>
        </w:rPr>
      </w:pPr>
    </w:p>
    <w:p w14:paraId="6DBDF6CF">
      <w:pPr>
        <w:spacing w:line="360" w:lineRule="auto"/>
        <w:ind w:left="540"/>
        <w:contextualSpacing/>
        <w:rPr>
          <w:rFonts w:ascii="宋体" w:hAnsi="宋体" w:cs="仿宋_GB2312"/>
          <w:color w:val="auto"/>
          <w:sz w:val="24"/>
          <w:highlight w:val="none"/>
        </w:rPr>
      </w:pPr>
    </w:p>
    <w:p w14:paraId="648E9795">
      <w:pPr>
        <w:spacing w:line="360" w:lineRule="auto"/>
        <w:ind w:left="540"/>
        <w:contextualSpacing/>
        <w:rPr>
          <w:rFonts w:ascii="宋体" w:hAnsi="宋体" w:cs="仿宋_GB2312"/>
          <w:color w:val="auto"/>
          <w:sz w:val="24"/>
          <w:highlight w:val="none"/>
        </w:rPr>
      </w:pPr>
    </w:p>
    <w:p w14:paraId="6145AB03">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附件：法定代表人有效身份证正反面扫描件</w:t>
      </w:r>
    </w:p>
    <w:p w14:paraId="2C0A94E1">
      <w:pPr>
        <w:spacing w:line="360" w:lineRule="auto"/>
        <w:ind w:left="540"/>
        <w:contextualSpacing/>
        <w:rPr>
          <w:rFonts w:ascii="宋体" w:hAnsi="宋体" w:cs="仿宋_GB2312"/>
          <w:color w:val="auto"/>
          <w:sz w:val="24"/>
          <w:highlight w:val="none"/>
        </w:rPr>
      </w:pPr>
    </w:p>
    <w:p w14:paraId="39757795">
      <w:pPr>
        <w:spacing w:line="360" w:lineRule="auto"/>
        <w:ind w:left="540" w:firstLine="3000" w:firstLineChars="1250"/>
        <w:contextualSpacing/>
        <w:jc w:val="left"/>
        <w:rPr>
          <w:rFonts w:ascii="宋体" w:hAnsi="宋体" w:cs="仿宋_GB2312"/>
          <w:color w:val="auto"/>
          <w:sz w:val="24"/>
          <w:highlight w:val="none"/>
        </w:rPr>
      </w:pPr>
      <w:r>
        <w:rPr>
          <w:rFonts w:hint="eastAsia" w:ascii="宋体" w:hAnsi="宋体" w:cs="仿宋_GB2312"/>
          <w:color w:val="auto"/>
          <w:sz w:val="24"/>
          <w:highlight w:val="none"/>
        </w:rPr>
        <w:t>供应商（电子签章）：</w:t>
      </w:r>
    </w:p>
    <w:p w14:paraId="2B23D03A">
      <w:pPr>
        <w:spacing w:line="360" w:lineRule="auto"/>
        <w:ind w:firstLine="4080" w:firstLineChars="1700"/>
        <w:contextualSpacing/>
        <w:rPr>
          <w:rFonts w:ascii="宋体" w:hAnsi="宋体" w:cs="仿宋_GB2312"/>
          <w:color w:val="auto"/>
          <w:sz w:val="24"/>
          <w:highlight w:val="none"/>
        </w:rPr>
      </w:pPr>
      <w:r>
        <w:rPr>
          <w:rFonts w:hint="eastAsia" w:ascii="宋体" w:hAnsi="宋体" w:cs="仿宋_GB2312"/>
          <w:color w:val="auto"/>
          <w:sz w:val="24"/>
          <w:highlight w:val="none"/>
        </w:rPr>
        <w:t xml:space="preserve">    年  月  日</w:t>
      </w:r>
    </w:p>
    <w:p w14:paraId="0EEF980B">
      <w:pPr>
        <w:spacing w:line="360" w:lineRule="auto"/>
        <w:contextualSpacing/>
        <w:jc w:val="center"/>
        <w:rPr>
          <w:rFonts w:ascii="宋体" w:hAnsi="宋体" w:cs="仿宋_GB2312"/>
          <w:b/>
          <w:color w:val="auto"/>
          <w:sz w:val="24"/>
          <w:highlight w:val="none"/>
        </w:rPr>
      </w:pPr>
    </w:p>
    <w:p w14:paraId="5F6F304F">
      <w:pPr>
        <w:spacing w:line="360" w:lineRule="auto"/>
        <w:contextualSpacing/>
        <w:jc w:val="left"/>
        <w:rPr>
          <w:rFonts w:ascii="宋体" w:hAnsi="宋体" w:cs="仿宋_GB2312"/>
          <w:color w:val="auto"/>
          <w:sz w:val="24"/>
          <w:highlight w:val="none"/>
        </w:rPr>
      </w:pPr>
    </w:p>
    <w:p w14:paraId="42ADCA8D">
      <w:pPr>
        <w:spacing w:line="360" w:lineRule="auto"/>
        <w:contextualSpacing/>
        <w:jc w:val="left"/>
        <w:rPr>
          <w:rFonts w:ascii="宋体" w:hAnsi="宋体" w:cs="仿宋_GB2312"/>
          <w:color w:val="auto"/>
          <w:sz w:val="24"/>
          <w:highlight w:val="none"/>
        </w:rPr>
      </w:pPr>
      <w:r>
        <w:rPr>
          <w:rFonts w:hint="eastAsia" w:ascii="宋体" w:hAnsi="宋体" w:cs="仿宋_GB2312"/>
          <w:color w:val="auto"/>
          <w:sz w:val="24"/>
          <w:highlight w:val="none"/>
        </w:rPr>
        <w:t>注：联合体竞标的只需牵头人出具。</w:t>
      </w:r>
    </w:p>
    <w:p w14:paraId="116AB315">
      <w:pPr>
        <w:adjustRightInd w:val="0"/>
        <w:snapToGrid w:val="0"/>
        <w:spacing w:line="300" w:lineRule="auto"/>
        <w:jc w:val="left"/>
        <w:rPr>
          <w:rFonts w:ascii="宋体" w:hAnsi="宋体"/>
          <w:b/>
          <w:color w:val="auto"/>
          <w:szCs w:val="21"/>
          <w:highlight w:val="none"/>
        </w:rPr>
      </w:pPr>
    </w:p>
    <w:p w14:paraId="4FEA8384">
      <w:pPr>
        <w:spacing w:line="500" w:lineRule="exa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br w:type="page"/>
      </w:r>
    </w:p>
    <w:p w14:paraId="7FA1EF9E">
      <w:pPr>
        <w:spacing w:line="520" w:lineRule="exact"/>
        <w:jc w:val="center"/>
        <w:rPr>
          <w:rFonts w:ascii="方正小标宋简体" w:hAnsi="方正小标宋简体" w:eastAsia="方正小标宋简体" w:cs="方正小标宋简体"/>
          <w:color w:val="auto"/>
          <w:sz w:val="44"/>
          <w:szCs w:val="44"/>
          <w:highlight w:val="none"/>
        </w:rPr>
      </w:pPr>
      <w:bookmarkStart w:id="107" w:name="_Hlk65853643"/>
      <w:r>
        <w:rPr>
          <w:rFonts w:hint="eastAsia" w:ascii="方正小标宋简体" w:hAnsi="方正小标宋简体" w:eastAsia="方正小标宋简体" w:cs="方正小标宋简体"/>
          <w:color w:val="auto"/>
          <w:sz w:val="44"/>
          <w:szCs w:val="44"/>
          <w:highlight w:val="none"/>
        </w:rPr>
        <w:t>授权委托书</w:t>
      </w:r>
    </w:p>
    <w:p w14:paraId="48AF6EDA">
      <w:pPr>
        <w:spacing w:line="520" w:lineRule="exact"/>
        <w:jc w:val="center"/>
        <w:rPr>
          <w:rFonts w:ascii="方正小标宋简体" w:hAnsi="方正小标宋简体" w:eastAsia="方正小标宋简体" w:cs="方正小标宋简体"/>
          <w:color w:val="auto"/>
          <w:sz w:val="32"/>
          <w:szCs w:val="32"/>
          <w:highlight w:val="none"/>
        </w:rPr>
      </w:pPr>
      <w:r>
        <w:rPr>
          <w:rFonts w:hint="eastAsia" w:ascii="方正小标宋简体" w:hAnsi="方正小标宋简体" w:eastAsia="方正小标宋简体" w:cs="方正小标宋简体"/>
          <w:color w:val="auto"/>
          <w:sz w:val="32"/>
          <w:szCs w:val="32"/>
          <w:highlight w:val="none"/>
        </w:rPr>
        <w:t>（非联合体竞标格式）</w:t>
      </w:r>
    </w:p>
    <w:p w14:paraId="76BA8A8F">
      <w:pPr>
        <w:spacing w:line="520" w:lineRule="exa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32"/>
          <w:szCs w:val="32"/>
          <w:highlight w:val="none"/>
        </w:rPr>
        <w:t>（如有委托时）</w:t>
      </w:r>
    </w:p>
    <w:p w14:paraId="13C69817">
      <w:pPr>
        <w:spacing w:line="520" w:lineRule="exact"/>
        <w:rPr>
          <w:rFonts w:ascii="仿宋_GB2312" w:hAnsi="仿宋_GB2312" w:eastAsia="仿宋_GB2312" w:cs="仿宋_GB2312"/>
          <w:color w:val="auto"/>
          <w:sz w:val="32"/>
          <w:szCs w:val="32"/>
          <w:highlight w:val="none"/>
        </w:rPr>
      </w:pPr>
    </w:p>
    <w:p w14:paraId="6E101375">
      <w:pPr>
        <w:spacing w:line="360" w:lineRule="auto"/>
        <w:rPr>
          <w:rFonts w:ascii="宋体" w:hAnsi="宋体" w:cs="仿宋_GB2312"/>
          <w:color w:val="auto"/>
          <w:sz w:val="24"/>
          <w:highlight w:val="none"/>
        </w:rPr>
      </w:pPr>
      <w:r>
        <w:rPr>
          <w:rFonts w:hint="eastAsia" w:ascii="宋体" w:hAnsi="宋体" w:cs="仿宋_GB2312"/>
          <w:color w:val="auto"/>
          <w:sz w:val="24"/>
          <w:highlight w:val="none"/>
        </w:rPr>
        <w:t>致：</w:t>
      </w:r>
      <w:r>
        <w:rPr>
          <w:rFonts w:hint="eastAsia" w:ascii="宋体" w:hAnsi="宋体" w:cs="仿宋_GB2312"/>
          <w:color w:val="auto"/>
          <w:sz w:val="24"/>
          <w:highlight w:val="none"/>
          <w:u w:val="single"/>
        </w:rPr>
        <w:t>（采购人名称）</w:t>
      </w:r>
      <w:r>
        <w:rPr>
          <w:rFonts w:hint="eastAsia" w:ascii="宋体" w:hAnsi="宋体" w:cs="仿宋_GB2312"/>
          <w:color w:val="auto"/>
          <w:sz w:val="24"/>
          <w:highlight w:val="none"/>
        </w:rPr>
        <w:t>：</w:t>
      </w:r>
    </w:p>
    <w:p w14:paraId="104DE1C7">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我</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系</w:t>
      </w:r>
      <w:r>
        <w:rPr>
          <w:rFonts w:hint="eastAsia" w:ascii="宋体" w:hAnsi="宋体" w:cs="仿宋_GB2312"/>
          <w:color w:val="auto"/>
          <w:sz w:val="24"/>
          <w:highlight w:val="none"/>
          <w:u w:val="single"/>
        </w:rPr>
        <w:t xml:space="preserve">  （供应商名称）  </w:t>
      </w:r>
      <w:r>
        <w:rPr>
          <w:rFonts w:hint="eastAsia" w:ascii="宋体" w:hAnsi="宋体" w:cs="仿宋_GB2312"/>
          <w:color w:val="auto"/>
          <w:sz w:val="24"/>
          <w:highlight w:val="none"/>
        </w:rPr>
        <w:t>的（</w:t>
      </w:r>
      <w:r>
        <w:rPr>
          <w:rFonts w:hint="eastAsia" w:ascii="宋体" w:hAnsi="宋体" w:cs="仿宋_GB2312"/>
          <w:color w:val="auto"/>
          <w:sz w:val="24"/>
          <w:highlight w:val="none"/>
          <w:u w:val="single"/>
        </w:rPr>
        <w:t>□法定代表人/□负责人</w:t>
      </w:r>
      <w:r>
        <w:rPr>
          <w:rFonts w:hint="eastAsia" w:ascii="宋体" w:hAnsi="宋体" w:cs="仿宋_GB2312"/>
          <w:color w:val="auto"/>
          <w:sz w:val="24"/>
          <w:highlight w:val="none"/>
        </w:rPr>
        <w:t>），现授权</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以我方的名义参加项目的竞标活动，并代表我方全权办理针对上述项目的所有采购程序和环节的具体事务和签署相关文件。</w:t>
      </w:r>
    </w:p>
    <w:p w14:paraId="6EE84736">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我方对委托代理人的签字</w:t>
      </w:r>
      <w:r>
        <w:rPr>
          <w:rFonts w:hint="eastAsia" w:ascii="宋体" w:hAnsi="宋体"/>
          <w:color w:val="auto"/>
          <w:sz w:val="24"/>
          <w:highlight w:val="none"/>
        </w:rPr>
        <w:t>或者电子签名</w:t>
      </w:r>
      <w:r>
        <w:rPr>
          <w:rFonts w:hint="eastAsia" w:ascii="宋体" w:hAnsi="宋体" w:cs="仿宋_GB2312"/>
          <w:color w:val="auto"/>
          <w:sz w:val="24"/>
          <w:highlight w:val="none"/>
        </w:rPr>
        <w:t>事项负全部责任。</w:t>
      </w:r>
    </w:p>
    <w:p w14:paraId="7ED502D8">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6BCFA3E4">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5F66371D">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附：法定代表人身份证明书及委托代理人有效身份证正反面扫描件</w:t>
      </w:r>
    </w:p>
    <w:p w14:paraId="0EDD8EF6">
      <w:pPr>
        <w:spacing w:line="360" w:lineRule="auto"/>
        <w:rPr>
          <w:rFonts w:ascii="宋体" w:hAnsi="宋体" w:cs="仿宋_GB2312"/>
          <w:color w:val="auto"/>
          <w:sz w:val="24"/>
          <w:highlight w:val="none"/>
        </w:rPr>
      </w:pPr>
    </w:p>
    <w:p w14:paraId="31D620A0">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委托代理人（</w:t>
      </w:r>
      <w:r>
        <w:rPr>
          <w:rFonts w:hint="eastAsia" w:ascii="宋体" w:hAnsi="宋体"/>
          <w:color w:val="auto"/>
          <w:sz w:val="24"/>
          <w:highlight w:val="none"/>
        </w:rPr>
        <w:t>签字或者电子签名</w:t>
      </w:r>
      <w:r>
        <w:rPr>
          <w:rFonts w:hint="eastAsia" w:ascii="宋体" w:hAnsi="宋体" w:cs="仿宋_GB2312"/>
          <w:color w:val="auto"/>
          <w:sz w:val="24"/>
          <w:highlight w:val="none"/>
        </w:rPr>
        <w:t xml:space="preserve">）：     法定代表人（签字或者盖章或者电子签名）：                    </w:t>
      </w:r>
    </w:p>
    <w:p w14:paraId="1C7D2F1C">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 xml:space="preserve">委托代理人身份证号码：                              </w:t>
      </w:r>
    </w:p>
    <w:p w14:paraId="758318FB">
      <w:pPr>
        <w:spacing w:line="360" w:lineRule="auto"/>
        <w:contextualSpacing/>
        <w:rPr>
          <w:rFonts w:ascii="宋体" w:hAnsi="宋体" w:cs="仿宋_GB2312"/>
          <w:color w:val="auto"/>
          <w:sz w:val="24"/>
          <w:highlight w:val="none"/>
        </w:rPr>
      </w:pPr>
    </w:p>
    <w:p w14:paraId="7EE09128">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供应商（电子签章）：                      </w:t>
      </w:r>
    </w:p>
    <w:p w14:paraId="0BAC2A33">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年    月    日</w:t>
      </w:r>
    </w:p>
    <w:p w14:paraId="7BDF0F77">
      <w:pPr>
        <w:spacing w:line="360" w:lineRule="auto"/>
        <w:rPr>
          <w:rFonts w:ascii="宋体" w:hAnsi="宋体" w:cs="仿宋_GB2312"/>
          <w:color w:val="auto"/>
          <w:sz w:val="24"/>
          <w:highlight w:val="none"/>
        </w:rPr>
      </w:pPr>
    </w:p>
    <w:p w14:paraId="66F5A2F4">
      <w:pPr>
        <w:spacing w:line="360" w:lineRule="auto"/>
        <w:rPr>
          <w:rFonts w:ascii="宋体" w:hAnsi="宋体" w:cs="仿宋_GB2312"/>
          <w:color w:val="auto"/>
          <w:sz w:val="24"/>
          <w:highlight w:val="none"/>
        </w:rPr>
      </w:pPr>
      <w:r>
        <w:rPr>
          <w:rFonts w:hint="eastAsia" w:ascii="宋体" w:hAnsi="宋体" w:cs="仿宋_GB2312"/>
          <w:color w:val="auto"/>
          <w:sz w:val="24"/>
          <w:highlight w:val="none"/>
        </w:rPr>
        <w:t>注：法定代表人必须在授权委托书上签字或者盖章</w:t>
      </w:r>
      <w:r>
        <w:rPr>
          <w:rFonts w:hint="eastAsia" w:ascii="宋体" w:hAnsi="宋体"/>
          <w:color w:val="auto"/>
          <w:sz w:val="24"/>
          <w:highlight w:val="none"/>
        </w:rPr>
        <w:t>或者电子签名</w:t>
      </w:r>
      <w:r>
        <w:rPr>
          <w:rFonts w:hint="eastAsia" w:ascii="宋体" w:hAnsi="宋体" w:cs="仿宋_GB2312"/>
          <w:color w:val="auto"/>
          <w:sz w:val="24"/>
          <w:highlight w:val="none"/>
        </w:rPr>
        <w:t>，委托代理人必须在授权委托书上签字或者电子签名，</w:t>
      </w:r>
      <w:r>
        <w:rPr>
          <w:rFonts w:hint="eastAsia" w:ascii="宋体" w:hAnsi="宋体" w:cs="仿宋_GB2312"/>
          <w:b/>
          <w:color w:val="auto"/>
          <w:sz w:val="24"/>
          <w:highlight w:val="none"/>
        </w:rPr>
        <w:t>否则其响应文件按无效处理。</w:t>
      </w:r>
    </w:p>
    <w:p w14:paraId="44375FD0">
      <w:pPr>
        <w:spacing w:line="360" w:lineRule="auto"/>
        <w:ind w:firstLine="420" w:firstLineChars="200"/>
        <w:jc w:val="left"/>
        <w:rPr>
          <w:rFonts w:ascii="仿宋_GB2312" w:hAnsi="仿宋_GB2312" w:eastAsia="仿宋_GB2312" w:cs="仿宋_GB2312"/>
          <w:color w:val="auto"/>
          <w:szCs w:val="21"/>
          <w:highlight w:val="none"/>
        </w:rPr>
      </w:pPr>
    </w:p>
    <w:p w14:paraId="42765A07">
      <w:pPr>
        <w:spacing w:line="500" w:lineRule="exact"/>
        <w:jc w:val="center"/>
        <w:rPr>
          <w:rFonts w:ascii="方正小标宋简体" w:hAnsi="方正小标宋简体" w:eastAsia="方正小标宋简体" w:cs="方正小标宋简体"/>
          <w:color w:val="auto"/>
          <w:sz w:val="44"/>
          <w:szCs w:val="44"/>
          <w:highlight w:val="none"/>
        </w:rPr>
      </w:pPr>
      <w:r>
        <w:rPr>
          <w:rFonts w:ascii="仿宋_GB2312" w:hAnsi="仿宋_GB2312" w:eastAsia="仿宋_GB2312" w:cs="仿宋_GB2312"/>
          <w:color w:val="auto"/>
          <w:szCs w:val="21"/>
          <w:highlight w:val="none"/>
        </w:rPr>
        <w:br w:type="page"/>
      </w:r>
      <w:r>
        <w:rPr>
          <w:rFonts w:hint="eastAsia" w:ascii="方正小标宋简体" w:hAnsi="方正小标宋简体" w:eastAsia="方正小标宋简体" w:cs="方正小标宋简体"/>
          <w:color w:val="auto"/>
          <w:sz w:val="44"/>
          <w:szCs w:val="44"/>
          <w:highlight w:val="none"/>
        </w:rPr>
        <w:t>授权委托书</w:t>
      </w:r>
    </w:p>
    <w:p w14:paraId="30762833">
      <w:pPr>
        <w:spacing w:line="500" w:lineRule="exact"/>
        <w:jc w:val="center"/>
        <w:rPr>
          <w:rFonts w:ascii="方正小标宋简体" w:hAnsi="方正小标宋简体" w:eastAsia="方正小标宋简体" w:cs="方正小标宋简体"/>
          <w:color w:val="auto"/>
          <w:sz w:val="32"/>
          <w:szCs w:val="32"/>
          <w:highlight w:val="none"/>
        </w:rPr>
      </w:pPr>
      <w:r>
        <w:rPr>
          <w:rFonts w:hint="eastAsia" w:ascii="方正小标宋简体" w:hAnsi="方正小标宋简体" w:eastAsia="方正小标宋简体" w:cs="方正小标宋简体"/>
          <w:color w:val="auto"/>
          <w:sz w:val="32"/>
          <w:szCs w:val="32"/>
          <w:highlight w:val="none"/>
        </w:rPr>
        <w:t>（联合体竞标格式）</w:t>
      </w:r>
    </w:p>
    <w:p w14:paraId="6F3E7E92">
      <w:pPr>
        <w:spacing w:line="500" w:lineRule="exa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32"/>
          <w:szCs w:val="32"/>
          <w:highlight w:val="none"/>
        </w:rPr>
        <w:t>（如有委托时）</w:t>
      </w:r>
    </w:p>
    <w:p w14:paraId="506670CE">
      <w:pPr>
        <w:spacing w:line="500" w:lineRule="exact"/>
        <w:jc w:val="center"/>
        <w:rPr>
          <w:rFonts w:ascii="方正小标宋简体" w:hAnsi="方正小标宋简体" w:eastAsia="方正小标宋简体" w:cs="方正小标宋简体"/>
          <w:color w:val="auto"/>
          <w:sz w:val="44"/>
          <w:szCs w:val="44"/>
          <w:highlight w:val="none"/>
        </w:rPr>
      </w:pPr>
    </w:p>
    <w:p w14:paraId="580D0B6E">
      <w:pPr>
        <w:spacing w:line="500" w:lineRule="exact"/>
        <w:jc w:val="center"/>
        <w:rPr>
          <w:rFonts w:ascii="仿宋_GB2312" w:hAnsi="仿宋_GB2312" w:eastAsia="仿宋_GB2312" w:cs="仿宋_GB2312"/>
          <w:color w:val="auto"/>
          <w:sz w:val="32"/>
          <w:szCs w:val="32"/>
          <w:highlight w:val="none"/>
        </w:rPr>
      </w:pPr>
    </w:p>
    <w:p w14:paraId="035D4477">
      <w:pPr>
        <w:spacing w:line="360" w:lineRule="auto"/>
        <w:ind w:firstLine="480" w:firstLineChars="200"/>
        <w:jc w:val="left"/>
        <w:rPr>
          <w:rFonts w:ascii="宋体" w:hAnsi="宋体" w:cs="仿宋_GB2312"/>
          <w:color w:val="auto"/>
          <w:sz w:val="24"/>
          <w:highlight w:val="none"/>
        </w:rPr>
      </w:pPr>
      <w:r>
        <w:rPr>
          <w:rFonts w:hint="eastAsia" w:ascii="宋体" w:hAnsi="宋体" w:cs="仿宋_GB2312"/>
          <w:color w:val="auto"/>
          <w:sz w:val="24"/>
          <w:highlight w:val="none"/>
        </w:rPr>
        <w:t>本授权委托书声明：根据（牵头人名称）与（联合体其他成员名称）签订的《联合体竞标协议书》的内容，（牵头人名称）的法定代表人（姓名）现授权（姓名）为联合委托代理人，并代表我方全权办理针对上述项目的所有采购程序和环节的具体事务和签署相关文件。</w:t>
      </w:r>
    </w:p>
    <w:p w14:paraId="6F7F4729">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我方对委托代理人的</w:t>
      </w:r>
      <w:r>
        <w:rPr>
          <w:rFonts w:hint="eastAsia" w:ascii="宋体" w:hAnsi="宋体"/>
          <w:color w:val="auto"/>
          <w:sz w:val="24"/>
          <w:highlight w:val="none"/>
        </w:rPr>
        <w:t>签字或者电子签名</w:t>
      </w:r>
      <w:r>
        <w:rPr>
          <w:rFonts w:hint="eastAsia" w:ascii="宋体" w:hAnsi="宋体" w:cs="仿宋_GB2312"/>
          <w:color w:val="auto"/>
          <w:sz w:val="24"/>
          <w:highlight w:val="none"/>
        </w:rPr>
        <w:t>事项负全部责任。</w:t>
      </w:r>
    </w:p>
    <w:p w14:paraId="506E2138">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6777DDA0">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51472F3C">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 xml:space="preserve">    附：法定代表人身份证明书及委托代理人有效身份证正反面扫描件</w:t>
      </w:r>
    </w:p>
    <w:p w14:paraId="0D7A3C9E">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牵头人法定代表人（签字或者盖章或者电子签名）：</w:t>
      </w:r>
    </w:p>
    <w:p w14:paraId="2114C3DC">
      <w:pPr>
        <w:spacing w:line="360" w:lineRule="auto"/>
        <w:ind w:firstLine="3120" w:firstLineChars="1300"/>
        <w:contextualSpacing/>
        <w:rPr>
          <w:rFonts w:ascii="宋体" w:hAnsi="宋体" w:cs="仿宋_GB2312"/>
          <w:color w:val="auto"/>
          <w:sz w:val="24"/>
          <w:highlight w:val="none"/>
        </w:rPr>
      </w:pPr>
      <w:r>
        <w:rPr>
          <w:rFonts w:hint="eastAsia" w:ascii="宋体" w:hAnsi="宋体" w:cs="仿宋_GB2312"/>
          <w:color w:val="auto"/>
          <w:sz w:val="24"/>
          <w:highlight w:val="none"/>
        </w:rPr>
        <w:t>牵头人（电子签章）：</w:t>
      </w:r>
    </w:p>
    <w:p w14:paraId="4D825219">
      <w:pPr>
        <w:spacing w:line="360" w:lineRule="auto"/>
        <w:ind w:firstLine="3840" w:firstLineChars="16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31D1683F">
      <w:pPr>
        <w:spacing w:line="360" w:lineRule="auto"/>
        <w:contextualSpacing/>
        <w:rPr>
          <w:rFonts w:ascii="宋体" w:hAnsi="宋体" w:cs="仿宋_GB2312"/>
          <w:color w:val="auto"/>
          <w:sz w:val="24"/>
          <w:highlight w:val="none"/>
        </w:rPr>
      </w:pPr>
    </w:p>
    <w:p w14:paraId="5580B3ED">
      <w:pPr>
        <w:spacing w:line="360" w:lineRule="auto"/>
        <w:ind w:firstLine="3120" w:firstLineChars="1300"/>
        <w:contextualSpacing/>
        <w:rPr>
          <w:rFonts w:ascii="宋体" w:hAnsi="宋体" w:cs="仿宋_GB2312"/>
          <w:color w:val="auto"/>
          <w:sz w:val="24"/>
          <w:highlight w:val="none"/>
        </w:rPr>
      </w:pPr>
      <w:r>
        <w:rPr>
          <w:rFonts w:hint="eastAsia" w:ascii="宋体" w:hAnsi="宋体" w:cs="仿宋_GB2312"/>
          <w:color w:val="auto"/>
          <w:sz w:val="24"/>
          <w:highlight w:val="none"/>
        </w:rPr>
        <w:t>被授权人（签字或者电子签名）：</w:t>
      </w:r>
    </w:p>
    <w:p w14:paraId="7D3D2F9F">
      <w:pPr>
        <w:spacing w:line="360" w:lineRule="auto"/>
        <w:ind w:firstLine="3840" w:firstLineChars="16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263DAF03">
      <w:pPr>
        <w:spacing w:line="360" w:lineRule="auto"/>
        <w:contextualSpacing/>
        <w:rPr>
          <w:rFonts w:ascii="宋体" w:hAnsi="宋体" w:cs="仿宋_GB2312"/>
          <w:color w:val="auto"/>
          <w:sz w:val="24"/>
          <w:highlight w:val="none"/>
        </w:rPr>
      </w:pPr>
    </w:p>
    <w:p w14:paraId="54763124">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注：法定代表人必须在授权委托书上签字或者盖章</w:t>
      </w:r>
      <w:r>
        <w:rPr>
          <w:rFonts w:hint="eastAsia" w:ascii="宋体" w:hAnsi="宋体"/>
          <w:color w:val="auto"/>
          <w:sz w:val="24"/>
          <w:highlight w:val="none"/>
        </w:rPr>
        <w:t>或者电子签名</w:t>
      </w:r>
      <w:r>
        <w:rPr>
          <w:rFonts w:hint="eastAsia" w:ascii="宋体" w:hAnsi="宋体" w:cs="仿宋_GB2312"/>
          <w:color w:val="auto"/>
          <w:sz w:val="24"/>
          <w:highlight w:val="none"/>
        </w:rPr>
        <w:t>，委托代理人必须在授权委托书上签字或者电子签名，</w:t>
      </w:r>
      <w:r>
        <w:rPr>
          <w:rFonts w:hint="eastAsia" w:ascii="宋体" w:hAnsi="宋体" w:cs="仿宋_GB2312"/>
          <w:b/>
          <w:color w:val="auto"/>
          <w:sz w:val="24"/>
          <w:highlight w:val="none"/>
        </w:rPr>
        <w:t>否则其响应文件按无效处理。</w:t>
      </w:r>
    </w:p>
    <w:bookmarkEnd w:id="107"/>
    <w:p w14:paraId="17E1795D">
      <w:pPr>
        <w:spacing w:line="500" w:lineRule="exact"/>
        <w:jc w:val="center"/>
        <w:rPr>
          <w:rFonts w:ascii="方正小标宋简体" w:hAnsi="方正小标宋简体" w:eastAsia="方正小标宋简体" w:cs="方正小标宋简体"/>
          <w:bCs/>
          <w:color w:val="auto"/>
          <w:sz w:val="44"/>
          <w:szCs w:val="44"/>
          <w:highlight w:val="none"/>
        </w:rPr>
      </w:pPr>
      <w:r>
        <w:rPr>
          <w:rFonts w:hint="eastAsia" w:ascii="仿宋_GB2312" w:hAnsi="仿宋_GB2312" w:eastAsia="仿宋_GB2312" w:cs="仿宋_GB2312"/>
          <w:color w:val="auto"/>
          <w:sz w:val="32"/>
          <w:szCs w:val="32"/>
          <w:highlight w:val="none"/>
        </w:rPr>
        <w:br w:type="page"/>
      </w:r>
      <w:r>
        <w:rPr>
          <w:rFonts w:hint="eastAsia" w:ascii="方正小标宋简体" w:hAnsi="方正小标宋简体" w:eastAsia="方正小标宋简体" w:cs="方正小标宋简体"/>
          <w:bCs/>
          <w:color w:val="auto"/>
          <w:sz w:val="44"/>
          <w:szCs w:val="44"/>
          <w:highlight w:val="none"/>
        </w:rPr>
        <w:t>施工组织设计</w:t>
      </w:r>
    </w:p>
    <w:p w14:paraId="36E888B2">
      <w:pPr>
        <w:spacing w:line="360" w:lineRule="auto"/>
        <w:ind w:firstLine="420" w:firstLineChars="200"/>
        <w:rPr>
          <w:rFonts w:cs="宋体"/>
          <w:color w:val="auto"/>
          <w:highlight w:val="none"/>
        </w:rPr>
      </w:pPr>
      <w:r>
        <w:rPr>
          <w:rFonts w:hint="eastAsia"/>
          <w:color w:val="auto"/>
          <w:highlight w:val="none"/>
        </w:rPr>
        <w:t>1.</w:t>
      </w:r>
      <w:r>
        <w:rPr>
          <w:color w:val="auto"/>
          <w:highlight w:val="none"/>
        </w:rPr>
        <w:t>施工组织</w:t>
      </w:r>
      <w:r>
        <w:rPr>
          <w:rFonts w:hint="eastAsia"/>
          <w:color w:val="auto"/>
          <w:highlight w:val="none"/>
        </w:rPr>
        <w:t>设计</w:t>
      </w:r>
      <w:r>
        <w:rPr>
          <w:rFonts w:hint="eastAsia"/>
          <w:color w:val="auto"/>
          <w:highlight w:val="none"/>
          <w:lang w:eastAsia="zh-CN"/>
        </w:rPr>
        <w:t>应按</w:t>
      </w:r>
      <w:r>
        <w:rPr>
          <w:rFonts w:hint="eastAsia"/>
          <w:color w:val="auto"/>
          <w:highlight w:val="none"/>
        </w:rPr>
        <w:t>以下内容顺序编制，可</w:t>
      </w:r>
      <w:r>
        <w:rPr>
          <w:rFonts w:hint="eastAsia" w:ascii="宋体" w:hAnsi="宋体"/>
          <w:color w:val="auto"/>
          <w:highlight w:val="none"/>
        </w:rPr>
        <w:t>采用文字并结合图表形式说明施工方法，</w:t>
      </w:r>
      <w:r>
        <w:rPr>
          <w:color w:val="auto"/>
          <w:highlight w:val="none"/>
        </w:rPr>
        <w:t>施工组织</w:t>
      </w:r>
      <w:r>
        <w:rPr>
          <w:rFonts w:hint="eastAsia"/>
          <w:color w:val="auto"/>
          <w:highlight w:val="none"/>
        </w:rPr>
        <w:t>设计具体</w:t>
      </w:r>
      <w:r>
        <w:rPr>
          <w:color w:val="auto"/>
          <w:highlight w:val="none"/>
        </w:rPr>
        <w:t>内容</w:t>
      </w:r>
      <w:r>
        <w:rPr>
          <w:rFonts w:hint="eastAsia" w:cs="宋体"/>
          <w:color w:val="auto"/>
          <w:highlight w:val="none"/>
        </w:rPr>
        <w:t>如下：</w:t>
      </w:r>
    </w:p>
    <w:p w14:paraId="2D7761BC">
      <w:pPr>
        <w:spacing w:line="360" w:lineRule="auto"/>
        <w:ind w:firstLine="420" w:firstLineChars="200"/>
        <w:rPr>
          <w:color w:val="auto"/>
          <w:highlight w:val="none"/>
        </w:rPr>
      </w:pPr>
      <w:r>
        <w:rPr>
          <w:rFonts w:hint="eastAsia"/>
          <w:color w:val="auto"/>
          <w:highlight w:val="none"/>
        </w:rPr>
        <w:t>（1）概述</w:t>
      </w:r>
    </w:p>
    <w:p w14:paraId="471FCA3A">
      <w:pPr>
        <w:spacing w:line="360" w:lineRule="auto"/>
        <w:ind w:firstLine="420" w:firstLineChars="200"/>
        <w:rPr>
          <w:color w:val="auto"/>
          <w:highlight w:val="none"/>
        </w:rPr>
      </w:pPr>
      <w:r>
        <w:rPr>
          <w:rFonts w:hint="eastAsia"/>
          <w:color w:val="auto"/>
          <w:highlight w:val="none"/>
        </w:rPr>
        <w:t>（2）主要施工方法；</w:t>
      </w:r>
    </w:p>
    <w:p w14:paraId="73151BC6">
      <w:pPr>
        <w:spacing w:line="360" w:lineRule="auto"/>
        <w:ind w:firstLine="420" w:firstLineChars="200"/>
        <w:rPr>
          <w:color w:val="auto"/>
          <w:highlight w:val="none"/>
        </w:rPr>
      </w:pPr>
      <w:r>
        <w:rPr>
          <w:rFonts w:hint="eastAsia"/>
          <w:color w:val="auto"/>
          <w:highlight w:val="none"/>
        </w:rPr>
        <w:t>（3）拟投入的主要物资计划</w:t>
      </w:r>
    </w:p>
    <w:p w14:paraId="1B25E8ED">
      <w:pPr>
        <w:spacing w:line="360" w:lineRule="auto"/>
        <w:ind w:firstLine="420" w:firstLineChars="200"/>
        <w:rPr>
          <w:color w:val="auto"/>
          <w:highlight w:val="none"/>
        </w:rPr>
      </w:pPr>
      <w:r>
        <w:rPr>
          <w:rFonts w:hint="eastAsia"/>
          <w:color w:val="auto"/>
          <w:highlight w:val="none"/>
        </w:rPr>
        <w:t>（</w:t>
      </w:r>
      <w:r>
        <w:rPr>
          <w:color w:val="auto"/>
          <w:highlight w:val="none"/>
        </w:rPr>
        <w:t>4</w:t>
      </w:r>
      <w:r>
        <w:rPr>
          <w:rFonts w:hint="eastAsia"/>
          <w:color w:val="auto"/>
          <w:highlight w:val="none"/>
        </w:rPr>
        <w:t>）劳动力安排计划；</w:t>
      </w:r>
    </w:p>
    <w:p w14:paraId="1D9E1391">
      <w:pPr>
        <w:spacing w:line="360" w:lineRule="auto"/>
        <w:ind w:firstLine="420" w:firstLineChars="200"/>
        <w:rPr>
          <w:color w:val="auto"/>
          <w:highlight w:val="none"/>
        </w:rPr>
      </w:pPr>
      <w:r>
        <w:rPr>
          <w:rFonts w:hint="eastAsia"/>
          <w:color w:val="auto"/>
          <w:highlight w:val="none"/>
        </w:rPr>
        <w:t>（</w:t>
      </w:r>
      <w:r>
        <w:rPr>
          <w:color w:val="auto"/>
          <w:highlight w:val="none"/>
        </w:rPr>
        <w:t>5</w:t>
      </w:r>
      <w:r>
        <w:rPr>
          <w:rFonts w:hint="eastAsia"/>
          <w:color w:val="auto"/>
          <w:highlight w:val="none"/>
        </w:rPr>
        <w:t>）确保工程质量的技术组织措施；</w:t>
      </w:r>
    </w:p>
    <w:p w14:paraId="6BEA7ABB">
      <w:pPr>
        <w:spacing w:line="360" w:lineRule="auto"/>
        <w:ind w:firstLine="420" w:firstLineChars="200"/>
        <w:rPr>
          <w:color w:val="auto"/>
          <w:highlight w:val="none"/>
        </w:rPr>
      </w:pPr>
      <w:r>
        <w:rPr>
          <w:rFonts w:hint="eastAsia"/>
          <w:color w:val="auto"/>
          <w:highlight w:val="none"/>
        </w:rPr>
        <w:t>（</w:t>
      </w:r>
      <w:r>
        <w:rPr>
          <w:color w:val="auto"/>
          <w:highlight w:val="none"/>
        </w:rPr>
        <w:t>6</w:t>
      </w:r>
      <w:r>
        <w:rPr>
          <w:rFonts w:hint="eastAsia"/>
          <w:color w:val="auto"/>
          <w:highlight w:val="none"/>
        </w:rPr>
        <w:t>）确保安全生产的技术组织措施；</w:t>
      </w:r>
    </w:p>
    <w:p w14:paraId="4627A48D">
      <w:pPr>
        <w:spacing w:line="360" w:lineRule="auto"/>
        <w:ind w:firstLine="420" w:firstLineChars="200"/>
        <w:rPr>
          <w:color w:val="auto"/>
          <w:highlight w:val="none"/>
        </w:rPr>
      </w:pPr>
      <w:r>
        <w:rPr>
          <w:rFonts w:hint="eastAsia"/>
          <w:color w:val="auto"/>
          <w:highlight w:val="none"/>
        </w:rPr>
        <w:t>（</w:t>
      </w:r>
      <w:r>
        <w:rPr>
          <w:color w:val="auto"/>
          <w:highlight w:val="none"/>
        </w:rPr>
        <w:t>7</w:t>
      </w:r>
      <w:r>
        <w:rPr>
          <w:rFonts w:hint="eastAsia"/>
          <w:color w:val="auto"/>
          <w:highlight w:val="none"/>
        </w:rPr>
        <w:t>）确保工期的技术组织措施；</w:t>
      </w:r>
    </w:p>
    <w:p w14:paraId="6DEAAECF">
      <w:pPr>
        <w:spacing w:line="360" w:lineRule="auto"/>
        <w:ind w:firstLine="420" w:firstLineChars="200"/>
        <w:rPr>
          <w:color w:val="auto"/>
          <w:highlight w:val="none"/>
        </w:rPr>
      </w:pPr>
      <w:r>
        <w:rPr>
          <w:rFonts w:hint="eastAsia"/>
          <w:color w:val="auto"/>
          <w:highlight w:val="none"/>
        </w:rPr>
        <w:t>（</w:t>
      </w:r>
      <w:r>
        <w:rPr>
          <w:color w:val="auto"/>
          <w:highlight w:val="none"/>
        </w:rPr>
        <w:t>8</w:t>
      </w:r>
      <w:r>
        <w:rPr>
          <w:rFonts w:hint="eastAsia"/>
          <w:color w:val="auto"/>
          <w:highlight w:val="none"/>
        </w:rPr>
        <w:t>）确保文明施工的技术组织措施；</w:t>
      </w:r>
    </w:p>
    <w:p w14:paraId="60FEB38A">
      <w:pPr>
        <w:spacing w:line="360" w:lineRule="auto"/>
        <w:ind w:firstLine="420" w:firstLineChars="200"/>
        <w:rPr>
          <w:color w:val="auto"/>
          <w:highlight w:val="none"/>
        </w:rPr>
      </w:pPr>
      <w:r>
        <w:rPr>
          <w:rFonts w:hint="eastAsia"/>
          <w:color w:val="auto"/>
          <w:highlight w:val="none"/>
        </w:rPr>
        <w:t>（</w:t>
      </w:r>
      <w:r>
        <w:rPr>
          <w:color w:val="auto"/>
          <w:highlight w:val="none"/>
        </w:rPr>
        <w:t>9</w:t>
      </w:r>
      <w:r>
        <w:rPr>
          <w:rFonts w:hint="eastAsia"/>
          <w:color w:val="auto"/>
          <w:highlight w:val="none"/>
        </w:rPr>
        <w:t>）工程施工的重点和难点及保证措施；</w:t>
      </w:r>
    </w:p>
    <w:p w14:paraId="13F7B645">
      <w:pPr>
        <w:spacing w:line="360" w:lineRule="auto"/>
        <w:ind w:firstLine="420" w:firstLineChars="200"/>
        <w:rPr>
          <w:color w:val="auto"/>
          <w:highlight w:val="none"/>
        </w:rPr>
      </w:pPr>
      <w:r>
        <w:rPr>
          <w:rFonts w:hint="eastAsia"/>
          <w:color w:val="auto"/>
          <w:highlight w:val="none"/>
        </w:rPr>
        <w:t>（1</w:t>
      </w:r>
      <w:r>
        <w:rPr>
          <w:color w:val="auto"/>
          <w:highlight w:val="none"/>
        </w:rPr>
        <w:t>0</w:t>
      </w:r>
      <w:r>
        <w:rPr>
          <w:rFonts w:hint="eastAsia"/>
          <w:color w:val="auto"/>
          <w:highlight w:val="none"/>
        </w:rPr>
        <w:t>）施工总平面布置图；</w:t>
      </w:r>
    </w:p>
    <w:p w14:paraId="04349424">
      <w:pPr>
        <w:spacing w:line="360" w:lineRule="auto"/>
        <w:ind w:firstLine="420" w:firstLineChars="200"/>
        <w:rPr>
          <w:color w:val="auto"/>
          <w:highlight w:val="none"/>
        </w:rPr>
      </w:pPr>
      <w:r>
        <w:rPr>
          <w:rFonts w:hint="eastAsia"/>
          <w:color w:val="auto"/>
          <w:highlight w:val="none"/>
        </w:rPr>
        <w:t>（1</w:t>
      </w:r>
      <w:r>
        <w:rPr>
          <w:color w:val="auto"/>
          <w:highlight w:val="none"/>
        </w:rPr>
        <w:t>1</w:t>
      </w:r>
      <w:r>
        <w:rPr>
          <w:rFonts w:hint="eastAsia"/>
          <w:color w:val="auto"/>
          <w:highlight w:val="none"/>
        </w:rPr>
        <w:t>）其他（</w:t>
      </w:r>
      <w:r>
        <w:rPr>
          <w:color w:val="auto"/>
          <w:highlight w:val="none"/>
        </w:rPr>
        <w:t>如有）</w:t>
      </w:r>
      <w:r>
        <w:rPr>
          <w:rFonts w:hint="eastAsia"/>
          <w:color w:val="auto"/>
          <w:highlight w:val="none"/>
        </w:rPr>
        <w:t>（与第四章“评审程序、评审方法和评审标准”中的评审</w:t>
      </w:r>
      <w:r>
        <w:rPr>
          <w:color w:val="auto"/>
          <w:highlight w:val="none"/>
        </w:rPr>
        <w:t>标准一致</w:t>
      </w:r>
      <w:r>
        <w:rPr>
          <w:rFonts w:hint="eastAsia"/>
          <w:color w:val="auto"/>
          <w:highlight w:val="none"/>
        </w:rPr>
        <w:t>）</w:t>
      </w:r>
    </w:p>
    <w:p w14:paraId="4EC08174">
      <w:pPr>
        <w:spacing w:line="360" w:lineRule="auto"/>
        <w:ind w:firstLine="420" w:firstLineChars="200"/>
        <w:rPr>
          <w:color w:val="auto"/>
          <w:highlight w:val="none"/>
        </w:rPr>
      </w:pPr>
      <w:r>
        <w:rPr>
          <w:rFonts w:hint="eastAsia"/>
          <w:color w:val="auto"/>
          <w:highlight w:val="none"/>
        </w:rPr>
        <w:t>2. 技术标</w:t>
      </w:r>
      <w:r>
        <w:rPr>
          <w:color w:val="auto"/>
          <w:highlight w:val="none"/>
        </w:rPr>
        <w:t>施工组织</w:t>
      </w:r>
      <w:r>
        <w:rPr>
          <w:rFonts w:hint="eastAsia"/>
          <w:color w:val="auto"/>
          <w:highlight w:val="none"/>
        </w:rPr>
        <w:t>设计除采用文字表述外可附下列图表，图表及格式要求附后。</w:t>
      </w:r>
    </w:p>
    <w:p w14:paraId="56AD5285">
      <w:pPr>
        <w:spacing w:line="360" w:lineRule="auto"/>
        <w:ind w:firstLine="420" w:firstLineChars="200"/>
        <w:rPr>
          <w:color w:val="auto"/>
          <w:highlight w:val="none"/>
        </w:rPr>
      </w:pPr>
      <w:r>
        <w:rPr>
          <w:rFonts w:hint="eastAsia"/>
          <w:color w:val="auto"/>
          <w:highlight w:val="none"/>
        </w:rPr>
        <w:t>附表一劳动力计划表</w:t>
      </w:r>
    </w:p>
    <w:p w14:paraId="11D9F164">
      <w:pPr>
        <w:spacing w:line="360" w:lineRule="auto"/>
        <w:ind w:firstLine="420" w:firstLineChars="200"/>
        <w:rPr>
          <w:color w:val="auto"/>
          <w:highlight w:val="none"/>
        </w:rPr>
      </w:pPr>
      <w:r>
        <w:rPr>
          <w:rFonts w:hint="eastAsia"/>
          <w:color w:val="auto"/>
          <w:highlight w:val="none"/>
        </w:rPr>
        <w:t>附表二计划开、竣工日期和施工进度计划（网络图或横道图）</w:t>
      </w:r>
    </w:p>
    <w:p w14:paraId="4FEE4E20">
      <w:pPr>
        <w:spacing w:line="360" w:lineRule="auto"/>
        <w:ind w:firstLine="420" w:firstLineChars="200"/>
        <w:rPr>
          <w:color w:val="auto"/>
          <w:highlight w:val="none"/>
        </w:rPr>
      </w:pPr>
      <w:r>
        <w:rPr>
          <w:rFonts w:hint="eastAsia"/>
          <w:color w:val="auto"/>
          <w:highlight w:val="none"/>
        </w:rPr>
        <w:t>附表三施工总平面图</w:t>
      </w:r>
    </w:p>
    <w:p w14:paraId="7F9EDCAC">
      <w:pPr>
        <w:spacing w:line="360" w:lineRule="auto"/>
        <w:ind w:firstLine="420" w:firstLineChars="200"/>
        <w:rPr>
          <w:color w:val="auto"/>
          <w:highlight w:val="none"/>
        </w:rPr>
      </w:pPr>
      <w:r>
        <w:rPr>
          <w:rFonts w:hint="eastAsia"/>
          <w:color w:val="auto"/>
          <w:highlight w:val="none"/>
        </w:rPr>
        <w:t>附表四临时用地表</w:t>
      </w:r>
    </w:p>
    <w:p w14:paraId="55DF5AFB">
      <w:pPr>
        <w:spacing w:line="360" w:lineRule="auto"/>
        <w:ind w:firstLine="420" w:firstLineChars="200"/>
        <w:rPr>
          <w:color w:val="auto"/>
          <w:highlight w:val="none"/>
        </w:rPr>
      </w:pPr>
    </w:p>
    <w:p w14:paraId="109C0E22">
      <w:pPr>
        <w:rPr>
          <w:color w:val="auto"/>
          <w:highlight w:val="none"/>
        </w:rPr>
      </w:pPr>
      <w:r>
        <w:rPr>
          <w:rFonts w:hint="eastAsia" w:cs="宋体"/>
          <w:color w:val="auto"/>
          <w:highlight w:val="none"/>
        </w:rPr>
        <w:t>附表一：劳动力计划表</w:t>
      </w:r>
    </w:p>
    <w:p w14:paraId="4C1F245A">
      <w:pPr>
        <w:ind w:firstLine="7245" w:firstLineChars="3450"/>
        <w:rPr>
          <w:color w:val="auto"/>
          <w:highlight w:val="none"/>
        </w:rPr>
      </w:pPr>
      <w:r>
        <w:rPr>
          <w:rFonts w:hint="eastAsia" w:cs="宋体"/>
          <w:color w:val="auto"/>
          <w:highlight w:val="none"/>
        </w:rPr>
        <w:t>单位：人</w:t>
      </w:r>
    </w:p>
    <w:tbl>
      <w:tblPr>
        <w:tblStyle w:val="55"/>
        <w:tblW w:w="84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961"/>
        <w:gridCol w:w="1257"/>
        <w:gridCol w:w="1257"/>
        <w:gridCol w:w="1258"/>
        <w:gridCol w:w="1257"/>
        <w:gridCol w:w="1258"/>
      </w:tblGrid>
      <w:tr w14:paraId="054C1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Align w:val="center"/>
          </w:tcPr>
          <w:p w14:paraId="10C5EF84">
            <w:pPr>
              <w:spacing w:line="360" w:lineRule="auto"/>
              <w:jc w:val="center"/>
              <w:rPr>
                <w:color w:val="auto"/>
                <w:highlight w:val="none"/>
              </w:rPr>
            </w:pPr>
            <w:r>
              <w:rPr>
                <w:rFonts w:hint="eastAsia" w:cs="宋体"/>
                <w:color w:val="auto"/>
                <w:highlight w:val="none"/>
              </w:rPr>
              <w:t>工种</w:t>
            </w:r>
          </w:p>
        </w:tc>
        <w:tc>
          <w:tcPr>
            <w:tcW w:w="7248" w:type="dxa"/>
            <w:gridSpan w:val="6"/>
            <w:vAlign w:val="center"/>
          </w:tcPr>
          <w:p w14:paraId="3D2505EB">
            <w:pPr>
              <w:spacing w:line="360" w:lineRule="auto"/>
              <w:jc w:val="center"/>
              <w:rPr>
                <w:color w:val="auto"/>
                <w:highlight w:val="none"/>
              </w:rPr>
            </w:pPr>
            <w:r>
              <w:rPr>
                <w:rFonts w:hint="eastAsia" w:cs="宋体"/>
                <w:color w:val="auto"/>
                <w:highlight w:val="none"/>
              </w:rPr>
              <w:t>按工程施工阶段投入劳动力情况</w:t>
            </w:r>
          </w:p>
        </w:tc>
      </w:tr>
      <w:tr w14:paraId="48855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Align w:val="center"/>
          </w:tcPr>
          <w:p w14:paraId="6303BC54">
            <w:pPr>
              <w:spacing w:line="360" w:lineRule="auto"/>
              <w:jc w:val="center"/>
              <w:rPr>
                <w:color w:val="auto"/>
                <w:highlight w:val="none"/>
              </w:rPr>
            </w:pPr>
          </w:p>
        </w:tc>
        <w:tc>
          <w:tcPr>
            <w:tcW w:w="961" w:type="dxa"/>
            <w:vAlign w:val="center"/>
          </w:tcPr>
          <w:p w14:paraId="3C6E67B3">
            <w:pPr>
              <w:spacing w:line="360" w:lineRule="auto"/>
              <w:jc w:val="center"/>
              <w:rPr>
                <w:color w:val="auto"/>
                <w:highlight w:val="none"/>
              </w:rPr>
            </w:pPr>
          </w:p>
        </w:tc>
        <w:tc>
          <w:tcPr>
            <w:tcW w:w="1257" w:type="dxa"/>
            <w:vAlign w:val="center"/>
          </w:tcPr>
          <w:p w14:paraId="712A3716">
            <w:pPr>
              <w:spacing w:line="360" w:lineRule="auto"/>
              <w:jc w:val="center"/>
              <w:rPr>
                <w:color w:val="auto"/>
                <w:highlight w:val="none"/>
              </w:rPr>
            </w:pPr>
          </w:p>
        </w:tc>
        <w:tc>
          <w:tcPr>
            <w:tcW w:w="1257" w:type="dxa"/>
            <w:vAlign w:val="center"/>
          </w:tcPr>
          <w:p w14:paraId="33A7419F">
            <w:pPr>
              <w:spacing w:line="360" w:lineRule="auto"/>
              <w:jc w:val="center"/>
              <w:rPr>
                <w:color w:val="auto"/>
                <w:highlight w:val="none"/>
              </w:rPr>
            </w:pPr>
          </w:p>
        </w:tc>
        <w:tc>
          <w:tcPr>
            <w:tcW w:w="1258" w:type="dxa"/>
            <w:vAlign w:val="center"/>
          </w:tcPr>
          <w:p w14:paraId="74F4679E">
            <w:pPr>
              <w:spacing w:line="360" w:lineRule="auto"/>
              <w:jc w:val="center"/>
              <w:rPr>
                <w:color w:val="auto"/>
                <w:highlight w:val="none"/>
              </w:rPr>
            </w:pPr>
          </w:p>
        </w:tc>
        <w:tc>
          <w:tcPr>
            <w:tcW w:w="1257" w:type="dxa"/>
            <w:vAlign w:val="center"/>
          </w:tcPr>
          <w:p w14:paraId="46EDB603">
            <w:pPr>
              <w:spacing w:line="360" w:lineRule="auto"/>
              <w:jc w:val="center"/>
              <w:rPr>
                <w:color w:val="auto"/>
                <w:highlight w:val="none"/>
              </w:rPr>
            </w:pPr>
          </w:p>
        </w:tc>
        <w:tc>
          <w:tcPr>
            <w:tcW w:w="1258" w:type="dxa"/>
            <w:vAlign w:val="center"/>
          </w:tcPr>
          <w:p w14:paraId="72C6E5B2">
            <w:pPr>
              <w:spacing w:line="360" w:lineRule="auto"/>
              <w:jc w:val="center"/>
              <w:rPr>
                <w:color w:val="auto"/>
                <w:highlight w:val="none"/>
              </w:rPr>
            </w:pPr>
          </w:p>
        </w:tc>
      </w:tr>
      <w:tr w14:paraId="5D5C6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Align w:val="center"/>
          </w:tcPr>
          <w:p w14:paraId="6C47593A">
            <w:pPr>
              <w:spacing w:line="360" w:lineRule="auto"/>
              <w:jc w:val="center"/>
              <w:rPr>
                <w:color w:val="auto"/>
                <w:highlight w:val="none"/>
              </w:rPr>
            </w:pPr>
          </w:p>
        </w:tc>
        <w:tc>
          <w:tcPr>
            <w:tcW w:w="961" w:type="dxa"/>
            <w:vAlign w:val="center"/>
          </w:tcPr>
          <w:p w14:paraId="22CEC078">
            <w:pPr>
              <w:spacing w:line="360" w:lineRule="auto"/>
              <w:jc w:val="center"/>
              <w:rPr>
                <w:color w:val="auto"/>
                <w:highlight w:val="none"/>
              </w:rPr>
            </w:pPr>
          </w:p>
        </w:tc>
        <w:tc>
          <w:tcPr>
            <w:tcW w:w="1257" w:type="dxa"/>
            <w:vAlign w:val="center"/>
          </w:tcPr>
          <w:p w14:paraId="72DEE857">
            <w:pPr>
              <w:spacing w:line="360" w:lineRule="auto"/>
              <w:jc w:val="center"/>
              <w:rPr>
                <w:color w:val="auto"/>
                <w:highlight w:val="none"/>
              </w:rPr>
            </w:pPr>
          </w:p>
        </w:tc>
        <w:tc>
          <w:tcPr>
            <w:tcW w:w="1257" w:type="dxa"/>
            <w:vAlign w:val="center"/>
          </w:tcPr>
          <w:p w14:paraId="636AAADC">
            <w:pPr>
              <w:spacing w:line="360" w:lineRule="auto"/>
              <w:jc w:val="center"/>
              <w:rPr>
                <w:color w:val="auto"/>
                <w:highlight w:val="none"/>
              </w:rPr>
            </w:pPr>
          </w:p>
        </w:tc>
        <w:tc>
          <w:tcPr>
            <w:tcW w:w="1258" w:type="dxa"/>
            <w:vAlign w:val="center"/>
          </w:tcPr>
          <w:p w14:paraId="6DF30941">
            <w:pPr>
              <w:spacing w:line="360" w:lineRule="auto"/>
              <w:jc w:val="center"/>
              <w:rPr>
                <w:color w:val="auto"/>
                <w:highlight w:val="none"/>
              </w:rPr>
            </w:pPr>
          </w:p>
        </w:tc>
        <w:tc>
          <w:tcPr>
            <w:tcW w:w="1257" w:type="dxa"/>
            <w:vAlign w:val="center"/>
          </w:tcPr>
          <w:p w14:paraId="5BAAD7A1">
            <w:pPr>
              <w:spacing w:line="360" w:lineRule="auto"/>
              <w:jc w:val="center"/>
              <w:rPr>
                <w:color w:val="auto"/>
                <w:highlight w:val="none"/>
              </w:rPr>
            </w:pPr>
          </w:p>
        </w:tc>
        <w:tc>
          <w:tcPr>
            <w:tcW w:w="1258" w:type="dxa"/>
            <w:vAlign w:val="center"/>
          </w:tcPr>
          <w:p w14:paraId="112DFE79">
            <w:pPr>
              <w:spacing w:line="360" w:lineRule="auto"/>
              <w:jc w:val="center"/>
              <w:rPr>
                <w:color w:val="auto"/>
                <w:highlight w:val="none"/>
              </w:rPr>
            </w:pPr>
          </w:p>
        </w:tc>
      </w:tr>
      <w:tr w14:paraId="6A76D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Align w:val="center"/>
          </w:tcPr>
          <w:p w14:paraId="58A41DA5">
            <w:pPr>
              <w:spacing w:line="360" w:lineRule="auto"/>
              <w:jc w:val="center"/>
              <w:rPr>
                <w:color w:val="auto"/>
                <w:highlight w:val="none"/>
              </w:rPr>
            </w:pPr>
          </w:p>
        </w:tc>
        <w:tc>
          <w:tcPr>
            <w:tcW w:w="961" w:type="dxa"/>
            <w:vAlign w:val="center"/>
          </w:tcPr>
          <w:p w14:paraId="13F9CA28">
            <w:pPr>
              <w:spacing w:line="360" w:lineRule="auto"/>
              <w:jc w:val="center"/>
              <w:rPr>
                <w:color w:val="auto"/>
                <w:highlight w:val="none"/>
              </w:rPr>
            </w:pPr>
          </w:p>
        </w:tc>
        <w:tc>
          <w:tcPr>
            <w:tcW w:w="1257" w:type="dxa"/>
            <w:vAlign w:val="center"/>
          </w:tcPr>
          <w:p w14:paraId="54062C58">
            <w:pPr>
              <w:spacing w:line="360" w:lineRule="auto"/>
              <w:jc w:val="center"/>
              <w:rPr>
                <w:color w:val="auto"/>
                <w:highlight w:val="none"/>
              </w:rPr>
            </w:pPr>
          </w:p>
        </w:tc>
        <w:tc>
          <w:tcPr>
            <w:tcW w:w="1257" w:type="dxa"/>
            <w:vAlign w:val="center"/>
          </w:tcPr>
          <w:p w14:paraId="03963CCB">
            <w:pPr>
              <w:spacing w:line="360" w:lineRule="auto"/>
              <w:jc w:val="center"/>
              <w:rPr>
                <w:color w:val="auto"/>
                <w:highlight w:val="none"/>
              </w:rPr>
            </w:pPr>
          </w:p>
        </w:tc>
        <w:tc>
          <w:tcPr>
            <w:tcW w:w="1258" w:type="dxa"/>
            <w:vAlign w:val="center"/>
          </w:tcPr>
          <w:p w14:paraId="7B923AF6">
            <w:pPr>
              <w:spacing w:line="360" w:lineRule="auto"/>
              <w:jc w:val="center"/>
              <w:rPr>
                <w:color w:val="auto"/>
                <w:highlight w:val="none"/>
              </w:rPr>
            </w:pPr>
          </w:p>
        </w:tc>
        <w:tc>
          <w:tcPr>
            <w:tcW w:w="1257" w:type="dxa"/>
            <w:vAlign w:val="center"/>
          </w:tcPr>
          <w:p w14:paraId="3F76E764">
            <w:pPr>
              <w:spacing w:line="360" w:lineRule="auto"/>
              <w:jc w:val="center"/>
              <w:rPr>
                <w:color w:val="auto"/>
                <w:highlight w:val="none"/>
              </w:rPr>
            </w:pPr>
          </w:p>
        </w:tc>
        <w:tc>
          <w:tcPr>
            <w:tcW w:w="1258" w:type="dxa"/>
            <w:vAlign w:val="center"/>
          </w:tcPr>
          <w:p w14:paraId="019C8E99">
            <w:pPr>
              <w:spacing w:line="360" w:lineRule="auto"/>
              <w:jc w:val="center"/>
              <w:rPr>
                <w:color w:val="auto"/>
                <w:highlight w:val="none"/>
              </w:rPr>
            </w:pPr>
          </w:p>
        </w:tc>
      </w:tr>
      <w:tr w14:paraId="3C525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Align w:val="center"/>
          </w:tcPr>
          <w:p w14:paraId="6DD26FAE">
            <w:pPr>
              <w:spacing w:line="360" w:lineRule="auto"/>
              <w:jc w:val="center"/>
              <w:rPr>
                <w:color w:val="auto"/>
                <w:highlight w:val="none"/>
              </w:rPr>
            </w:pPr>
          </w:p>
        </w:tc>
        <w:tc>
          <w:tcPr>
            <w:tcW w:w="961" w:type="dxa"/>
            <w:vAlign w:val="center"/>
          </w:tcPr>
          <w:p w14:paraId="306644C8">
            <w:pPr>
              <w:spacing w:line="360" w:lineRule="auto"/>
              <w:jc w:val="center"/>
              <w:rPr>
                <w:color w:val="auto"/>
                <w:highlight w:val="none"/>
              </w:rPr>
            </w:pPr>
          </w:p>
        </w:tc>
        <w:tc>
          <w:tcPr>
            <w:tcW w:w="1257" w:type="dxa"/>
            <w:vAlign w:val="center"/>
          </w:tcPr>
          <w:p w14:paraId="25BAC790">
            <w:pPr>
              <w:spacing w:line="360" w:lineRule="auto"/>
              <w:jc w:val="center"/>
              <w:rPr>
                <w:color w:val="auto"/>
                <w:highlight w:val="none"/>
              </w:rPr>
            </w:pPr>
          </w:p>
        </w:tc>
        <w:tc>
          <w:tcPr>
            <w:tcW w:w="1257" w:type="dxa"/>
            <w:vAlign w:val="center"/>
          </w:tcPr>
          <w:p w14:paraId="3225CE48">
            <w:pPr>
              <w:spacing w:line="360" w:lineRule="auto"/>
              <w:jc w:val="center"/>
              <w:rPr>
                <w:color w:val="auto"/>
                <w:highlight w:val="none"/>
              </w:rPr>
            </w:pPr>
          </w:p>
        </w:tc>
        <w:tc>
          <w:tcPr>
            <w:tcW w:w="1258" w:type="dxa"/>
            <w:vAlign w:val="center"/>
          </w:tcPr>
          <w:p w14:paraId="2879663B">
            <w:pPr>
              <w:spacing w:line="360" w:lineRule="auto"/>
              <w:jc w:val="center"/>
              <w:rPr>
                <w:color w:val="auto"/>
                <w:highlight w:val="none"/>
              </w:rPr>
            </w:pPr>
          </w:p>
        </w:tc>
        <w:tc>
          <w:tcPr>
            <w:tcW w:w="1257" w:type="dxa"/>
            <w:vAlign w:val="center"/>
          </w:tcPr>
          <w:p w14:paraId="42C0D6AB">
            <w:pPr>
              <w:spacing w:line="360" w:lineRule="auto"/>
              <w:jc w:val="center"/>
              <w:rPr>
                <w:color w:val="auto"/>
                <w:highlight w:val="none"/>
              </w:rPr>
            </w:pPr>
          </w:p>
        </w:tc>
        <w:tc>
          <w:tcPr>
            <w:tcW w:w="1258" w:type="dxa"/>
            <w:vAlign w:val="center"/>
          </w:tcPr>
          <w:p w14:paraId="1A20FF9E">
            <w:pPr>
              <w:spacing w:line="360" w:lineRule="auto"/>
              <w:jc w:val="center"/>
              <w:rPr>
                <w:color w:val="auto"/>
                <w:highlight w:val="none"/>
              </w:rPr>
            </w:pPr>
          </w:p>
        </w:tc>
      </w:tr>
      <w:tr w14:paraId="1448F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Align w:val="center"/>
          </w:tcPr>
          <w:p w14:paraId="1E9074BC">
            <w:pPr>
              <w:spacing w:line="360" w:lineRule="auto"/>
              <w:jc w:val="center"/>
              <w:rPr>
                <w:color w:val="auto"/>
                <w:highlight w:val="none"/>
              </w:rPr>
            </w:pPr>
          </w:p>
        </w:tc>
        <w:tc>
          <w:tcPr>
            <w:tcW w:w="961" w:type="dxa"/>
            <w:vAlign w:val="center"/>
          </w:tcPr>
          <w:p w14:paraId="1BB1E9D7">
            <w:pPr>
              <w:spacing w:line="360" w:lineRule="auto"/>
              <w:jc w:val="center"/>
              <w:rPr>
                <w:color w:val="auto"/>
                <w:highlight w:val="none"/>
              </w:rPr>
            </w:pPr>
          </w:p>
        </w:tc>
        <w:tc>
          <w:tcPr>
            <w:tcW w:w="1257" w:type="dxa"/>
            <w:vAlign w:val="center"/>
          </w:tcPr>
          <w:p w14:paraId="46412B54">
            <w:pPr>
              <w:spacing w:line="360" w:lineRule="auto"/>
              <w:jc w:val="center"/>
              <w:rPr>
                <w:color w:val="auto"/>
                <w:highlight w:val="none"/>
              </w:rPr>
            </w:pPr>
          </w:p>
        </w:tc>
        <w:tc>
          <w:tcPr>
            <w:tcW w:w="1257" w:type="dxa"/>
            <w:vAlign w:val="center"/>
          </w:tcPr>
          <w:p w14:paraId="442F9381">
            <w:pPr>
              <w:spacing w:line="360" w:lineRule="auto"/>
              <w:jc w:val="center"/>
              <w:rPr>
                <w:color w:val="auto"/>
                <w:highlight w:val="none"/>
              </w:rPr>
            </w:pPr>
          </w:p>
        </w:tc>
        <w:tc>
          <w:tcPr>
            <w:tcW w:w="1258" w:type="dxa"/>
            <w:vAlign w:val="center"/>
          </w:tcPr>
          <w:p w14:paraId="15A9FC9B">
            <w:pPr>
              <w:spacing w:line="360" w:lineRule="auto"/>
              <w:jc w:val="center"/>
              <w:rPr>
                <w:color w:val="auto"/>
                <w:highlight w:val="none"/>
              </w:rPr>
            </w:pPr>
          </w:p>
        </w:tc>
        <w:tc>
          <w:tcPr>
            <w:tcW w:w="1257" w:type="dxa"/>
            <w:vAlign w:val="center"/>
          </w:tcPr>
          <w:p w14:paraId="38F50C46">
            <w:pPr>
              <w:spacing w:line="360" w:lineRule="auto"/>
              <w:jc w:val="center"/>
              <w:rPr>
                <w:color w:val="auto"/>
                <w:highlight w:val="none"/>
              </w:rPr>
            </w:pPr>
          </w:p>
        </w:tc>
        <w:tc>
          <w:tcPr>
            <w:tcW w:w="1258" w:type="dxa"/>
            <w:vAlign w:val="center"/>
          </w:tcPr>
          <w:p w14:paraId="2BC4A144">
            <w:pPr>
              <w:spacing w:line="360" w:lineRule="auto"/>
              <w:jc w:val="center"/>
              <w:rPr>
                <w:color w:val="auto"/>
                <w:highlight w:val="none"/>
              </w:rPr>
            </w:pPr>
          </w:p>
        </w:tc>
      </w:tr>
      <w:tr w14:paraId="4A75F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Align w:val="center"/>
          </w:tcPr>
          <w:p w14:paraId="18CCD47B">
            <w:pPr>
              <w:spacing w:line="360" w:lineRule="auto"/>
              <w:jc w:val="center"/>
              <w:rPr>
                <w:color w:val="auto"/>
                <w:highlight w:val="none"/>
              </w:rPr>
            </w:pPr>
          </w:p>
        </w:tc>
        <w:tc>
          <w:tcPr>
            <w:tcW w:w="961" w:type="dxa"/>
            <w:vAlign w:val="center"/>
          </w:tcPr>
          <w:p w14:paraId="4B2121A3">
            <w:pPr>
              <w:spacing w:line="360" w:lineRule="auto"/>
              <w:jc w:val="center"/>
              <w:rPr>
                <w:color w:val="auto"/>
                <w:highlight w:val="none"/>
              </w:rPr>
            </w:pPr>
          </w:p>
        </w:tc>
        <w:tc>
          <w:tcPr>
            <w:tcW w:w="1257" w:type="dxa"/>
            <w:vAlign w:val="center"/>
          </w:tcPr>
          <w:p w14:paraId="7F1E50EA">
            <w:pPr>
              <w:spacing w:line="360" w:lineRule="auto"/>
              <w:jc w:val="center"/>
              <w:rPr>
                <w:color w:val="auto"/>
                <w:highlight w:val="none"/>
              </w:rPr>
            </w:pPr>
          </w:p>
        </w:tc>
        <w:tc>
          <w:tcPr>
            <w:tcW w:w="1257" w:type="dxa"/>
            <w:vAlign w:val="center"/>
          </w:tcPr>
          <w:p w14:paraId="7FBFD133">
            <w:pPr>
              <w:spacing w:line="360" w:lineRule="auto"/>
              <w:jc w:val="center"/>
              <w:rPr>
                <w:color w:val="auto"/>
                <w:highlight w:val="none"/>
              </w:rPr>
            </w:pPr>
          </w:p>
        </w:tc>
        <w:tc>
          <w:tcPr>
            <w:tcW w:w="1258" w:type="dxa"/>
            <w:vAlign w:val="center"/>
          </w:tcPr>
          <w:p w14:paraId="54E5FFA7">
            <w:pPr>
              <w:spacing w:line="360" w:lineRule="auto"/>
              <w:jc w:val="center"/>
              <w:rPr>
                <w:color w:val="auto"/>
                <w:highlight w:val="none"/>
              </w:rPr>
            </w:pPr>
          </w:p>
        </w:tc>
        <w:tc>
          <w:tcPr>
            <w:tcW w:w="1257" w:type="dxa"/>
            <w:vAlign w:val="center"/>
          </w:tcPr>
          <w:p w14:paraId="7C2EF0BE">
            <w:pPr>
              <w:spacing w:line="360" w:lineRule="auto"/>
              <w:jc w:val="center"/>
              <w:rPr>
                <w:color w:val="auto"/>
                <w:highlight w:val="none"/>
              </w:rPr>
            </w:pPr>
          </w:p>
        </w:tc>
        <w:tc>
          <w:tcPr>
            <w:tcW w:w="1258" w:type="dxa"/>
            <w:vAlign w:val="center"/>
          </w:tcPr>
          <w:p w14:paraId="346059BF">
            <w:pPr>
              <w:spacing w:line="360" w:lineRule="auto"/>
              <w:jc w:val="center"/>
              <w:rPr>
                <w:color w:val="auto"/>
                <w:highlight w:val="none"/>
              </w:rPr>
            </w:pPr>
          </w:p>
        </w:tc>
      </w:tr>
    </w:tbl>
    <w:p w14:paraId="25F25AF7">
      <w:pPr>
        <w:rPr>
          <w:color w:val="auto"/>
          <w:highlight w:val="none"/>
        </w:rPr>
      </w:pPr>
    </w:p>
    <w:p w14:paraId="6338A49F">
      <w:pPr>
        <w:rPr>
          <w:b/>
          <w:bCs/>
          <w:color w:val="auto"/>
          <w:highlight w:val="none"/>
        </w:rPr>
      </w:pPr>
    </w:p>
    <w:p w14:paraId="7BC80E05">
      <w:pPr>
        <w:rPr>
          <w:color w:val="auto"/>
          <w:highlight w:val="none"/>
        </w:rPr>
      </w:pPr>
      <w:r>
        <w:rPr>
          <w:rFonts w:hint="eastAsia" w:cs="宋体"/>
          <w:color w:val="auto"/>
          <w:highlight w:val="none"/>
        </w:rPr>
        <w:t>附表二：计划开、竣工日期和施工进度计划（网络图或横道图）</w:t>
      </w:r>
    </w:p>
    <w:p w14:paraId="4065D4D2">
      <w:pPr>
        <w:spacing w:line="460" w:lineRule="exact"/>
        <w:ind w:left="-6" w:firstLine="420"/>
        <w:rPr>
          <w:color w:val="auto"/>
          <w:highlight w:val="none"/>
        </w:rPr>
      </w:pPr>
      <w:r>
        <w:rPr>
          <w:color w:val="auto"/>
          <w:highlight w:val="none"/>
        </w:rPr>
        <w:t xml:space="preserve">1. </w:t>
      </w:r>
      <w:r>
        <w:rPr>
          <w:rFonts w:hint="eastAsia" w:cs="宋体"/>
          <w:color w:val="auto"/>
          <w:highlight w:val="none"/>
        </w:rPr>
        <w:t>供应商应提交施工进度计划，说明按磋商文件要求的工期进行施工的各个关键日期。成交的供应商还应按合同条件有关条款的要求提交详细的施工进度计划。</w:t>
      </w:r>
    </w:p>
    <w:p w14:paraId="470F48DB">
      <w:pPr>
        <w:spacing w:line="460" w:lineRule="exact"/>
        <w:ind w:left="-6" w:firstLine="420"/>
        <w:rPr>
          <w:color w:val="auto"/>
          <w:highlight w:val="none"/>
        </w:rPr>
      </w:pPr>
      <w:r>
        <w:rPr>
          <w:color w:val="auto"/>
          <w:highlight w:val="none"/>
        </w:rPr>
        <w:t xml:space="preserve">2. </w:t>
      </w:r>
      <w:r>
        <w:rPr>
          <w:rFonts w:hint="eastAsia" w:cs="宋体"/>
          <w:color w:val="auto"/>
          <w:highlight w:val="none"/>
        </w:rPr>
        <w:t>施工进度计划可采用网络图（或横道图）表示，说明计划开工日期和各分项工程各阶段的完工日期和分包合同签订的日期。</w:t>
      </w:r>
    </w:p>
    <w:p w14:paraId="031E5E6A">
      <w:pPr>
        <w:spacing w:line="460" w:lineRule="exact"/>
        <w:ind w:left="-6" w:firstLine="420"/>
        <w:rPr>
          <w:color w:val="auto"/>
          <w:highlight w:val="none"/>
        </w:rPr>
      </w:pPr>
      <w:r>
        <w:rPr>
          <w:color w:val="auto"/>
          <w:highlight w:val="none"/>
        </w:rPr>
        <w:t xml:space="preserve">3. </w:t>
      </w:r>
      <w:r>
        <w:rPr>
          <w:rFonts w:hint="eastAsia" w:cs="宋体"/>
          <w:color w:val="auto"/>
          <w:highlight w:val="none"/>
        </w:rPr>
        <w:t>施工进度计划应与施工组织设计相适应。</w:t>
      </w:r>
    </w:p>
    <w:p w14:paraId="339B27EF">
      <w:pPr>
        <w:spacing w:line="360" w:lineRule="auto"/>
        <w:ind w:left="-6" w:firstLine="420"/>
        <w:rPr>
          <w:color w:val="auto"/>
          <w:highlight w:val="none"/>
        </w:rPr>
      </w:pPr>
    </w:p>
    <w:p w14:paraId="4DF82860">
      <w:pPr>
        <w:rPr>
          <w:color w:val="auto"/>
          <w:highlight w:val="none"/>
        </w:rPr>
      </w:pPr>
    </w:p>
    <w:p w14:paraId="5C5C8049">
      <w:pPr>
        <w:rPr>
          <w:color w:val="auto"/>
          <w:highlight w:val="none"/>
        </w:rPr>
      </w:pPr>
      <w:r>
        <w:rPr>
          <w:rFonts w:hint="eastAsia" w:cs="宋体"/>
          <w:color w:val="auto"/>
          <w:highlight w:val="none"/>
        </w:rPr>
        <w:t>附表三：施工总平面图</w:t>
      </w:r>
    </w:p>
    <w:p w14:paraId="08CE9CA2">
      <w:pPr>
        <w:spacing w:line="460" w:lineRule="exact"/>
        <w:ind w:firstLine="420" w:firstLineChars="200"/>
        <w:rPr>
          <w:color w:val="auto"/>
          <w:highlight w:val="none"/>
        </w:rPr>
      </w:pPr>
      <w:r>
        <w:rPr>
          <w:rFonts w:hint="eastAsia" w:cs="宋体"/>
          <w:color w:val="auto"/>
          <w:highlight w:val="none"/>
        </w:rPr>
        <w:t>供应商应递交一份施工总平面图，绘出现场临时设施布置图表并附文字说明，说明临时设施、加工车间、现场办公、设备及仓储、供电、供水、卫生、生活、道路、消防等设施的情况和布置。</w:t>
      </w:r>
    </w:p>
    <w:p w14:paraId="02A77846">
      <w:pPr>
        <w:rPr>
          <w:color w:val="auto"/>
          <w:highlight w:val="none"/>
        </w:rPr>
      </w:pPr>
    </w:p>
    <w:p w14:paraId="6E9357E4">
      <w:pPr>
        <w:rPr>
          <w:color w:val="auto"/>
          <w:highlight w:val="none"/>
        </w:rPr>
      </w:pPr>
    </w:p>
    <w:p w14:paraId="7C79A4A9">
      <w:pPr>
        <w:rPr>
          <w:color w:val="auto"/>
          <w:highlight w:val="none"/>
        </w:rPr>
      </w:pPr>
      <w:r>
        <w:rPr>
          <w:rFonts w:hint="eastAsia" w:cs="宋体"/>
          <w:color w:val="auto"/>
          <w:highlight w:val="none"/>
        </w:rPr>
        <w:t>附表四：临时用地表</w:t>
      </w:r>
    </w:p>
    <w:tbl>
      <w:tblPr>
        <w:tblStyle w:val="55"/>
        <w:tblW w:w="92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6"/>
        <w:gridCol w:w="2357"/>
        <w:gridCol w:w="2356"/>
        <w:gridCol w:w="2136"/>
      </w:tblGrid>
      <w:tr w14:paraId="1C9C4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2356" w:type="dxa"/>
            <w:vAlign w:val="center"/>
          </w:tcPr>
          <w:p w14:paraId="02D84DA1">
            <w:pPr>
              <w:jc w:val="center"/>
              <w:rPr>
                <w:color w:val="auto"/>
                <w:highlight w:val="none"/>
              </w:rPr>
            </w:pPr>
            <w:r>
              <w:rPr>
                <w:rFonts w:hint="eastAsia" w:cs="宋体"/>
                <w:color w:val="auto"/>
                <w:highlight w:val="none"/>
              </w:rPr>
              <w:t>用途</w:t>
            </w:r>
          </w:p>
        </w:tc>
        <w:tc>
          <w:tcPr>
            <w:tcW w:w="2357" w:type="dxa"/>
            <w:vAlign w:val="center"/>
          </w:tcPr>
          <w:p w14:paraId="679B9A95">
            <w:pPr>
              <w:jc w:val="center"/>
              <w:rPr>
                <w:color w:val="auto"/>
                <w:highlight w:val="none"/>
              </w:rPr>
            </w:pPr>
            <w:r>
              <w:rPr>
                <w:rFonts w:hint="eastAsia" w:cs="宋体"/>
                <w:color w:val="auto"/>
                <w:highlight w:val="none"/>
              </w:rPr>
              <w:t>面积（平方米）</w:t>
            </w:r>
          </w:p>
        </w:tc>
        <w:tc>
          <w:tcPr>
            <w:tcW w:w="2356" w:type="dxa"/>
            <w:vAlign w:val="center"/>
          </w:tcPr>
          <w:p w14:paraId="005F174B">
            <w:pPr>
              <w:jc w:val="center"/>
              <w:rPr>
                <w:color w:val="auto"/>
                <w:highlight w:val="none"/>
              </w:rPr>
            </w:pPr>
            <w:r>
              <w:rPr>
                <w:rFonts w:hint="eastAsia" w:cs="宋体"/>
                <w:color w:val="auto"/>
                <w:highlight w:val="none"/>
              </w:rPr>
              <w:t>位置</w:t>
            </w:r>
          </w:p>
        </w:tc>
        <w:tc>
          <w:tcPr>
            <w:tcW w:w="2136" w:type="dxa"/>
            <w:vAlign w:val="center"/>
          </w:tcPr>
          <w:p w14:paraId="1481E360">
            <w:pPr>
              <w:jc w:val="center"/>
              <w:rPr>
                <w:color w:val="auto"/>
                <w:highlight w:val="none"/>
              </w:rPr>
            </w:pPr>
            <w:r>
              <w:rPr>
                <w:rFonts w:hint="eastAsia" w:cs="宋体"/>
                <w:color w:val="auto"/>
                <w:highlight w:val="none"/>
              </w:rPr>
              <w:t>需用时间</w:t>
            </w:r>
          </w:p>
        </w:tc>
      </w:tr>
      <w:tr w14:paraId="61B11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Pr>
          <w:p w14:paraId="6E85EA69">
            <w:pPr>
              <w:rPr>
                <w:color w:val="auto"/>
                <w:highlight w:val="none"/>
              </w:rPr>
            </w:pPr>
          </w:p>
        </w:tc>
        <w:tc>
          <w:tcPr>
            <w:tcW w:w="2357" w:type="dxa"/>
          </w:tcPr>
          <w:p w14:paraId="2BEAD5DB">
            <w:pPr>
              <w:rPr>
                <w:color w:val="auto"/>
                <w:highlight w:val="none"/>
              </w:rPr>
            </w:pPr>
          </w:p>
        </w:tc>
        <w:tc>
          <w:tcPr>
            <w:tcW w:w="2356" w:type="dxa"/>
          </w:tcPr>
          <w:p w14:paraId="57D89423">
            <w:pPr>
              <w:rPr>
                <w:color w:val="auto"/>
                <w:highlight w:val="none"/>
              </w:rPr>
            </w:pPr>
          </w:p>
        </w:tc>
        <w:tc>
          <w:tcPr>
            <w:tcW w:w="2136" w:type="dxa"/>
          </w:tcPr>
          <w:p w14:paraId="482F7D17">
            <w:pPr>
              <w:rPr>
                <w:color w:val="auto"/>
                <w:highlight w:val="none"/>
              </w:rPr>
            </w:pPr>
          </w:p>
        </w:tc>
      </w:tr>
      <w:tr w14:paraId="0ADD2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Pr>
          <w:p w14:paraId="5F2900B7">
            <w:pPr>
              <w:rPr>
                <w:color w:val="auto"/>
                <w:highlight w:val="none"/>
              </w:rPr>
            </w:pPr>
          </w:p>
        </w:tc>
        <w:tc>
          <w:tcPr>
            <w:tcW w:w="2357" w:type="dxa"/>
          </w:tcPr>
          <w:p w14:paraId="09A8C944">
            <w:pPr>
              <w:rPr>
                <w:color w:val="auto"/>
                <w:highlight w:val="none"/>
              </w:rPr>
            </w:pPr>
          </w:p>
        </w:tc>
        <w:tc>
          <w:tcPr>
            <w:tcW w:w="2356" w:type="dxa"/>
          </w:tcPr>
          <w:p w14:paraId="6FD9C907">
            <w:pPr>
              <w:rPr>
                <w:color w:val="auto"/>
                <w:highlight w:val="none"/>
              </w:rPr>
            </w:pPr>
          </w:p>
        </w:tc>
        <w:tc>
          <w:tcPr>
            <w:tcW w:w="2136" w:type="dxa"/>
          </w:tcPr>
          <w:p w14:paraId="7E174EC6">
            <w:pPr>
              <w:rPr>
                <w:color w:val="auto"/>
                <w:highlight w:val="none"/>
              </w:rPr>
            </w:pPr>
          </w:p>
        </w:tc>
      </w:tr>
      <w:tr w14:paraId="06D5E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356" w:type="dxa"/>
          </w:tcPr>
          <w:p w14:paraId="25AB69D9">
            <w:pPr>
              <w:rPr>
                <w:color w:val="auto"/>
                <w:highlight w:val="none"/>
              </w:rPr>
            </w:pPr>
          </w:p>
        </w:tc>
        <w:tc>
          <w:tcPr>
            <w:tcW w:w="2357" w:type="dxa"/>
          </w:tcPr>
          <w:p w14:paraId="4348924D">
            <w:pPr>
              <w:rPr>
                <w:color w:val="auto"/>
                <w:highlight w:val="none"/>
              </w:rPr>
            </w:pPr>
          </w:p>
        </w:tc>
        <w:tc>
          <w:tcPr>
            <w:tcW w:w="2356" w:type="dxa"/>
          </w:tcPr>
          <w:p w14:paraId="3526F1A4">
            <w:pPr>
              <w:rPr>
                <w:color w:val="auto"/>
                <w:highlight w:val="none"/>
              </w:rPr>
            </w:pPr>
          </w:p>
        </w:tc>
        <w:tc>
          <w:tcPr>
            <w:tcW w:w="2136" w:type="dxa"/>
          </w:tcPr>
          <w:p w14:paraId="321945C7">
            <w:pPr>
              <w:rPr>
                <w:color w:val="auto"/>
                <w:highlight w:val="none"/>
              </w:rPr>
            </w:pPr>
          </w:p>
        </w:tc>
      </w:tr>
      <w:tr w14:paraId="4ABC1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Pr>
          <w:p w14:paraId="4F94CA2A">
            <w:pPr>
              <w:rPr>
                <w:color w:val="auto"/>
                <w:highlight w:val="none"/>
              </w:rPr>
            </w:pPr>
          </w:p>
        </w:tc>
        <w:tc>
          <w:tcPr>
            <w:tcW w:w="2357" w:type="dxa"/>
          </w:tcPr>
          <w:p w14:paraId="5BB4DD46">
            <w:pPr>
              <w:rPr>
                <w:color w:val="auto"/>
                <w:highlight w:val="none"/>
              </w:rPr>
            </w:pPr>
          </w:p>
        </w:tc>
        <w:tc>
          <w:tcPr>
            <w:tcW w:w="2356" w:type="dxa"/>
          </w:tcPr>
          <w:p w14:paraId="044DA1FC">
            <w:pPr>
              <w:rPr>
                <w:color w:val="auto"/>
                <w:highlight w:val="none"/>
              </w:rPr>
            </w:pPr>
          </w:p>
        </w:tc>
        <w:tc>
          <w:tcPr>
            <w:tcW w:w="2136" w:type="dxa"/>
          </w:tcPr>
          <w:p w14:paraId="50E5EEDC">
            <w:pPr>
              <w:rPr>
                <w:color w:val="auto"/>
                <w:highlight w:val="none"/>
              </w:rPr>
            </w:pPr>
          </w:p>
        </w:tc>
      </w:tr>
    </w:tbl>
    <w:p w14:paraId="6058FAF9">
      <w:pPr>
        <w:spacing w:line="360" w:lineRule="auto"/>
        <w:ind w:firstLine="880" w:firstLineChars="200"/>
        <w:rPr>
          <w:rFonts w:ascii="方正小标宋简体" w:hAnsi="方正小标宋简体" w:eastAsia="方正小标宋简体" w:cs="方正小标宋简体"/>
          <w:bCs/>
          <w:color w:val="auto"/>
          <w:sz w:val="44"/>
          <w:szCs w:val="44"/>
          <w:highlight w:val="none"/>
        </w:rPr>
      </w:pPr>
    </w:p>
    <w:p w14:paraId="5D8196E1">
      <w:pPr>
        <w:spacing w:line="360" w:lineRule="auto"/>
        <w:jc w:val="center"/>
        <w:rPr>
          <w:rFonts w:ascii="方正小标宋简体" w:hAnsi="方正小标宋简体" w:eastAsia="方正小标宋简体" w:cs="方正小标宋简体"/>
          <w:bCs/>
          <w:color w:val="auto"/>
          <w:sz w:val="44"/>
          <w:szCs w:val="44"/>
          <w:highlight w:val="none"/>
        </w:rPr>
      </w:pPr>
      <w:r>
        <w:rPr>
          <w:rFonts w:ascii="方正小标宋简体" w:hAnsi="方正小标宋简体" w:eastAsia="方正小标宋简体" w:cs="方正小标宋简体"/>
          <w:bCs/>
          <w:color w:val="auto"/>
          <w:sz w:val="44"/>
          <w:szCs w:val="44"/>
          <w:highlight w:val="none"/>
        </w:rPr>
        <w:br w:type="page"/>
      </w:r>
    </w:p>
    <w:p w14:paraId="5F5268EE">
      <w:pPr>
        <w:spacing w:line="360" w:lineRule="auto"/>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拟分包项目情况表</w:t>
      </w:r>
    </w:p>
    <w:p w14:paraId="2772CF3D">
      <w:pPr>
        <w:spacing w:line="520" w:lineRule="exact"/>
        <w:rPr>
          <w:rFonts w:ascii="仿宋_GB2312" w:hAnsi="仿宋_GB2312" w:eastAsia="仿宋_GB2312" w:cs="仿宋_GB2312"/>
          <w:color w:val="auto"/>
          <w:sz w:val="32"/>
          <w:szCs w:val="32"/>
          <w:highlight w:val="none"/>
        </w:rPr>
      </w:pPr>
    </w:p>
    <w:p w14:paraId="2B57A877">
      <w:pPr>
        <w:spacing w:line="360" w:lineRule="auto"/>
        <w:contextualSpacing/>
        <w:rPr>
          <w:rFonts w:ascii="宋体" w:hAnsi="宋体" w:cs="仿宋_GB2312"/>
          <w:color w:val="auto"/>
          <w:sz w:val="24"/>
          <w:highlight w:val="none"/>
          <w:u w:val="single"/>
        </w:rPr>
      </w:pPr>
      <w:r>
        <w:rPr>
          <w:rFonts w:hint="eastAsia" w:ascii="宋体" w:hAnsi="宋体" w:cs="仿宋_GB2312"/>
          <w:color w:val="auto"/>
          <w:sz w:val="24"/>
          <w:highlight w:val="none"/>
        </w:rPr>
        <w:t>分标（如有）：</w:t>
      </w:r>
    </w:p>
    <w:tbl>
      <w:tblPr>
        <w:tblStyle w:val="55"/>
        <w:tblW w:w="93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693"/>
        <w:gridCol w:w="751"/>
        <w:gridCol w:w="950"/>
        <w:gridCol w:w="1123"/>
        <w:gridCol w:w="1090"/>
        <w:gridCol w:w="1197"/>
        <w:gridCol w:w="1268"/>
        <w:gridCol w:w="673"/>
      </w:tblGrid>
      <w:tr w14:paraId="712A7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tcMar>
              <w:left w:w="108" w:type="dxa"/>
              <w:right w:w="108" w:type="dxa"/>
            </w:tcMar>
            <w:vAlign w:val="center"/>
          </w:tcPr>
          <w:p w14:paraId="46ED1D8B">
            <w:pPr>
              <w:jc w:val="center"/>
              <w:rPr>
                <w:color w:val="auto"/>
                <w:highlight w:val="none"/>
              </w:rPr>
            </w:pPr>
            <w:r>
              <w:rPr>
                <w:rFonts w:hint="eastAsia" w:cs="宋体"/>
                <w:color w:val="auto"/>
                <w:highlight w:val="none"/>
              </w:rPr>
              <w:t>序号</w:t>
            </w:r>
          </w:p>
        </w:tc>
        <w:tc>
          <w:tcPr>
            <w:tcW w:w="1693" w:type="dxa"/>
            <w:vMerge w:val="restart"/>
            <w:tcMar>
              <w:left w:w="108" w:type="dxa"/>
              <w:right w:w="108" w:type="dxa"/>
            </w:tcMar>
            <w:vAlign w:val="center"/>
          </w:tcPr>
          <w:p w14:paraId="0631B939">
            <w:pPr>
              <w:jc w:val="center"/>
              <w:rPr>
                <w:color w:val="auto"/>
                <w:highlight w:val="none"/>
              </w:rPr>
            </w:pPr>
            <w:r>
              <w:rPr>
                <w:rFonts w:hint="eastAsia" w:cs="宋体"/>
                <w:color w:val="auto"/>
                <w:highlight w:val="none"/>
              </w:rPr>
              <w:t>拟分包项目名称、范围及理由</w:t>
            </w:r>
          </w:p>
        </w:tc>
        <w:tc>
          <w:tcPr>
            <w:tcW w:w="6379" w:type="dxa"/>
            <w:gridSpan w:val="6"/>
            <w:tcMar>
              <w:left w:w="108" w:type="dxa"/>
              <w:right w:w="108" w:type="dxa"/>
            </w:tcMar>
            <w:vAlign w:val="center"/>
          </w:tcPr>
          <w:p w14:paraId="3D52A3EC">
            <w:pPr>
              <w:jc w:val="center"/>
              <w:rPr>
                <w:rFonts w:cs="宋体"/>
                <w:color w:val="auto"/>
                <w:highlight w:val="none"/>
              </w:rPr>
            </w:pPr>
            <w:r>
              <w:rPr>
                <w:rFonts w:hint="eastAsia" w:cs="宋体"/>
                <w:color w:val="auto"/>
                <w:highlight w:val="none"/>
              </w:rPr>
              <w:t>拟选分包人</w:t>
            </w:r>
          </w:p>
        </w:tc>
        <w:tc>
          <w:tcPr>
            <w:tcW w:w="673" w:type="dxa"/>
            <w:vMerge w:val="restart"/>
            <w:tcMar>
              <w:left w:w="108" w:type="dxa"/>
              <w:right w:w="108" w:type="dxa"/>
            </w:tcMar>
            <w:vAlign w:val="center"/>
          </w:tcPr>
          <w:p w14:paraId="79AF733C">
            <w:pPr>
              <w:jc w:val="center"/>
              <w:rPr>
                <w:color w:val="auto"/>
                <w:highlight w:val="none"/>
              </w:rPr>
            </w:pPr>
            <w:r>
              <w:rPr>
                <w:rFonts w:hint="eastAsia" w:cs="宋体"/>
                <w:color w:val="auto"/>
                <w:highlight w:val="none"/>
              </w:rPr>
              <w:t>备注</w:t>
            </w:r>
          </w:p>
        </w:tc>
      </w:tr>
      <w:tr w14:paraId="7B1C4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tcMar>
              <w:left w:w="108" w:type="dxa"/>
              <w:right w:w="108" w:type="dxa"/>
            </w:tcMar>
            <w:vAlign w:val="center"/>
          </w:tcPr>
          <w:p w14:paraId="4B64BFF3">
            <w:pPr>
              <w:jc w:val="center"/>
              <w:rPr>
                <w:color w:val="auto"/>
                <w:highlight w:val="none"/>
              </w:rPr>
            </w:pPr>
          </w:p>
        </w:tc>
        <w:tc>
          <w:tcPr>
            <w:tcW w:w="1693" w:type="dxa"/>
            <w:vMerge w:val="continue"/>
            <w:tcMar>
              <w:left w:w="108" w:type="dxa"/>
              <w:right w:w="108" w:type="dxa"/>
            </w:tcMar>
            <w:vAlign w:val="center"/>
          </w:tcPr>
          <w:p w14:paraId="4A0AB84B">
            <w:pPr>
              <w:jc w:val="center"/>
              <w:rPr>
                <w:color w:val="auto"/>
                <w:highlight w:val="none"/>
              </w:rPr>
            </w:pPr>
          </w:p>
        </w:tc>
        <w:tc>
          <w:tcPr>
            <w:tcW w:w="1701" w:type="dxa"/>
            <w:gridSpan w:val="2"/>
            <w:tcMar>
              <w:left w:w="108" w:type="dxa"/>
              <w:right w:w="108" w:type="dxa"/>
            </w:tcMar>
            <w:vAlign w:val="center"/>
          </w:tcPr>
          <w:p w14:paraId="40289CC1">
            <w:pPr>
              <w:jc w:val="center"/>
              <w:rPr>
                <w:color w:val="auto"/>
                <w:highlight w:val="none"/>
              </w:rPr>
            </w:pPr>
            <w:r>
              <w:rPr>
                <w:rFonts w:hint="eastAsia" w:cs="宋体"/>
                <w:color w:val="auto"/>
                <w:highlight w:val="none"/>
              </w:rPr>
              <w:t>拟选分包人名称</w:t>
            </w:r>
          </w:p>
        </w:tc>
        <w:tc>
          <w:tcPr>
            <w:tcW w:w="1123" w:type="dxa"/>
            <w:tcMar>
              <w:left w:w="108" w:type="dxa"/>
              <w:right w:w="108" w:type="dxa"/>
            </w:tcMar>
            <w:vAlign w:val="center"/>
          </w:tcPr>
          <w:p w14:paraId="22376A6A">
            <w:pPr>
              <w:jc w:val="center"/>
              <w:rPr>
                <w:color w:val="auto"/>
                <w:highlight w:val="none"/>
              </w:rPr>
            </w:pPr>
            <w:r>
              <w:rPr>
                <w:rFonts w:hint="eastAsia" w:cs="宋体"/>
                <w:color w:val="auto"/>
                <w:highlight w:val="none"/>
              </w:rPr>
              <w:t>注册地点</w:t>
            </w:r>
          </w:p>
        </w:tc>
        <w:tc>
          <w:tcPr>
            <w:tcW w:w="1090" w:type="dxa"/>
            <w:tcMar>
              <w:left w:w="108" w:type="dxa"/>
              <w:right w:w="108" w:type="dxa"/>
            </w:tcMar>
            <w:vAlign w:val="center"/>
          </w:tcPr>
          <w:p w14:paraId="157DC0A9">
            <w:pPr>
              <w:jc w:val="center"/>
              <w:rPr>
                <w:color w:val="auto"/>
                <w:highlight w:val="none"/>
              </w:rPr>
            </w:pPr>
            <w:r>
              <w:rPr>
                <w:rFonts w:hint="eastAsia" w:cs="宋体"/>
                <w:color w:val="auto"/>
                <w:highlight w:val="none"/>
              </w:rPr>
              <w:t>企业资质</w:t>
            </w:r>
          </w:p>
        </w:tc>
        <w:tc>
          <w:tcPr>
            <w:tcW w:w="1197" w:type="dxa"/>
            <w:tcMar>
              <w:left w:w="108" w:type="dxa"/>
              <w:right w:w="108" w:type="dxa"/>
            </w:tcMar>
            <w:vAlign w:val="center"/>
          </w:tcPr>
          <w:p w14:paraId="2FC6F8D9">
            <w:pPr>
              <w:jc w:val="center"/>
              <w:rPr>
                <w:color w:val="auto"/>
                <w:highlight w:val="none"/>
              </w:rPr>
            </w:pPr>
            <w:r>
              <w:rPr>
                <w:rFonts w:hint="eastAsia" w:cs="宋体"/>
                <w:color w:val="auto"/>
                <w:highlight w:val="none"/>
              </w:rPr>
              <w:t>有关业绩</w:t>
            </w:r>
          </w:p>
        </w:tc>
        <w:tc>
          <w:tcPr>
            <w:tcW w:w="1268" w:type="dxa"/>
            <w:vAlign w:val="center"/>
          </w:tcPr>
          <w:p w14:paraId="0DB82EF1">
            <w:pPr>
              <w:jc w:val="center"/>
              <w:rPr>
                <w:rFonts w:cs="宋体"/>
                <w:color w:val="auto"/>
                <w:highlight w:val="none"/>
              </w:rPr>
            </w:pPr>
            <w:r>
              <w:rPr>
                <w:rFonts w:hint="eastAsia" w:cs="宋体"/>
                <w:color w:val="auto"/>
                <w:highlight w:val="none"/>
              </w:rPr>
              <w:t>拟分包金额</w:t>
            </w:r>
          </w:p>
        </w:tc>
        <w:tc>
          <w:tcPr>
            <w:tcW w:w="673" w:type="dxa"/>
            <w:vMerge w:val="continue"/>
            <w:tcMar>
              <w:left w:w="108" w:type="dxa"/>
              <w:right w:w="108" w:type="dxa"/>
            </w:tcMar>
            <w:vAlign w:val="center"/>
          </w:tcPr>
          <w:p w14:paraId="466F3252">
            <w:pPr>
              <w:jc w:val="center"/>
              <w:rPr>
                <w:color w:val="auto"/>
                <w:highlight w:val="none"/>
              </w:rPr>
            </w:pPr>
          </w:p>
        </w:tc>
      </w:tr>
      <w:tr w14:paraId="3F432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tcMar>
              <w:left w:w="108" w:type="dxa"/>
              <w:right w:w="108" w:type="dxa"/>
            </w:tcMar>
            <w:vAlign w:val="center"/>
          </w:tcPr>
          <w:p w14:paraId="29942812">
            <w:pPr>
              <w:jc w:val="center"/>
              <w:rPr>
                <w:color w:val="auto"/>
                <w:highlight w:val="none"/>
              </w:rPr>
            </w:pPr>
          </w:p>
        </w:tc>
        <w:tc>
          <w:tcPr>
            <w:tcW w:w="1693" w:type="dxa"/>
            <w:vMerge w:val="restart"/>
            <w:tcMar>
              <w:left w:w="108" w:type="dxa"/>
              <w:right w:w="108" w:type="dxa"/>
            </w:tcMar>
            <w:vAlign w:val="center"/>
          </w:tcPr>
          <w:p w14:paraId="365822E4">
            <w:pPr>
              <w:jc w:val="center"/>
              <w:rPr>
                <w:color w:val="auto"/>
                <w:highlight w:val="none"/>
              </w:rPr>
            </w:pPr>
          </w:p>
        </w:tc>
        <w:tc>
          <w:tcPr>
            <w:tcW w:w="751" w:type="dxa"/>
            <w:tcMar>
              <w:left w:w="108" w:type="dxa"/>
              <w:right w:w="108" w:type="dxa"/>
            </w:tcMar>
            <w:vAlign w:val="center"/>
          </w:tcPr>
          <w:p w14:paraId="01540D8B">
            <w:pPr>
              <w:jc w:val="center"/>
              <w:rPr>
                <w:color w:val="auto"/>
                <w:highlight w:val="none"/>
              </w:rPr>
            </w:pPr>
            <w:r>
              <w:rPr>
                <w:color w:val="auto"/>
                <w:highlight w:val="none"/>
              </w:rPr>
              <w:t>1</w:t>
            </w:r>
          </w:p>
        </w:tc>
        <w:tc>
          <w:tcPr>
            <w:tcW w:w="950" w:type="dxa"/>
            <w:tcMar>
              <w:left w:w="108" w:type="dxa"/>
              <w:right w:w="108" w:type="dxa"/>
            </w:tcMar>
            <w:vAlign w:val="center"/>
          </w:tcPr>
          <w:p w14:paraId="294D5D5E">
            <w:pPr>
              <w:jc w:val="center"/>
              <w:rPr>
                <w:color w:val="auto"/>
                <w:highlight w:val="none"/>
              </w:rPr>
            </w:pPr>
          </w:p>
        </w:tc>
        <w:tc>
          <w:tcPr>
            <w:tcW w:w="1123" w:type="dxa"/>
            <w:tcMar>
              <w:left w:w="108" w:type="dxa"/>
              <w:right w:w="108" w:type="dxa"/>
            </w:tcMar>
            <w:vAlign w:val="center"/>
          </w:tcPr>
          <w:p w14:paraId="4269EF06">
            <w:pPr>
              <w:jc w:val="center"/>
              <w:rPr>
                <w:color w:val="auto"/>
                <w:highlight w:val="none"/>
              </w:rPr>
            </w:pPr>
          </w:p>
        </w:tc>
        <w:tc>
          <w:tcPr>
            <w:tcW w:w="1090" w:type="dxa"/>
            <w:tcMar>
              <w:left w:w="108" w:type="dxa"/>
              <w:right w:w="108" w:type="dxa"/>
            </w:tcMar>
            <w:vAlign w:val="center"/>
          </w:tcPr>
          <w:p w14:paraId="1228167A">
            <w:pPr>
              <w:jc w:val="center"/>
              <w:rPr>
                <w:color w:val="auto"/>
                <w:highlight w:val="none"/>
              </w:rPr>
            </w:pPr>
          </w:p>
        </w:tc>
        <w:tc>
          <w:tcPr>
            <w:tcW w:w="1197" w:type="dxa"/>
            <w:tcMar>
              <w:left w:w="108" w:type="dxa"/>
              <w:right w:w="108" w:type="dxa"/>
            </w:tcMar>
            <w:vAlign w:val="center"/>
          </w:tcPr>
          <w:p w14:paraId="3C528489">
            <w:pPr>
              <w:jc w:val="center"/>
              <w:rPr>
                <w:color w:val="auto"/>
                <w:highlight w:val="none"/>
              </w:rPr>
            </w:pPr>
          </w:p>
        </w:tc>
        <w:tc>
          <w:tcPr>
            <w:tcW w:w="1268" w:type="dxa"/>
            <w:vAlign w:val="center"/>
          </w:tcPr>
          <w:p w14:paraId="17B1FF50">
            <w:pPr>
              <w:jc w:val="center"/>
              <w:rPr>
                <w:color w:val="auto"/>
                <w:highlight w:val="none"/>
              </w:rPr>
            </w:pPr>
          </w:p>
        </w:tc>
        <w:tc>
          <w:tcPr>
            <w:tcW w:w="673" w:type="dxa"/>
            <w:tcMar>
              <w:left w:w="108" w:type="dxa"/>
              <w:right w:w="108" w:type="dxa"/>
            </w:tcMar>
            <w:vAlign w:val="center"/>
          </w:tcPr>
          <w:p w14:paraId="5E69DAEE">
            <w:pPr>
              <w:jc w:val="center"/>
              <w:rPr>
                <w:color w:val="auto"/>
                <w:highlight w:val="none"/>
              </w:rPr>
            </w:pPr>
          </w:p>
        </w:tc>
      </w:tr>
      <w:tr w14:paraId="6F810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tcMar>
              <w:left w:w="108" w:type="dxa"/>
              <w:right w:w="108" w:type="dxa"/>
            </w:tcMar>
            <w:vAlign w:val="center"/>
          </w:tcPr>
          <w:p w14:paraId="1A6BC928">
            <w:pPr>
              <w:jc w:val="center"/>
              <w:rPr>
                <w:color w:val="auto"/>
                <w:highlight w:val="none"/>
              </w:rPr>
            </w:pPr>
          </w:p>
        </w:tc>
        <w:tc>
          <w:tcPr>
            <w:tcW w:w="1693" w:type="dxa"/>
            <w:vMerge w:val="continue"/>
            <w:tcMar>
              <w:left w:w="108" w:type="dxa"/>
              <w:right w:w="108" w:type="dxa"/>
            </w:tcMar>
            <w:vAlign w:val="center"/>
          </w:tcPr>
          <w:p w14:paraId="33EC58AC">
            <w:pPr>
              <w:jc w:val="center"/>
              <w:rPr>
                <w:color w:val="auto"/>
                <w:highlight w:val="none"/>
              </w:rPr>
            </w:pPr>
          </w:p>
        </w:tc>
        <w:tc>
          <w:tcPr>
            <w:tcW w:w="751" w:type="dxa"/>
            <w:tcMar>
              <w:left w:w="108" w:type="dxa"/>
              <w:right w:w="108" w:type="dxa"/>
            </w:tcMar>
            <w:vAlign w:val="center"/>
          </w:tcPr>
          <w:p w14:paraId="49B73796">
            <w:pPr>
              <w:jc w:val="center"/>
              <w:rPr>
                <w:color w:val="auto"/>
                <w:highlight w:val="none"/>
              </w:rPr>
            </w:pPr>
            <w:r>
              <w:rPr>
                <w:color w:val="auto"/>
                <w:highlight w:val="none"/>
              </w:rPr>
              <w:t>2</w:t>
            </w:r>
          </w:p>
        </w:tc>
        <w:tc>
          <w:tcPr>
            <w:tcW w:w="950" w:type="dxa"/>
            <w:tcMar>
              <w:left w:w="108" w:type="dxa"/>
              <w:right w:w="108" w:type="dxa"/>
            </w:tcMar>
            <w:vAlign w:val="center"/>
          </w:tcPr>
          <w:p w14:paraId="135942E8">
            <w:pPr>
              <w:jc w:val="center"/>
              <w:rPr>
                <w:color w:val="auto"/>
                <w:highlight w:val="none"/>
              </w:rPr>
            </w:pPr>
          </w:p>
        </w:tc>
        <w:tc>
          <w:tcPr>
            <w:tcW w:w="1123" w:type="dxa"/>
            <w:tcMar>
              <w:left w:w="108" w:type="dxa"/>
              <w:right w:w="108" w:type="dxa"/>
            </w:tcMar>
            <w:vAlign w:val="center"/>
          </w:tcPr>
          <w:p w14:paraId="09EB42D6">
            <w:pPr>
              <w:jc w:val="center"/>
              <w:rPr>
                <w:color w:val="auto"/>
                <w:highlight w:val="none"/>
              </w:rPr>
            </w:pPr>
          </w:p>
        </w:tc>
        <w:tc>
          <w:tcPr>
            <w:tcW w:w="1090" w:type="dxa"/>
            <w:tcMar>
              <w:left w:w="108" w:type="dxa"/>
              <w:right w:w="108" w:type="dxa"/>
            </w:tcMar>
            <w:vAlign w:val="center"/>
          </w:tcPr>
          <w:p w14:paraId="32256F61">
            <w:pPr>
              <w:jc w:val="center"/>
              <w:rPr>
                <w:color w:val="auto"/>
                <w:highlight w:val="none"/>
              </w:rPr>
            </w:pPr>
          </w:p>
        </w:tc>
        <w:tc>
          <w:tcPr>
            <w:tcW w:w="1197" w:type="dxa"/>
            <w:tcMar>
              <w:left w:w="108" w:type="dxa"/>
              <w:right w:w="108" w:type="dxa"/>
            </w:tcMar>
            <w:vAlign w:val="center"/>
          </w:tcPr>
          <w:p w14:paraId="59807C94">
            <w:pPr>
              <w:jc w:val="center"/>
              <w:rPr>
                <w:color w:val="auto"/>
                <w:highlight w:val="none"/>
              </w:rPr>
            </w:pPr>
          </w:p>
        </w:tc>
        <w:tc>
          <w:tcPr>
            <w:tcW w:w="1268" w:type="dxa"/>
          </w:tcPr>
          <w:p w14:paraId="74173E35">
            <w:pPr>
              <w:jc w:val="center"/>
              <w:rPr>
                <w:color w:val="auto"/>
                <w:highlight w:val="none"/>
              </w:rPr>
            </w:pPr>
          </w:p>
        </w:tc>
        <w:tc>
          <w:tcPr>
            <w:tcW w:w="673" w:type="dxa"/>
            <w:tcMar>
              <w:left w:w="108" w:type="dxa"/>
              <w:right w:w="108" w:type="dxa"/>
            </w:tcMar>
            <w:vAlign w:val="center"/>
          </w:tcPr>
          <w:p w14:paraId="3214E9F4">
            <w:pPr>
              <w:jc w:val="center"/>
              <w:rPr>
                <w:color w:val="auto"/>
                <w:highlight w:val="none"/>
              </w:rPr>
            </w:pPr>
          </w:p>
        </w:tc>
      </w:tr>
      <w:tr w14:paraId="49801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68" w:type="dxa"/>
            <w:vMerge w:val="continue"/>
            <w:tcMar>
              <w:left w:w="108" w:type="dxa"/>
              <w:right w:w="108" w:type="dxa"/>
            </w:tcMar>
            <w:vAlign w:val="center"/>
          </w:tcPr>
          <w:p w14:paraId="394C7CCE">
            <w:pPr>
              <w:jc w:val="center"/>
              <w:rPr>
                <w:color w:val="auto"/>
                <w:highlight w:val="none"/>
              </w:rPr>
            </w:pPr>
          </w:p>
        </w:tc>
        <w:tc>
          <w:tcPr>
            <w:tcW w:w="1693" w:type="dxa"/>
            <w:vMerge w:val="continue"/>
            <w:tcMar>
              <w:left w:w="108" w:type="dxa"/>
              <w:right w:w="108" w:type="dxa"/>
            </w:tcMar>
            <w:vAlign w:val="center"/>
          </w:tcPr>
          <w:p w14:paraId="33AF13CB">
            <w:pPr>
              <w:jc w:val="center"/>
              <w:rPr>
                <w:color w:val="auto"/>
                <w:highlight w:val="none"/>
              </w:rPr>
            </w:pPr>
          </w:p>
        </w:tc>
        <w:tc>
          <w:tcPr>
            <w:tcW w:w="751" w:type="dxa"/>
            <w:tcMar>
              <w:left w:w="108" w:type="dxa"/>
              <w:right w:w="108" w:type="dxa"/>
            </w:tcMar>
            <w:vAlign w:val="center"/>
          </w:tcPr>
          <w:p w14:paraId="76B669EC">
            <w:pPr>
              <w:jc w:val="center"/>
              <w:rPr>
                <w:color w:val="auto"/>
                <w:highlight w:val="none"/>
              </w:rPr>
            </w:pPr>
            <w:r>
              <w:rPr>
                <w:color w:val="auto"/>
                <w:highlight w:val="none"/>
              </w:rPr>
              <w:t>3</w:t>
            </w:r>
          </w:p>
        </w:tc>
        <w:tc>
          <w:tcPr>
            <w:tcW w:w="950" w:type="dxa"/>
            <w:tcMar>
              <w:left w:w="108" w:type="dxa"/>
              <w:right w:w="108" w:type="dxa"/>
            </w:tcMar>
            <w:vAlign w:val="center"/>
          </w:tcPr>
          <w:p w14:paraId="0BA046DE">
            <w:pPr>
              <w:jc w:val="center"/>
              <w:rPr>
                <w:color w:val="auto"/>
                <w:highlight w:val="none"/>
              </w:rPr>
            </w:pPr>
          </w:p>
        </w:tc>
        <w:tc>
          <w:tcPr>
            <w:tcW w:w="1123" w:type="dxa"/>
            <w:tcMar>
              <w:left w:w="108" w:type="dxa"/>
              <w:right w:w="108" w:type="dxa"/>
            </w:tcMar>
            <w:vAlign w:val="center"/>
          </w:tcPr>
          <w:p w14:paraId="4A31B3D7">
            <w:pPr>
              <w:jc w:val="center"/>
              <w:rPr>
                <w:color w:val="auto"/>
                <w:highlight w:val="none"/>
              </w:rPr>
            </w:pPr>
          </w:p>
        </w:tc>
        <w:tc>
          <w:tcPr>
            <w:tcW w:w="1090" w:type="dxa"/>
            <w:tcMar>
              <w:left w:w="108" w:type="dxa"/>
              <w:right w:w="108" w:type="dxa"/>
            </w:tcMar>
            <w:vAlign w:val="center"/>
          </w:tcPr>
          <w:p w14:paraId="25EEF022">
            <w:pPr>
              <w:jc w:val="center"/>
              <w:rPr>
                <w:color w:val="auto"/>
                <w:highlight w:val="none"/>
              </w:rPr>
            </w:pPr>
          </w:p>
        </w:tc>
        <w:tc>
          <w:tcPr>
            <w:tcW w:w="1197" w:type="dxa"/>
            <w:tcMar>
              <w:left w:w="108" w:type="dxa"/>
              <w:right w:w="108" w:type="dxa"/>
            </w:tcMar>
            <w:vAlign w:val="center"/>
          </w:tcPr>
          <w:p w14:paraId="6B805948">
            <w:pPr>
              <w:jc w:val="center"/>
              <w:rPr>
                <w:color w:val="auto"/>
                <w:highlight w:val="none"/>
              </w:rPr>
            </w:pPr>
          </w:p>
        </w:tc>
        <w:tc>
          <w:tcPr>
            <w:tcW w:w="1268" w:type="dxa"/>
          </w:tcPr>
          <w:p w14:paraId="3CC6C8C3">
            <w:pPr>
              <w:jc w:val="center"/>
              <w:rPr>
                <w:color w:val="auto"/>
                <w:highlight w:val="none"/>
              </w:rPr>
            </w:pPr>
          </w:p>
        </w:tc>
        <w:tc>
          <w:tcPr>
            <w:tcW w:w="673" w:type="dxa"/>
            <w:tcMar>
              <w:left w:w="108" w:type="dxa"/>
              <w:right w:w="108" w:type="dxa"/>
            </w:tcMar>
            <w:vAlign w:val="center"/>
          </w:tcPr>
          <w:p w14:paraId="4B62DF33">
            <w:pPr>
              <w:jc w:val="center"/>
              <w:rPr>
                <w:color w:val="auto"/>
                <w:highlight w:val="none"/>
              </w:rPr>
            </w:pPr>
          </w:p>
        </w:tc>
      </w:tr>
      <w:tr w14:paraId="67634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68" w:type="dxa"/>
            <w:vMerge w:val="restart"/>
            <w:tcMar>
              <w:left w:w="108" w:type="dxa"/>
              <w:right w:w="108" w:type="dxa"/>
            </w:tcMar>
            <w:vAlign w:val="center"/>
          </w:tcPr>
          <w:p w14:paraId="5F25D530">
            <w:pPr>
              <w:jc w:val="center"/>
              <w:rPr>
                <w:color w:val="auto"/>
                <w:highlight w:val="none"/>
              </w:rPr>
            </w:pPr>
          </w:p>
        </w:tc>
        <w:tc>
          <w:tcPr>
            <w:tcW w:w="1693" w:type="dxa"/>
            <w:vMerge w:val="restart"/>
            <w:tcMar>
              <w:left w:w="108" w:type="dxa"/>
              <w:right w:w="108" w:type="dxa"/>
            </w:tcMar>
            <w:vAlign w:val="center"/>
          </w:tcPr>
          <w:p w14:paraId="06140F01">
            <w:pPr>
              <w:jc w:val="center"/>
              <w:rPr>
                <w:color w:val="auto"/>
                <w:highlight w:val="none"/>
              </w:rPr>
            </w:pPr>
          </w:p>
        </w:tc>
        <w:tc>
          <w:tcPr>
            <w:tcW w:w="751" w:type="dxa"/>
            <w:tcMar>
              <w:left w:w="108" w:type="dxa"/>
              <w:right w:w="108" w:type="dxa"/>
            </w:tcMar>
            <w:vAlign w:val="center"/>
          </w:tcPr>
          <w:p w14:paraId="367BF93F">
            <w:pPr>
              <w:jc w:val="center"/>
              <w:rPr>
                <w:color w:val="auto"/>
                <w:highlight w:val="none"/>
              </w:rPr>
            </w:pPr>
            <w:r>
              <w:rPr>
                <w:color w:val="auto"/>
                <w:highlight w:val="none"/>
              </w:rPr>
              <w:t>1</w:t>
            </w:r>
          </w:p>
        </w:tc>
        <w:tc>
          <w:tcPr>
            <w:tcW w:w="950" w:type="dxa"/>
            <w:tcMar>
              <w:left w:w="108" w:type="dxa"/>
              <w:right w:w="108" w:type="dxa"/>
            </w:tcMar>
            <w:vAlign w:val="center"/>
          </w:tcPr>
          <w:p w14:paraId="3EF68173">
            <w:pPr>
              <w:jc w:val="center"/>
              <w:rPr>
                <w:color w:val="auto"/>
                <w:highlight w:val="none"/>
              </w:rPr>
            </w:pPr>
          </w:p>
        </w:tc>
        <w:tc>
          <w:tcPr>
            <w:tcW w:w="1123" w:type="dxa"/>
            <w:tcMar>
              <w:left w:w="108" w:type="dxa"/>
              <w:right w:w="108" w:type="dxa"/>
            </w:tcMar>
            <w:vAlign w:val="center"/>
          </w:tcPr>
          <w:p w14:paraId="2C97276B">
            <w:pPr>
              <w:jc w:val="center"/>
              <w:rPr>
                <w:color w:val="auto"/>
                <w:highlight w:val="none"/>
              </w:rPr>
            </w:pPr>
          </w:p>
        </w:tc>
        <w:tc>
          <w:tcPr>
            <w:tcW w:w="1090" w:type="dxa"/>
            <w:tcMar>
              <w:left w:w="108" w:type="dxa"/>
              <w:right w:w="108" w:type="dxa"/>
            </w:tcMar>
            <w:vAlign w:val="center"/>
          </w:tcPr>
          <w:p w14:paraId="7C1E91A8">
            <w:pPr>
              <w:jc w:val="center"/>
              <w:rPr>
                <w:color w:val="auto"/>
                <w:highlight w:val="none"/>
              </w:rPr>
            </w:pPr>
          </w:p>
        </w:tc>
        <w:tc>
          <w:tcPr>
            <w:tcW w:w="1197" w:type="dxa"/>
            <w:tcMar>
              <w:left w:w="108" w:type="dxa"/>
              <w:right w:w="108" w:type="dxa"/>
            </w:tcMar>
            <w:vAlign w:val="center"/>
          </w:tcPr>
          <w:p w14:paraId="086090BA">
            <w:pPr>
              <w:jc w:val="center"/>
              <w:rPr>
                <w:color w:val="auto"/>
                <w:highlight w:val="none"/>
              </w:rPr>
            </w:pPr>
          </w:p>
        </w:tc>
        <w:tc>
          <w:tcPr>
            <w:tcW w:w="1268" w:type="dxa"/>
          </w:tcPr>
          <w:p w14:paraId="077CD0C5">
            <w:pPr>
              <w:jc w:val="center"/>
              <w:rPr>
                <w:color w:val="auto"/>
                <w:highlight w:val="none"/>
              </w:rPr>
            </w:pPr>
          </w:p>
        </w:tc>
        <w:tc>
          <w:tcPr>
            <w:tcW w:w="673" w:type="dxa"/>
            <w:tcMar>
              <w:left w:w="108" w:type="dxa"/>
              <w:right w:w="108" w:type="dxa"/>
            </w:tcMar>
            <w:vAlign w:val="center"/>
          </w:tcPr>
          <w:p w14:paraId="57FB7F5E">
            <w:pPr>
              <w:jc w:val="center"/>
              <w:rPr>
                <w:color w:val="auto"/>
                <w:highlight w:val="none"/>
              </w:rPr>
            </w:pPr>
          </w:p>
        </w:tc>
      </w:tr>
      <w:tr w14:paraId="6CD27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tcMar>
              <w:left w:w="108" w:type="dxa"/>
              <w:right w:w="108" w:type="dxa"/>
            </w:tcMar>
            <w:vAlign w:val="center"/>
          </w:tcPr>
          <w:p w14:paraId="0E63C913">
            <w:pPr>
              <w:jc w:val="center"/>
              <w:rPr>
                <w:color w:val="auto"/>
                <w:highlight w:val="none"/>
              </w:rPr>
            </w:pPr>
          </w:p>
        </w:tc>
        <w:tc>
          <w:tcPr>
            <w:tcW w:w="1693" w:type="dxa"/>
            <w:vMerge w:val="continue"/>
            <w:tcMar>
              <w:left w:w="108" w:type="dxa"/>
              <w:right w:w="108" w:type="dxa"/>
            </w:tcMar>
            <w:vAlign w:val="center"/>
          </w:tcPr>
          <w:p w14:paraId="7D55DEE4">
            <w:pPr>
              <w:jc w:val="center"/>
              <w:rPr>
                <w:color w:val="auto"/>
                <w:highlight w:val="none"/>
              </w:rPr>
            </w:pPr>
          </w:p>
        </w:tc>
        <w:tc>
          <w:tcPr>
            <w:tcW w:w="751" w:type="dxa"/>
            <w:tcMar>
              <w:left w:w="108" w:type="dxa"/>
              <w:right w:w="108" w:type="dxa"/>
            </w:tcMar>
            <w:vAlign w:val="center"/>
          </w:tcPr>
          <w:p w14:paraId="563500FE">
            <w:pPr>
              <w:jc w:val="center"/>
              <w:rPr>
                <w:color w:val="auto"/>
                <w:highlight w:val="none"/>
              </w:rPr>
            </w:pPr>
            <w:r>
              <w:rPr>
                <w:color w:val="auto"/>
                <w:highlight w:val="none"/>
              </w:rPr>
              <w:t>2</w:t>
            </w:r>
          </w:p>
        </w:tc>
        <w:tc>
          <w:tcPr>
            <w:tcW w:w="950" w:type="dxa"/>
            <w:tcMar>
              <w:left w:w="108" w:type="dxa"/>
              <w:right w:w="108" w:type="dxa"/>
            </w:tcMar>
            <w:vAlign w:val="center"/>
          </w:tcPr>
          <w:p w14:paraId="7A29A817">
            <w:pPr>
              <w:jc w:val="center"/>
              <w:rPr>
                <w:color w:val="auto"/>
                <w:highlight w:val="none"/>
              </w:rPr>
            </w:pPr>
          </w:p>
        </w:tc>
        <w:tc>
          <w:tcPr>
            <w:tcW w:w="1123" w:type="dxa"/>
            <w:tcMar>
              <w:left w:w="108" w:type="dxa"/>
              <w:right w:w="108" w:type="dxa"/>
            </w:tcMar>
            <w:vAlign w:val="center"/>
          </w:tcPr>
          <w:p w14:paraId="6CD4BC87">
            <w:pPr>
              <w:jc w:val="center"/>
              <w:rPr>
                <w:color w:val="auto"/>
                <w:highlight w:val="none"/>
              </w:rPr>
            </w:pPr>
          </w:p>
        </w:tc>
        <w:tc>
          <w:tcPr>
            <w:tcW w:w="1090" w:type="dxa"/>
            <w:tcMar>
              <w:left w:w="108" w:type="dxa"/>
              <w:right w:w="108" w:type="dxa"/>
            </w:tcMar>
            <w:vAlign w:val="center"/>
          </w:tcPr>
          <w:p w14:paraId="233940DA">
            <w:pPr>
              <w:jc w:val="center"/>
              <w:rPr>
                <w:color w:val="auto"/>
                <w:highlight w:val="none"/>
              </w:rPr>
            </w:pPr>
          </w:p>
        </w:tc>
        <w:tc>
          <w:tcPr>
            <w:tcW w:w="1197" w:type="dxa"/>
            <w:tcMar>
              <w:left w:w="108" w:type="dxa"/>
              <w:right w:w="108" w:type="dxa"/>
            </w:tcMar>
            <w:vAlign w:val="center"/>
          </w:tcPr>
          <w:p w14:paraId="1AF2DD10">
            <w:pPr>
              <w:jc w:val="center"/>
              <w:rPr>
                <w:color w:val="auto"/>
                <w:highlight w:val="none"/>
              </w:rPr>
            </w:pPr>
          </w:p>
        </w:tc>
        <w:tc>
          <w:tcPr>
            <w:tcW w:w="1268" w:type="dxa"/>
          </w:tcPr>
          <w:p w14:paraId="6185B870">
            <w:pPr>
              <w:jc w:val="center"/>
              <w:rPr>
                <w:color w:val="auto"/>
                <w:highlight w:val="none"/>
              </w:rPr>
            </w:pPr>
          </w:p>
        </w:tc>
        <w:tc>
          <w:tcPr>
            <w:tcW w:w="673" w:type="dxa"/>
            <w:tcMar>
              <w:left w:w="108" w:type="dxa"/>
              <w:right w:w="108" w:type="dxa"/>
            </w:tcMar>
            <w:vAlign w:val="center"/>
          </w:tcPr>
          <w:p w14:paraId="67CA447B">
            <w:pPr>
              <w:jc w:val="center"/>
              <w:rPr>
                <w:color w:val="auto"/>
                <w:highlight w:val="none"/>
              </w:rPr>
            </w:pPr>
          </w:p>
        </w:tc>
      </w:tr>
      <w:tr w14:paraId="50B2F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tcMar>
              <w:left w:w="108" w:type="dxa"/>
              <w:right w:w="108" w:type="dxa"/>
            </w:tcMar>
            <w:vAlign w:val="center"/>
          </w:tcPr>
          <w:p w14:paraId="49CBADC4">
            <w:pPr>
              <w:jc w:val="center"/>
              <w:rPr>
                <w:color w:val="auto"/>
                <w:highlight w:val="none"/>
              </w:rPr>
            </w:pPr>
          </w:p>
        </w:tc>
        <w:tc>
          <w:tcPr>
            <w:tcW w:w="1693" w:type="dxa"/>
            <w:vMerge w:val="continue"/>
            <w:tcMar>
              <w:left w:w="108" w:type="dxa"/>
              <w:right w:w="108" w:type="dxa"/>
            </w:tcMar>
            <w:vAlign w:val="center"/>
          </w:tcPr>
          <w:p w14:paraId="13DEF743">
            <w:pPr>
              <w:jc w:val="center"/>
              <w:rPr>
                <w:color w:val="auto"/>
                <w:highlight w:val="none"/>
              </w:rPr>
            </w:pPr>
          </w:p>
        </w:tc>
        <w:tc>
          <w:tcPr>
            <w:tcW w:w="751" w:type="dxa"/>
            <w:tcMar>
              <w:left w:w="108" w:type="dxa"/>
              <w:right w:w="108" w:type="dxa"/>
            </w:tcMar>
            <w:vAlign w:val="center"/>
          </w:tcPr>
          <w:p w14:paraId="2F3F432E">
            <w:pPr>
              <w:jc w:val="center"/>
              <w:rPr>
                <w:color w:val="auto"/>
                <w:highlight w:val="none"/>
              </w:rPr>
            </w:pPr>
            <w:r>
              <w:rPr>
                <w:color w:val="auto"/>
                <w:highlight w:val="none"/>
              </w:rPr>
              <w:t>3</w:t>
            </w:r>
          </w:p>
        </w:tc>
        <w:tc>
          <w:tcPr>
            <w:tcW w:w="950" w:type="dxa"/>
            <w:tcMar>
              <w:left w:w="108" w:type="dxa"/>
              <w:right w:w="108" w:type="dxa"/>
            </w:tcMar>
            <w:vAlign w:val="center"/>
          </w:tcPr>
          <w:p w14:paraId="62043644">
            <w:pPr>
              <w:jc w:val="center"/>
              <w:rPr>
                <w:color w:val="auto"/>
                <w:highlight w:val="none"/>
              </w:rPr>
            </w:pPr>
          </w:p>
        </w:tc>
        <w:tc>
          <w:tcPr>
            <w:tcW w:w="1123" w:type="dxa"/>
            <w:tcMar>
              <w:left w:w="108" w:type="dxa"/>
              <w:right w:w="108" w:type="dxa"/>
            </w:tcMar>
            <w:vAlign w:val="center"/>
          </w:tcPr>
          <w:p w14:paraId="71E48EA4">
            <w:pPr>
              <w:jc w:val="center"/>
              <w:rPr>
                <w:color w:val="auto"/>
                <w:highlight w:val="none"/>
              </w:rPr>
            </w:pPr>
          </w:p>
        </w:tc>
        <w:tc>
          <w:tcPr>
            <w:tcW w:w="1090" w:type="dxa"/>
            <w:tcMar>
              <w:left w:w="108" w:type="dxa"/>
              <w:right w:w="108" w:type="dxa"/>
            </w:tcMar>
            <w:vAlign w:val="center"/>
          </w:tcPr>
          <w:p w14:paraId="1ABBF73A">
            <w:pPr>
              <w:jc w:val="center"/>
              <w:rPr>
                <w:color w:val="auto"/>
                <w:highlight w:val="none"/>
              </w:rPr>
            </w:pPr>
          </w:p>
        </w:tc>
        <w:tc>
          <w:tcPr>
            <w:tcW w:w="1197" w:type="dxa"/>
            <w:tcMar>
              <w:left w:w="108" w:type="dxa"/>
              <w:right w:w="108" w:type="dxa"/>
            </w:tcMar>
            <w:vAlign w:val="center"/>
          </w:tcPr>
          <w:p w14:paraId="383C3CA6">
            <w:pPr>
              <w:jc w:val="center"/>
              <w:rPr>
                <w:color w:val="auto"/>
                <w:highlight w:val="none"/>
              </w:rPr>
            </w:pPr>
          </w:p>
        </w:tc>
        <w:tc>
          <w:tcPr>
            <w:tcW w:w="1268" w:type="dxa"/>
          </w:tcPr>
          <w:p w14:paraId="777DFBEE">
            <w:pPr>
              <w:jc w:val="center"/>
              <w:rPr>
                <w:color w:val="auto"/>
                <w:highlight w:val="none"/>
              </w:rPr>
            </w:pPr>
          </w:p>
        </w:tc>
        <w:tc>
          <w:tcPr>
            <w:tcW w:w="673" w:type="dxa"/>
            <w:tcMar>
              <w:left w:w="108" w:type="dxa"/>
              <w:right w:w="108" w:type="dxa"/>
            </w:tcMar>
            <w:vAlign w:val="center"/>
          </w:tcPr>
          <w:p w14:paraId="35457E76">
            <w:pPr>
              <w:jc w:val="center"/>
              <w:rPr>
                <w:color w:val="auto"/>
                <w:highlight w:val="none"/>
              </w:rPr>
            </w:pPr>
          </w:p>
        </w:tc>
      </w:tr>
    </w:tbl>
    <w:p w14:paraId="6AEF5CB5">
      <w:pPr>
        <w:spacing w:line="440" w:lineRule="exact"/>
        <w:ind w:right="420" w:firstLine="480" w:firstLineChars="200"/>
        <w:rPr>
          <w:rFonts w:cs="宋体"/>
          <w:color w:val="auto"/>
          <w:sz w:val="24"/>
          <w:highlight w:val="none"/>
        </w:rPr>
      </w:pPr>
      <w:r>
        <w:rPr>
          <w:rFonts w:hint="eastAsia" w:cs="宋体"/>
          <w:color w:val="auto"/>
          <w:sz w:val="24"/>
          <w:highlight w:val="none"/>
        </w:rPr>
        <w:t>备注：1.若无分包计划，则供应商应在本表填写“无”。</w:t>
      </w:r>
    </w:p>
    <w:p w14:paraId="43746B93">
      <w:pPr>
        <w:spacing w:line="440" w:lineRule="exact"/>
        <w:ind w:right="420" w:firstLine="1200" w:firstLineChars="500"/>
        <w:rPr>
          <w:color w:val="auto"/>
          <w:sz w:val="24"/>
          <w:highlight w:val="none"/>
        </w:rPr>
      </w:pPr>
      <w:r>
        <w:rPr>
          <w:rFonts w:hint="eastAsia" w:cs="宋体"/>
          <w:color w:val="auto"/>
          <w:sz w:val="24"/>
          <w:highlight w:val="none"/>
        </w:rPr>
        <w:t>2.本表所列分包仅限于承包人自行施工范围内的非主体、非关键工程。</w:t>
      </w:r>
    </w:p>
    <w:p w14:paraId="76BEC535">
      <w:pPr>
        <w:adjustRightInd w:val="0"/>
        <w:spacing w:line="360" w:lineRule="auto"/>
        <w:contextualSpacing/>
        <w:rPr>
          <w:rFonts w:ascii="宋体" w:hAnsi="宋体" w:cs="仿宋_GB2312"/>
          <w:color w:val="auto"/>
          <w:sz w:val="24"/>
          <w:highlight w:val="none"/>
        </w:rPr>
      </w:pPr>
    </w:p>
    <w:p w14:paraId="42D760A6">
      <w:pPr>
        <w:spacing w:line="360" w:lineRule="auto"/>
        <w:ind w:right="-817" w:rightChars="-389"/>
        <w:contextualSpacing/>
        <w:rPr>
          <w:rFonts w:ascii="宋体" w:hAnsi="宋体" w:cs="仿宋_GB2312"/>
          <w:color w:val="auto"/>
          <w:sz w:val="24"/>
          <w:highlight w:val="none"/>
        </w:rPr>
      </w:pPr>
    </w:p>
    <w:p w14:paraId="1FA60B29">
      <w:pPr>
        <w:spacing w:line="360" w:lineRule="auto"/>
        <w:ind w:right="-817" w:rightChars="-389"/>
        <w:contextualSpacing/>
        <w:rPr>
          <w:rFonts w:ascii="宋体" w:hAnsi="宋体" w:cs="仿宋_GB2312"/>
          <w:color w:val="auto"/>
          <w:sz w:val="24"/>
          <w:highlight w:val="none"/>
        </w:rPr>
      </w:pPr>
    </w:p>
    <w:p w14:paraId="48700F53">
      <w:pPr>
        <w:spacing w:line="360" w:lineRule="auto"/>
        <w:ind w:right="-817" w:rightChars="-389"/>
        <w:contextualSpacing/>
        <w:jc w:val="center"/>
        <w:rPr>
          <w:rFonts w:ascii="宋体" w:hAnsi="宋体" w:cs="仿宋_GB2312"/>
          <w:color w:val="auto"/>
          <w:sz w:val="24"/>
          <w:highlight w:val="none"/>
        </w:rPr>
      </w:pPr>
      <w:r>
        <w:rPr>
          <w:rFonts w:hint="eastAsia" w:ascii="宋体" w:hAnsi="宋体" w:cs="仿宋_GB2312"/>
          <w:color w:val="auto"/>
          <w:sz w:val="24"/>
          <w:highlight w:val="none"/>
        </w:rPr>
        <w:t>法定代表人或者委托代理人（签字或者电子签名）：</w:t>
      </w:r>
    </w:p>
    <w:p w14:paraId="62DAB3CF">
      <w:pPr>
        <w:spacing w:line="360" w:lineRule="auto"/>
        <w:ind w:right="-817" w:rightChars="-389" w:firstLine="2640" w:firstLineChars="11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2AA2AB37">
      <w:pPr>
        <w:spacing w:line="360" w:lineRule="auto"/>
        <w:ind w:right="-817" w:rightChars="-389" w:firstLine="4080" w:firstLineChars="17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5DDE46FD">
      <w:pPr>
        <w:adjustRightInd w:val="0"/>
        <w:snapToGrid w:val="0"/>
        <w:spacing w:line="300" w:lineRule="auto"/>
        <w:jc w:val="center"/>
        <w:rPr>
          <w:rFonts w:ascii="宋体" w:hAnsi="宋体"/>
          <w:b/>
          <w:color w:val="auto"/>
          <w:sz w:val="44"/>
          <w:szCs w:val="44"/>
          <w:highlight w:val="none"/>
        </w:rPr>
      </w:pPr>
      <w:r>
        <w:rPr>
          <w:rFonts w:ascii="宋体" w:hAnsi="宋体" w:cs="仿宋_GB2312"/>
          <w:color w:val="auto"/>
          <w:sz w:val="24"/>
          <w:highlight w:val="none"/>
        </w:rPr>
        <w:br w:type="page"/>
      </w:r>
      <w:r>
        <w:rPr>
          <w:rFonts w:hint="eastAsia" w:ascii="方正小标宋简体" w:hAnsi="方正小标宋简体" w:eastAsia="方正小标宋简体" w:cs="方正小标宋简体"/>
          <w:bCs/>
          <w:color w:val="auto"/>
          <w:sz w:val="44"/>
          <w:szCs w:val="44"/>
          <w:highlight w:val="none"/>
        </w:rPr>
        <w:t>项目管理机构配备情况表及主要人员简历表</w:t>
      </w:r>
    </w:p>
    <w:p w14:paraId="7BE6B2D6">
      <w:pPr>
        <w:snapToGrid w:val="0"/>
        <w:spacing w:before="120" w:beforeLines="50" w:after="50"/>
        <w:jc w:val="center"/>
        <w:rPr>
          <w:rFonts w:ascii="宋体" w:hAnsi="宋体"/>
          <w:b/>
          <w:color w:val="auto"/>
          <w:sz w:val="32"/>
          <w:szCs w:val="32"/>
          <w:highlight w:val="none"/>
        </w:rPr>
      </w:pPr>
      <w:r>
        <w:rPr>
          <w:rFonts w:hint="eastAsia" w:ascii="宋体" w:hAnsi="宋体"/>
          <w:b/>
          <w:color w:val="auto"/>
          <w:sz w:val="32"/>
          <w:szCs w:val="32"/>
          <w:highlight w:val="none"/>
        </w:rPr>
        <w:t>（一）项目管理机构配备情况表</w:t>
      </w:r>
    </w:p>
    <w:p w14:paraId="7C785726">
      <w:pPr>
        <w:pStyle w:val="29"/>
        <w:spacing w:line="360" w:lineRule="auto"/>
        <w:contextualSpacing/>
        <w:rPr>
          <w:color w:val="auto"/>
          <w:sz w:val="24"/>
          <w:szCs w:val="24"/>
          <w:highlight w:val="none"/>
        </w:rPr>
      </w:pPr>
      <w:r>
        <w:rPr>
          <w:rFonts w:hint="eastAsia" w:hAnsi="宋体" w:cs="仿宋_GB2312"/>
          <w:color w:val="auto"/>
          <w:sz w:val="24"/>
          <w:highlight w:val="none"/>
        </w:rPr>
        <w:t>分标（如有）</w:t>
      </w:r>
      <w:r>
        <w:rPr>
          <w:rFonts w:hint="eastAsia"/>
          <w:color w:val="auto"/>
          <w:sz w:val="24"/>
          <w:szCs w:val="24"/>
          <w:highlight w:val="none"/>
        </w:rPr>
        <w:t>：</w:t>
      </w:r>
    </w:p>
    <w:tbl>
      <w:tblPr>
        <w:tblStyle w:val="55"/>
        <w:tblW w:w="9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670"/>
        <w:gridCol w:w="829"/>
        <w:gridCol w:w="816"/>
        <w:gridCol w:w="1148"/>
        <w:gridCol w:w="1148"/>
        <w:gridCol w:w="1148"/>
        <w:gridCol w:w="744"/>
        <w:gridCol w:w="1167"/>
        <w:gridCol w:w="1276"/>
      </w:tblGrid>
      <w:tr w14:paraId="198BB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920" w:type="dxa"/>
            <w:vMerge w:val="restart"/>
            <w:vAlign w:val="center"/>
          </w:tcPr>
          <w:p w14:paraId="2CE24565">
            <w:pPr>
              <w:ind w:left="223" w:hanging="222" w:hangingChars="106"/>
              <w:jc w:val="center"/>
              <w:rPr>
                <w:color w:val="auto"/>
                <w:highlight w:val="none"/>
              </w:rPr>
            </w:pPr>
            <w:r>
              <w:rPr>
                <w:color w:val="auto"/>
                <w:highlight w:val="none"/>
              </w:rPr>
              <w:t>岗位</w:t>
            </w:r>
          </w:p>
        </w:tc>
        <w:tc>
          <w:tcPr>
            <w:tcW w:w="670" w:type="dxa"/>
            <w:vMerge w:val="restart"/>
            <w:vAlign w:val="center"/>
          </w:tcPr>
          <w:p w14:paraId="0287D2DD">
            <w:pPr>
              <w:ind w:left="223" w:hanging="222" w:hangingChars="106"/>
              <w:jc w:val="center"/>
              <w:rPr>
                <w:color w:val="auto"/>
                <w:highlight w:val="none"/>
              </w:rPr>
            </w:pPr>
            <w:r>
              <w:rPr>
                <w:color w:val="auto"/>
                <w:highlight w:val="none"/>
              </w:rPr>
              <w:t>姓名</w:t>
            </w:r>
          </w:p>
        </w:tc>
        <w:tc>
          <w:tcPr>
            <w:tcW w:w="829" w:type="dxa"/>
            <w:vMerge w:val="restart"/>
            <w:vAlign w:val="center"/>
          </w:tcPr>
          <w:p w14:paraId="077E1E54">
            <w:pPr>
              <w:jc w:val="center"/>
              <w:rPr>
                <w:color w:val="auto"/>
                <w:highlight w:val="none"/>
              </w:rPr>
            </w:pPr>
            <w:r>
              <w:rPr>
                <w:color w:val="auto"/>
                <w:highlight w:val="none"/>
              </w:rPr>
              <w:t>身份证号</w:t>
            </w:r>
          </w:p>
        </w:tc>
        <w:tc>
          <w:tcPr>
            <w:tcW w:w="816" w:type="dxa"/>
            <w:vMerge w:val="restart"/>
            <w:vAlign w:val="center"/>
          </w:tcPr>
          <w:p w14:paraId="0300BD9B">
            <w:pPr>
              <w:ind w:left="223" w:hanging="222" w:hangingChars="106"/>
              <w:jc w:val="center"/>
              <w:rPr>
                <w:color w:val="auto"/>
                <w:highlight w:val="none"/>
              </w:rPr>
            </w:pPr>
            <w:r>
              <w:rPr>
                <w:color w:val="auto"/>
                <w:highlight w:val="none"/>
              </w:rPr>
              <w:t>职称</w:t>
            </w:r>
          </w:p>
        </w:tc>
        <w:tc>
          <w:tcPr>
            <w:tcW w:w="4188" w:type="dxa"/>
            <w:gridSpan w:val="4"/>
            <w:vAlign w:val="center"/>
          </w:tcPr>
          <w:p w14:paraId="656214D7">
            <w:pPr>
              <w:ind w:left="223" w:hanging="222" w:hangingChars="106"/>
              <w:jc w:val="center"/>
              <w:rPr>
                <w:color w:val="auto"/>
                <w:highlight w:val="none"/>
              </w:rPr>
            </w:pPr>
            <w:r>
              <w:rPr>
                <w:color w:val="auto"/>
                <w:highlight w:val="none"/>
              </w:rPr>
              <w:t>执业或职业资格</w:t>
            </w:r>
          </w:p>
        </w:tc>
        <w:tc>
          <w:tcPr>
            <w:tcW w:w="2443" w:type="dxa"/>
            <w:gridSpan w:val="2"/>
            <w:vAlign w:val="center"/>
          </w:tcPr>
          <w:p w14:paraId="60D6C053">
            <w:pPr>
              <w:jc w:val="left"/>
              <w:rPr>
                <w:color w:val="auto"/>
                <w:highlight w:val="none"/>
              </w:rPr>
            </w:pPr>
            <w:r>
              <w:rPr>
                <w:color w:val="auto"/>
                <w:highlight w:val="none"/>
              </w:rPr>
              <w:t>承担完工</w:t>
            </w:r>
            <w:r>
              <w:rPr>
                <w:rFonts w:hint="eastAsia"/>
                <w:color w:val="auto"/>
                <w:highlight w:val="none"/>
              </w:rPr>
              <w:t>、</w:t>
            </w:r>
            <w:r>
              <w:rPr>
                <w:color w:val="auto"/>
                <w:highlight w:val="none"/>
              </w:rPr>
              <w:t>在建工程情况</w:t>
            </w:r>
          </w:p>
        </w:tc>
      </w:tr>
      <w:tr w14:paraId="40F5F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920" w:type="dxa"/>
            <w:vMerge w:val="continue"/>
            <w:vAlign w:val="center"/>
          </w:tcPr>
          <w:p w14:paraId="64F0CD1F">
            <w:pPr>
              <w:ind w:left="223" w:hanging="222" w:hangingChars="106"/>
              <w:jc w:val="center"/>
              <w:rPr>
                <w:color w:val="auto"/>
                <w:highlight w:val="none"/>
              </w:rPr>
            </w:pPr>
          </w:p>
        </w:tc>
        <w:tc>
          <w:tcPr>
            <w:tcW w:w="670" w:type="dxa"/>
            <w:vMerge w:val="continue"/>
            <w:vAlign w:val="center"/>
          </w:tcPr>
          <w:p w14:paraId="1910D83F">
            <w:pPr>
              <w:ind w:left="223" w:hanging="222" w:hangingChars="106"/>
              <w:jc w:val="center"/>
              <w:rPr>
                <w:color w:val="auto"/>
                <w:highlight w:val="none"/>
              </w:rPr>
            </w:pPr>
          </w:p>
        </w:tc>
        <w:tc>
          <w:tcPr>
            <w:tcW w:w="829" w:type="dxa"/>
            <w:vMerge w:val="continue"/>
            <w:vAlign w:val="center"/>
          </w:tcPr>
          <w:p w14:paraId="468F4553">
            <w:pPr>
              <w:ind w:left="223" w:hanging="222" w:hangingChars="106"/>
              <w:jc w:val="center"/>
              <w:rPr>
                <w:color w:val="auto"/>
                <w:highlight w:val="none"/>
              </w:rPr>
            </w:pPr>
          </w:p>
        </w:tc>
        <w:tc>
          <w:tcPr>
            <w:tcW w:w="816" w:type="dxa"/>
            <w:vMerge w:val="continue"/>
            <w:vAlign w:val="center"/>
          </w:tcPr>
          <w:p w14:paraId="548C4701">
            <w:pPr>
              <w:ind w:left="223" w:hanging="222" w:hangingChars="106"/>
              <w:jc w:val="center"/>
              <w:rPr>
                <w:color w:val="auto"/>
                <w:highlight w:val="none"/>
              </w:rPr>
            </w:pPr>
          </w:p>
        </w:tc>
        <w:tc>
          <w:tcPr>
            <w:tcW w:w="1148" w:type="dxa"/>
            <w:vAlign w:val="center"/>
          </w:tcPr>
          <w:p w14:paraId="797441C8">
            <w:pPr>
              <w:ind w:left="223" w:hanging="222" w:hangingChars="106"/>
              <w:jc w:val="center"/>
              <w:rPr>
                <w:color w:val="auto"/>
                <w:highlight w:val="none"/>
              </w:rPr>
            </w:pPr>
            <w:r>
              <w:rPr>
                <w:color w:val="auto"/>
                <w:highlight w:val="none"/>
              </w:rPr>
              <w:t>证书名称</w:t>
            </w:r>
          </w:p>
        </w:tc>
        <w:tc>
          <w:tcPr>
            <w:tcW w:w="1148" w:type="dxa"/>
            <w:vAlign w:val="center"/>
          </w:tcPr>
          <w:p w14:paraId="0B3C6100">
            <w:pPr>
              <w:ind w:left="223" w:hanging="222" w:hangingChars="106"/>
              <w:jc w:val="center"/>
              <w:rPr>
                <w:color w:val="auto"/>
                <w:highlight w:val="none"/>
              </w:rPr>
            </w:pPr>
            <w:r>
              <w:rPr>
                <w:color w:val="auto"/>
                <w:highlight w:val="none"/>
              </w:rPr>
              <w:t>级别</w:t>
            </w:r>
          </w:p>
        </w:tc>
        <w:tc>
          <w:tcPr>
            <w:tcW w:w="1148" w:type="dxa"/>
            <w:vAlign w:val="center"/>
          </w:tcPr>
          <w:p w14:paraId="6FDA1ABE">
            <w:pPr>
              <w:ind w:left="223" w:hanging="222" w:hangingChars="106"/>
              <w:jc w:val="center"/>
              <w:rPr>
                <w:color w:val="auto"/>
                <w:highlight w:val="none"/>
              </w:rPr>
            </w:pPr>
            <w:r>
              <w:rPr>
                <w:color w:val="auto"/>
                <w:highlight w:val="none"/>
              </w:rPr>
              <w:t>证号</w:t>
            </w:r>
          </w:p>
        </w:tc>
        <w:tc>
          <w:tcPr>
            <w:tcW w:w="744" w:type="dxa"/>
            <w:vAlign w:val="center"/>
          </w:tcPr>
          <w:p w14:paraId="6FC40B31">
            <w:pPr>
              <w:ind w:left="223" w:hanging="222" w:hangingChars="106"/>
              <w:jc w:val="center"/>
              <w:rPr>
                <w:color w:val="auto"/>
                <w:highlight w:val="none"/>
              </w:rPr>
            </w:pPr>
            <w:r>
              <w:rPr>
                <w:color w:val="auto"/>
                <w:highlight w:val="none"/>
              </w:rPr>
              <w:t>专业</w:t>
            </w:r>
          </w:p>
        </w:tc>
        <w:tc>
          <w:tcPr>
            <w:tcW w:w="1167" w:type="dxa"/>
            <w:vAlign w:val="center"/>
          </w:tcPr>
          <w:p w14:paraId="62913C92">
            <w:pPr>
              <w:jc w:val="center"/>
              <w:rPr>
                <w:color w:val="auto"/>
                <w:highlight w:val="none"/>
              </w:rPr>
            </w:pPr>
            <w:r>
              <w:rPr>
                <w:rFonts w:hint="eastAsia"/>
                <w:color w:val="auto"/>
                <w:highlight w:val="none"/>
              </w:rPr>
              <w:t>完工/在建</w:t>
            </w:r>
          </w:p>
        </w:tc>
        <w:tc>
          <w:tcPr>
            <w:tcW w:w="1276" w:type="dxa"/>
            <w:vAlign w:val="center"/>
          </w:tcPr>
          <w:p w14:paraId="3B91F60A">
            <w:pPr>
              <w:jc w:val="center"/>
              <w:rPr>
                <w:color w:val="auto"/>
                <w:highlight w:val="none"/>
              </w:rPr>
            </w:pPr>
            <w:r>
              <w:rPr>
                <w:color w:val="auto"/>
                <w:highlight w:val="none"/>
              </w:rPr>
              <w:t>主要项目</w:t>
            </w:r>
          </w:p>
          <w:p w14:paraId="31D8BF56">
            <w:pPr>
              <w:jc w:val="center"/>
              <w:rPr>
                <w:color w:val="auto"/>
                <w:highlight w:val="none"/>
              </w:rPr>
            </w:pPr>
            <w:r>
              <w:rPr>
                <w:color w:val="auto"/>
                <w:highlight w:val="none"/>
              </w:rPr>
              <w:t>名称</w:t>
            </w:r>
          </w:p>
        </w:tc>
      </w:tr>
      <w:tr w14:paraId="46701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vAlign w:val="center"/>
          </w:tcPr>
          <w:p w14:paraId="11816BB0">
            <w:pPr>
              <w:pStyle w:val="192"/>
              <w:spacing w:line="240" w:lineRule="auto"/>
              <w:ind w:firstLine="0"/>
              <w:rPr>
                <w:color w:val="auto"/>
                <w:sz w:val="21"/>
                <w:szCs w:val="21"/>
                <w:highlight w:val="none"/>
              </w:rPr>
            </w:pPr>
            <w:r>
              <w:rPr>
                <w:rFonts w:ascii="Times New Roman" w:hAnsi="Times New Roman" w:eastAsia="Times New Roman" w:cs="Times New Roman"/>
                <w:color w:val="auto"/>
                <w:sz w:val="21"/>
                <w:szCs w:val="21"/>
                <w:highlight w:val="none"/>
                <w:lang w:val="en-US" w:eastAsia="en-US" w:bidi="en-US"/>
              </w:rPr>
              <w:t>1.</w:t>
            </w:r>
            <w:r>
              <w:rPr>
                <w:color w:val="auto"/>
                <w:sz w:val="21"/>
                <w:szCs w:val="21"/>
                <w:highlight w:val="none"/>
              </w:rPr>
              <w:t>项目经理</w:t>
            </w:r>
          </w:p>
        </w:tc>
        <w:tc>
          <w:tcPr>
            <w:tcW w:w="670" w:type="dxa"/>
            <w:vAlign w:val="center"/>
          </w:tcPr>
          <w:p w14:paraId="795F4A48">
            <w:pPr>
              <w:ind w:left="223" w:hanging="222" w:hangingChars="106"/>
              <w:jc w:val="center"/>
              <w:rPr>
                <w:color w:val="auto"/>
                <w:szCs w:val="21"/>
                <w:highlight w:val="none"/>
              </w:rPr>
            </w:pPr>
          </w:p>
        </w:tc>
        <w:tc>
          <w:tcPr>
            <w:tcW w:w="829" w:type="dxa"/>
            <w:vAlign w:val="center"/>
          </w:tcPr>
          <w:p w14:paraId="29700CD8">
            <w:pPr>
              <w:ind w:left="223" w:hanging="222" w:hangingChars="106"/>
              <w:jc w:val="center"/>
              <w:rPr>
                <w:color w:val="auto"/>
                <w:szCs w:val="21"/>
                <w:highlight w:val="none"/>
              </w:rPr>
            </w:pPr>
          </w:p>
        </w:tc>
        <w:tc>
          <w:tcPr>
            <w:tcW w:w="816" w:type="dxa"/>
            <w:vAlign w:val="center"/>
          </w:tcPr>
          <w:p w14:paraId="714B8BBF">
            <w:pPr>
              <w:ind w:left="223" w:hanging="222" w:hangingChars="106"/>
              <w:jc w:val="center"/>
              <w:rPr>
                <w:color w:val="auto"/>
                <w:szCs w:val="21"/>
                <w:highlight w:val="none"/>
              </w:rPr>
            </w:pPr>
          </w:p>
        </w:tc>
        <w:tc>
          <w:tcPr>
            <w:tcW w:w="1148" w:type="dxa"/>
            <w:vAlign w:val="center"/>
          </w:tcPr>
          <w:p w14:paraId="4E11C020">
            <w:pPr>
              <w:ind w:left="223" w:hanging="222" w:hangingChars="106"/>
              <w:jc w:val="center"/>
              <w:rPr>
                <w:color w:val="auto"/>
                <w:szCs w:val="21"/>
                <w:highlight w:val="none"/>
              </w:rPr>
            </w:pPr>
          </w:p>
        </w:tc>
        <w:tc>
          <w:tcPr>
            <w:tcW w:w="1148" w:type="dxa"/>
            <w:vAlign w:val="center"/>
          </w:tcPr>
          <w:p w14:paraId="6C035203">
            <w:pPr>
              <w:ind w:left="223" w:hanging="222" w:hangingChars="106"/>
              <w:jc w:val="center"/>
              <w:rPr>
                <w:color w:val="auto"/>
                <w:szCs w:val="21"/>
                <w:highlight w:val="none"/>
              </w:rPr>
            </w:pPr>
          </w:p>
        </w:tc>
        <w:tc>
          <w:tcPr>
            <w:tcW w:w="1148" w:type="dxa"/>
            <w:vAlign w:val="center"/>
          </w:tcPr>
          <w:p w14:paraId="5EDC612C">
            <w:pPr>
              <w:ind w:left="223" w:hanging="222" w:hangingChars="106"/>
              <w:jc w:val="center"/>
              <w:rPr>
                <w:color w:val="auto"/>
                <w:szCs w:val="21"/>
                <w:highlight w:val="none"/>
              </w:rPr>
            </w:pPr>
          </w:p>
        </w:tc>
        <w:tc>
          <w:tcPr>
            <w:tcW w:w="744" w:type="dxa"/>
            <w:vAlign w:val="center"/>
          </w:tcPr>
          <w:p w14:paraId="39D55217">
            <w:pPr>
              <w:ind w:left="223" w:hanging="222" w:hangingChars="106"/>
              <w:jc w:val="center"/>
              <w:rPr>
                <w:color w:val="auto"/>
                <w:szCs w:val="21"/>
                <w:highlight w:val="none"/>
              </w:rPr>
            </w:pPr>
          </w:p>
        </w:tc>
        <w:tc>
          <w:tcPr>
            <w:tcW w:w="1167" w:type="dxa"/>
            <w:vAlign w:val="center"/>
          </w:tcPr>
          <w:p w14:paraId="76D705A2">
            <w:pPr>
              <w:ind w:left="223" w:hanging="222" w:hangingChars="106"/>
              <w:jc w:val="center"/>
              <w:rPr>
                <w:color w:val="auto"/>
                <w:szCs w:val="21"/>
                <w:highlight w:val="none"/>
              </w:rPr>
            </w:pPr>
          </w:p>
        </w:tc>
        <w:tc>
          <w:tcPr>
            <w:tcW w:w="1276" w:type="dxa"/>
            <w:vAlign w:val="center"/>
          </w:tcPr>
          <w:p w14:paraId="6D5E7B58">
            <w:pPr>
              <w:ind w:left="223" w:hanging="222" w:hangingChars="106"/>
              <w:jc w:val="center"/>
              <w:rPr>
                <w:color w:val="auto"/>
                <w:szCs w:val="21"/>
                <w:highlight w:val="none"/>
              </w:rPr>
            </w:pPr>
          </w:p>
        </w:tc>
      </w:tr>
      <w:tr w14:paraId="6A559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vAlign w:val="center"/>
          </w:tcPr>
          <w:p w14:paraId="05584902">
            <w:pPr>
              <w:pStyle w:val="192"/>
              <w:spacing w:line="240" w:lineRule="auto"/>
              <w:ind w:firstLine="0"/>
              <w:rPr>
                <w:color w:val="auto"/>
                <w:sz w:val="21"/>
                <w:szCs w:val="21"/>
                <w:highlight w:val="none"/>
              </w:rPr>
            </w:pPr>
            <w:r>
              <w:rPr>
                <w:rFonts w:ascii="Times New Roman" w:hAnsi="Times New Roman" w:eastAsia="Times New Roman" w:cs="Times New Roman"/>
                <w:color w:val="auto"/>
                <w:sz w:val="21"/>
                <w:szCs w:val="21"/>
                <w:highlight w:val="none"/>
                <w:lang w:val="en-US" w:bidi="en-US"/>
              </w:rPr>
              <w:t>2.</w:t>
            </w:r>
            <w:r>
              <w:rPr>
                <w:color w:val="auto"/>
                <w:sz w:val="21"/>
                <w:szCs w:val="21"/>
                <w:highlight w:val="none"/>
              </w:rPr>
              <w:t>技术负责人</w:t>
            </w:r>
            <w:r>
              <w:rPr>
                <w:rFonts w:hint="eastAsia"/>
                <w:color w:val="auto"/>
                <w:sz w:val="21"/>
                <w:szCs w:val="21"/>
                <w:highlight w:val="none"/>
              </w:rPr>
              <w:t>（项目总工）</w:t>
            </w:r>
          </w:p>
        </w:tc>
        <w:tc>
          <w:tcPr>
            <w:tcW w:w="670" w:type="dxa"/>
            <w:vAlign w:val="center"/>
          </w:tcPr>
          <w:p w14:paraId="6F1D278F">
            <w:pPr>
              <w:ind w:left="223" w:hanging="222" w:hangingChars="106"/>
              <w:jc w:val="center"/>
              <w:rPr>
                <w:color w:val="auto"/>
                <w:szCs w:val="21"/>
                <w:highlight w:val="none"/>
              </w:rPr>
            </w:pPr>
          </w:p>
        </w:tc>
        <w:tc>
          <w:tcPr>
            <w:tcW w:w="829" w:type="dxa"/>
            <w:vAlign w:val="center"/>
          </w:tcPr>
          <w:p w14:paraId="26F09E37">
            <w:pPr>
              <w:ind w:left="223" w:hanging="222" w:hangingChars="106"/>
              <w:jc w:val="center"/>
              <w:rPr>
                <w:color w:val="auto"/>
                <w:szCs w:val="21"/>
                <w:highlight w:val="none"/>
              </w:rPr>
            </w:pPr>
          </w:p>
        </w:tc>
        <w:tc>
          <w:tcPr>
            <w:tcW w:w="816" w:type="dxa"/>
            <w:vAlign w:val="center"/>
          </w:tcPr>
          <w:p w14:paraId="2A4F38BB">
            <w:pPr>
              <w:ind w:left="223" w:hanging="222" w:hangingChars="106"/>
              <w:jc w:val="center"/>
              <w:rPr>
                <w:color w:val="auto"/>
                <w:szCs w:val="21"/>
                <w:highlight w:val="none"/>
              </w:rPr>
            </w:pPr>
          </w:p>
        </w:tc>
        <w:tc>
          <w:tcPr>
            <w:tcW w:w="1148" w:type="dxa"/>
            <w:vAlign w:val="center"/>
          </w:tcPr>
          <w:p w14:paraId="6112318F">
            <w:pPr>
              <w:ind w:left="223" w:hanging="222" w:hangingChars="106"/>
              <w:jc w:val="center"/>
              <w:rPr>
                <w:color w:val="auto"/>
                <w:szCs w:val="21"/>
                <w:highlight w:val="none"/>
              </w:rPr>
            </w:pPr>
          </w:p>
        </w:tc>
        <w:tc>
          <w:tcPr>
            <w:tcW w:w="1148" w:type="dxa"/>
            <w:vAlign w:val="center"/>
          </w:tcPr>
          <w:p w14:paraId="668A3FAC">
            <w:pPr>
              <w:ind w:left="223" w:hanging="222" w:hangingChars="106"/>
              <w:jc w:val="center"/>
              <w:rPr>
                <w:color w:val="auto"/>
                <w:szCs w:val="21"/>
                <w:highlight w:val="none"/>
              </w:rPr>
            </w:pPr>
          </w:p>
        </w:tc>
        <w:tc>
          <w:tcPr>
            <w:tcW w:w="1148" w:type="dxa"/>
            <w:vAlign w:val="center"/>
          </w:tcPr>
          <w:p w14:paraId="1A043C56">
            <w:pPr>
              <w:ind w:left="223" w:hanging="222" w:hangingChars="106"/>
              <w:jc w:val="center"/>
              <w:rPr>
                <w:color w:val="auto"/>
                <w:szCs w:val="21"/>
                <w:highlight w:val="none"/>
              </w:rPr>
            </w:pPr>
          </w:p>
        </w:tc>
        <w:tc>
          <w:tcPr>
            <w:tcW w:w="744" w:type="dxa"/>
            <w:vAlign w:val="center"/>
          </w:tcPr>
          <w:p w14:paraId="40A6F42D">
            <w:pPr>
              <w:ind w:left="223" w:hanging="222" w:hangingChars="106"/>
              <w:jc w:val="center"/>
              <w:rPr>
                <w:color w:val="auto"/>
                <w:szCs w:val="21"/>
                <w:highlight w:val="none"/>
              </w:rPr>
            </w:pPr>
          </w:p>
        </w:tc>
        <w:tc>
          <w:tcPr>
            <w:tcW w:w="1167" w:type="dxa"/>
            <w:vAlign w:val="center"/>
          </w:tcPr>
          <w:p w14:paraId="379B123D">
            <w:pPr>
              <w:ind w:left="223" w:hanging="222" w:hangingChars="106"/>
              <w:jc w:val="center"/>
              <w:rPr>
                <w:color w:val="auto"/>
                <w:szCs w:val="21"/>
                <w:highlight w:val="none"/>
              </w:rPr>
            </w:pPr>
          </w:p>
        </w:tc>
        <w:tc>
          <w:tcPr>
            <w:tcW w:w="1276" w:type="dxa"/>
            <w:vAlign w:val="center"/>
          </w:tcPr>
          <w:p w14:paraId="4F52483C">
            <w:pPr>
              <w:ind w:left="223" w:hanging="222" w:hangingChars="106"/>
              <w:jc w:val="center"/>
              <w:rPr>
                <w:color w:val="auto"/>
                <w:szCs w:val="21"/>
                <w:highlight w:val="none"/>
              </w:rPr>
            </w:pPr>
          </w:p>
        </w:tc>
      </w:tr>
      <w:tr w14:paraId="65EBB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vAlign w:val="center"/>
          </w:tcPr>
          <w:p w14:paraId="6D8ADA5D">
            <w:pPr>
              <w:pStyle w:val="192"/>
              <w:spacing w:line="240" w:lineRule="auto"/>
              <w:ind w:firstLine="0"/>
              <w:rPr>
                <w:color w:val="auto"/>
                <w:sz w:val="21"/>
                <w:szCs w:val="21"/>
                <w:highlight w:val="none"/>
              </w:rPr>
            </w:pPr>
            <w:r>
              <w:rPr>
                <w:rFonts w:ascii="Times New Roman" w:hAnsi="Times New Roman" w:eastAsia="Times New Roman" w:cs="Times New Roman"/>
                <w:color w:val="auto"/>
                <w:sz w:val="21"/>
                <w:szCs w:val="21"/>
                <w:highlight w:val="none"/>
                <w:lang w:val="en-US" w:eastAsia="en-US" w:bidi="en-US"/>
              </w:rPr>
              <w:t>3.</w:t>
            </w:r>
            <w:r>
              <w:rPr>
                <w:rFonts w:hint="eastAsia"/>
                <w:color w:val="auto"/>
                <w:sz w:val="21"/>
                <w:szCs w:val="21"/>
                <w:highlight w:val="none"/>
              </w:rPr>
              <w:t xml:space="preserve"> 施工员</w:t>
            </w:r>
          </w:p>
        </w:tc>
        <w:tc>
          <w:tcPr>
            <w:tcW w:w="670" w:type="dxa"/>
            <w:vAlign w:val="center"/>
          </w:tcPr>
          <w:p w14:paraId="60C2C742">
            <w:pPr>
              <w:ind w:left="223" w:hanging="222" w:hangingChars="106"/>
              <w:jc w:val="center"/>
              <w:rPr>
                <w:color w:val="auto"/>
                <w:szCs w:val="21"/>
                <w:highlight w:val="none"/>
              </w:rPr>
            </w:pPr>
          </w:p>
        </w:tc>
        <w:tc>
          <w:tcPr>
            <w:tcW w:w="829" w:type="dxa"/>
            <w:vAlign w:val="center"/>
          </w:tcPr>
          <w:p w14:paraId="5C258CCB">
            <w:pPr>
              <w:ind w:left="223" w:hanging="222" w:hangingChars="106"/>
              <w:jc w:val="center"/>
              <w:rPr>
                <w:color w:val="auto"/>
                <w:szCs w:val="21"/>
                <w:highlight w:val="none"/>
              </w:rPr>
            </w:pPr>
          </w:p>
        </w:tc>
        <w:tc>
          <w:tcPr>
            <w:tcW w:w="816" w:type="dxa"/>
            <w:vAlign w:val="center"/>
          </w:tcPr>
          <w:p w14:paraId="12F3513D">
            <w:pPr>
              <w:ind w:left="223" w:hanging="222" w:hangingChars="106"/>
              <w:jc w:val="center"/>
              <w:rPr>
                <w:color w:val="auto"/>
                <w:szCs w:val="21"/>
                <w:highlight w:val="none"/>
              </w:rPr>
            </w:pPr>
          </w:p>
        </w:tc>
        <w:tc>
          <w:tcPr>
            <w:tcW w:w="1148" w:type="dxa"/>
            <w:vAlign w:val="center"/>
          </w:tcPr>
          <w:p w14:paraId="72BE95FE">
            <w:pPr>
              <w:ind w:left="223" w:hanging="222" w:hangingChars="106"/>
              <w:jc w:val="center"/>
              <w:rPr>
                <w:color w:val="auto"/>
                <w:szCs w:val="21"/>
                <w:highlight w:val="none"/>
              </w:rPr>
            </w:pPr>
          </w:p>
        </w:tc>
        <w:tc>
          <w:tcPr>
            <w:tcW w:w="1148" w:type="dxa"/>
            <w:vAlign w:val="center"/>
          </w:tcPr>
          <w:p w14:paraId="7530A205">
            <w:pPr>
              <w:ind w:left="223" w:hanging="222" w:hangingChars="106"/>
              <w:jc w:val="center"/>
              <w:rPr>
                <w:color w:val="auto"/>
                <w:szCs w:val="21"/>
                <w:highlight w:val="none"/>
              </w:rPr>
            </w:pPr>
          </w:p>
        </w:tc>
        <w:tc>
          <w:tcPr>
            <w:tcW w:w="1148" w:type="dxa"/>
            <w:vAlign w:val="center"/>
          </w:tcPr>
          <w:p w14:paraId="7772EE9D">
            <w:pPr>
              <w:ind w:left="223" w:hanging="222" w:hangingChars="106"/>
              <w:jc w:val="center"/>
              <w:rPr>
                <w:color w:val="auto"/>
                <w:szCs w:val="21"/>
                <w:highlight w:val="none"/>
              </w:rPr>
            </w:pPr>
          </w:p>
        </w:tc>
        <w:tc>
          <w:tcPr>
            <w:tcW w:w="744" w:type="dxa"/>
            <w:vAlign w:val="center"/>
          </w:tcPr>
          <w:p w14:paraId="7594E7F5">
            <w:pPr>
              <w:ind w:left="223" w:hanging="222" w:hangingChars="106"/>
              <w:jc w:val="center"/>
              <w:rPr>
                <w:color w:val="auto"/>
                <w:szCs w:val="21"/>
                <w:highlight w:val="none"/>
              </w:rPr>
            </w:pPr>
          </w:p>
        </w:tc>
        <w:tc>
          <w:tcPr>
            <w:tcW w:w="1167" w:type="dxa"/>
            <w:vAlign w:val="center"/>
          </w:tcPr>
          <w:p w14:paraId="39448C34">
            <w:pPr>
              <w:ind w:left="223" w:hanging="222" w:hangingChars="106"/>
              <w:jc w:val="center"/>
              <w:rPr>
                <w:color w:val="auto"/>
                <w:szCs w:val="21"/>
                <w:highlight w:val="none"/>
              </w:rPr>
            </w:pPr>
          </w:p>
        </w:tc>
        <w:tc>
          <w:tcPr>
            <w:tcW w:w="1276" w:type="dxa"/>
            <w:vAlign w:val="center"/>
          </w:tcPr>
          <w:p w14:paraId="67809069">
            <w:pPr>
              <w:ind w:left="223" w:hanging="222" w:hangingChars="106"/>
              <w:jc w:val="center"/>
              <w:rPr>
                <w:color w:val="auto"/>
                <w:szCs w:val="21"/>
                <w:highlight w:val="none"/>
              </w:rPr>
            </w:pPr>
          </w:p>
        </w:tc>
      </w:tr>
      <w:tr w14:paraId="7AC80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vAlign w:val="center"/>
          </w:tcPr>
          <w:p w14:paraId="330ACBED">
            <w:pPr>
              <w:pStyle w:val="192"/>
              <w:spacing w:line="240" w:lineRule="auto"/>
              <w:ind w:firstLine="0"/>
              <w:rPr>
                <w:color w:val="auto"/>
                <w:sz w:val="21"/>
                <w:szCs w:val="21"/>
                <w:highlight w:val="none"/>
              </w:rPr>
            </w:pPr>
            <w:r>
              <w:rPr>
                <w:rFonts w:ascii="Times New Roman" w:hAnsi="Times New Roman" w:eastAsia="Times New Roman" w:cs="Times New Roman"/>
                <w:color w:val="auto"/>
                <w:sz w:val="21"/>
                <w:szCs w:val="21"/>
                <w:highlight w:val="none"/>
                <w:lang w:val="en-US" w:eastAsia="en-US" w:bidi="en-US"/>
              </w:rPr>
              <w:t>4.</w:t>
            </w:r>
            <w:r>
              <w:rPr>
                <w:color w:val="auto"/>
                <w:sz w:val="21"/>
                <w:szCs w:val="21"/>
                <w:highlight w:val="none"/>
              </w:rPr>
              <w:t>安全员</w:t>
            </w:r>
          </w:p>
        </w:tc>
        <w:tc>
          <w:tcPr>
            <w:tcW w:w="670" w:type="dxa"/>
            <w:vAlign w:val="center"/>
          </w:tcPr>
          <w:p w14:paraId="5833CFA3">
            <w:pPr>
              <w:ind w:left="223" w:hanging="222" w:hangingChars="106"/>
              <w:jc w:val="center"/>
              <w:rPr>
                <w:color w:val="auto"/>
                <w:szCs w:val="21"/>
                <w:highlight w:val="none"/>
              </w:rPr>
            </w:pPr>
          </w:p>
        </w:tc>
        <w:tc>
          <w:tcPr>
            <w:tcW w:w="829" w:type="dxa"/>
            <w:vAlign w:val="center"/>
          </w:tcPr>
          <w:p w14:paraId="2923CD57">
            <w:pPr>
              <w:ind w:left="223" w:hanging="222" w:hangingChars="106"/>
              <w:jc w:val="center"/>
              <w:rPr>
                <w:color w:val="auto"/>
                <w:szCs w:val="21"/>
                <w:highlight w:val="none"/>
              </w:rPr>
            </w:pPr>
          </w:p>
        </w:tc>
        <w:tc>
          <w:tcPr>
            <w:tcW w:w="816" w:type="dxa"/>
            <w:vAlign w:val="center"/>
          </w:tcPr>
          <w:p w14:paraId="285AAF32">
            <w:pPr>
              <w:ind w:left="223" w:hanging="222" w:hangingChars="106"/>
              <w:jc w:val="center"/>
              <w:rPr>
                <w:color w:val="auto"/>
                <w:szCs w:val="21"/>
                <w:highlight w:val="none"/>
              </w:rPr>
            </w:pPr>
          </w:p>
        </w:tc>
        <w:tc>
          <w:tcPr>
            <w:tcW w:w="1148" w:type="dxa"/>
            <w:vAlign w:val="center"/>
          </w:tcPr>
          <w:p w14:paraId="7FFB0A34">
            <w:pPr>
              <w:ind w:left="223" w:hanging="222" w:hangingChars="106"/>
              <w:jc w:val="center"/>
              <w:rPr>
                <w:color w:val="auto"/>
                <w:szCs w:val="21"/>
                <w:highlight w:val="none"/>
              </w:rPr>
            </w:pPr>
          </w:p>
        </w:tc>
        <w:tc>
          <w:tcPr>
            <w:tcW w:w="1148" w:type="dxa"/>
            <w:vAlign w:val="center"/>
          </w:tcPr>
          <w:p w14:paraId="4A681762">
            <w:pPr>
              <w:ind w:left="223" w:hanging="222" w:hangingChars="106"/>
              <w:jc w:val="center"/>
              <w:rPr>
                <w:color w:val="auto"/>
                <w:szCs w:val="21"/>
                <w:highlight w:val="none"/>
              </w:rPr>
            </w:pPr>
          </w:p>
        </w:tc>
        <w:tc>
          <w:tcPr>
            <w:tcW w:w="1148" w:type="dxa"/>
            <w:vAlign w:val="center"/>
          </w:tcPr>
          <w:p w14:paraId="2C906562">
            <w:pPr>
              <w:ind w:left="223" w:hanging="222" w:hangingChars="106"/>
              <w:jc w:val="center"/>
              <w:rPr>
                <w:color w:val="auto"/>
                <w:szCs w:val="21"/>
                <w:highlight w:val="none"/>
              </w:rPr>
            </w:pPr>
          </w:p>
        </w:tc>
        <w:tc>
          <w:tcPr>
            <w:tcW w:w="744" w:type="dxa"/>
            <w:vAlign w:val="center"/>
          </w:tcPr>
          <w:p w14:paraId="177A7754">
            <w:pPr>
              <w:ind w:left="223" w:hanging="222" w:hangingChars="106"/>
              <w:jc w:val="center"/>
              <w:rPr>
                <w:color w:val="auto"/>
                <w:szCs w:val="21"/>
                <w:highlight w:val="none"/>
              </w:rPr>
            </w:pPr>
          </w:p>
        </w:tc>
        <w:tc>
          <w:tcPr>
            <w:tcW w:w="1167" w:type="dxa"/>
            <w:vAlign w:val="center"/>
          </w:tcPr>
          <w:p w14:paraId="19674DEA">
            <w:pPr>
              <w:ind w:left="223" w:hanging="222" w:hangingChars="106"/>
              <w:jc w:val="center"/>
              <w:rPr>
                <w:color w:val="auto"/>
                <w:szCs w:val="21"/>
                <w:highlight w:val="none"/>
              </w:rPr>
            </w:pPr>
          </w:p>
        </w:tc>
        <w:tc>
          <w:tcPr>
            <w:tcW w:w="1276" w:type="dxa"/>
            <w:vAlign w:val="center"/>
          </w:tcPr>
          <w:p w14:paraId="6EB62B7F">
            <w:pPr>
              <w:ind w:left="223" w:hanging="222" w:hangingChars="106"/>
              <w:jc w:val="center"/>
              <w:rPr>
                <w:color w:val="auto"/>
                <w:szCs w:val="21"/>
                <w:highlight w:val="none"/>
              </w:rPr>
            </w:pPr>
          </w:p>
        </w:tc>
      </w:tr>
      <w:tr w14:paraId="38ECE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vAlign w:val="center"/>
          </w:tcPr>
          <w:p w14:paraId="45A5BDFE">
            <w:pPr>
              <w:jc w:val="left"/>
              <w:rPr>
                <w:color w:val="auto"/>
                <w:szCs w:val="21"/>
                <w:highlight w:val="none"/>
              </w:rPr>
            </w:pPr>
            <w:r>
              <w:rPr>
                <w:rFonts w:hint="eastAsia"/>
                <w:color w:val="auto"/>
                <w:szCs w:val="21"/>
                <w:highlight w:val="none"/>
              </w:rPr>
              <w:t>5.</w:t>
            </w:r>
            <w:r>
              <w:rPr>
                <w:color w:val="auto"/>
                <w:szCs w:val="21"/>
                <w:highlight w:val="none"/>
              </w:rPr>
              <w:t>质量员</w:t>
            </w:r>
          </w:p>
        </w:tc>
        <w:tc>
          <w:tcPr>
            <w:tcW w:w="670" w:type="dxa"/>
            <w:vAlign w:val="center"/>
          </w:tcPr>
          <w:p w14:paraId="1EA574C0">
            <w:pPr>
              <w:ind w:left="223" w:hanging="222" w:hangingChars="106"/>
              <w:jc w:val="center"/>
              <w:rPr>
                <w:color w:val="auto"/>
                <w:szCs w:val="21"/>
                <w:highlight w:val="none"/>
              </w:rPr>
            </w:pPr>
          </w:p>
        </w:tc>
        <w:tc>
          <w:tcPr>
            <w:tcW w:w="829" w:type="dxa"/>
            <w:vAlign w:val="center"/>
          </w:tcPr>
          <w:p w14:paraId="3C6C2905">
            <w:pPr>
              <w:ind w:left="223" w:hanging="222" w:hangingChars="106"/>
              <w:jc w:val="center"/>
              <w:rPr>
                <w:color w:val="auto"/>
                <w:szCs w:val="21"/>
                <w:highlight w:val="none"/>
              </w:rPr>
            </w:pPr>
          </w:p>
        </w:tc>
        <w:tc>
          <w:tcPr>
            <w:tcW w:w="816" w:type="dxa"/>
            <w:vAlign w:val="center"/>
          </w:tcPr>
          <w:p w14:paraId="718F878B">
            <w:pPr>
              <w:ind w:left="223" w:hanging="222" w:hangingChars="106"/>
              <w:jc w:val="center"/>
              <w:rPr>
                <w:color w:val="auto"/>
                <w:szCs w:val="21"/>
                <w:highlight w:val="none"/>
              </w:rPr>
            </w:pPr>
          </w:p>
        </w:tc>
        <w:tc>
          <w:tcPr>
            <w:tcW w:w="1148" w:type="dxa"/>
            <w:vAlign w:val="center"/>
          </w:tcPr>
          <w:p w14:paraId="4C7B43AE">
            <w:pPr>
              <w:ind w:left="223" w:hanging="222" w:hangingChars="106"/>
              <w:jc w:val="center"/>
              <w:rPr>
                <w:color w:val="auto"/>
                <w:szCs w:val="21"/>
                <w:highlight w:val="none"/>
              </w:rPr>
            </w:pPr>
          </w:p>
        </w:tc>
        <w:tc>
          <w:tcPr>
            <w:tcW w:w="1148" w:type="dxa"/>
            <w:vAlign w:val="center"/>
          </w:tcPr>
          <w:p w14:paraId="4A07EF12">
            <w:pPr>
              <w:ind w:left="223" w:hanging="222" w:hangingChars="106"/>
              <w:jc w:val="center"/>
              <w:rPr>
                <w:color w:val="auto"/>
                <w:szCs w:val="21"/>
                <w:highlight w:val="none"/>
              </w:rPr>
            </w:pPr>
          </w:p>
        </w:tc>
        <w:tc>
          <w:tcPr>
            <w:tcW w:w="1148" w:type="dxa"/>
            <w:vAlign w:val="center"/>
          </w:tcPr>
          <w:p w14:paraId="51ED3EB4">
            <w:pPr>
              <w:ind w:left="223" w:hanging="222" w:hangingChars="106"/>
              <w:jc w:val="center"/>
              <w:rPr>
                <w:color w:val="auto"/>
                <w:szCs w:val="21"/>
                <w:highlight w:val="none"/>
              </w:rPr>
            </w:pPr>
          </w:p>
        </w:tc>
        <w:tc>
          <w:tcPr>
            <w:tcW w:w="744" w:type="dxa"/>
            <w:vAlign w:val="center"/>
          </w:tcPr>
          <w:p w14:paraId="1962F89B">
            <w:pPr>
              <w:ind w:left="223" w:hanging="222" w:hangingChars="106"/>
              <w:jc w:val="center"/>
              <w:rPr>
                <w:color w:val="auto"/>
                <w:szCs w:val="21"/>
                <w:highlight w:val="none"/>
              </w:rPr>
            </w:pPr>
          </w:p>
        </w:tc>
        <w:tc>
          <w:tcPr>
            <w:tcW w:w="1167" w:type="dxa"/>
            <w:vAlign w:val="center"/>
          </w:tcPr>
          <w:p w14:paraId="5C378BEA">
            <w:pPr>
              <w:ind w:left="223" w:hanging="222" w:hangingChars="106"/>
              <w:jc w:val="center"/>
              <w:rPr>
                <w:color w:val="auto"/>
                <w:szCs w:val="21"/>
                <w:highlight w:val="none"/>
              </w:rPr>
            </w:pPr>
          </w:p>
        </w:tc>
        <w:tc>
          <w:tcPr>
            <w:tcW w:w="1276" w:type="dxa"/>
            <w:vAlign w:val="center"/>
          </w:tcPr>
          <w:p w14:paraId="517779FF">
            <w:pPr>
              <w:ind w:left="223" w:hanging="222" w:hangingChars="106"/>
              <w:jc w:val="center"/>
              <w:rPr>
                <w:color w:val="auto"/>
                <w:szCs w:val="21"/>
                <w:highlight w:val="none"/>
              </w:rPr>
            </w:pPr>
          </w:p>
        </w:tc>
      </w:tr>
      <w:tr w14:paraId="0DF25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vAlign w:val="center"/>
          </w:tcPr>
          <w:p w14:paraId="541D822C">
            <w:pPr>
              <w:jc w:val="left"/>
              <w:rPr>
                <w:color w:val="auto"/>
                <w:szCs w:val="21"/>
                <w:highlight w:val="none"/>
              </w:rPr>
            </w:pPr>
            <w:r>
              <w:rPr>
                <w:rFonts w:hint="eastAsia"/>
                <w:color w:val="auto"/>
                <w:szCs w:val="21"/>
                <w:highlight w:val="none"/>
              </w:rPr>
              <w:t>6.材料员</w:t>
            </w:r>
          </w:p>
        </w:tc>
        <w:tc>
          <w:tcPr>
            <w:tcW w:w="670" w:type="dxa"/>
            <w:vAlign w:val="center"/>
          </w:tcPr>
          <w:p w14:paraId="3E934CEE">
            <w:pPr>
              <w:ind w:left="223" w:hanging="222" w:hangingChars="106"/>
              <w:jc w:val="center"/>
              <w:rPr>
                <w:color w:val="auto"/>
                <w:szCs w:val="21"/>
                <w:highlight w:val="none"/>
              </w:rPr>
            </w:pPr>
          </w:p>
        </w:tc>
        <w:tc>
          <w:tcPr>
            <w:tcW w:w="829" w:type="dxa"/>
            <w:vAlign w:val="center"/>
          </w:tcPr>
          <w:p w14:paraId="02A9F537">
            <w:pPr>
              <w:ind w:left="223" w:hanging="222" w:hangingChars="106"/>
              <w:jc w:val="center"/>
              <w:rPr>
                <w:color w:val="auto"/>
                <w:szCs w:val="21"/>
                <w:highlight w:val="none"/>
              </w:rPr>
            </w:pPr>
          </w:p>
        </w:tc>
        <w:tc>
          <w:tcPr>
            <w:tcW w:w="816" w:type="dxa"/>
            <w:vAlign w:val="center"/>
          </w:tcPr>
          <w:p w14:paraId="67DE4C90">
            <w:pPr>
              <w:ind w:left="223" w:hanging="222" w:hangingChars="106"/>
              <w:jc w:val="center"/>
              <w:rPr>
                <w:color w:val="auto"/>
                <w:szCs w:val="21"/>
                <w:highlight w:val="none"/>
              </w:rPr>
            </w:pPr>
          </w:p>
        </w:tc>
        <w:tc>
          <w:tcPr>
            <w:tcW w:w="1148" w:type="dxa"/>
            <w:vAlign w:val="center"/>
          </w:tcPr>
          <w:p w14:paraId="36554E5F">
            <w:pPr>
              <w:ind w:left="223" w:hanging="222" w:hangingChars="106"/>
              <w:jc w:val="center"/>
              <w:rPr>
                <w:color w:val="auto"/>
                <w:szCs w:val="21"/>
                <w:highlight w:val="none"/>
              </w:rPr>
            </w:pPr>
          </w:p>
        </w:tc>
        <w:tc>
          <w:tcPr>
            <w:tcW w:w="1148" w:type="dxa"/>
            <w:vAlign w:val="center"/>
          </w:tcPr>
          <w:p w14:paraId="38FF9798">
            <w:pPr>
              <w:ind w:left="223" w:hanging="222" w:hangingChars="106"/>
              <w:jc w:val="center"/>
              <w:rPr>
                <w:color w:val="auto"/>
                <w:szCs w:val="21"/>
                <w:highlight w:val="none"/>
              </w:rPr>
            </w:pPr>
          </w:p>
        </w:tc>
        <w:tc>
          <w:tcPr>
            <w:tcW w:w="1148" w:type="dxa"/>
            <w:vAlign w:val="center"/>
          </w:tcPr>
          <w:p w14:paraId="1D9CF9E5">
            <w:pPr>
              <w:ind w:left="223" w:hanging="222" w:hangingChars="106"/>
              <w:jc w:val="center"/>
              <w:rPr>
                <w:color w:val="auto"/>
                <w:szCs w:val="21"/>
                <w:highlight w:val="none"/>
              </w:rPr>
            </w:pPr>
          </w:p>
        </w:tc>
        <w:tc>
          <w:tcPr>
            <w:tcW w:w="744" w:type="dxa"/>
            <w:vAlign w:val="center"/>
          </w:tcPr>
          <w:p w14:paraId="4B62C9DF">
            <w:pPr>
              <w:ind w:left="223" w:hanging="222" w:hangingChars="106"/>
              <w:jc w:val="center"/>
              <w:rPr>
                <w:color w:val="auto"/>
                <w:szCs w:val="21"/>
                <w:highlight w:val="none"/>
              </w:rPr>
            </w:pPr>
          </w:p>
        </w:tc>
        <w:tc>
          <w:tcPr>
            <w:tcW w:w="1167" w:type="dxa"/>
            <w:vAlign w:val="center"/>
          </w:tcPr>
          <w:p w14:paraId="3633DC4E">
            <w:pPr>
              <w:ind w:left="223" w:hanging="222" w:hangingChars="106"/>
              <w:jc w:val="center"/>
              <w:rPr>
                <w:color w:val="auto"/>
                <w:szCs w:val="21"/>
                <w:highlight w:val="none"/>
              </w:rPr>
            </w:pPr>
          </w:p>
        </w:tc>
        <w:tc>
          <w:tcPr>
            <w:tcW w:w="1276" w:type="dxa"/>
            <w:vAlign w:val="center"/>
          </w:tcPr>
          <w:p w14:paraId="3A8D36C2">
            <w:pPr>
              <w:ind w:left="223" w:hanging="222" w:hangingChars="106"/>
              <w:jc w:val="center"/>
              <w:rPr>
                <w:color w:val="auto"/>
                <w:szCs w:val="21"/>
                <w:highlight w:val="none"/>
              </w:rPr>
            </w:pPr>
          </w:p>
        </w:tc>
      </w:tr>
      <w:tr w14:paraId="4F939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vAlign w:val="center"/>
          </w:tcPr>
          <w:p w14:paraId="12AC396F">
            <w:pPr>
              <w:ind w:left="223" w:hanging="222" w:hangingChars="106"/>
              <w:jc w:val="center"/>
              <w:rPr>
                <w:color w:val="auto"/>
                <w:szCs w:val="21"/>
                <w:highlight w:val="none"/>
              </w:rPr>
            </w:pPr>
          </w:p>
        </w:tc>
        <w:tc>
          <w:tcPr>
            <w:tcW w:w="670" w:type="dxa"/>
            <w:vAlign w:val="center"/>
          </w:tcPr>
          <w:p w14:paraId="25E48A83">
            <w:pPr>
              <w:ind w:left="223" w:hanging="222" w:hangingChars="106"/>
              <w:jc w:val="center"/>
              <w:rPr>
                <w:color w:val="auto"/>
                <w:szCs w:val="21"/>
                <w:highlight w:val="none"/>
              </w:rPr>
            </w:pPr>
          </w:p>
        </w:tc>
        <w:tc>
          <w:tcPr>
            <w:tcW w:w="829" w:type="dxa"/>
            <w:vAlign w:val="center"/>
          </w:tcPr>
          <w:p w14:paraId="18943197">
            <w:pPr>
              <w:ind w:left="223" w:hanging="222" w:hangingChars="106"/>
              <w:jc w:val="center"/>
              <w:rPr>
                <w:color w:val="auto"/>
                <w:szCs w:val="21"/>
                <w:highlight w:val="none"/>
              </w:rPr>
            </w:pPr>
          </w:p>
        </w:tc>
        <w:tc>
          <w:tcPr>
            <w:tcW w:w="816" w:type="dxa"/>
            <w:vAlign w:val="center"/>
          </w:tcPr>
          <w:p w14:paraId="498BF6ED">
            <w:pPr>
              <w:ind w:left="223" w:hanging="222" w:hangingChars="106"/>
              <w:jc w:val="center"/>
              <w:rPr>
                <w:color w:val="auto"/>
                <w:szCs w:val="21"/>
                <w:highlight w:val="none"/>
              </w:rPr>
            </w:pPr>
          </w:p>
        </w:tc>
        <w:tc>
          <w:tcPr>
            <w:tcW w:w="1148" w:type="dxa"/>
            <w:vAlign w:val="center"/>
          </w:tcPr>
          <w:p w14:paraId="48D607BE">
            <w:pPr>
              <w:ind w:left="223" w:hanging="222" w:hangingChars="106"/>
              <w:jc w:val="center"/>
              <w:rPr>
                <w:color w:val="auto"/>
                <w:szCs w:val="21"/>
                <w:highlight w:val="none"/>
              </w:rPr>
            </w:pPr>
          </w:p>
        </w:tc>
        <w:tc>
          <w:tcPr>
            <w:tcW w:w="1148" w:type="dxa"/>
            <w:vAlign w:val="center"/>
          </w:tcPr>
          <w:p w14:paraId="23916330">
            <w:pPr>
              <w:ind w:left="223" w:hanging="222" w:hangingChars="106"/>
              <w:jc w:val="center"/>
              <w:rPr>
                <w:color w:val="auto"/>
                <w:szCs w:val="21"/>
                <w:highlight w:val="none"/>
              </w:rPr>
            </w:pPr>
          </w:p>
        </w:tc>
        <w:tc>
          <w:tcPr>
            <w:tcW w:w="1148" w:type="dxa"/>
            <w:vAlign w:val="center"/>
          </w:tcPr>
          <w:p w14:paraId="4C88A25E">
            <w:pPr>
              <w:ind w:left="223" w:hanging="222" w:hangingChars="106"/>
              <w:jc w:val="center"/>
              <w:rPr>
                <w:color w:val="auto"/>
                <w:szCs w:val="21"/>
                <w:highlight w:val="none"/>
              </w:rPr>
            </w:pPr>
          </w:p>
        </w:tc>
        <w:tc>
          <w:tcPr>
            <w:tcW w:w="744" w:type="dxa"/>
            <w:vAlign w:val="center"/>
          </w:tcPr>
          <w:p w14:paraId="27D186B0">
            <w:pPr>
              <w:ind w:left="223" w:hanging="222" w:hangingChars="106"/>
              <w:jc w:val="center"/>
              <w:rPr>
                <w:color w:val="auto"/>
                <w:szCs w:val="21"/>
                <w:highlight w:val="none"/>
              </w:rPr>
            </w:pPr>
          </w:p>
        </w:tc>
        <w:tc>
          <w:tcPr>
            <w:tcW w:w="1167" w:type="dxa"/>
            <w:vAlign w:val="center"/>
          </w:tcPr>
          <w:p w14:paraId="166D1DA1">
            <w:pPr>
              <w:ind w:left="223" w:hanging="222" w:hangingChars="106"/>
              <w:jc w:val="center"/>
              <w:rPr>
                <w:color w:val="auto"/>
                <w:szCs w:val="21"/>
                <w:highlight w:val="none"/>
              </w:rPr>
            </w:pPr>
          </w:p>
        </w:tc>
        <w:tc>
          <w:tcPr>
            <w:tcW w:w="1276" w:type="dxa"/>
            <w:vAlign w:val="center"/>
          </w:tcPr>
          <w:p w14:paraId="0FE1B4CB">
            <w:pPr>
              <w:ind w:left="223" w:hanging="222" w:hangingChars="106"/>
              <w:jc w:val="center"/>
              <w:rPr>
                <w:color w:val="auto"/>
                <w:szCs w:val="21"/>
                <w:highlight w:val="none"/>
              </w:rPr>
            </w:pPr>
          </w:p>
        </w:tc>
      </w:tr>
      <w:tr w14:paraId="7FCC5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866" w:type="dxa"/>
            <w:gridSpan w:val="10"/>
            <w:vAlign w:val="center"/>
          </w:tcPr>
          <w:p w14:paraId="6ABA41DD">
            <w:pPr>
              <w:ind w:left="223" w:hanging="222" w:hangingChars="106"/>
              <w:jc w:val="center"/>
              <w:rPr>
                <w:color w:val="auto"/>
                <w:highlight w:val="none"/>
              </w:rPr>
            </w:pPr>
            <w:r>
              <w:rPr>
                <w:rFonts w:hint="eastAsia"/>
                <w:color w:val="auto"/>
                <w:highlight w:val="none"/>
              </w:rPr>
              <w:t>一旦我单位成交，将实行项目经理负责制，我方保证并配备上述项目管理机构。上述填报内容真实，若不真实，愿按有关规定接受处理。项目管理班子机构设置、职责分工等情况另附资料说明。</w:t>
            </w:r>
          </w:p>
        </w:tc>
      </w:tr>
    </w:tbl>
    <w:p w14:paraId="7BF7F955">
      <w:pPr>
        <w:spacing w:line="360" w:lineRule="auto"/>
        <w:contextualSpacing/>
        <w:jc w:val="left"/>
        <w:rPr>
          <w:rFonts w:ascii="宋体" w:hAnsi="宋体"/>
          <w:color w:val="auto"/>
          <w:sz w:val="24"/>
          <w:szCs w:val="20"/>
          <w:highlight w:val="none"/>
        </w:rPr>
      </w:pPr>
      <w:r>
        <w:rPr>
          <w:rFonts w:hint="eastAsia" w:ascii="宋体" w:hAnsi="宋体"/>
          <w:color w:val="auto"/>
          <w:sz w:val="24"/>
          <w:szCs w:val="20"/>
          <w:highlight w:val="none"/>
        </w:rPr>
        <w:t>备注：</w:t>
      </w:r>
    </w:p>
    <w:p w14:paraId="45F05040">
      <w:pPr>
        <w:spacing w:line="360" w:lineRule="auto"/>
        <w:ind w:firstLine="480" w:firstLineChars="200"/>
        <w:contextualSpacing/>
        <w:jc w:val="left"/>
        <w:rPr>
          <w:rFonts w:ascii="宋体" w:hAnsi="宋体"/>
          <w:color w:val="auto"/>
          <w:sz w:val="24"/>
          <w:szCs w:val="20"/>
          <w:highlight w:val="none"/>
        </w:rPr>
      </w:pPr>
      <w:r>
        <w:rPr>
          <w:rFonts w:hint="eastAsia" w:ascii="宋体" w:hAnsi="宋体"/>
          <w:color w:val="auto"/>
          <w:sz w:val="24"/>
          <w:szCs w:val="20"/>
          <w:highlight w:val="none"/>
        </w:rPr>
        <w:t>1</w:t>
      </w:r>
      <w:r>
        <w:rPr>
          <w:rFonts w:ascii="宋体" w:hAnsi="宋体"/>
          <w:color w:val="auto"/>
          <w:sz w:val="24"/>
          <w:szCs w:val="20"/>
          <w:highlight w:val="none"/>
        </w:rPr>
        <w:t>.</w:t>
      </w:r>
      <w:r>
        <w:rPr>
          <w:rFonts w:hint="eastAsia" w:ascii="宋体" w:hAnsi="宋体"/>
          <w:color w:val="auto"/>
          <w:sz w:val="24"/>
          <w:szCs w:val="20"/>
          <w:highlight w:val="none"/>
        </w:rPr>
        <w:t>本表所列岗位的所有管理人员的情况均应如实填写。可按以上格式扩展为多页填写。</w:t>
      </w:r>
    </w:p>
    <w:p w14:paraId="37730EDE">
      <w:pPr>
        <w:spacing w:line="360" w:lineRule="auto"/>
        <w:ind w:firstLine="480" w:firstLineChars="200"/>
        <w:contextualSpacing/>
        <w:jc w:val="left"/>
        <w:rPr>
          <w:rFonts w:ascii="宋体" w:hAnsi="宋体"/>
          <w:color w:val="auto"/>
          <w:sz w:val="24"/>
          <w:szCs w:val="20"/>
          <w:highlight w:val="none"/>
        </w:rPr>
      </w:pPr>
      <w:r>
        <w:rPr>
          <w:rFonts w:hint="eastAsia" w:ascii="宋体" w:hAnsi="宋体"/>
          <w:color w:val="auto"/>
          <w:sz w:val="24"/>
          <w:szCs w:val="20"/>
          <w:highlight w:val="none"/>
        </w:rPr>
        <w:t>2</w:t>
      </w:r>
      <w:r>
        <w:rPr>
          <w:rFonts w:ascii="宋体" w:hAnsi="宋体"/>
          <w:color w:val="auto"/>
          <w:sz w:val="24"/>
          <w:szCs w:val="20"/>
          <w:highlight w:val="none"/>
        </w:rPr>
        <w:t>.</w:t>
      </w:r>
      <w:r>
        <w:rPr>
          <w:rFonts w:hint="eastAsia" w:ascii="宋体" w:hAnsi="宋体"/>
          <w:color w:val="auto"/>
          <w:sz w:val="24"/>
          <w:szCs w:val="20"/>
          <w:highlight w:val="none"/>
        </w:rPr>
        <w:t>供应商应当在本表后附所有管理人员的身份证、职称证、执业或职业资格证书、2024年7月以来近1个月在现任职单位依法缴纳社会保险的证明材料或劳动合同的扫描件并加盖供应商电子签章。</w:t>
      </w:r>
    </w:p>
    <w:p w14:paraId="6F3F4552">
      <w:pPr>
        <w:spacing w:line="360" w:lineRule="auto"/>
        <w:ind w:firstLine="480" w:firstLineChars="200"/>
        <w:contextualSpacing/>
        <w:rPr>
          <w:rFonts w:ascii="宋体" w:hAnsi="宋体"/>
          <w:color w:val="auto"/>
          <w:spacing w:val="20"/>
          <w:sz w:val="24"/>
          <w:szCs w:val="20"/>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w:t>
      </w:r>
    </w:p>
    <w:p w14:paraId="56FBFE6E">
      <w:pPr>
        <w:spacing w:line="360" w:lineRule="auto"/>
        <w:ind w:firstLine="560" w:firstLineChars="200"/>
        <w:contextualSpacing/>
        <w:jc w:val="left"/>
        <w:rPr>
          <w:rFonts w:ascii="宋体" w:hAnsi="宋体"/>
          <w:color w:val="auto"/>
          <w:sz w:val="24"/>
          <w:szCs w:val="20"/>
          <w:highlight w:val="none"/>
        </w:rPr>
      </w:pPr>
      <w:r>
        <w:rPr>
          <w:rFonts w:hint="eastAsia" w:ascii="宋体" w:hAnsi="宋体"/>
          <w:color w:val="auto"/>
          <w:spacing w:val="20"/>
          <w:sz w:val="24"/>
          <w:highlight w:val="none"/>
        </w:rPr>
        <w:t>供应商（电子签章）：       日 期：</w:t>
      </w:r>
    </w:p>
    <w:p w14:paraId="36073DFD">
      <w:pPr>
        <w:spacing w:line="360" w:lineRule="auto"/>
        <w:jc w:val="center"/>
        <w:rPr>
          <w:rFonts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（二）拟投入的主要人员简历表</w:t>
      </w:r>
    </w:p>
    <w:p w14:paraId="47172127">
      <w:pPr>
        <w:spacing w:line="360" w:lineRule="auto"/>
        <w:ind w:firstLine="643" w:firstLineChars="200"/>
        <w:jc w:val="center"/>
        <w:rPr>
          <w:color w:val="auto"/>
          <w:highlight w:val="none"/>
          <w:u w:val="single"/>
        </w:rPr>
      </w:pPr>
      <w:r>
        <w:rPr>
          <w:rFonts w:hint="eastAsia" w:cs="宋体"/>
          <w:b/>
          <w:color w:val="auto"/>
          <w:sz w:val="32"/>
          <w:szCs w:val="32"/>
          <w:highlight w:val="none"/>
        </w:rPr>
        <w:t>项目经理简历表</w:t>
      </w:r>
    </w:p>
    <w:tbl>
      <w:tblPr>
        <w:tblStyle w:val="55"/>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76"/>
        <w:gridCol w:w="55"/>
        <w:gridCol w:w="387"/>
        <w:gridCol w:w="1548"/>
        <w:gridCol w:w="328"/>
        <w:gridCol w:w="234"/>
        <w:gridCol w:w="66"/>
        <w:gridCol w:w="1209"/>
        <w:gridCol w:w="142"/>
        <w:gridCol w:w="242"/>
        <w:gridCol w:w="1088"/>
        <w:gridCol w:w="88"/>
        <w:gridCol w:w="409"/>
        <w:gridCol w:w="1108"/>
        <w:gridCol w:w="36"/>
        <w:gridCol w:w="1484"/>
        <w:gridCol w:w="11"/>
      </w:tblGrid>
      <w:tr w14:paraId="62DA1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0DDD897D">
            <w:pPr>
              <w:jc w:val="center"/>
              <w:rPr>
                <w:rFonts w:cs="宋体"/>
                <w:color w:val="auto"/>
                <w:highlight w:val="none"/>
              </w:rPr>
            </w:pPr>
            <w:r>
              <w:rPr>
                <w:rFonts w:hint="eastAsia" w:cs="宋体"/>
                <w:color w:val="auto"/>
                <w:highlight w:val="none"/>
              </w:rPr>
              <w:t>姓名</w:t>
            </w:r>
          </w:p>
        </w:tc>
        <w:tc>
          <w:tcPr>
            <w:tcW w:w="2318" w:type="dxa"/>
            <w:gridSpan w:val="4"/>
            <w:tcBorders>
              <w:top w:val="single" w:color="auto" w:sz="4" w:space="0"/>
              <w:left w:val="single" w:color="auto" w:sz="4" w:space="0"/>
              <w:bottom w:val="single" w:color="auto" w:sz="4" w:space="0"/>
              <w:right w:val="single" w:color="auto" w:sz="4" w:space="0"/>
            </w:tcBorders>
            <w:vAlign w:val="center"/>
          </w:tcPr>
          <w:p w14:paraId="0778853B">
            <w:pPr>
              <w:jc w:val="center"/>
              <w:rPr>
                <w:color w:val="auto"/>
                <w:highlight w:val="none"/>
              </w:rPr>
            </w:pPr>
          </w:p>
        </w:tc>
        <w:tc>
          <w:tcPr>
            <w:tcW w:w="1893" w:type="dxa"/>
            <w:gridSpan w:val="5"/>
            <w:tcBorders>
              <w:top w:val="single" w:color="auto" w:sz="4" w:space="0"/>
              <w:left w:val="single" w:color="auto" w:sz="4" w:space="0"/>
              <w:bottom w:val="single" w:color="auto" w:sz="4" w:space="0"/>
              <w:right w:val="single" w:color="auto" w:sz="4" w:space="0"/>
            </w:tcBorders>
            <w:vAlign w:val="center"/>
          </w:tcPr>
          <w:p w14:paraId="4B51D480">
            <w:pPr>
              <w:jc w:val="center"/>
              <w:rPr>
                <w:rFonts w:cs="宋体"/>
                <w:color w:val="auto"/>
                <w:highlight w:val="none"/>
              </w:rPr>
            </w:pPr>
            <w:r>
              <w:rPr>
                <w:rFonts w:hint="eastAsia" w:cs="宋体"/>
                <w:color w:val="auto"/>
                <w:highlight w:val="none"/>
              </w:rPr>
              <w:t>性别</w:t>
            </w:r>
          </w:p>
        </w:tc>
        <w:tc>
          <w:tcPr>
            <w:tcW w:w="1585" w:type="dxa"/>
            <w:gridSpan w:val="3"/>
            <w:tcBorders>
              <w:top w:val="single" w:color="auto" w:sz="4" w:space="0"/>
              <w:left w:val="single" w:color="auto" w:sz="4" w:space="0"/>
              <w:bottom w:val="single" w:color="auto" w:sz="4" w:space="0"/>
              <w:right w:val="single" w:color="auto" w:sz="4" w:space="0"/>
            </w:tcBorders>
            <w:vAlign w:val="center"/>
          </w:tcPr>
          <w:p w14:paraId="2F0A3DD0">
            <w:pPr>
              <w:jc w:val="center"/>
              <w:rPr>
                <w:color w:val="auto"/>
                <w:highlight w:val="none"/>
              </w:rPr>
            </w:pPr>
          </w:p>
        </w:tc>
        <w:tc>
          <w:tcPr>
            <w:tcW w:w="1108" w:type="dxa"/>
            <w:tcBorders>
              <w:top w:val="single" w:color="auto" w:sz="4" w:space="0"/>
              <w:left w:val="single" w:color="auto" w:sz="4" w:space="0"/>
              <w:bottom w:val="single" w:color="auto" w:sz="4" w:space="0"/>
              <w:right w:val="single" w:color="auto" w:sz="4" w:space="0"/>
            </w:tcBorders>
            <w:vAlign w:val="center"/>
          </w:tcPr>
          <w:p w14:paraId="1D1E0C06">
            <w:pPr>
              <w:jc w:val="center"/>
              <w:rPr>
                <w:rFonts w:cs="宋体"/>
                <w:color w:val="auto"/>
                <w:highlight w:val="none"/>
              </w:rPr>
            </w:pPr>
            <w:r>
              <w:rPr>
                <w:rFonts w:hint="eastAsia" w:cs="宋体"/>
                <w:color w:val="auto"/>
                <w:highlight w:val="none"/>
              </w:rPr>
              <w:t>年龄</w:t>
            </w:r>
          </w:p>
        </w:tc>
        <w:tc>
          <w:tcPr>
            <w:tcW w:w="1531" w:type="dxa"/>
            <w:gridSpan w:val="3"/>
            <w:tcBorders>
              <w:top w:val="single" w:color="auto" w:sz="4" w:space="0"/>
              <w:left w:val="single" w:color="auto" w:sz="4" w:space="0"/>
              <w:bottom w:val="single" w:color="auto" w:sz="4" w:space="0"/>
              <w:right w:val="single" w:color="auto" w:sz="4" w:space="0"/>
            </w:tcBorders>
            <w:vAlign w:val="center"/>
          </w:tcPr>
          <w:p w14:paraId="4342A96A">
            <w:pPr>
              <w:jc w:val="center"/>
              <w:rPr>
                <w:color w:val="auto"/>
                <w:highlight w:val="none"/>
              </w:rPr>
            </w:pPr>
          </w:p>
        </w:tc>
      </w:tr>
      <w:tr w14:paraId="67153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6438C978">
            <w:pPr>
              <w:jc w:val="center"/>
              <w:rPr>
                <w:rFonts w:cs="宋体"/>
                <w:color w:val="auto"/>
                <w:highlight w:val="none"/>
              </w:rPr>
            </w:pPr>
            <w:r>
              <w:rPr>
                <w:rFonts w:hint="eastAsia" w:cs="宋体"/>
                <w:color w:val="auto"/>
                <w:highlight w:val="none"/>
              </w:rPr>
              <w:t>岗位</w:t>
            </w:r>
          </w:p>
        </w:tc>
        <w:tc>
          <w:tcPr>
            <w:tcW w:w="2318" w:type="dxa"/>
            <w:gridSpan w:val="4"/>
            <w:tcBorders>
              <w:top w:val="single" w:color="auto" w:sz="4" w:space="0"/>
              <w:left w:val="single" w:color="auto" w:sz="4" w:space="0"/>
              <w:bottom w:val="single" w:color="auto" w:sz="4" w:space="0"/>
              <w:right w:val="single" w:color="auto" w:sz="4" w:space="0"/>
            </w:tcBorders>
            <w:vAlign w:val="center"/>
          </w:tcPr>
          <w:p w14:paraId="46756366">
            <w:pPr>
              <w:jc w:val="center"/>
              <w:rPr>
                <w:color w:val="auto"/>
                <w:highlight w:val="none"/>
              </w:rPr>
            </w:pPr>
            <w:r>
              <w:rPr>
                <w:rFonts w:hint="eastAsia"/>
                <w:color w:val="auto"/>
                <w:highlight w:val="none"/>
              </w:rPr>
              <w:t>项目经理</w:t>
            </w:r>
          </w:p>
        </w:tc>
        <w:tc>
          <w:tcPr>
            <w:tcW w:w="1893" w:type="dxa"/>
            <w:gridSpan w:val="5"/>
            <w:tcBorders>
              <w:top w:val="single" w:color="auto" w:sz="4" w:space="0"/>
              <w:left w:val="single" w:color="auto" w:sz="4" w:space="0"/>
              <w:bottom w:val="single" w:color="auto" w:sz="4" w:space="0"/>
              <w:right w:val="single" w:color="auto" w:sz="4" w:space="0"/>
            </w:tcBorders>
            <w:vAlign w:val="center"/>
          </w:tcPr>
          <w:p w14:paraId="19EC03C0">
            <w:pPr>
              <w:jc w:val="center"/>
              <w:rPr>
                <w:rFonts w:cs="宋体"/>
                <w:color w:val="auto"/>
                <w:highlight w:val="none"/>
              </w:rPr>
            </w:pPr>
            <w:r>
              <w:rPr>
                <w:rFonts w:hint="eastAsia" w:cs="宋体"/>
                <w:color w:val="auto"/>
                <w:highlight w:val="none"/>
              </w:rPr>
              <w:t>职称</w:t>
            </w:r>
          </w:p>
        </w:tc>
        <w:tc>
          <w:tcPr>
            <w:tcW w:w="1585" w:type="dxa"/>
            <w:gridSpan w:val="3"/>
            <w:tcBorders>
              <w:top w:val="single" w:color="auto" w:sz="4" w:space="0"/>
              <w:left w:val="single" w:color="auto" w:sz="4" w:space="0"/>
              <w:bottom w:val="single" w:color="auto" w:sz="4" w:space="0"/>
              <w:right w:val="single" w:color="auto" w:sz="4" w:space="0"/>
            </w:tcBorders>
            <w:vAlign w:val="center"/>
          </w:tcPr>
          <w:p w14:paraId="053780C6">
            <w:pPr>
              <w:jc w:val="center"/>
              <w:rPr>
                <w:color w:val="auto"/>
                <w:highlight w:val="none"/>
              </w:rPr>
            </w:pPr>
          </w:p>
        </w:tc>
        <w:tc>
          <w:tcPr>
            <w:tcW w:w="1108" w:type="dxa"/>
            <w:tcBorders>
              <w:top w:val="single" w:color="auto" w:sz="4" w:space="0"/>
              <w:left w:val="single" w:color="auto" w:sz="4" w:space="0"/>
              <w:bottom w:val="single" w:color="auto" w:sz="4" w:space="0"/>
              <w:right w:val="single" w:color="auto" w:sz="4" w:space="0"/>
            </w:tcBorders>
            <w:vAlign w:val="center"/>
          </w:tcPr>
          <w:p w14:paraId="75E0A0C9">
            <w:pPr>
              <w:jc w:val="center"/>
              <w:rPr>
                <w:rFonts w:cs="宋体"/>
                <w:color w:val="auto"/>
                <w:highlight w:val="none"/>
              </w:rPr>
            </w:pPr>
            <w:r>
              <w:rPr>
                <w:rFonts w:hint="eastAsia" w:cs="宋体"/>
                <w:color w:val="auto"/>
                <w:highlight w:val="none"/>
              </w:rPr>
              <w:t>学历</w:t>
            </w:r>
          </w:p>
        </w:tc>
        <w:tc>
          <w:tcPr>
            <w:tcW w:w="1531" w:type="dxa"/>
            <w:gridSpan w:val="3"/>
            <w:tcBorders>
              <w:top w:val="single" w:color="auto" w:sz="4" w:space="0"/>
              <w:left w:val="single" w:color="auto" w:sz="4" w:space="0"/>
              <w:bottom w:val="single" w:color="auto" w:sz="4" w:space="0"/>
              <w:right w:val="single" w:color="auto" w:sz="4" w:space="0"/>
            </w:tcBorders>
            <w:vAlign w:val="center"/>
          </w:tcPr>
          <w:p w14:paraId="189D1563">
            <w:pPr>
              <w:jc w:val="center"/>
              <w:rPr>
                <w:color w:val="auto"/>
                <w:highlight w:val="none"/>
              </w:rPr>
            </w:pPr>
          </w:p>
        </w:tc>
      </w:tr>
      <w:tr w14:paraId="3190D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0F3EF603">
            <w:pPr>
              <w:jc w:val="center"/>
              <w:rPr>
                <w:rFonts w:cs="宋体"/>
                <w:color w:val="auto"/>
                <w:highlight w:val="none"/>
              </w:rPr>
            </w:pPr>
            <w:r>
              <w:rPr>
                <w:rFonts w:hint="eastAsia" w:cs="宋体"/>
                <w:color w:val="auto"/>
                <w:highlight w:val="none"/>
              </w:rPr>
              <w:t>从业开始时间</w:t>
            </w:r>
          </w:p>
        </w:tc>
        <w:tc>
          <w:tcPr>
            <w:tcW w:w="2318" w:type="dxa"/>
            <w:gridSpan w:val="4"/>
            <w:tcBorders>
              <w:top w:val="single" w:color="auto" w:sz="4" w:space="0"/>
              <w:left w:val="single" w:color="auto" w:sz="4" w:space="0"/>
              <w:bottom w:val="single" w:color="auto" w:sz="4" w:space="0"/>
              <w:right w:val="single" w:color="auto" w:sz="4" w:space="0"/>
            </w:tcBorders>
            <w:vAlign w:val="center"/>
          </w:tcPr>
          <w:p w14:paraId="52CD3F78">
            <w:pPr>
              <w:jc w:val="center"/>
              <w:rPr>
                <w:color w:val="auto"/>
                <w:highlight w:val="none"/>
              </w:rPr>
            </w:pPr>
          </w:p>
        </w:tc>
        <w:tc>
          <w:tcPr>
            <w:tcW w:w="1893" w:type="dxa"/>
            <w:gridSpan w:val="5"/>
            <w:tcBorders>
              <w:top w:val="single" w:color="auto" w:sz="4" w:space="0"/>
              <w:left w:val="single" w:color="auto" w:sz="4" w:space="0"/>
              <w:bottom w:val="single" w:color="auto" w:sz="4" w:space="0"/>
              <w:right w:val="single" w:color="auto" w:sz="4" w:space="0"/>
            </w:tcBorders>
            <w:vAlign w:val="center"/>
          </w:tcPr>
          <w:p w14:paraId="5CF02FE9">
            <w:pPr>
              <w:jc w:val="center"/>
              <w:rPr>
                <w:rFonts w:cs="宋体"/>
                <w:color w:val="auto"/>
                <w:highlight w:val="none"/>
              </w:rPr>
            </w:pPr>
            <w:r>
              <w:rPr>
                <w:rFonts w:hint="eastAsia" w:cs="宋体"/>
                <w:color w:val="auto"/>
                <w:highlight w:val="none"/>
              </w:rPr>
              <w:t>职称</w:t>
            </w:r>
            <w:r>
              <w:rPr>
                <w:rFonts w:cs="宋体"/>
                <w:color w:val="auto"/>
                <w:highlight w:val="none"/>
              </w:rPr>
              <w:t>获</w:t>
            </w:r>
            <w:r>
              <w:rPr>
                <w:rFonts w:hint="eastAsia" w:cs="宋体"/>
                <w:color w:val="auto"/>
                <w:highlight w:val="none"/>
              </w:rPr>
              <w:t>得</w:t>
            </w:r>
            <w:r>
              <w:rPr>
                <w:rFonts w:cs="宋体"/>
                <w:color w:val="auto"/>
                <w:highlight w:val="none"/>
              </w:rPr>
              <w:t>时间</w:t>
            </w:r>
          </w:p>
        </w:tc>
        <w:tc>
          <w:tcPr>
            <w:tcW w:w="1585" w:type="dxa"/>
            <w:gridSpan w:val="3"/>
            <w:tcBorders>
              <w:top w:val="single" w:color="auto" w:sz="4" w:space="0"/>
              <w:left w:val="single" w:color="auto" w:sz="4" w:space="0"/>
              <w:bottom w:val="single" w:color="auto" w:sz="4" w:space="0"/>
              <w:right w:val="single" w:color="auto" w:sz="4" w:space="0"/>
            </w:tcBorders>
            <w:vAlign w:val="center"/>
          </w:tcPr>
          <w:p w14:paraId="2DAF7C45">
            <w:pPr>
              <w:jc w:val="center"/>
              <w:rPr>
                <w:color w:val="auto"/>
                <w:highlight w:val="none"/>
              </w:rPr>
            </w:pPr>
          </w:p>
        </w:tc>
        <w:tc>
          <w:tcPr>
            <w:tcW w:w="1108" w:type="dxa"/>
            <w:tcBorders>
              <w:top w:val="single" w:color="auto" w:sz="4" w:space="0"/>
              <w:left w:val="single" w:color="auto" w:sz="4" w:space="0"/>
              <w:bottom w:val="single" w:color="auto" w:sz="4" w:space="0"/>
              <w:right w:val="single" w:color="auto" w:sz="4" w:space="0"/>
            </w:tcBorders>
            <w:vAlign w:val="center"/>
          </w:tcPr>
          <w:p w14:paraId="50E68AED">
            <w:pPr>
              <w:jc w:val="center"/>
              <w:rPr>
                <w:rFonts w:cs="宋体"/>
                <w:color w:val="auto"/>
                <w:highlight w:val="none"/>
              </w:rPr>
            </w:pPr>
            <w:r>
              <w:rPr>
                <w:rFonts w:hint="eastAsia" w:cs="宋体"/>
                <w:color w:val="auto"/>
                <w:highlight w:val="none"/>
              </w:rPr>
              <w:t>毕业时间</w:t>
            </w:r>
          </w:p>
        </w:tc>
        <w:tc>
          <w:tcPr>
            <w:tcW w:w="1531" w:type="dxa"/>
            <w:gridSpan w:val="3"/>
            <w:tcBorders>
              <w:top w:val="single" w:color="auto" w:sz="4" w:space="0"/>
              <w:left w:val="single" w:color="auto" w:sz="4" w:space="0"/>
              <w:bottom w:val="single" w:color="auto" w:sz="4" w:space="0"/>
              <w:right w:val="single" w:color="auto" w:sz="4" w:space="0"/>
            </w:tcBorders>
            <w:vAlign w:val="center"/>
          </w:tcPr>
          <w:p w14:paraId="69386AD9">
            <w:pPr>
              <w:jc w:val="center"/>
              <w:rPr>
                <w:color w:val="auto"/>
                <w:highlight w:val="none"/>
              </w:rPr>
            </w:pPr>
          </w:p>
        </w:tc>
      </w:tr>
      <w:tr w14:paraId="5DF96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vAlign w:val="center"/>
          </w:tcPr>
          <w:p w14:paraId="76B1B219">
            <w:pPr>
              <w:jc w:val="center"/>
              <w:rPr>
                <w:color w:val="auto"/>
                <w:highlight w:val="none"/>
              </w:rPr>
            </w:pPr>
            <w:r>
              <w:rPr>
                <w:rFonts w:hint="eastAsia" w:cs="宋体"/>
                <w:color w:val="auto"/>
                <w:highlight w:val="none"/>
              </w:rPr>
              <w:t>担任项目经理年限</w:t>
            </w:r>
          </w:p>
        </w:tc>
        <w:tc>
          <w:tcPr>
            <w:tcW w:w="2563" w:type="dxa"/>
            <w:gridSpan w:val="5"/>
            <w:vAlign w:val="center"/>
          </w:tcPr>
          <w:p w14:paraId="38DF2CE7">
            <w:pPr>
              <w:jc w:val="center"/>
              <w:rPr>
                <w:color w:val="auto"/>
                <w:highlight w:val="none"/>
              </w:rPr>
            </w:pPr>
          </w:p>
        </w:tc>
        <w:tc>
          <w:tcPr>
            <w:tcW w:w="1209" w:type="dxa"/>
            <w:vAlign w:val="center"/>
          </w:tcPr>
          <w:p w14:paraId="1C48B07F">
            <w:pPr>
              <w:jc w:val="center"/>
              <w:rPr>
                <w:color w:val="auto"/>
                <w:highlight w:val="none"/>
              </w:rPr>
            </w:pPr>
            <w:r>
              <w:rPr>
                <w:rFonts w:hint="eastAsia"/>
                <w:color w:val="auto"/>
                <w:highlight w:val="none"/>
              </w:rPr>
              <w:t>身份</w:t>
            </w:r>
            <w:r>
              <w:rPr>
                <w:color w:val="auto"/>
                <w:highlight w:val="none"/>
              </w:rPr>
              <w:t>证号码</w:t>
            </w:r>
          </w:p>
        </w:tc>
        <w:tc>
          <w:tcPr>
            <w:tcW w:w="4608" w:type="dxa"/>
            <w:gridSpan w:val="9"/>
            <w:vAlign w:val="center"/>
          </w:tcPr>
          <w:p w14:paraId="0B965C75">
            <w:pPr>
              <w:jc w:val="center"/>
              <w:rPr>
                <w:color w:val="auto"/>
                <w:highlight w:val="none"/>
              </w:rPr>
            </w:pPr>
          </w:p>
        </w:tc>
      </w:tr>
      <w:tr w14:paraId="161A8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vAlign w:val="center"/>
          </w:tcPr>
          <w:p w14:paraId="49B34F62">
            <w:pPr>
              <w:jc w:val="center"/>
              <w:rPr>
                <w:color w:val="auto"/>
                <w:highlight w:val="none"/>
              </w:rPr>
            </w:pPr>
            <w:r>
              <w:rPr>
                <w:rFonts w:hint="eastAsia"/>
                <w:color w:val="auto"/>
                <w:highlight w:val="none"/>
              </w:rPr>
              <w:t>证书名称</w:t>
            </w:r>
          </w:p>
        </w:tc>
        <w:tc>
          <w:tcPr>
            <w:tcW w:w="2497" w:type="dxa"/>
            <w:gridSpan w:val="4"/>
            <w:vAlign w:val="center"/>
          </w:tcPr>
          <w:p w14:paraId="7861CB61">
            <w:pPr>
              <w:jc w:val="center"/>
              <w:rPr>
                <w:color w:val="auto"/>
                <w:highlight w:val="none"/>
              </w:rPr>
            </w:pPr>
            <w:r>
              <w:rPr>
                <w:rFonts w:hint="eastAsia"/>
                <w:color w:val="auto"/>
                <w:highlight w:val="none"/>
              </w:rPr>
              <w:t>注册专业</w:t>
            </w:r>
          </w:p>
        </w:tc>
        <w:tc>
          <w:tcPr>
            <w:tcW w:w="1417" w:type="dxa"/>
            <w:gridSpan w:val="3"/>
            <w:vAlign w:val="center"/>
          </w:tcPr>
          <w:p w14:paraId="43868EAD">
            <w:pPr>
              <w:jc w:val="center"/>
              <w:rPr>
                <w:color w:val="auto"/>
                <w:highlight w:val="none"/>
              </w:rPr>
            </w:pPr>
            <w:r>
              <w:rPr>
                <w:rFonts w:hint="eastAsia" w:cs="宋体"/>
                <w:color w:val="auto"/>
                <w:highlight w:val="none"/>
              </w:rPr>
              <w:t>证书编号</w:t>
            </w:r>
          </w:p>
        </w:tc>
        <w:tc>
          <w:tcPr>
            <w:tcW w:w="1418" w:type="dxa"/>
            <w:gridSpan w:val="3"/>
            <w:vAlign w:val="center"/>
          </w:tcPr>
          <w:p w14:paraId="7A2FA250">
            <w:pPr>
              <w:jc w:val="center"/>
              <w:rPr>
                <w:color w:val="auto"/>
                <w:highlight w:val="none"/>
              </w:rPr>
            </w:pPr>
            <w:r>
              <w:rPr>
                <w:rFonts w:hint="eastAsia"/>
                <w:color w:val="auto"/>
                <w:highlight w:val="none"/>
              </w:rPr>
              <w:t>注册时间</w:t>
            </w:r>
          </w:p>
        </w:tc>
        <w:tc>
          <w:tcPr>
            <w:tcW w:w="3048" w:type="dxa"/>
            <w:gridSpan w:val="5"/>
            <w:vAlign w:val="center"/>
          </w:tcPr>
          <w:p w14:paraId="744113CF">
            <w:pPr>
              <w:jc w:val="center"/>
              <w:rPr>
                <w:color w:val="auto"/>
                <w:highlight w:val="none"/>
              </w:rPr>
            </w:pPr>
            <w:r>
              <w:rPr>
                <w:rFonts w:hint="eastAsia"/>
                <w:color w:val="auto"/>
                <w:highlight w:val="none"/>
              </w:rPr>
              <w:t>注册单位</w:t>
            </w:r>
          </w:p>
        </w:tc>
      </w:tr>
      <w:tr w14:paraId="2D2B4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vAlign w:val="center"/>
          </w:tcPr>
          <w:p w14:paraId="785F0D0C">
            <w:pPr>
              <w:jc w:val="center"/>
              <w:rPr>
                <w:color w:val="auto"/>
                <w:highlight w:val="none"/>
              </w:rPr>
            </w:pPr>
          </w:p>
        </w:tc>
        <w:tc>
          <w:tcPr>
            <w:tcW w:w="2497" w:type="dxa"/>
            <w:gridSpan w:val="4"/>
            <w:vAlign w:val="center"/>
          </w:tcPr>
          <w:p w14:paraId="39A2C2ED">
            <w:pPr>
              <w:jc w:val="center"/>
              <w:rPr>
                <w:rFonts w:cs="宋体"/>
                <w:color w:val="auto"/>
                <w:highlight w:val="none"/>
              </w:rPr>
            </w:pPr>
          </w:p>
        </w:tc>
        <w:tc>
          <w:tcPr>
            <w:tcW w:w="1417" w:type="dxa"/>
            <w:gridSpan w:val="3"/>
            <w:vAlign w:val="center"/>
          </w:tcPr>
          <w:p w14:paraId="16830377">
            <w:pPr>
              <w:jc w:val="center"/>
              <w:rPr>
                <w:color w:val="auto"/>
                <w:highlight w:val="none"/>
              </w:rPr>
            </w:pPr>
          </w:p>
        </w:tc>
        <w:tc>
          <w:tcPr>
            <w:tcW w:w="1418" w:type="dxa"/>
            <w:gridSpan w:val="3"/>
            <w:vAlign w:val="center"/>
          </w:tcPr>
          <w:p w14:paraId="3927DD5A">
            <w:pPr>
              <w:jc w:val="center"/>
              <w:rPr>
                <w:color w:val="auto"/>
                <w:highlight w:val="none"/>
              </w:rPr>
            </w:pPr>
          </w:p>
        </w:tc>
        <w:tc>
          <w:tcPr>
            <w:tcW w:w="3048" w:type="dxa"/>
            <w:gridSpan w:val="5"/>
            <w:vAlign w:val="center"/>
          </w:tcPr>
          <w:p w14:paraId="5638C1A3">
            <w:pPr>
              <w:jc w:val="center"/>
              <w:rPr>
                <w:color w:val="auto"/>
                <w:highlight w:val="none"/>
              </w:rPr>
            </w:pPr>
          </w:p>
        </w:tc>
      </w:tr>
      <w:tr w14:paraId="68122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17"/>
            <w:vAlign w:val="center"/>
          </w:tcPr>
          <w:p w14:paraId="1A3C3722">
            <w:pPr>
              <w:jc w:val="center"/>
              <w:rPr>
                <w:color w:val="auto"/>
                <w:highlight w:val="none"/>
              </w:rPr>
            </w:pPr>
            <w:r>
              <w:rPr>
                <w:rFonts w:hint="eastAsia" w:cs="宋体"/>
                <w:color w:val="auto"/>
                <w:highlight w:val="none"/>
              </w:rPr>
              <w:t>在建和已完成工程项目情况</w:t>
            </w:r>
          </w:p>
        </w:tc>
      </w:tr>
      <w:tr w14:paraId="5B822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14:paraId="4A66D1F0">
            <w:pPr>
              <w:jc w:val="center"/>
              <w:rPr>
                <w:color w:val="auto"/>
                <w:highlight w:val="none"/>
              </w:rPr>
            </w:pPr>
          </w:p>
        </w:tc>
        <w:tc>
          <w:tcPr>
            <w:tcW w:w="1548" w:type="dxa"/>
            <w:vAlign w:val="center"/>
          </w:tcPr>
          <w:p w14:paraId="2EEF7C32">
            <w:pPr>
              <w:jc w:val="center"/>
              <w:rPr>
                <w:color w:val="auto"/>
                <w:highlight w:val="none"/>
              </w:rPr>
            </w:pPr>
            <w:r>
              <w:rPr>
                <w:rFonts w:hint="eastAsia"/>
                <w:color w:val="auto"/>
                <w:highlight w:val="none"/>
              </w:rPr>
              <w:t>项目1</w:t>
            </w:r>
          </w:p>
        </w:tc>
        <w:tc>
          <w:tcPr>
            <w:tcW w:w="1837" w:type="dxa"/>
            <w:gridSpan w:val="4"/>
            <w:vAlign w:val="center"/>
          </w:tcPr>
          <w:p w14:paraId="2224E3C9">
            <w:pPr>
              <w:jc w:val="center"/>
              <w:rPr>
                <w:color w:val="auto"/>
                <w:highlight w:val="none"/>
              </w:rPr>
            </w:pPr>
            <w:r>
              <w:rPr>
                <w:rFonts w:hint="eastAsia"/>
                <w:color w:val="auto"/>
                <w:highlight w:val="none"/>
              </w:rPr>
              <w:t>项目2</w:t>
            </w:r>
          </w:p>
        </w:tc>
        <w:tc>
          <w:tcPr>
            <w:tcW w:w="1472" w:type="dxa"/>
            <w:gridSpan w:val="3"/>
            <w:vAlign w:val="center"/>
          </w:tcPr>
          <w:p w14:paraId="013DA315">
            <w:pPr>
              <w:jc w:val="center"/>
              <w:rPr>
                <w:color w:val="auto"/>
                <w:highlight w:val="none"/>
              </w:rPr>
            </w:pPr>
            <w:r>
              <w:rPr>
                <w:rFonts w:hint="eastAsia"/>
                <w:color w:val="auto"/>
                <w:highlight w:val="none"/>
              </w:rPr>
              <w:t>项目3</w:t>
            </w:r>
          </w:p>
        </w:tc>
        <w:tc>
          <w:tcPr>
            <w:tcW w:w="1641" w:type="dxa"/>
            <w:gridSpan w:val="4"/>
            <w:vAlign w:val="center"/>
          </w:tcPr>
          <w:p w14:paraId="7CCEC152">
            <w:pPr>
              <w:jc w:val="center"/>
              <w:rPr>
                <w:color w:val="auto"/>
                <w:highlight w:val="none"/>
              </w:rPr>
            </w:pPr>
            <w:r>
              <w:rPr>
                <w:rFonts w:hint="eastAsia"/>
                <w:color w:val="auto"/>
                <w:highlight w:val="none"/>
              </w:rPr>
              <w:t>项目4</w:t>
            </w:r>
          </w:p>
        </w:tc>
        <w:tc>
          <w:tcPr>
            <w:tcW w:w="1484" w:type="dxa"/>
            <w:vAlign w:val="center"/>
          </w:tcPr>
          <w:p w14:paraId="5C31C2F0">
            <w:pPr>
              <w:jc w:val="center"/>
              <w:rPr>
                <w:color w:val="auto"/>
                <w:highlight w:val="none"/>
              </w:rPr>
            </w:pPr>
            <w:r>
              <w:rPr>
                <w:rFonts w:hint="eastAsia"/>
                <w:color w:val="auto"/>
                <w:highlight w:val="none"/>
              </w:rPr>
              <w:t>……</w:t>
            </w:r>
          </w:p>
        </w:tc>
      </w:tr>
      <w:tr w14:paraId="17E15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14:paraId="574BF202">
            <w:pPr>
              <w:jc w:val="center"/>
              <w:rPr>
                <w:color w:val="auto"/>
                <w:highlight w:val="none"/>
              </w:rPr>
            </w:pPr>
            <w:r>
              <w:rPr>
                <w:rFonts w:hint="eastAsia"/>
                <w:color w:val="auto"/>
                <w:highlight w:val="none"/>
              </w:rPr>
              <w:t>项目名称</w:t>
            </w:r>
          </w:p>
        </w:tc>
        <w:tc>
          <w:tcPr>
            <w:tcW w:w="1548" w:type="dxa"/>
            <w:vAlign w:val="center"/>
          </w:tcPr>
          <w:p w14:paraId="0947999E">
            <w:pPr>
              <w:jc w:val="center"/>
              <w:rPr>
                <w:color w:val="auto"/>
                <w:highlight w:val="none"/>
              </w:rPr>
            </w:pPr>
          </w:p>
        </w:tc>
        <w:tc>
          <w:tcPr>
            <w:tcW w:w="1837" w:type="dxa"/>
            <w:gridSpan w:val="4"/>
            <w:vAlign w:val="center"/>
          </w:tcPr>
          <w:p w14:paraId="3690EB2C">
            <w:pPr>
              <w:jc w:val="center"/>
              <w:rPr>
                <w:color w:val="auto"/>
                <w:highlight w:val="none"/>
              </w:rPr>
            </w:pPr>
          </w:p>
        </w:tc>
        <w:tc>
          <w:tcPr>
            <w:tcW w:w="1472" w:type="dxa"/>
            <w:gridSpan w:val="3"/>
            <w:vAlign w:val="center"/>
          </w:tcPr>
          <w:p w14:paraId="026254B1">
            <w:pPr>
              <w:jc w:val="center"/>
              <w:rPr>
                <w:color w:val="auto"/>
                <w:highlight w:val="none"/>
              </w:rPr>
            </w:pPr>
          </w:p>
        </w:tc>
        <w:tc>
          <w:tcPr>
            <w:tcW w:w="1641" w:type="dxa"/>
            <w:gridSpan w:val="4"/>
            <w:vAlign w:val="center"/>
          </w:tcPr>
          <w:p w14:paraId="4AD5CB39">
            <w:pPr>
              <w:jc w:val="center"/>
              <w:rPr>
                <w:color w:val="auto"/>
                <w:highlight w:val="none"/>
              </w:rPr>
            </w:pPr>
          </w:p>
        </w:tc>
        <w:tc>
          <w:tcPr>
            <w:tcW w:w="1484" w:type="dxa"/>
            <w:vAlign w:val="center"/>
          </w:tcPr>
          <w:p w14:paraId="422DCB05">
            <w:pPr>
              <w:jc w:val="center"/>
              <w:rPr>
                <w:color w:val="auto"/>
                <w:highlight w:val="none"/>
              </w:rPr>
            </w:pPr>
          </w:p>
        </w:tc>
      </w:tr>
      <w:tr w14:paraId="79C40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30FF28B1">
            <w:pPr>
              <w:jc w:val="center"/>
              <w:rPr>
                <w:color w:val="auto"/>
                <w:highlight w:val="none"/>
              </w:rPr>
            </w:pPr>
            <w:r>
              <w:rPr>
                <w:rFonts w:hint="eastAsia" w:cs="宋体"/>
                <w:color w:val="auto"/>
                <w:highlight w:val="none"/>
              </w:rPr>
              <w:t>建设单位</w:t>
            </w:r>
          </w:p>
        </w:tc>
        <w:tc>
          <w:tcPr>
            <w:tcW w:w="1548" w:type="dxa"/>
            <w:vAlign w:val="center"/>
          </w:tcPr>
          <w:p w14:paraId="32FC5DDA">
            <w:pPr>
              <w:jc w:val="center"/>
              <w:rPr>
                <w:color w:val="auto"/>
                <w:highlight w:val="none"/>
              </w:rPr>
            </w:pPr>
          </w:p>
        </w:tc>
        <w:tc>
          <w:tcPr>
            <w:tcW w:w="1837" w:type="dxa"/>
            <w:gridSpan w:val="4"/>
            <w:vAlign w:val="center"/>
          </w:tcPr>
          <w:p w14:paraId="3A6A0182">
            <w:pPr>
              <w:jc w:val="center"/>
              <w:rPr>
                <w:color w:val="auto"/>
                <w:highlight w:val="none"/>
              </w:rPr>
            </w:pPr>
          </w:p>
        </w:tc>
        <w:tc>
          <w:tcPr>
            <w:tcW w:w="1472" w:type="dxa"/>
            <w:gridSpan w:val="3"/>
            <w:vAlign w:val="center"/>
          </w:tcPr>
          <w:p w14:paraId="7A1D8D59">
            <w:pPr>
              <w:jc w:val="center"/>
              <w:rPr>
                <w:color w:val="auto"/>
                <w:highlight w:val="none"/>
              </w:rPr>
            </w:pPr>
          </w:p>
        </w:tc>
        <w:tc>
          <w:tcPr>
            <w:tcW w:w="1641" w:type="dxa"/>
            <w:gridSpan w:val="4"/>
            <w:vAlign w:val="center"/>
          </w:tcPr>
          <w:p w14:paraId="3B182BBC">
            <w:pPr>
              <w:jc w:val="center"/>
              <w:rPr>
                <w:color w:val="auto"/>
                <w:highlight w:val="none"/>
              </w:rPr>
            </w:pPr>
          </w:p>
        </w:tc>
        <w:tc>
          <w:tcPr>
            <w:tcW w:w="1484" w:type="dxa"/>
            <w:vAlign w:val="center"/>
          </w:tcPr>
          <w:p w14:paraId="0FF1EB39">
            <w:pPr>
              <w:jc w:val="center"/>
              <w:rPr>
                <w:color w:val="auto"/>
                <w:highlight w:val="none"/>
              </w:rPr>
            </w:pPr>
          </w:p>
        </w:tc>
      </w:tr>
      <w:tr w14:paraId="79C86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7DAFE9C7">
            <w:pPr>
              <w:jc w:val="center"/>
              <w:rPr>
                <w:color w:val="auto"/>
                <w:highlight w:val="none"/>
              </w:rPr>
            </w:pPr>
            <w:r>
              <w:rPr>
                <w:rFonts w:hint="eastAsia" w:cs="宋体"/>
                <w:color w:val="auto"/>
                <w:highlight w:val="none"/>
              </w:rPr>
              <w:t>建设规模</w:t>
            </w:r>
          </w:p>
        </w:tc>
        <w:tc>
          <w:tcPr>
            <w:tcW w:w="1548" w:type="dxa"/>
            <w:vAlign w:val="center"/>
          </w:tcPr>
          <w:p w14:paraId="771D352B">
            <w:pPr>
              <w:jc w:val="center"/>
              <w:rPr>
                <w:color w:val="auto"/>
                <w:highlight w:val="none"/>
              </w:rPr>
            </w:pPr>
          </w:p>
        </w:tc>
        <w:tc>
          <w:tcPr>
            <w:tcW w:w="1837" w:type="dxa"/>
            <w:gridSpan w:val="4"/>
            <w:vAlign w:val="center"/>
          </w:tcPr>
          <w:p w14:paraId="1FEAD313">
            <w:pPr>
              <w:jc w:val="center"/>
              <w:rPr>
                <w:color w:val="auto"/>
                <w:highlight w:val="none"/>
              </w:rPr>
            </w:pPr>
          </w:p>
        </w:tc>
        <w:tc>
          <w:tcPr>
            <w:tcW w:w="1472" w:type="dxa"/>
            <w:gridSpan w:val="3"/>
            <w:vAlign w:val="center"/>
          </w:tcPr>
          <w:p w14:paraId="032A4FC6">
            <w:pPr>
              <w:jc w:val="center"/>
              <w:rPr>
                <w:color w:val="auto"/>
                <w:highlight w:val="none"/>
              </w:rPr>
            </w:pPr>
          </w:p>
        </w:tc>
        <w:tc>
          <w:tcPr>
            <w:tcW w:w="1641" w:type="dxa"/>
            <w:gridSpan w:val="4"/>
            <w:vAlign w:val="center"/>
          </w:tcPr>
          <w:p w14:paraId="5A769EC9">
            <w:pPr>
              <w:jc w:val="center"/>
              <w:rPr>
                <w:color w:val="auto"/>
                <w:highlight w:val="none"/>
              </w:rPr>
            </w:pPr>
          </w:p>
        </w:tc>
        <w:tc>
          <w:tcPr>
            <w:tcW w:w="1484" w:type="dxa"/>
            <w:vAlign w:val="center"/>
          </w:tcPr>
          <w:p w14:paraId="35DC98EE">
            <w:pPr>
              <w:jc w:val="center"/>
              <w:rPr>
                <w:color w:val="auto"/>
                <w:highlight w:val="none"/>
              </w:rPr>
            </w:pPr>
          </w:p>
        </w:tc>
      </w:tr>
      <w:tr w14:paraId="0BB22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713ECBE6">
            <w:pPr>
              <w:jc w:val="center"/>
              <w:rPr>
                <w:rFonts w:ascii="宋体" w:hAnsi="宋体" w:cs="宋体"/>
                <w:color w:val="auto"/>
                <w:sz w:val="27"/>
                <w:szCs w:val="27"/>
                <w:highlight w:val="none"/>
              </w:rPr>
            </w:pPr>
            <w:r>
              <w:rPr>
                <w:rFonts w:hint="eastAsia" w:cs="宋体"/>
                <w:color w:val="auto"/>
                <w:highlight w:val="none"/>
              </w:rPr>
              <w:t>开工日期</w:t>
            </w:r>
          </w:p>
        </w:tc>
        <w:tc>
          <w:tcPr>
            <w:tcW w:w="1548" w:type="dxa"/>
            <w:vAlign w:val="center"/>
          </w:tcPr>
          <w:p w14:paraId="3E2A2EF6">
            <w:pPr>
              <w:jc w:val="center"/>
              <w:rPr>
                <w:color w:val="auto"/>
                <w:highlight w:val="none"/>
              </w:rPr>
            </w:pPr>
          </w:p>
        </w:tc>
        <w:tc>
          <w:tcPr>
            <w:tcW w:w="1837" w:type="dxa"/>
            <w:gridSpan w:val="4"/>
            <w:vAlign w:val="center"/>
          </w:tcPr>
          <w:p w14:paraId="0608F495">
            <w:pPr>
              <w:jc w:val="center"/>
              <w:rPr>
                <w:color w:val="auto"/>
                <w:highlight w:val="none"/>
              </w:rPr>
            </w:pPr>
          </w:p>
        </w:tc>
        <w:tc>
          <w:tcPr>
            <w:tcW w:w="1472" w:type="dxa"/>
            <w:gridSpan w:val="3"/>
            <w:vAlign w:val="center"/>
          </w:tcPr>
          <w:p w14:paraId="583AB97A">
            <w:pPr>
              <w:jc w:val="center"/>
              <w:rPr>
                <w:color w:val="auto"/>
                <w:highlight w:val="none"/>
              </w:rPr>
            </w:pPr>
          </w:p>
        </w:tc>
        <w:tc>
          <w:tcPr>
            <w:tcW w:w="1641" w:type="dxa"/>
            <w:gridSpan w:val="4"/>
            <w:vAlign w:val="center"/>
          </w:tcPr>
          <w:p w14:paraId="636ADA19">
            <w:pPr>
              <w:jc w:val="center"/>
              <w:rPr>
                <w:color w:val="auto"/>
                <w:highlight w:val="none"/>
              </w:rPr>
            </w:pPr>
          </w:p>
        </w:tc>
        <w:tc>
          <w:tcPr>
            <w:tcW w:w="1484" w:type="dxa"/>
            <w:vAlign w:val="center"/>
          </w:tcPr>
          <w:p w14:paraId="2967CCE3">
            <w:pPr>
              <w:jc w:val="center"/>
              <w:rPr>
                <w:color w:val="auto"/>
                <w:highlight w:val="none"/>
              </w:rPr>
            </w:pPr>
          </w:p>
        </w:tc>
      </w:tr>
      <w:tr w14:paraId="4F696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58EFD2B5">
            <w:pPr>
              <w:jc w:val="center"/>
              <w:rPr>
                <w:color w:val="auto"/>
                <w:highlight w:val="none"/>
              </w:rPr>
            </w:pPr>
            <w:r>
              <w:rPr>
                <w:rFonts w:hint="eastAsia" w:cs="宋体"/>
                <w:color w:val="auto"/>
                <w:highlight w:val="none"/>
              </w:rPr>
              <w:t>竣工日期</w:t>
            </w:r>
          </w:p>
        </w:tc>
        <w:tc>
          <w:tcPr>
            <w:tcW w:w="1548" w:type="dxa"/>
            <w:vAlign w:val="center"/>
          </w:tcPr>
          <w:p w14:paraId="0B4A74C5">
            <w:pPr>
              <w:jc w:val="center"/>
              <w:rPr>
                <w:color w:val="auto"/>
                <w:highlight w:val="none"/>
              </w:rPr>
            </w:pPr>
          </w:p>
        </w:tc>
        <w:tc>
          <w:tcPr>
            <w:tcW w:w="1837" w:type="dxa"/>
            <w:gridSpan w:val="4"/>
            <w:vAlign w:val="center"/>
          </w:tcPr>
          <w:p w14:paraId="664EB57D">
            <w:pPr>
              <w:jc w:val="center"/>
              <w:rPr>
                <w:color w:val="auto"/>
                <w:highlight w:val="none"/>
              </w:rPr>
            </w:pPr>
          </w:p>
        </w:tc>
        <w:tc>
          <w:tcPr>
            <w:tcW w:w="1472" w:type="dxa"/>
            <w:gridSpan w:val="3"/>
            <w:vAlign w:val="center"/>
          </w:tcPr>
          <w:p w14:paraId="17A2F0BD">
            <w:pPr>
              <w:jc w:val="center"/>
              <w:rPr>
                <w:color w:val="auto"/>
                <w:highlight w:val="none"/>
              </w:rPr>
            </w:pPr>
          </w:p>
        </w:tc>
        <w:tc>
          <w:tcPr>
            <w:tcW w:w="1641" w:type="dxa"/>
            <w:gridSpan w:val="4"/>
            <w:vAlign w:val="center"/>
          </w:tcPr>
          <w:p w14:paraId="4EAC34EA">
            <w:pPr>
              <w:jc w:val="center"/>
              <w:rPr>
                <w:color w:val="auto"/>
                <w:highlight w:val="none"/>
              </w:rPr>
            </w:pPr>
          </w:p>
        </w:tc>
        <w:tc>
          <w:tcPr>
            <w:tcW w:w="1484" w:type="dxa"/>
            <w:vAlign w:val="center"/>
          </w:tcPr>
          <w:p w14:paraId="159AC5CE">
            <w:pPr>
              <w:jc w:val="center"/>
              <w:rPr>
                <w:color w:val="auto"/>
                <w:highlight w:val="none"/>
              </w:rPr>
            </w:pPr>
          </w:p>
        </w:tc>
      </w:tr>
      <w:tr w14:paraId="5FB38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10B0A3DD">
            <w:pPr>
              <w:jc w:val="center"/>
              <w:rPr>
                <w:rFonts w:cs="宋体"/>
                <w:color w:val="auto"/>
                <w:highlight w:val="none"/>
              </w:rPr>
            </w:pPr>
            <w:r>
              <w:rPr>
                <w:rFonts w:hint="eastAsia" w:cs="宋体"/>
                <w:color w:val="auto"/>
                <w:highlight w:val="none"/>
              </w:rPr>
              <w:t>人员角色</w:t>
            </w:r>
          </w:p>
        </w:tc>
        <w:tc>
          <w:tcPr>
            <w:tcW w:w="1548" w:type="dxa"/>
            <w:vAlign w:val="center"/>
          </w:tcPr>
          <w:p w14:paraId="0C7A2725">
            <w:pPr>
              <w:jc w:val="center"/>
              <w:rPr>
                <w:color w:val="auto"/>
                <w:highlight w:val="none"/>
              </w:rPr>
            </w:pPr>
          </w:p>
        </w:tc>
        <w:tc>
          <w:tcPr>
            <w:tcW w:w="1837" w:type="dxa"/>
            <w:gridSpan w:val="4"/>
            <w:vAlign w:val="center"/>
          </w:tcPr>
          <w:p w14:paraId="21D724FB">
            <w:pPr>
              <w:jc w:val="center"/>
              <w:rPr>
                <w:color w:val="auto"/>
                <w:highlight w:val="none"/>
              </w:rPr>
            </w:pPr>
          </w:p>
        </w:tc>
        <w:tc>
          <w:tcPr>
            <w:tcW w:w="1472" w:type="dxa"/>
            <w:gridSpan w:val="3"/>
            <w:vAlign w:val="center"/>
          </w:tcPr>
          <w:p w14:paraId="5FCC60C4">
            <w:pPr>
              <w:jc w:val="center"/>
              <w:rPr>
                <w:color w:val="auto"/>
                <w:highlight w:val="none"/>
              </w:rPr>
            </w:pPr>
          </w:p>
        </w:tc>
        <w:tc>
          <w:tcPr>
            <w:tcW w:w="1641" w:type="dxa"/>
            <w:gridSpan w:val="4"/>
            <w:vAlign w:val="center"/>
          </w:tcPr>
          <w:p w14:paraId="15F15474">
            <w:pPr>
              <w:jc w:val="center"/>
              <w:rPr>
                <w:color w:val="auto"/>
                <w:highlight w:val="none"/>
              </w:rPr>
            </w:pPr>
          </w:p>
        </w:tc>
        <w:tc>
          <w:tcPr>
            <w:tcW w:w="1484" w:type="dxa"/>
            <w:vAlign w:val="center"/>
          </w:tcPr>
          <w:p w14:paraId="41D474D1">
            <w:pPr>
              <w:jc w:val="center"/>
              <w:rPr>
                <w:color w:val="auto"/>
                <w:highlight w:val="none"/>
              </w:rPr>
            </w:pPr>
          </w:p>
        </w:tc>
      </w:tr>
      <w:tr w14:paraId="2B201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0912C48E">
            <w:pPr>
              <w:jc w:val="center"/>
              <w:rPr>
                <w:rFonts w:cs="宋体"/>
                <w:color w:val="auto"/>
                <w:highlight w:val="none"/>
              </w:rPr>
            </w:pPr>
            <w:r>
              <w:rPr>
                <w:rFonts w:hint="eastAsia" w:cs="宋体"/>
                <w:color w:val="auto"/>
                <w:highlight w:val="none"/>
              </w:rPr>
              <w:t>在建或已完成</w:t>
            </w:r>
          </w:p>
        </w:tc>
        <w:tc>
          <w:tcPr>
            <w:tcW w:w="1548" w:type="dxa"/>
            <w:vAlign w:val="center"/>
          </w:tcPr>
          <w:p w14:paraId="7E378842">
            <w:pPr>
              <w:jc w:val="center"/>
              <w:rPr>
                <w:color w:val="auto"/>
                <w:highlight w:val="none"/>
              </w:rPr>
            </w:pPr>
          </w:p>
        </w:tc>
        <w:tc>
          <w:tcPr>
            <w:tcW w:w="1837" w:type="dxa"/>
            <w:gridSpan w:val="4"/>
            <w:vAlign w:val="center"/>
          </w:tcPr>
          <w:p w14:paraId="56F39513">
            <w:pPr>
              <w:jc w:val="center"/>
              <w:rPr>
                <w:color w:val="auto"/>
                <w:highlight w:val="none"/>
              </w:rPr>
            </w:pPr>
          </w:p>
        </w:tc>
        <w:tc>
          <w:tcPr>
            <w:tcW w:w="1472" w:type="dxa"/>
            <w:gridSpan w:val="3"/>
            <w:vAlign w:val="center"/>
          </w:tcPr>
          <w:p w14:paraId="40C521A3">
            <w:pPr>
              <w:jc w:val="center"/>
              <w:rPr>
                <w:color w:val="auto"/>
                <w:highlight w:val="none"/>
              </w:rPr>
            </w:pPr>
          </w:p>
        </w:tc>
        <w:tc>
          <w:tcPr>
            <w:tcW w:w="1641" w:type="dxa"/>
            <w:gridSpan w:val="4"/>
            <w:vAlign w:val="center"/>
          </w:tcPr>
          <w:p w14:paraId="4AF5C352">
            <w:pPr>
              <w:jc w:val="center"/>
              <w:rPr>
                <w:color w:val="auto"/>
                <w:highlight w:val="none"/>
              </w:rPr>
            </w:pPr>
          </w:p>
        </w:tc>
        <w:tc>
          <w:tcPr>
            <w:tcW w:w="1484" w:type="dxa"/>
            <w:vAlign w:val="center"/>
          </w:tcPr>
          <w:p w14:paraId="4F8A2AE3">
            <w:pPr>
              <w:jc w:val="center"/>
              <w:rPr>
                <w:color w:val="auto"/>
                <w:highlight w:val="none"/>
              </w:rPr>
            </w:pPr>
          </w:p>
        </w:tc>
      </w:tr>
      <w:tr w14:paraId="43342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109A5AB0">
            <w:pPr>
              <w:jc w:val="center"/>
              <w:rPr>
                <w:rFonts w:cs="宋体"/>
                <w:color w:val="auto"/>
                <w:highlight w:val="none"/>
              </w:rPr>
            </w:pPr>
            <w:r>
              <w:rPr>
                <w:rFonts w:hint="eastAsia" w:cs="宋体"/>
                <w:color w:val="auto"/>
                <w:highlight w:val="none"/>
              </w:rPr>
              <w:t>工程质量</w:t>
            </w:r>
          </w:p>
        </w:tc>
        <w:tc>
          <w:tcPr>
            <w:tcW w:w="1548" w:type="dxa"/>
            <w:vAlign w:val="center"/>
          </w:tcPr>
          <w:p w14:paraId="36DDA1DE">
            <w:pPr>
              <w:jc w:val="center"/>
              <w:rPr>
                <w:color w:val="auto"/>
                <w:highlight w:val="none"/>
              </w:rPr>
            </w:pPr>
          </w:p>
        </w:tc>
        <w:tc>
          <w:tcPr>
            <w:tcW w:w="1837" w:type="dxa"/>
            <w:gridSpan w:val="4"/>
            <w:vAlign w:val="center"/>
          </w:tcPr>
          <w:p w14:paraId="10FDF228">
            <w:pPr>
              <w:jc w:val="center"/>
              <w:rPr>
                <w:color w:val="auto"/>
                <w:highlight w:val="none"/>
              </w:rPr>
            </w:pPr>
          </w:p>
        </w:tc>
        <w:tc>
          <w:tcPr>
            <w:tcW w:w="1472" w:type="dxa"/>
            <w:gridSpan w:val="3"/>
            <w:vAlign w:val="center"/>
          </w:tcPr>
          <w:p w14:paraId="4C83AAA1">
            <w:pPr>
              <w:jc w:val="center"/>
              <w:rPr>
                <w:color w:val="auto"/>
                <w:highlight w:val="none"/>
              </w:rPr>
            </w:pPr>
          </w:p>
        </w:tc>
        <w:tc>
          <w:tcPr>
            <w:tcW w:w="1641" w:type="dxa"/>
            <w:gridSpan w:val="4"/>
            <w:vAlign w:val="center"/>
          </w:tcPr>
          <w:p w14:paraId="6F5767AE">
            <w:pPr>
              <w:jc w:val="center"/>
              <w:rPr>
                <w:color w:val="auto"/>
                <w:highlight w:val="none"/>
              </w:rPr>
            </w:pPr>
          </w:p>
        </w:tc>
        <w:tc>
          <w:tcPr>
            <w:tcW w:w="1484" w:type="dxa"/>
            <w:vAlign w:val="center"/>
          </w:tcPr>
          <w:p w14:paraId="75570797">
            <w:pPr>
              <w:jc w:val="center"/>
              <w:rPr>
                <w:color w:val="auto"/>
                <w:highlight w:val="none"/>
              </w:rPr>
            </w:pPr>
          </w:p>
        </w:tc>
      </w:tr>
      <w:tr w14:paraId="54A62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67CF1421">
            <w:pPr>
              <w:jc w:val="center"/>
              <w:rPr>
                <w:rFonts w:cs="宋体"/>
                <w:color w:val="auto"/>
                <w:highlight w:val="none"/>
              </w:rPr>
            </w:pPr>
            <w:r>
              <w:rPr>
                <w:rFonts w:hint="eastAsia" w:cs="宋体"/>
                <w:color w:val="auto"/>
                <w:highlight w:val="none"/>
              </w:rPr>
              <w:t>受奖情况</w:t>
            </w:r>
          </w:p>
        </w:tc>
        <w:tc>
          <w:tcPr>
            <w:tcW w:w="1548" w:type="dxa"/>
            <w:vAlign w:val="center"/>
          </w:tcPr>
          <w:p w14:paraId="3EBEDB9D">
            <w:pPr>
              <w:jc w:val="center"/>
              <w:rPr>
                <w:color w:val="auto"/>
                <w:highlight w:val="none"/>
              </w:rPr>
            </w:pPr>
          </w:p>
        </w:tc>
        <w:tc>
          <w:tcPr>
            <w:tcW w:w="1837" w:type="dxa"/>
            <w:gridSpan w:val="4"/>
            <w:vAlign w:val="center"/>
          </w:tcPr>
          <w:p w14:paraId="59B40062">
            <w:pPr>
              <w:jc w:val="center"/>
              <w:rPr>
                <w:color w:val="auto"/>
                <w:highlight w:val="none"/>
              </w:rPr>
            </w:pPr>
          </w:p>
        </w:tc>
        <w:tc>
          <w:tcPr>
            <w:tcW w:w="1472" w:type="dxa"/>
            <w:gridSpan w:val="3"/>
            <w:vAlign w:val="center"/>
          </w:tcPr>
          <w:p w14:paraId="477AF70C">
            <w:pPr>
              <w:jc w:val="center"/>
              <w:rPr>
                <w:color w:val="auto"/>
                <w:highlight w:val="none"/>
              </w:rPr>
            </w:pPr>
          </w:p>
        </w:tc>
        <w:tc>
          <w:tcPr>
            <w:tcW w:w="1641" w:type="dxa"/>
            <w:gridSpan w:val="4"/>
            <w:vAlign w:val="center"/>
          </w:tcPr>
          <w:p w14:paraId="36004404">
            <w:pPr>
              <w:jc w:val="center"/>
              <w:rPr>
                <w:color w:val="auto"/>
                <w:highlight w:val="none"/>
              </w:rPr>
            </w:pPr>
          </w:p>
        </w:tc>
        <w:tc>
          <w:tcPr>
            <w:tcW w:w="1484" w:type="dxa"/>
            <w:vAlign w:val="center"/>
          </w:tcPr>
          <w:p w14:paraId="41BD08FE">
            <w:pPr>
              <w:jc w:val="center"/>
              <w:rPr>
                <w:color w:val="auto"/>
                <w:highlight w:val="none"/>
              </w:rPr>
            </w:pPr>
          </w:p>
        </w:tc>
      </w:tr>
    </w:tbl>
    <w:p w14:paraId="05349DD7">
      <w:pPr>
        <w:rPr>
          <w:rFonts w:ascii="宋体" w:hAnsi="宋体"/>
          <w:color w:val="auto"/>
          <w:szCs w:val="21"/>
          <w:highlight w:val="none"/>
        </w:rPr>
      </w:pPr>
      <w:r>
        <w:rPr>
          <w:rFonts w:hint="eastAsia" w:ascii="宋体" w:hAnsi="宋体" w:cs="楷体_GB2312"/>
          <w:color w:val="auto"/>
          <w:szCs w:val="21"/>
          <w:highlight w:val="none"/>
        </w:rPr>
        <w:t>备注：</w:t>
      </w:r>
    </w:p>
    <w:p w14:paraId="7886B2E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1.项目</w:t>
      </w:r>
      <w:r>
        <w:rPr>
          <w:rFonts w:ascii="宋体" w:hAnsi="宋体"/>
          <w:color w:val="auto"/>
          <w:szCs w:val="21"/>
          <w:highlight w:val="none"/>
        </w:rPr>
        <w:t>数</w:t>
      </w:r>
      <w:r>
        <w:rPr>
          <w:rFonts w:hint="eastAsia" w:ascii="宋体" w:hAnsi="宋体"/>
          <w:color w:val="auto"/>
          <w:szCs w:val="21"/>
          <w:highlight w:val="none"/>
        </w:rPr>
        <w:t>可</w:t>
      </w:r>
      <w:r>
        <w:rPr>
          <w:rFonts w:ascii="宋体" w:hAnsi="宋体"/>
          <w:color w:val="auto"/>
          <w:szCs w:val="21"/>
          <w:highlight w:val="none"/>
        </w:rPr>
        <w:t>以根据需要增加</w:t>
      </w:r>
      <w:r>
        <w:rPr>
          <w:rFonts w:hint="eastAsia" w:ascii="宋体" w:hAnsi="宋体"/>
          <w:color w:val="auto"/>
          <w:szCs w:val="21"/>
          <w:highlight w:val="none"/>
        </w:rPr>
        <w:t>。</w:t>
      </w:r>
    </w:p>
    <w:p w14:paraId="23384C2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2.本表后附项目经理本表所列证书扫描件并加盖供应商电子签章。</w:t>
      </w:r>
    </w:p>
    <w:p w14:paraId="64C30FD6">
      <w:pPr>
        <w:spacing w:before="120" w:beforeLines="50"/>
        <w:ind w:firstLine="643" w:firstLineChars="200"/>
        <w:jc w:val="center"/>
        <w:rPr>
          <w:color w:val="auto"/>
          <w:highlight w:val="none"/>
          <w:u w:val="single"/>
        </w:rPr>
      </w:pPr>
      <w:r>
        <w:rPr>
          <w:rFonts w:cs="宋体"/>
          <w:b/>
          <w:color w:val="auto"/>
          <w:sz w:val="32"/>
          <w:szCs w:val="32"/>
          <w:highlight w:val="none"/>
        </w:rPr>
        <w:br w:type="page"/>
      </w:r>
      <w:r>
        <w:rPr>
          <w:rFonts w:hint="eastAsia" w:cs="宋体"/>
          <w:b/>
          <w:color w:val="auto"/>
          <w:sz w:val="32"/>
          <w:szCs w:val="32"/>
          <w:highlight w:val="none"/>
        </w:rPr>
        <w:t>项目技术负责人（项目总工）简历表</w:t>
      </w:r>
    </w:p>
    <w:tbl>
      <w:tblPr>
        <w:tblStyle w:val="55"/>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164"/>
        <w:gridCol w:w="300"/>
        <w:gridCol w:w="1548"/>
        <w:gridCol w:w="328"/>
        <w:gridCol w:w="234"/>
        <w:gridCol w:w="66"/>
        <w:gridCol w:w="1209"/>
        <w:gridCol w:w="142"/>
        <w:gridCol w:w="242"/>
        <w:gridCol w:w="1088"/>
        <w:gridCol w:w="88"/>
        <w:gridCol w:w="409"/>
        <w:gridCol w:w="1108"/>
        <w:gridCol w:w="36"/>
        <w:gridCol w:w="1484"/>
        <w:gridCol w:w="11"/>
      </w:tblGrid>
      <w:tr w14:paraId="3D034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vAlign w:val="center"/>
          </w:tcPr>
          <w:p w14:paraId="36CEDF87">
            <w:pPr>
              <w:jc w:val="center"/>
              <w:rPr>
                <w:color w:val="auto"/>
                <w:highlight w:val="none"/>
              </w:rPr>
            </w:pPr>
            <w:r>
              <w:rPr>
                <w:rFonts w:hint="eastAsia" w:cs="宋体"/>
                <w:color w:val="auto"/>
                <w:highlight w:val="none"/>
              </w:rPr>
              <w:t>姓名</w:t>
            </w:r>
          </w:p>
        </w:tc>
        <w:tc>
          <w:tcPr>
            <w:tcW w:w="2340" w:type="dxa"/>
            <w:gridSpan w:val="4"/>
            <w:vAlign w:val="center"/>
          </w:tcPr>
          <w:p w14:paraId="25A3D9D2">
            <w:pPr>
              <w:jc w:val="center"/>
              <w:rPr>
                <w:color w:val="auto"/>
                <w:highlight w:val="none"/>
              </w:rPr>
            </w:pPr>
          </w:p>
        </w:tc>
        <w:tc>
          <w:tcPr>
            <w:tcW w:w="1893" w:type="dxa"/>
            <w:gridSpan w:val="5"/>
            <w:vAlign w:val="center"/>
          </w:tcPr>
          <w:p w14:paraId="74B82B19">
            <w:pPr>
              <w:jc w:val="center"/>
              <w:rPr>
                <w:color w:val="auto"/>
                <w:highlight w:val="none"/>
              </w:rPr>
            </w:pPr>
            <w:r>
              <w:rPr>
                <w:rFonts w:hint="eastAsia" w:cs="宋体"/>
                <w:color w:val="auto"/>
                <w:highlight w:val="none"/>
              </w:rPr>
              <w:t>性别</w:t>
            </w:r>
          </w:p>
        </w:tc>
        <w:tc>
          <w:tcPr>
            <w:tcW w:w="1585" w:type="dxa"/>
            <w:gridSpan w:val="3"/>
            <w:vAlign w:val="center"/>
          </w:tcPr>
          <w:p w14:paraId="66C2CD1A">
            <w:pPr>
              <w:jc w:val="center"/>
              <w:rPr>
                <w:color w:val="auto"/>
                <w:highlight w:val="none"/>
              </w:rPr>
            </w:pPr>
          </w:p>
        </w:tc>
        <w:tc>
          <w:tcPr>
            <w:tcW w:w="1108" w:type="dxa"/>
            <w:vAlign w:val="center"/>
          </w:tcPr>
          <w:p w14:paraId="19C03DD0">
            <w:pPr>
              <w:jc w:val="center"/>
              <w:rPr>
                <w:color w:val="auto"/>
                <w:highlight w:val="none"/>
              </w:rPr>
            </w:pPr>
            <w:r>
              <w:rPr>
                <w:rFonts w:hint="eastAsia" w:cs="宋体"/>
                <w:color w:val="auto"/>
                <w:highlight w:val="none"/>
              </w:rPr>
              <w:t>年龄</w:t>
            </w:r>
          </w:p>
        </w:tc>
        <w:tc>
          <w:tcPr>
            <w:tcW w:w="1531" w:type="dxa"/>
            <w:gridSpan w:val="3"/>
            <w:vAlign w:val="center"/>
          </w:tcPr>
          <w:p w14:paraId="48D841C5">
            <w:pPr>
              <w:jc w:val="center"/>
              <w:rPr>
                <w:color w:val="auto"/>
                <w:highlight w:val="none"/>
              </w:rPr>
            </w:pPr>
          </w:p>
        </w:tc>
      </w:tr>
      <w:tr w14:paraId="4A97A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vAlign w:val="center"/>
          </w:tcPr>
          <w:p w14:paraId="54E091DA">
            <w:pPr>
              <w:jc w:val="center"/>
              <w:rPr>
                <w:color w:val="auto"/>
                <w:highlight w:val="none"/>
              </w:rPr>
            </w:pPr>
            <w:r>
              <w:rPr>
                <w:rFonts w:hint="eastAsia" w:cs="宋体"/>
                <w:color w:val="auto"/>
                <w:highlight w:val="none"/>
              </w:rPr>
              <w:t>岗位</w:t>
            </w:r>
          </w:p>
        </w:tc>
        <w:tc>
          <w:tcPr>
            <w:tcW w:w="2340" w:type="dxa"/>
            <w:gridSpan w:val="4"/>
            <w:vAlign w:val="center"/>
          </w:tcPr>
          <w:p w14:paraId="21AA78C8">
            <w:pPr>
              <w:jc w:val="center"/>
              <w:rPr>
                <w:color w:val="auto"/>
                <w:highlight w:val="none"/>
              </w:rPr>
            </w:pPr>
            <w:r>
              <w:rPr>
                <w:rFonts w:hint="eastAsia"/>
                <w:color w:val="auto"/>
                <w:highlight w:val="none"/>
              </w:rPr>
              <w:t>项目技术负责人（项目总工）</w:t>
            </w:r>
          </w:p>
        </w:tc>
        <w:tc>
          <w:tcPr>
            <w:tcW w:w="1893" w:type="dxa"/>
            <w:gridSpan w:val="5"/>
            <w:vAlign w:val="center"/>
          </w:tcPr>
          <w:p w14:paraId="40ED1AF3">
            <w:pPr>
              <w:jc w:val="center"/>
              <w:rPr>
                <w:color w:val="auto"/>
                <w:highlight w:val="none"/>
              </w:rPr>
            </w:pPr>
            <w:r>
              <w:rPr>
                <w:rFonts w:hint="eastAsia" w:cs="宋体"/>
                <w:color w:val="auto"/>
                <w:highlight w:val="none"/>
              </w:rPr>
              <w:t>职称</w:t>
            </w:r>
          </w:p>
        </w:tc>
        <w:tc>
          <w:tcPr>
            <w:tcW w:w="1585" w:type="dxa"/>
            <w:gridSpan w:val="3"/>
            <w:vAlign w:val="center"/>
          </w:tcPr>
          <w:p w14:paraId="5C602208">
            <w:pPr>
              <w:jc w:val="center"/>
              <w:rPr>
                <w:color w:val="auto"/>
                <w:highlight w:val="none"/>
              </w:rPr>
            </w:pPr>
          </w:p>
        </w:tc>
        <w:tc>
          <w:tcPr>
            <w:tcW w:w="1108" w:type="dxa"/>
            <w:vAlign w:val="center"/>
          </w:tcPr>
          <w:p w14:paraId="7B100C60">
            <w:pPr>
              <w:jc w:val="center"/>
              <w:rPr>
                <w:color w:val="auto"/>
                <w:highlight w:val="none"/>
              </w:rPr>
            </w:pPr>
            <w:r>
              <w:rPr>
                <w:rFonts w:hint="eastAsia" w:cs="宋体"/>
                <w:color w:val="auto"/>
                <w:highlight w:val="none"/>
              </w:rPr>
              <w:t>学历</w:t>
            </w:r>
          </w:p>
        </w:tc>
        <w:tc>
          <w:tcPr>
            <w:tcW w:w="1531" w:type="dxa"/>
            <w:gridSpan w:val="3"/>
            <w:vAlign w:val="center"/>
          </w:tcPr>
          <w:p w14:paraId="52103555">
            <w:pPr>
              <w:jc w:val="center"/>
              <w:rPr>
                <w:color w:val="auto"/>
                <w:highlight w:val="none"/>
              </w:rPr>
            </w:pPr>
          </w:p>
        </w:tc>
      </w:tr>
      <w:tr w14:paraId="0E79E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vAlign w:val="center"/>
          </w:tcPr>
          <w:p w14:paraId="2B6B23E3">
            <w:pPr>
              <w:jc w:val="center"/>
              <w:rPr>
                <w:rFonts w:cs="宋体"/>
                <w:color w:val="auto"/>
                <w:highlight w:val="none"/>
              </w:rPr>
            </w:pPr>
            <w:r>
              <w:rPr>
                <w:rFonts w:hint="eastAsia" w:cs="宋体"/>
                <w:color w:val="auto"/>
                <w:highlight w:val="none"/>
              </w:rPr>
              <w:t>从业开始时间</w:t>
            </w:r>
          </w:p>
        </w:tc>
        <w:tc>
          <w:tcPr>
            <w:tcW w:w="2340" w:type="dxa"/>
            <w:gridSpan w:val="4"/>
            <w:vAlign w:val="center"/>
          </w:tcPr>
          <w:p w14:paraId="7EBE4B11">
            <w:pPr>
              <w:jc w:val="center"/>
              <w:rPr>
                <w:color w:val="auto"/>
                <w:highlight w:val="none"/>
              </w:rPr>
            </w:pPr>
          </w:p>
        </w:tc>
        <w:tc>
          <w:tcPr>
            <w:tcW w:w="1893" w:type="dxa"/>
            <w:gridSpan w:val="5"/>
            <w:vAlign w:val="center"/>
          </w:tcPr>
          <w:p w14:paraId="4BD88D6D">
            <w:pPr>
              <w:jc w:val="center"/>
              <w:rPr>
                <w:rFonts w:cs="宋体"/>
                <w:color w:val="auto"/>
                <w:highlight w:val="none"/>
              </w:rPr>
            </w:pPr>
            <w:r>
              <w:rPr>
                <w:rFonts w:hint="eastAsia" w:cs="宋体"/>
                <w:color w:val="auto"/>
                <w:highlight w:val="none"/>
              </w:rPr>
              <w:t>职称</w:t>
            </w:r>
            <w:r>
              <w:rPr>
                <w:rFonts w:cs="宋体"/>
                <w:color w:val="auto"/>
                <w:highlight w:val="none"/>
              </w:rPr>
              <w:t>获</w:t>
            </w:r>
            <w:r>
              <w:rPr>
                <w:rFonts w:hint="eastAsia" w:cs="宋体"/>
                <w:color w:val="auto"/>
                <w:highlight w:val="none"/>
              </w:rPr>
              <w:t>得</w:t>
            </w:r>
            <w:r>
              <w:rPr>
                <w:rFonts w:cs="宋体"/>
                <w:color w:val="auto"/>
                <w:highlight w:val="none"/>
              </w:rPr>
              <w:t>时间</w:t>
            </w:r>
          </w:p>
        </w:tc>
        <w:tc>
          <w:tcPr>
            <w:tcW w:w="1585" w:type="dxa"/>
            <w:gridSpan w:val="3"/>
            <w:vAlign w:val="center"/>
          </w:tcPr>
          <w:p w14:paraId="5D8C155F">
            <w:pPr>
              <w:jc w:val="center"/>
              <w:rPr>
                <w:color w:val="auto"/>
                <w:highlight w:val="none"/>
              </w:rPr>
            </w:pPr>
          </w:p>
        </w:tc>
        <w:tc>
          <w:tcPr>
            <w:tcW w:w="1108" w:type="dxa"/>
            <w:vAlign w:val="center"/>
          </w:tcPr>
          <w:p w14:paraId="78198322">
            <w:pPr>
              <w:jc w:val="center"/>
              <w:rPr>
                <w:rFonts w:cs="宋体"/>
                <w:color w:val="auto"/>
                <w:highlight w:val="none"/>
              </w:rPr>
            </w:pPr>
            <w:r>
              <w:rPr>
                <w:rFonts w:hint="eastAsia" w:cs="宋体"/>
                <w:color w:val="auto"/>
                <w:highlight w:val="none"/>
              </w:rPr>
              <w:t>毕业时间</w:t>
            </w:r>
          </w:p>
        </w:tc>
        <w:tc>
          <w:tcPr>
            <w:tcW w:w="1531" w:type="dxa"/>
            <w:gridSpan w:val="3"/>
            <w:vAlign w:val="center"/>
          </w:tcPr>
          <w:p w14:paraId="406BCB0A">
            <w:pPr>
              <w:jc w:val="center"/>
              <w:rPr>
                <w:color w:val="auto"/>
                <w:highlight w:val="none"/>
              </w:rPr>
            </w:pPr>
          </w:p>
        </w:tc>
      </w:tr>
      <w:tr w14:paraId="1A3C1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14:paraId="1BBC584D">
            <w:pPr>
              <w:jc w:val="center"/>
              <w:rPr>
                <w:color w:val="auto"/>
                <w:highlight w:val="none"/>
              </w:rPr>
            </w:pPr>
            <w:r>
              <w:rPr>
                <w:rFonts w:hint="eastAsia" w:cs="宋体"/>
                <w:color w:val="auto"/>
                <w:highlight w:val="none"/>
              </w:rPr>
              <w:t>担任</w:t>
            </w:r>
            <w:r>
              <w:rPr>
                <w:rFonts w:hint="eastAsia"/>
                <w:color w:val="auto"/>
                <w:highlight w:val="none"/>
              </w:rPr>
              <w:t>……</w:t>
            </w:r>
            <w:r>
              <w:rPr>
                <w:rFonts w:hint="eastAsia" w:cs="宋体"/>
                <w:color w:val="auto"/>
                <w:highlight w:val="none"/>
              </w:rPr>
              <w:t>年限</w:t>
            </w:r>
          </w:p>
        </w:tc>
        <w:tc>
          <w:tcPr>
            <w:tcW w:w="2476" w:type="dxa"/>
            <w:gridSpan w:val="5"/>
            <w:vAlign w:val="center"/>
          </w:tcPr>
          <w:p w14:paraId="39D7F19D">
            <w:pPr>
              <w:jc w:val="center"/>
              <w:rPr>
                <w:color w:val="auto"/>
                <w:highlight w:val="none"/>
              </w:rPr>
            </w:pPr>
          </w:p>
        </w:tc>
        <w:tc>
          <w:tcPr>
            <w:tcW w:w="1209" w:type="dxa"/>
            <w:vAlign w:val="center"/>
          </w:tcPr>
          <w:p w14:paraId="63D4EF3E">
            <w:pPr>
              <w:jc w:val="center"/>
              <w:rPr>
                <w:color w:val="auto"/>
                <w:highlight w:val="none"/>
              </w:rPr>
            </w:pPr>
            <w:r>
              <w:rPr>
                <w:rFonts w:hint="eastAsia"/>
                <w:color w:val="auto"/>
                <w:highlight w:val="none"/>
              </w:rPr>
              <w:t>身份</w:t>
            </w:r>
            <w:r>
              <w:rPr>
                <w:color w:val="auto"/>
                <w:highlight w:val="none"/>
              </w:rPr>
              <w:t>证号码</w:t>
            </w:r>
          </w:p>
        </w:tc>
        <w:tc>
          <w:tcPr>
            <w:tcW w:w="4608" w:type="dxa"/>
            <w:gridSpan w:val="9"/>
            <w:vAlign w:val="center"/>
          </w:tcPr>
          <w:p w14:paraId="0B52958A">
            <w:pPr>
              <w:jc w:val="center"/>
              <w:rPr>
                <w:color w:val="auto"/>
                <w:highlight w:val="none"/>
              </w:rPr>
            </w:pPr>
          </w:p>
        </w:tc>
      </w:tr>
      <w:tr w14:paraId="2C39D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14:paraId="3B488CE4">
            <w:pPr>
              <w:jc w:val="center"/>
              <w:rPr>
                <w:color w:val="auto"/>
                <w:highlight w:val="none"/>
              </w:rPr>
            </w:pPr>
            <w:r>
              <w:rPr>
                <w:rFonts w:hint="eastAsia"/>
                <w:color w:val="auto"/>
                <w:highlight w:val="none"/>
              </w:rPr>
              <w:t>证书名称</w:t>
            </w:r>
          </w:p>
        </w:tc>
        <w:tc>
          <w:tcPr>
            <w:tcW w:w="2410" w:type="dxa"/>
            <w:gridSpan w:val="4"/>
            <w:vAlign w:val="center"/>
          </w:tcPr>
          <w:p w14:paraId="0641326D">
            <w:pPr>
              <w:jc w:val="center"/>
              <w:rPr>
                <w:color w:val="auto"/>
                <w:highlight w:val="none"/>
              </w:rPr>
            </w:pPr>
            <w:r>
              <w:rPr>
                <w:rFonts w:hint="eastAsia"/>
                <w:color w:val="auto"/>
                <w:highlight w:val="none"/>
              </w:rPr>
              <w:t>注册专业</w:t>
            </w:r>
          </w:p>
        </w:tc>
        <w:tc>
          <w:tcPr>
            <w:tcW w:w="1417" w:type="dxa"/>
            <w:gridSpan w:val="3"/>
            <w:vAlign w:val="center"/>
          </w:tcPr>
          <w:p w14:paraId="5F110BD2">
            <w:pPr>
              <w:jc w:val="center"/>
              <w:rPr>
                <w:color w:val="auto"/>
                <w:highlight w:val="none"/>
              </w:rPr>
            </w:pPr>
            <w:r>
              <w:rPr>
                <w:rFonts w:hint="eastAsia" w:cs="宋体"/>
                <w:color w:val="auto"/>
                <w:highlight w:val="none"/>
              </w:rPr>
              <w:t>证书编号</w:t>
            </w:r>
          </w:p>
        </w:tc>
        <w:tc>
          <w:tcPr>
            <w:tcW w:w="1418" w:type="dxa"/>
            <w:gridSpan w:val="3"/>
            <w:vAlign w:val="center"/>
          </w:tcPr>
          <w:p w14:paraId="4554B856">
            <w:pPr>
              <w:jc w:val="center"/>
              <w:rPr>
                <w:color w:val="auto"/>
                <w:highlight w:val="none"/>
              </w:rPr>
            </w:pPr>
            <w:r>
              <w:rPr>
                <w:rFonts w:hint="eastAsia"/>
                <w:color w:val="auto"/>
                <w:highlight w:val="none"/>
              </w:rPr>
              <w:t>注册时间</w:t>
            </w:r>
          </w:p>
        </w:tc>
        <w:tc>
          <w:tcPr>
            <w:tcW w:w="3048" w:type="dxa"/>
            <w:gridSpan w:val="5"/>
            <w:vAlign w:val="center"/>
          </w:tcPr>
          <w:p w14:paraId="15179B76">
            <w:pPr>
              <w:jc w:val="center"/>
              <w:rPr>
                <w:color w:val="auto"/>
                <w:highlight w:val="none"/>
              </w:rPr>
            </w:pPr>
            <w:r>
              <w:rPr>
                <w:rFonts w:hint="eastAsia"/>
                <w:color w:val="auto"/>
                <w:highlight w:val="none"/>
              </w:rPr>
              <w:t>注册单位</w:t>
            </w:r>
          </w:p>
        </w:tc>
      </w:tr>
      <w:tr w14:paraId="4C360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14:paraId="166ED741">
            <w:pPr>
              <w:jc w:val="center"/>
              <w:rPr>
                <w:color w:val="auto"/>
                <w:highlight w:val="none"/>
              </w:rPr>
            </w:pPr>
          </w:p>
        </w:tc>
        <w:tc>
          <w:tcPr>
            <w:tcW w:w="2410" w:type="dxa"/>
            <w:gridSpan w:val="4"/>
            <w:vAlign w:val="center"/>
          </w:tcPr>
          <w:p w14:paraId="45002B1C">
            <w:pPr>
              <w:jc w:val="center"/>
              <w:rPr>
                <w:rFonts w:cs="宋体"/>
                <w:color w:val="auto"/>
                <w:highlight w:val="none"/>
              </w:rPr>
            </w:pPr>
          </w:p>
        </w:tc>
        <w:tc>
          <w:tcPr>
            <w:tcW w:w="1417" w:type="dxa"/>
            <w:gridSpan w:val="3"/>
            <w:vAlign w:val="center"/>
          </w:tcPr>
          <w:p w14:paraId="253CB282">
            <w:pPr>
              <w:jc w:val="center"/>
              <w:rPr>
                <w:color w:val="auto"/>
                <w:highlight w:val="none"/>
              </w:rPr>
            </w:pPr>
          </w:p>
        </w:tc>
        <w:tc>
          <w:tcPr>
            <w:tcW w:w="1418" w:type="dxa"/>
            <w:gridSpan w:val="3"/>
            <w:vAlign w:val="center"/>
          </w:tcPr>
          <w:p w14:paraId="52FEAB19">
            <w:pPr>
              <w:jc w:val="center"/>
              <w:rPr>
                <w:color w:val="auto"/>
                <w:highlight w:val="none"/>
              </w:rPr>
            </w:pPr>
          </w:p>
        </w:tc>
        <w:tc>
          <w:tcPr>
            <w:tcW w:w="3048" w:type="dxa"/>
            <w:gridSpan w:val="5"/>
            <w:vAlign w:val="center"/>
          </w:tcPr>
          <w:p w14:paraId="3FD8A8AB">
            <w:pPr>
              <w:jc w:val="center"/>
              <w:rPr>
                <w:color w:val="auto"/>
                <w:highlight w:val="none"/>
              </w:rPr>
            </w:pPr>
          </w:p>
        </w:tc>
      </w:tr>
      <w:tr w14:paraId="48F69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17"/>
            <w:vAlign w:val="center"/>
          </w:tcPr>
          <w:p w14:paraId="4302B861">
            <w:pPr>
              <w:jc w:val="center"/>
              <w:rPr>
                <w:color w:val="auto"/>
                <w:highlight w:val="none"/>
              </w:rPr>
            </w:pPr>
            <w:r>
              <w:rPr>
                <w:rFonts w:hint="eastAsia" w:cs="宋体"/>
                <w:color w:val="auto"/>
                <w:highlight w:val="none"/>
              </w:rPr>
              <w:t>在建和已完成工程项目情况</w:t>
            </w:r>
          </w:p>
        </w:tc>
      </w:tr>
      <w:tr w14:paraId="27654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14:paraId="7957F902">
            <w:pPr>
              <w:jc w:val="center"/>
              <w:rPr>
                <w:color w:val="auto"/>
                <w:highlight w:val="none"/>
              </w:rPr>
            </w:pPr>
          </w:p>
        </w:tc>
        <w:tc>
          <w:tcPr>
            <w:tcW w:w="1548" w:type="dxa"/>
            <w:vAlign w:val="center"/>
          </w:tcPr>
          <w:p w14:paraId="700BF117">
            <w:pPr>
              <w:jc w:val="center"/>
              <w:rPr>
                <w:color w:val="auto"/>
                <w:highlight w:val="none"/>
              </w:rPr>
            </w:pPr>
            <w:r>
              <w:rPr>
                <w:rFonts w:hint="eastAsia"/>
                <w:color w:val="auto"/>
                <w:highlight w:val="none"/>
              </w:rPr>
              <w:t>项目1</w:t>
            </w:r>
          </w:p>
        </w:tc>
        <w:tc>
          <w:tcPr>
            <w:tcW w:w="1837" w:type="dxa"/>
            <w:gridSpan w:val="4"/>
            <w:vAlign w:val="center"/>
          </w:tcPr>
          <w:p w14:paraId="35FB1230">
            <w:pPr>
              <w:jc w:val="center"/>
              <w:rPr>
                <w:color w:val="auto"/>
                <w:highlight w:val="none"/>
              </w:rPr>
            </w:pPr>
            <w:r>
              <w:rPr>
                <w:rFonts w:hint="eastAsia"/>
                <w:color w:val="auto"/>
                <w:highlight w:val="none"/>
              </w:rPr>
              <w:t>项目2</w:t>
            </w:r>
          </w:p>
        </w:tc>
        <w:tc>
          <w:tcPr>
            <w:tcW w:w="1472" w:type="dxa"/>
            <w:gridSpan w:val="3"/>
            <w:vAlign w:val="center"/>
          </w:tcPr>
          <w:p w14:paraId="142ADED5">
            <w:pPr>
              <w:jc w:val="center"/>
              <w:rPr>
                <w:color w:val="auto"/>
                <w:highlight w:val="none"/>
              </w:rPr>
            </w:pPr>
            <w:r>
              <w:rPr>
                <w:rFonts w:hint="eastAsia"/>
                <w:color w:val="auto"/>
                <w:highlight w:val="none"/>
              </w:rPr>
              <w:t>项目3</w:t>
            </w:r>
          </w:p>
        </w:tc>
        <w:tc>
          <w:tcPr>
            <w:tcW w:w="1641" w:type="dxa"/>
            <w:gridSpan w:val="4"/>
            <w:vAlign w:val="center"/>
          </w:tcPr>
          <w:p w14:paraId="1C5B05AE">
            <w:pPr>
              <w:jc w:val="center"/>
              <w:rPr>
                <w:color w:val="auto"/>
                <w:highlight w:val="none"/>
              </w:rPr>
            </w:pPr>
            <w:r>
              <w:rPr>
                <w:rFonts w:hint="eastAsia"/>
                <w:color w:val="auto"/>
                <w:highlight w:val="none"/>
              </w:rPr>
              <w:t>项目4</w:t>
            </w:r>
          </w:p>
        </w:tc>
        <w:tc>
          <w:tcPr>
            <w:tcW w:w="1484" w:type="dxa"/>
            <w:vAlign w:val="center"/>
          </w:tcPr>
          <w:p w14:paraId="0893709D">
            <w:pPr>
              <w:jc w:val="center"/>
              <w:rPr>
                <w:color w:val="auto"/>
                <w:highlight w:val="none"/>
              </w:rPr>
            </w:pPr>
            <w:r>
              <w:rPr>
                <w:rFonts w:hint="eastAsia"/>
                <w:color w:val="auto"/>
                <w:highlight w:val="none"/>
              </w:rPr>
              <w:t>……</w:t>
            </w:r>
          </w:p>
        </w:tc>
      </w:tr>
      <w:tr w14:paraId="55759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14:paraId="3EBBA34E">
            <w:pPr>
              <w:jc w:val="center"/>
              <w:rPr>
                <w:color w:val="auto"/>
                <w:highlight w:val="none"/>
              </w:rPr>
            </w:pPr>
            <w:r>
              <w:rPr>
                <w:rFonts w:hint="eastAsia"/>
                <w:color w:val="auto"/>
                <w:highlight w:val="none"/>
              </w:rPr>
              <w:t>项目名称</w:t>
            </w:r>
          </w:p>
        </w:tc>
        <w:tc>
          <w:tcPr>
            <w:tcW w:w="1548" w:type="dxa"/>
            <w:vAlign w:val="center"/>
          </w:tcPr>
          <w:p w14:paraId="2957E47B">
            <w:pPr>
              <w:jc w:val="center"/>
              <w:rPr>
                <w:color w:val="auto"/>
                <w:highlight w:val="none"/>
              </w:rPr>
            </w:pPr>
          </w:p>
        </w:tc>
        <w:tc>
          <w:tcPr>
            <w:tcW w:w="1837" w:type="dxa"/>
            <w:gridSpan w:val="4"/>
            <w:vAlign w:val="center"/>
          </w:tcPr>
          <w:p w14:paraId="32A313C3">
            <w:pPr>
              <w:jc w:val="center"/>
              <w:rPr>
                <w:color w:val="auto"/>
                <w:highlight w:val="none"/>
              </w:rPr>
            </w:pPr>
          </w:p>
        </w:tc>
        <w:tc>
          <w:tcPr>
            <w:tcW w:w="1472" w:type="dxa"/>
            <w:gridSpan w:val="3"/>
            <w:vAlign w:val="center"/>
          </w:tcPr>
          <w:p w14:paraId="2AE1AD3A">
            <w:pPr>
              <w:jc w:val="center"/>
              <w:rPr>
                <w:color w:val="auto"/>
                <w:highlight w:val="none"/>
              </w:rPr>
            </w:pPr>
          </w:p>
        </w:tc>
        <w:tc>
          <w:tcPr>
            <w:tcW w:w="1641" w:type="dxa"/>
            <w:gridSpan w:val="4"/>
            <w:vAlign w:val="center"/>
          </w:tcPr>
          <w:p w14:paraId="07C59C7E">
            <w:pPr>
              <w:jc w:val="center"/>
              <w:rPr>
                <w:color w:val="auto"/>
                <w:highlight w:val="none"/>
              </w:rPr>
            </w:pPr>
          </w:p>
        </w:tc>
        <w:tc>
          <w:tcPr>
            <w:tcW w:w="1484" w:type="dxa"/>
            <w:vAlign w:val="center"/>
          </w:tcPr>
          <w:p w14:paraId="5666A9E9">
            <w:pPr>
              <w:jc w:val="center"/>
              <w:rPr>
                <w:color w:val="auto"/>
                <w:highlight w:val="none"/>
              </w:rPr>
            </w:pPr>
          </w:p>
        </w:tc>
      </w:tr>
      <w:tr w14:paraId="6FDC1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6EB37983">
            <w:pPr>
              <w:jc w:val="center"/>
              <w:rPr>
                <w:color w:val="auto"/>
                <w:highlight w:val="none"/>
              </w:rPr>
            </w:pPr>
            <w:r>
              <w:rPr>
                <w:rFonts w:hint="eastAsia" w:cs="宋体"/>
                <w:color w:val="auto"/>
                <w:highlight w:val="none"/>
              </w:rPr>
              <w:t>建设单位</w:t>
            </w:r>
          </w:p>
        </w:tc>
        <w:tc>
          <w:tcPr>
            <w:tcW w:w="1548" w:type="dxa"/>
            <w:vAlign w:val="center"/>
          </w:tcPr>
          <w:p w14:paraId="755634B6">
            <w:pPr>
              <w:jc w:val="center"/>
              <w:rPr>
                <w:color w:val="auto"/>
                <w:highlight w:val="none"/>
              </w:rPr>
            </w:pPr>
          </w:p>
        </w:tc>
        <w:tc>
          <w:tcPr>
            <w:tcW w:w="1837" w:type="dxa"/>
            <w:gridSpan w:val="4"/>
            <w:vAlign w:val="center"/>
          </w:tcPr>
          <w:p w14:paraId="45A699F3">
            <w:pPr>
              <w:jc w:val="center"/>
              <w:rPr>
                <w:color w:val="auto"/>
                <w:highlight w:val="none"/>
              </w:rPr>
            </w:pPr>
          </w:p>
        </w:tc>
        <w:tc>
          <w:tcPr>
            <w:tcW w:w="1472" w:type="dxa"/>
            <w:gridSpan w:val="3"/>
            <w:vAlign w:val="center"/>
          </w:tcPr>
          <w:p w14:paraId="33D194C0">
            <w:pPr>
              <w:jc w:val="center"/>
              <w:rPr>
                <w:color w:val="auto"/>
                <w:highlight w:val="none"/>
              </w:rPr>
            </w:pPr>
          </w:p>
        </w:tc>
        <w:tc>
          <w:tcPr>
            <w:tcW w:w="1641" w:type="dxa"/>
            <w:gridSpan w:val="4"/>
            <w:vAlign w:val="center"/>
          </w:tcPr>
          <w:p w14:paraId="402C00AC">
            <w:pPr>
              <w:jc w:val="center"/>
              <w:rPr>
                <w:color w:val="auto"/>
                <w:highlight w:val="none"/>
              </w:rPr>
            </w:pPr>
          </w:p>
        </w:tc>
        <w:tc>
          <w:tcPr>
            <w:tcW w:w="1484" w:type="dxa"/>
            <w:vAlign w:val="center"/>
          </w:tcPr>
          <w:p w14:paraId="42421C50">
            <w:pPr>
              <w:jc w:val="center"/>
              <w:rPr>
                <w:color w:val="auto"/>
                <w:highlight w:val="none"/>
              </w:rPr>
            </w:pPr>
          </w:p>
        </w:tc>
      </w:tr>
      <w:tr w14:paraId="62F0B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448BD2E5">
            <w:pPr>
              <w:jc w:val="center"/>
              <w:rPr>
                <w:color w:val="auto"/>
                <w:highlight w:val="none"/>
              </w:rPr>
            </w:pPr>
            <w:r>
              <w:rPr>
                <w:rFonts w:hint="eastAsia" w:cs="宋体"/>
                <w:color w:val="auto"/>
                <w:highlight w:val="none"/>
              </w:rPr>
              <w:t>建设规模</w:t>
            </w:r>
          </w:p>
        </w:tc>
        <w:tc>
          <w:tcPr>
            <w:tcW w:w="1548" w:type="dxa"/>
            <w:vAlign w:val="center"/>
          </w:tcPr>
          <w:p w14:paraId="7A82EE12">
            <w:pPr>
              <w:jc w:val="center"/>
              <w:rPr>
                <w:color w:val="auto"/>
                <w:highlight w:val="none"/>
              </w:rPr>
            </w:pPr>
          </w:p>
        </w:tc>
        <w:tc>
          <w:tcPr>
            <w:tcW w:w="1837" w:type="dxa"/>
            <w:gridSpan w:val="4"/>
            <w:vAlign w:val="center"/>
          </w:tcPr>
          <w:p w14:paraId="34BFEDFB">
            <w:pPr>
              <w:jc w:val="center"/>
              <w:rPr>
                <w:color w:val="auto"/>
                <w:highlight w:val="none"/>
              </w:rPr>
            </w:pPr>
          </w:p>
        </w:tc>
        <w:tc>
          <w:tcPr>
            <w:tcW w:w="1472" w:type="dxa"/>
            <w:gridSpan w:val="3"/>
            <w:vAlign w:val="center"/>
          </w:tcPr>
          <w:p w14:paraId="772CC94A">
            <w:pPr>
              <w:jc w:val="center"/>
              <w:rPr>
                <w:color w:val="auto"/>
                <w:highlight w:val="none"/>
              </w:rPr>
            </w:pPr>
          </w:p>
        </w:tc>
        <w:tc>
          <w:tcPr>
            <w:tcW w:w="1641" w:type="dxa"/>
            <w:gridSpan w:val="4"/>
            <w:vAlign w:val="center"/>
          </w:tcPr>
          <w:p w14:paraId="5CDDA2F4">
            <w:pPr>
              <w:jc w:val="center"/>
              <w:rPr>
                <w:color w:val="auto"/>
                <w:highlight w:val="none"/>
              </w:rPr>
            </w:pPr>
          </w:p>
        </w:tc>
        <w:tc>
          <w:tcPr>
            <w:tcW w:w="1484" w:type="dxa"/>
            <w:vAlign w:val="center"/>
          </w:tcPr>
          <w:p w14:paraId="606B5327">
            <w:pPr>
              <w:jc w:val="center"/>
              <w:rPr>
                <w:color w:val="auto"/>
                <w:highlight w:val="none"/>
              </w:rPr>
            </w:pPr>
          </w:p>
        </w:tc>
      </w:tr>
      <w:tr w14:paraId="0D3BB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5E7A1912">
            <w:pPr>
              <w:jc w:val="center"/>
              <w:rPr>
                <w:rFonts w:ascii="宋体" w:hAnsi="宋体" w:cs="宋体"/>
                <w:color w:val="auto"/>
                <w:sz w:val="27"/>
                <w:szCs w:val="27"/>
                <w:highlight w:val="none"/>
              </w:rPr>
            </w:pPr>
            <w:r>
              <w:rPr>
                <w:rFonts w:hint="eastAsia" w:cs="宋体"/>
                <w:color w:val="auto"/>
                <w:highlight w:val="none"/>
              </w:rPr>
              <w:t>开工日期</w:t>
            </w:r>
          </w:p>
        </w:tc>
        <w:tc>
          <w:tcPr>
            <w:tcW w:w="1548" w:type="dxa"/>
            <w:vAlign w:val="center"/>
          </w:tcPr>
          <w:p w14:paraId="2DEF26CF">
            <w:pPr>
              <w:jc w:val="center"/>
              <w:rPr>
                <w:color w:val="auto"/>
                <w:highlight w:val="none"/>
              </w:rPr>
            </w:pPr>
          </w:p>
        </w:tc>
        <w:tc>
          <w:tcPr>
            <w:tcW w:w="1837" w:type="dxa"/>
            <w:gridSpan w:val="4"/>
            <w:vAlign w:val="center"/>
          </w:tcPr>
          <w:p w14:paraId="28D0A0F3">
            <w:pPr>
              <w:jc w:val="center"/>
              <w:rPr>
                <w:color w:val="auto"/>
                <w:highlight w:val="none"/>
              </w:rPr>
            </w:pPr>
          </w:p>
        </w:tc>
        <w:tc>
          <w:tcPr>
            <w:tcW w:w="1472" w:type="dxa"/>
            <w:gridSpan w:val="3"/>
            <w:vAlign w:val="center"/>
          </w:tcPr>
          <w:p w14:paraId="5F7B7874">
            <w:pPr>
              <w:jc w:val="center"/>
              <w:rPr>
                <w:color w:val="auto"/>
                <w:highlight w:val="none"/>
              </w:rPr>
            </w:pPr>
          </w:p>
        </w:tc>
        <w:tc>
          <w:tcPr>
            <w:tcW w:w="1641" w:type="dxa"/>
            <w:gridSpan w:val="4"/>
            <w:vAlign w:val="center"/>
          </w:tcPr>
          <w:p w14:paraId="19A36C9E">
            <w:pPr>
              <w:jc w:val="center"/>
              <w:rPr>
                <w:color w:val="auto"/>
                <w:highlight w:val="none"/>
              </w:rPr>
            </w:pPr>
          </w:p>
        </w:tc>
        <w:tc>
          <w:tcPr>
            <w:tcW w:w="1484" w:type="dxa"/>
            <w:vAlign w:val="center"/>
          </w:tcPr>
          <w:p w14:paraId="06231D0B">
            <w:pPr>
              <w:jc w:val="center"/>
              <w:rPr>
                <w:color w:val="auto"/>
                <w:highlight w:val="none"/>
              </w:rPr>
            </w:pPr>
          </w:p>
        </w:tc>
      </w:tr>
      <w:tr w14:paraId="22D76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09548BD9">
            <w:pPr>
              <w:jc w:val="center"/>
              <w:rPr>
                <w:color w:val="auto"/>
                <w:highlight w:val="none"/>
              </w:rPr>
            </w:pPr>
            <w:r>
              <w:rPr>
                <w:rFonts w:hint="eastAsia" w:cs="宋体"/>
                <w:color w:val="auto"/>
                <w:highlight w:val="none"/>
              </w:rPr>
              <w:t>竣工日期</w:t>
            </w:r>
          </w:p>
        </w:tc>
        <w:tc>
          <w:tcPr>
            <w:tcW w:w="1548" w:type="dxa"/>
            <w:vAlign w:val="center"/>
          </w:tcPr>
          <w:p w14:paraId="6E3C249C">
            <w:pPr>
              <w:jc w:val="center"/>
              <w:rPr>
                <w:color w:val="auto"/>
                <w:highlight w:val="none"/>
              </w:rPr>
            </w:pPr>
          </w:p>
        </w:tc>
        <w:tc>
          <w:tcPr>
            <w:tcW w:w="1837" w:type="dxa"/>
            <w:gridSpan w:val="4"/>
            <w:vAlign w:val="center"/>
          </w:tcPr>
          <w:p w14:paraId="0393133D">
            <w:pPr>
              <w:jc w:val="center"/>
              <w:rPr>
                <w:color w:val="auto"/>
                <w:highlight w:val="none"/>
              </w:rPr>
            </w:pPr>
          </w:p>
        </w:tc>
        <w:tc>
          <w:tcPr>
            <w:tcW w:w="1472" w:type="dxa"/>
            <w:gridSpan w:val="3"/>
            <w:vAlign w:val="center"/>
          </w:tcPr>
          <w:p w14:paraId="6BDE9E99">
            <w:pPr>
              <w:jc w:val="center"/>
              <w:rPr>
                <w:color w:val="auto"/>
                <w:highlight w:val="none"/>
              </w:rPr>
            </w:pPr>
          </w:p>
        </w:tc>
        <w:tc>
          <w:tcPr>
            <w:tcW w:w="1641" w:type="dxa"/>
            <w:gridSpan w:val="4"/>
            <w:vAlign w:val="center"/>
          </w:tcPr>
          <w:p w14:paraId="43A18452">
            <w:pPr>
              <w:jc w:val="center"/>
              <w:rPr>
                <w:color w:val="auto"/>
                <w:highlight w:val="none"/>
              </w:rPr>
            </w:pPr>
          </w:p>
        </w:tc>
        <w:tc>
          <w:tcPr>
            <w:tcW w:w="1484" w:type="dxa"/>
            <w:vAlign w:val="center"/>
          </w:tcPr>
          <w:p w14:paraId="2A1ABC60">
            <w:pPr>
              <w:jc w:val="center"/>
              <w:rPr>
                <w:color w:val="auto"/>
                <w:highlight w:val="none"/>
              </w:rPr>
            </w:pPr>
          </w:p>
        </w:tc>
      </w:tr>
      <w:tr w14:paraId="1512E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664906AC">
            <w:pPr>
              <w:jc w:val="center"/>
              <w:rPr>
                <w:rFonts w:cs="宋体"/>
                <w:color w:val="auto"/>
                <w:highlight w:val="none"/>
              </w:rPr>
            </w:pPr>
            <w:r>
              <w:rPr>
                <w:rFonts w:hint="eastAsia" w:cs="宋体"/>
                <w:color w:val="auto"/>
                <w:highlight w:val="none"/>
              </w:rPr>
              <w:t>人员角色</w:t>
            </w:r>
          </w:p>
        </w:tc>
        <w:tc>
          <w:tcPr>
            <w:tcW w:w="1548" w:type="dxa"/>
            <w:vAlign w:val="center"/>
          </w:tcPr>
          <w:p w14:paraId="04E35F0A">
            <w:pPr>
              <w:jc w:val="center"/>
              <w:rPr>
                <w:color w:val="auto"/>
                <w:highlight w:val="none"/>
              </w:rPr>
            </w:pPr>
          </w:p>
        </w:tc>
        <w:tc>
          <w:tcPr>
            <w:tcW w:w="1837" w:type="dxa"/>
            <w:gridSpan w:val="4"/>
            <w:vAlign w:val="center"/>
          </w:tcPr>
          <w:p w14:paraId="2AA6C335">
            <w:pPr>
              <w:jc w:val="center"/>
              <w:rPr>
                <w:color w:val="auto"/>
                <w:highlight w:val="none"/>
              </w:rPr>
            </w:pPr>
          </w:p>
        </w:tc>
        <w:tc>
          <w:tcPr>
            <w:tcW w:w="1472" w:type="dxa"/>
            <w:gridSpan w:val="3"/>
            <w:vAlign w:val="center"/>
          </w:tcPr>
          <w:p w14:paraId="774D1452">
            <w:pPr>
              <w:jc w:val="center"/>
              <w:rPr>
                <w:color w:val="auto"/>
                <w:highlight w:val="none"/>
              </w:rPr>
            </w:pPr>
          </w:p>
        </w:tc>
        <w:tc>
          <w:tcPr>
            <w:tcW w:w="1641" w:type="dxa"/>
            <w:gridSpan w:val="4"/>
            <w:vAlign w:val="center"/>
          </w:tcPr>
          <w:p w14:paraId="0420FE2D">
            <w:pPr>
              <w:jc w:val="center"/>
              <w:rPr>
                <w:color w:val="auto"/>
                <w:highlight w:val="none"/>
              </w:rPr>
            </w:pPr>
          </w:p>
        </w:tc>
        <w:tc>
          <w:tcPr>
            <w:tcW w:w="1484" w:type="dxa"/>
            <w:vAlign w:val="center"/>
          </w:tcPr>
          <w:p w14:paraId="27662D57">
            <w:pPr>
              <w:jc w:val="center"/>
              <w:rPr>
                <w:color w:val="auto"/>
                <w:highlight w:val="none"/>
              </w:rPr>
            </w:pPr>
          </w:p>
        </w:tc>
      </w:tr>
      <w:tr w14:paraId="19A26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4107730D">
            <w:pPr>
              <w:jc w:val="center"/>
              <w:rPr>
                <w:rFonts w:cs="宋体"/>
                <w:color w:val="auto"/>
                <w:highlight w:val="none"/>
              </w:rPr>
            </w:pPr>
            <w:r>
              <w:rPr>
                <w:rFonts w:hint="eastAsia" w:cs="宋体"/>
                <w:color w:val="auto"/>
                <w:highlight w:val="none"/>
              </w:rPr>
              <w:t>在建或已完成</w:t>
            </w:r>
          </w:p>
        </w:tc>
        <w:tc>
          <w:tcPr>
            <w:tcW w:w="1548" w:type="dxa"/>
            <w:vAlign w:val="center"/>
          </w:tcPr>
          <w:p w14:paraId="2EFCC556">
            <w:pPr>
              <w:jc w:val="center"/>
              <w:rPr>
                <w:color w:val="auto"/>
                <w:highlight w:val="none"/>
              </w:rPr>
            </w:pPr>
          </w:p>
        </w:tc>
        <w:tc>
          <w:tcPr>
            <w:tcW w:w="1837" w:type="dxa"/>
            <w:gridSpan w:val="4"/>
            <w:vAlign w:val="center"/>
          </w:tcPr>
          <w:p w14:paraId="78D0CBBB">
            <w:pPr>
              <w:jc w:val="center"/>
              <w:rPr>
                <w:color w:val="auto"/>
                <w:highlight w:val="none"/>
              </w:rPr>
            </w:pPr>
          </w:p>
        </w:tc>
        <w:tc>
          <w:tcPr>
            <w:tcW w:w="1472" w:type="dxa"/>
            <w:gridSpan w:val="3"/>
            <w:vAlign w:val="center"/>
          </w:tcPr>
          <w:p w14:paraId="7D5BD1B7">
            <w:pPr>
              <w:jc w:val="center"/>
              <w:rPr>
                <w:color w:val="auto"/>
                <w:highlight w:val="none"/>
              </w:rPr>
            </w:pPr>
          </w:p>
        </w:tc>
        <w:tc>
          <w:tcPr>
            <w:tcW w:w="1641" w:type="dxa"/>
            <w:gridSpan w:val="4"/>
            <w:vAlign w:val="center"/>
          </w:tcPr>
          <w:p w14:paraId="6660BC41">
            <w:pPr>
              <w:jc w:val="center"/>
              <w:rPr>
                <w:color w:val="auto"/>
                <w:highlight w:val="none"/>
              </w:rPr>
            </w:pPr>
          </w:p>
        </w:tc>
        <w:tc>
          <w:tcPr>
            <w:tcW w:w="1484" w:type="dxa"/>
            <w:vAlign w:val="center"/>
          </w:tcPr>
          <w:p w14:paraId="00FE0E88">
            <w:pPr>
              <w:jc w:val="center"/>
              <w:rPr>
                <w:color w:val="auto"/>
                <w:highlight w:val="none"/>
              </w:rPr>
            </w:pPr>
          </w:p>
        </w:tc>
      </w:tr>
      <w:tr w14:paraId="34A47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2450E94F">
            <w:pPr>
              <w:jc w:val="center"/>
              <w:rPr>
                <w:rFonts w:cs="宋体"/>
                <w:color w:val="auto"/>
                <w:highlight w:val="none"/>
              </w:rPr>
            </w:pPr>
            <w:r>
              <w:rPr>
                <w:rFonts w:hint="eastAsia" w:cs="宋体"/>
                <w:color w:val="auto"/>
                <w:highlight w:val="none"/>
              </w:rPr>
              <w:t>工程质量</w:t>
            </w:r>
          </w:p>
        </w:tc>
        <w:tc>
          <w:tcPr>
            <w:tcW w:w="1548" w:type="dxa"/>
            <w:vAlign w:val="center"/>
          </w:tcPr>
          <w:p w14:paraId="5AC0FC39">
            <w:pPr>
              <w:jc w:val="center"/>
              <w:rPr>
                <w:color w:val="auto"/>
                <w:highlight w:val="none"/>
              </w:rPr>
            </w:pPr>
          </w:p>
        </w:tc>
        <w:tc>
          <w:tcPr>
            <w:tcW w:w="1837" w:type="dxa"/>
            <w:gridSpan w:val="4"/>
            <w:vAlign w:val="center"/>
          </w:tcPr>
          <w:p w14:paraId="3FE72D54">
            <w:pPr>
              <w:jc w:val="center"/>
              <w:rPr>
                <w:color w:val="auto"/>
                <w:highlight w:val="none"/>
              </w:rPr>
            </w:pPr>
          </w:p>
        </w:tc>
        <w:tc>
          <w:tcPr>
            <w:tcW w:w="1472" w:type="dxa"/>
            <w:gridSpan w:val="3"/>
            <w:vAlign w:val="center"/>
          </w:tcPr>
          <w:p w14:paraId="62BB92E6">
            <w:pPr>
              <w:jc w:val="center"/>
              <w:rPr>
                <w:color w:val="auto"/>
                <w:highlight w:val="none"/>
              </w:rPr>
            </w:pPr>
          </w:p>
        </w:tc>
        <w:tc>
          <w:tcPr>
            <w:tcW w:w="1641" w:type="dxa"/>
            <w:gridSpan w:val="4"/>
            <w:vAlign w:val="center"/>
          </w:tcPr>
          <w:p w14:paraId="672AB08A">
            <w:pPr>
              <w:jc w:val="center"/>
              <w:rPr>
                <w:color w:val="auto"/>
                <w:highlight w:val="none"/>
              </w:rPr>
            </w:pPr>
          </w:p>
        </w:tc>
        <w:tc>
          <w:tcPr>
            <w:tcW w:w="1484" w:type="dxa"/>
            <w:vAlign w:val="center"/>
          </w:tcPr>
          <w:p w14:paraId="1593B06B">
            <w:pPr>
              <w:jc w:val="center"/>
              <w:rPr>
                <w:color w:val="auto"/>
                <w:highlight w:val="none"/>
              </w:rPr>
            </w:pPr>
          </w:p>
        </w:tc>
      </w:tr>
      <w:tr w14:paraId="5E18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44D23672">
            <w:pPr>
              <w:jc w:val="center"/>
              <w:rPr>
                <w:rFonts w:cs="宋体"/>
                <w:color w:val="auto"/>
                <w:highlight w:val="none"/>
              </w:rPr>
            </w:pPr>
            <w:r>
              <w:rPr>
                <w:rFonts w:hint="eastAsia" w:cs="宋体"/>
                <w:color w:val="auto"/>
                <w:highlight w:val="none"/>
              </w:rPr>
              <w:t>受奖情况</w:t>
            </w:r>
          </w:p>
        </w:tc>
        <w:tc>
          <w:tcPr>
            <w:tcW w:w="1548" w:type="dxa"/>
            <w:vAlign w:val="center"/>
          </w:tcPr>
          <w:p w14:paraId="31626227">
            <w:pPr>
              <w:jc w:val="center"/>
              <w:rPr>
                <w:color w:val="auto"/>
                <w:highlight w:val="none"/>
              </w:rPr>
            </w:pPr>
          </w:p>
        </w:tc>
        <w:tc>
          <w:tcPr>
            <w:tcW w:w="1837" w:type="dxa"/>
            <w:gridSpan w:val="4"/>
            <w:vAlign w:val="center"/>
          </w:tcPr>
          <w:p w14:paraId="06647319">
            <w:pPr>
              <w:jc w:val="center"/>
              <w:rPr>
                <w:color w:val="auto"/>
                <w:highlight w:val="none"/>
              </w:rPr>
            </w:pPr>
          </w:p>
        </w:tc>
        <w:tc>
          <w:tcPr>
            <w:tcW w:w="1472" w:type="dxa"/>
            <w:gridSpan w:val="3"/>
            <w:vAlign w:val="center"/>
          </w:tcPr>
          <w:p w14:paraId="6BFC7EA1">
            <w:pPr>
              <w:jc w:val="center"/>
              <w:rPr>
                <w:color w:val="auto"/>
                <w:highlight w:val="none"/>
              </w:rPr>
            </w:pPr>
          </w:p>
        </w:tc>
        <w:tc>
          <w:tcPr>
            <w:tcW w:w="1641" w:type="dxa"/>
            <w:gridSpan w:val="4"/>
            <w:vAlign w:val="center"/>
          </w:tcPr>
          <w:p w14:paraId="079FCB16">
            <w:pPr>
              <w:jc w:val="center"/>
              <w:rPr>
                <w:color w:val="auto"/>
                <w:highlight w:val="none"/>
              </w:rPr>
            </w:pPr>
          </w:p>
        </w:tc>
        <w:tc>
          <w:tcPr>
            <w:tcW w:w="1484" w:type="dxa"/>
            <w:vAlign w:val="center"/>
          </w:tcPr>
          <w:p w14:paraId="4BB40BEE">
            <w:pPr>
              <w:jc w:val="center"/>
              <w:rPr>
                <w:color w:val="auto"/>
                <w:highlight w:val="none"/>
              </w:rPr>
            </w:pPr>
          </w:p>
        </w:tc>
      </w:tr>
    </w:tbl>
    <w:p w14:paraId="2BEBFC20">
      <w:pPr>
        <w:spacing w:line="360" w:lineRule="auto"/>
        <w:rPr>
          <w:rFonts w:ascii="宋体" w:hAnsi="宋体"/>
          <w:color w:val="auto"/>
          <w:szCs w:val="21"/>
          <w:highlight w:val="none"/>
        </w:rPr>
      </w:pPr>
      <w:r>
        <w:rPr>
          <w:rFonts w:hint="eastAsia" w:ascii="宋体" w:hAnsi="宋体" w:cs="楷体_GB2312"/>
          <w:color w:val="auto"/>
          <w:szCs w:val="21"/>
          <w:highlight w:val="none"/>
        </w:rPr>
        <w:t>备注：</w:t>
      </w:r>
    </w:p>
    <w:p w14:paraId="4B51AAEC">
      <w:pPr>
        <w:spacing w:line="360" w:lineRule="auto"/>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.项目</w:t>
      </w:r>
      <w:r>
        <w:rPr>
          <w:rFonts w:ascii="宋体" w:hAnsi="宋体"/>
          <w:color w:val="auto"/>
          <w:szCs w:val="21"/>
          <w:highlight w:val="none"/>
        </w:rPr>
        <w:t>数</w:t>
      </w:r>
      <w:r>
        <w:rPr>
          <w:rFonts w:hint="eastAsia" w:ascii="宋体" w:hAnsi="宋体"/>
          <w:color w:val="auto"/>
          <w:szCs w:val="21"/>
          <w:highlight w:val="none"/>
        </w:rPr>
        <w:t>可</w:t>
      </w:r>
      <w:r>
        <w:rPr>
          <w:rFonts w:ascii="宋体" w:hAnsi="宋体"/>
          <w:color w:val="auto"/>
          <w:szCs w:val="21"/>
          <w:highlight w:val="none"/>
        </w:rPr>
        <w:t>以根据需要增加。</w:t>
      </w:r>
    </w:p>
    <w:p w14:paraId="444EF7D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2.本表后附项目技术负责人（项目总工）本表所列证书扫描件并加盖供应商电子签章。</w:t>
      </w:r>
    </w:p>
    <w:p w14:paraId="04C636B9">
      <w:pPr>
        <w:spacing w:before="120" w:beforeLines="50"/>
        <w:ind w:firstLine="562" w:firstLineChars="200"/>
        <w:jc w:val="center"/>
        <w:rPr>
          <w:color w:val="auto"/>
          <w:highlight w:val="none"/>
          <w:u w:val="single"/>
        </w:rPr>
      </w:pPr>
      <w:r>
        <w:rPr>
          <w:rFonts w:cs="宋体"/>
          <w:b/>
          <w:bCs/>
          <w:color w:val="auto"/>
          <w:sz w:val="28"/>
          <w:szCs w:val="28"/>
          <w:highlight w:val="none"/>
        </w:rPr>
        <w:br w:type="page"/>
      </w:r>
      <w:r>
        <w:rPr>
          <w:rFonts w:hint="eastAsia" w:cs="宋体"/>
          <w:b/>
          <w:color w:val="auto"/>
          <w:sz w:val="32"/>
          <w:szCs w:val="32"/>
          <w:highlight w:val="none"/>
        </w:rPr>
        <w:t>专职安全生产管理人员</w:t>
      </w:r>
    </w:p>
    <w:tbl>
      <w:tblPr>
        <w:tblStyle w:val="55"/>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77"/>
        <w:gridCol w:w="387"/>
        <w:gridCol w:w="888"/>
        <w:gridCol w:w="660"/>
        <w:gridCol w:w="328"/>
        <w:gridCol w:w="234"/>
        <w:gridCol w:w="66"/>
        <w:gridCol w:w="1209"/>
        <w:gridCol w:w="142"/>
        <w:gridCol w:w="242"/>
        <w:gridCol w:w="1088"/>
        <w:gridCol w:w="88"/>
        <w:gridCol w:w="409"/>
        <w:gridCol w:w="1108"/>
        <w:gridCol w:w="36"/>
        <w:gridCol w:w="79"/>
        <w:gridCol w:w="1405"/>
        <w:gridCol w:w="11"/>
      </w:tblGrid>
      <w:tr w14:paraId="7C717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vAlign w:val="center"/>
          </w:tcPr>
          <w:p w14:paraId="444A0A91">
            <w:pPr>
              <w:jc w:val="center"/>
              <w:rPr>
                <w:color w:val="auto"/>
                <w:highlight w:val="none"/>
              </w:rPr>
            </w:pPr>
            <w:r>
              <w:rPr>
                <w:rFonts w:hint="eastAsia" w:cs="宋体"/>
                <w:color w:val="auto"/>
                <w:highlight w:val="none"/>
              </w:rPr>
              <w:t>姓名</w:t>
            </w:r>
          </w:p>
        </w:tc>
        <w:tc>
          <w:tcPr>
            <w:tcW w:w="2340" w:type="dxa"/>
            <w:gridSpan w:val="5"/>
            <w:vAlign w:val="center"/>
          </w:tcPr>
          <w:p w14:paraId="1E6A8D5D">
            <w:pPr>
              <w:jc w:val="center"/>
              <w:rPr>
                <w:color w:val="auto"/>
                <w:highlight w:val="none"/>
              </w:rPr>
            </w:pPr>
          </w:p>
        </w:tc>
        <w:tc>
          <w:tcPr>
            <w:tcW w:w="1893" w:type="dxa"/>
            <w:gridSpan w:val="5"/>
            <w:vAlign w:val="center"/>
          </w:tcPr>
          <w:p w14:paraId="0DA10928">
            <w:pPr>
              <w:jc w:val="center"/>
              <w:rPr>
                <w:color w:val="auto"/>
                <w:highlight w:val="none"/>
              </w:rPr>
            </w:pPr>
            <w:r>
              <w:rPr>
                <w:rFonts w:hint="eastAsia" w:cs="宋体"/>
                <w:color w:val="auto"/>
                <w:highlight w:val="none"/>
              </w:rPr>
              <w:t>性别</w:t>
            </w:r>
          </w:p>
        </w:tc>
        <w:tc>
          <w:tcPr>
            <w:tcW w:w="1585" w:type="dxa"/>
            <w:gridSpan w:val="3"/>
            <w:vAlign w:val="center"/>
          </w:tcPr>
          <w:p w14:paraId="29A65947">
            <w:pPr>
              <w:jc w:val="center"/>
              <w:rPr>
                <w:color w:val="auto"/>
                <w:highlight w:val="none"/>
              </w:rPr>
            </w:pPr>
          </w:p>
        </w:tc>
        <w:tc>
          <w:tcPr>
            <w:tcW w:w="1108" w:type="dxa"/>
            <w:vAlign w:val="center"/>
          </w:tcPr>
          <w:p w14:paraId="6236DC85">
            <w:pPr>
              <w:jc w:val="center"/>
              <w:rPr>
                <w:color w:val="auto"/>
                <w:highlight w:val="none"/>
              </w:rPr>
            </w:pPr>
            <w:r>
              <w:rPr>
                <w:rFonts w:hint="eastAsia" w:cs="宋体"/>
                <w:color w:val="auto"/>
                <w:highlight w:val="none"/>
              </w:rPr>
              <w:t>年龄</w:t>
            </w:r>
          </w:p>
        </w:tc>
        <w:tc>
          <w:tcPr>
            <w:tcW w:w="1531" w:type="dxa"/>
            <w:gridSpan w:val="4"/>
            <w:vAlign w:val="center"/>
          </w:tcPr>
          <w:p w14:paraId="7120E296">
            <w:pPr>
              <w:jc w:val="center"/>
              <w:rPr>
                <w:color w:val="auto"/>
                <w:highlight w:val="none"/>
              </w:rPr>
            </w:pPr>
          </w:p>
        </w:tc>
      </w:tr>
      <w:tr w14:paraId="1F70C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vAlign w:val="center"/>
          </w:tcPr>
          <w:p w14:paraId="36DCE7A2">
            <w:pPr>
              <w:jc w:val="center"/>
              <w:rPr>
                <w:color w:val="auto"/>
                <w:highlight w:val="none"/>
              </w:rPr>
            </w:pPr>
            <w:r>
              <w:rPr>
                <w:rFonts w:hint="eastAsia" w:cs="宋体"/>
                <w:color w:val="auto"/>
                <w:highlight w:val="none"/>
              </w:rPr>
              <w:t>岗位</w:t>
            </w:r>
          </w:p>
        </w:tc>
        <w:tc>
          <w:tcPr>
            <w:tcW w:w="2340" w:type="dxa"/>
            <w:gridSpan w:val="5"/>
            <w:vAlign w:val="center"/>
          </w:tcPr>
          <w:p w14:paraId="419694DE">
            <w:pPr>
              <w:jc w:val="center"/>
              <w:rPr>
                <w:color w:val="auto"/>
                <w:highlight w:val="none"/>
              </w:rPr>
            </w:pPr>
            <w:r>
              <w:rPr>
                <w:rFonts w:hint="eastAsia"/>
                <w:color w:val="auto"/>
                <w:highlight w:val="none"/>
              </w:rPr>
              <w:t>专职安全生产管理人员</w:t>
            </w:r>
          </w:p>
        </w:tc>
        <w:tc>
          <w:tcPr>
            <w:tcW w:w="1893" w:type="dxa"/>
            <w:gridSpan w:val="5"/>
            <w:vAlign w:val="center"/>
          </w:tcPr>
          <w:p w14:paraId="7F69170C">
            <w:pPr>
              <w:jc w:val="center"/>
              <w:rPr>
                <w:color w:val="auto"/>
                <w:highlight w:val="none"/>
              </w:rPr>
            </w:pPr>
            <w:r>
              <w:rPr>
                <w:rFonts w:hint="eastAsia" w:cs="宋体"/>
                <w:color w:val="auto"/>
                <w:highlight w:val="none"/>
              </w:rPr>
              <w:t>职称</w:t>
            </w:r>
          </w:p>
        </w:tc>
        <w:tc>
          <w:tcPr>
            <w:tcW w:w="1585" w:type="dxa"/>
            <w:gridSpan w:val="3"/>
            <w:vAlign w:val="center"/>
          </w:tcPr>
          <w:p w14:paraId="68A4A808">
            <w:pPr>
              <w:jc w:val="center"/>
              <w:rPr>
                <w:color w:val="auto"/>
                <w:highlight w:val="none"/>
              </w:rPr>
            </w:pPr>
          </w:p>
        </w:tc>
        <w:tc>
          <w:tcPr>
            <w:tcW w:w="1108" w:type="dxa"/>
            <w:vAlign w:val="center"/>
          </w:tcPr>
          <w:p w14:paraId="186335AF">
            <w:pPr>
              <w:jc w:val="center"/>
              <w:rPr>
                <w:color w:val="auto"/>
                <w:highlight w:val="none"/>
              </w:rPr>
            </w:pPr>
            <w:r>
              <w:rPr>
                <w:rFonts w:hint="eastAsia" w:cs="宋体"/>
                <w:color w:val="auto"/>
                <w:highlight w:val="none"/>
              </w:rPr>
              <w:t>学历</w:t>
            </w:r>
          </w:p>
        </w:tc>
        <w:tc>
          <w:tcPr>
            <w:tcW w:w="1531" w:type="dxa"/>
            <w:gridSpan w:val="4"/>
            <w:vAlign w:val="center"/>
          </w:tcPr>
          <w:p w14:paraId="4B53A30C">
            <w:pPr>
              <w:jc w:val="center"/>
              <w:rPr>
                <w:color w:val="auto"/>
                <w:highlight w:val="none"/>
              </w:rPr>
            </w:pPr>
          </w:p>
        </w:tc>
      </w:tr>
      <w:tr w14:paraId="0ECC2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vAlign w:val="center"/>
          </w:tcPr>
          <w:p w14:paraId="7CA840FA">
            <w:pPr>
              <w:jc w:val="center"/>
              <w:rPr>
                <w:rFonts w:cs="宋体"/>
                <w:color w:val="auto"/>
                <w:highlight w:val="none"/>
              </w:rPr>
            </w:pPr>
            <w:r>
              <w:rPr>
                <w:rFonts w:hint="eastAsia" w:cs="宋体"/>
                <w:color w:val="auto"/>
                <w:highlight w:val="none"/>
              </w:rPr>
              <w:t>从业开始时间</w:t>
            </w:r>
          </w:p>
        </w:tc>
        <w:tc>
          <w:tcPr>
            <w:tcW w:w="2340" w:type="dxa"/>
            <w:gridSpan w:val="5"/>
            <w:vAlign w:val="center"/>
          </w:tcPr>
          <w:p w14:paraId="0C8D2814">
            <w:pPr>
              <w:jc w:val="center"/>
              <w:rPr>
                <w:color w:val="auto"/>
                <w:highlight w:val="none"/>
              </w:rPr>
            </w:pPr>
          </w:p>
        </w:tc>
        <w:tc>
          <w:tcPr>
            <w:tcW w:w="1893" w:type="dxa"/>
            <w:gridSpan w:val="5"/>
            <w:vAlign w:val="center"/>
          </w:tcPr>
          <w:p w14:paraId="62710F7C">
            <w:pPr>
              <w:jc w:val="center"/>
              <w:rPr>
                <w:rFonts w:cs="宋体"/>
                <w:color w:val="auto"/>
                <w:highlight w:val="none"/>
              </w:rPr>
            </w:pPr>
            <w:r>
              <w:rPr>
                <w:rFonts w:hint="eastAsia" w:cs="宋体"/>
                <w:color w:val="auto"/>
                <w:highlight w:val="none"/>
              </w:rPr>
              <w:t>职称</w:t>
            </w:r>
            <w:r>
              <w:rPr>
                <w:rFonts w:cs="宋体"/>
                <w:color w:val="auto"/>
                <w:highlight w:val="none"/>
              </w:rPr>
              <w:t>获</w:t>
            </w:r>
            <w:r>
              <w:rPr>
                <w:rFonts w:hint="eastAsia" w:cs="宋体"/>
                <w:color w:val="auto"/>
                <w:highlight w:val="none"/>
              </w:rPr>
              <w:t>得</w:t>
            </w:r>
            <w:r>
              <w:rPr>
                <w:rFonts w:cs="宋体"/>
                <w:color w:val="auto"/>
                <w:highlight w:val="none"/>
              </w:rPr>
              <w:t>时间</w:t>
            </w:r>
          </w:p>
        </w:tc>
        <w:tc>
          <w:tcPr>
            <w:tcW w:w="1585" w:type="dxa"/>
            <w:gridSpan w:val="3"/>
            <w:vAlign w:val="center"/>
          </w:tcPr>
          <w:p w14:paraId="315AF644">
            <w:pPr>
              <w:jc w:val="center"/>
              <w:rPr>
                <w:color w:val="auto"/>
                <w:highlight w:val="none"/>
              </w:rPr>
            </w:pPr>
          </w:p>
        </w:tc>
        <w:tc>
          <w:tcPr>
            <w:tcW w:w="1108" w:type="dxa"/>
            <w:vAlign w:val="center"/>
          </w:tcPr>
          <w:p w14:paraId="0951A867">
            <w:pPr>
              <w:jc w:val="center"/>
              <w:rPr>
                <w:rFonts w:cs="宋体"/>
                <w:color w:val="auto"/>
                <w:highlight w:val="none"/>
              </w:rPr>
            </w:pPr>
            <w:r>
              <w:rPr>
                <w:rFonts w:hint="eastAsia" w:cs="宋体"/>
                <w:color w:val="auto"/>
                <w:highlight w:val="none"/>
              </w:rPr>
              <w:t>毕业时间</w:t>
            </w:r>
          </w:p>
        </w:tc>
        <w:tc>
          <w:tcPr>
            <w:tcW w:w="1531" w:type="dxa"/>
            <w:gridSpan w:val="4"/>
            <w:vAlign w:val="center"/>
          </w:tcPr>
          <w:p w14:paraId="0F458E0F">
            <w:pPr>
              <w:jc w:val="center"/>
              <w:rPr>
                <w:color w:val="auto"/>
                <w:highlight w:val="none"/>
              </w:rPr>
            </w:pPr>
          </w:p>
        </w:tc>
      </w:tr>
      <w:tr w14:paraId="425F1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Before w:val="1"/>
          <w:wBefore w:w="8" w:type="dxa"/>
          <w:trHeight w:val="600" w:hRule="atLeast"/>
          <w:jc w:val="center"/>
        </w:trPr>
        <w:tc>
          <w:tcPr>
            <w:tcW w:w="1231" w:type="dxa"/>
            <w:gridSpan w:val="2"/>
            <w:vAlign w:val="center"/>
          </w:tcPr>
          <w:p w14:paraId="08244D8E">
            <w:pPr>
              <w:jc w:val="center"/>
              <w:rPr>
                <w:color w:val="auto"/>
                <w:highlight w:val="none"/>
              </w:rPr>
            </w:pPr>
            <w:r>
              <w:rPr>
                <w:rFonts w:hint="eastAsia" w:cs="宋体"/>
                <w:color w:val="auto"/>
                <w:highlight w:val="none"/>
              </w:rPr>
              <w:t>担任……年限</w:t>
            </w:r>
          </w:p>
        </w:tc>
        <w:tc>
          <w:tcPr>
            <w:tcW w:w="2563" w:type="dxa"/>
            <w:gridSpan w:val="6"/>
            <w:vAlign w:val="center"/>
          </w:tcPr>
          <w:p w14:paraId="5F3FA84E">
            <w:pPr>
              <w:jc w:val="center"/>
              <w:rPr>
                <w:color w:val="auto"/>
                <w:highlight w:val="none"/>
              </w:rPr>
            </w:pPr>
          </w:p>
        </w:tc>
        <w:tc>
          <w:tcPr>
            <w:tcW w:w="1209" w:type="dxa"/>
            <w:vAlign w:val="center"/>
          </w:tcPr>
          <w:p w14:paraId="51D6A10C">
            <w:pPr>
              <w:jc w:val="center"/>
              <w:rPr>
                <w:color w:val="auto"/>
                <w:highlight w:val="none"/>
              </w:rPr>
            </w:pPr>
            <w:r>
              <w:rPr>
                <w:rFonts w:hint="eastAsia"/>
                <w:color w:val="auto"/>
                <w:highlight w:val="none"/>
              </w:rPr>
              <w:t>身份</w:t>
            </w:r>
            <w:r>
              <w:rPr>
                <w:color w:val="auto"/>
                <w:highlight w:val="none"/>
              </w:rPr>
              <w:t>证号码</w:t>
            </w:r>
          </w:p>
        </w:tc>
        <w:tc>
          <w:tcPr>
            <w:tcW w:w="4608" w:type="dxa"/>
            <w:gridSpan w:val="10"/>
            <w:vAlign w:val="center"/>
          </w:tcPr>
          <w:p w14:paraId="1E28A698">
            <w:pPr>
              <w:jc w:val="center"/>
              <w:rPr>
                <w:color w:val="auto"/>
                <w:highlight w:val="none"/>
              </w:rPr>
            </w:pPr>
          </w:p>
        </w:tc>
      </w:tr>
      <w:tr w14:paraId="67147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vAlign w:val="center"/>
          </w:tcPr>
          <w:p w14:paraId="6D9278B7">
            <w:pPr>
              <w:jc w:val="center"/>
              <w:rPr>
                <w:color w:val="auto"/>
                <w:highlight w:val="none"/>
              </w:rPr>
            </w:pPr>
            <w:r>
              <w:rPr>
                <w:rFonts w:hint="eastAsia"/>
                <w:color w:val="auto"/>
                <w:highlight w:val="none"/>
              </w:rPr>
              <w:t>证书名称</w:t>
            </w:r>
          </w:p>
        </w:tc>
        <w:tc>
          <w:tcPr>
            <w:tcW w:w="1275" w:type="dxa"/>
            <w:gridSpan w:val="2"/>
            <w:vAlign w:val="center"/>
          </w:tcPr>
          <w:p w14:paraId="7CCB1B4F">
            <w:pPr>
              <w:jc w:val="center"/>
              <w:rPr>
                <w:color w:val="auto"/>
                <w:highlight w:val="none"/>
              </w:rPr>
            </w:pPr>
            <w:r>
              <w:rPr>
                <w:rFonts w:hint="eastAsia"/>
                <w:color w:val="auto"/>
                <w:highlight w:val="none"/>
              </w:rPr>
              <w:t>注册专业</w:t>
            </w:r>
          </w:p>
        </w:tc>
        <w:tc>
          <w:tcPr>
            <w:tcW w:w="1222" w:type="dxa"/>
            <w:gridSpan w:val="3"/>
            <w:vAlign w:val="center"/>
          </w:tcPr>
          <w:p w14:paraId="70B4EF57">
            <w:pPr>
              <w:jc w:val="center"/>
              <w:rPr>
                <w:color w:val="auto"/>
                <w:highlight w:val="none"/>
              </w:rPr>
            </w:pPr>
            <w:r>
              <w:rPr>
                <w:color w:val="auto"/>
                <w:highlight w:val="none"/>
              </w:rPr>
              <w:t>级别</w:t>
            </w:r>
          </w:p>
        </w:tc>
        <w:tc>
          <w:tcPr>
            <w:tcW w:w="1417" w:type="dxa"/>
            <w:gridSpan w:val="3"/>
            <w:vAlign w:val="center"/>
          </w:tcPr>
          <w:p w14:paraId="238B8AA1">
            <w:pPr>
              <w:jc w:val="center"/>
              <w:rPr>
                <w:color w:val="auto"/>
                <w:highlight w:val="none"/>
              </w:rPr>
            </w:pPr>
            <w:r>
              <w:rPr>
                <w:rFonts w:hint="eastAsia" w:cs="宋体"/>
                <w:color w:val="auto"/>
                <w:highlight w:val="none"/>
              </w:rPr>
              <w:t>证书编号</w:t>
            </w:r>
          </w:p>
        </w:tc>
        <w:tc>
          <w:tcPr>
            <w:tcW w:w="1418" w:type="dxa"/>
            <w:gridSpan w:val="3"/>
            <w:vAlign w:val="center"/>
          </w:tcPr>
          <w:p w14:paraId="08B4AAE7">
            <w:pPr>
              <w:jc w:val="center"/>
              <w:rPr>
                <w:color w:val="auto"/>
                <w:highlight w:val="none"/>
              </w:rPr>
            </w:pPr>
            <w:r>
              <w:rPr>
                <w:rFonts w:hint="eastAsia"/>
                <w:color w:val="auto"/>
                <w:highlight w:val="none"/>
              </w:rPr>
              <w:t>注册时间</w:t>
            </w:r>
          </w:p>
        </w:tc>
        <w:tc>
          <w:tcPr>
            <w:tcW w:w="1632" w:type="dxa"/>
            <w:gridSpan w:val="4"/>
            <w:vAlign w:val="center"/>
          </w:tcPr>
          <w:p w14:paraId="5DB4EBD9">
            <w:pPr>
              <w:jc w:val="center"/>
              <w:rPr>
                <w:color w:val="auto"/>
                <w:highlight w:val="none"/>
              </w:rPr>
            </w:pPr>
            <w:r>
              <w:rPr>
                <w:rFonts w:hint="eastAsia"/>
                <w:color w:val="auto"/>
                <w:highlight w:val="none"/>
              </w:rPr>
              <w:t>注册单位</w:t>
            </w:r>
          </w:p>
        </w:tc>
        <w:tc>
          <w:tcPr>
            <w:tcW w:w="1416" w:type="dxa"/>
            <w:gridSpan w:val="2"/>
            <w:vAlign w:val="center"/>
          </w:tcPr>
          <w:p w14:paraId="4611AFC0">
            <w:pPr>
              <w:jc w:val="center"/>
              <w:rPr>
                <w:color w:val="auto"/>
                <w:highlight w:val="none"/>
              </w:rPr>
            </w:pPr>
            <w:r>
              <w:rPr>
                <w:rFonts w:hint="eastAsia"/>
                <w:color w:val="auto"/>
                <w:highlight w:val="none"/>
              </w:rPr>
              <w:t>注册有效期</w:t>
            </w:r>
          </w:p>
        </w:tc>
      </w:tr>
      <w:tr w14:paraId="2145C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vAlign w:val="center"/>
          </w:tcPr>
          <w:p w14:paraId="1D9D19B9">
            <w:pPr>
              <w:jc w:val="center"/>
              <w:rPr>
                <w:color w:val="auto"/>
                <w:highlight w:val="none"/>
              </w:rPr>
            </w:pPr>
            <w:r>
              <w:rPr>
                <w:rFonts w:hint="eastAsia"/>
                <w:color w:val="auto"/>
                <w:highlight w:val="none"/>
              </w:rPr>
              <w:t>安全生产考核合格证书</w:t>
            </w:r>
          </w:p>
        </w:tc>
        <w:tc>
          <w:tcPr>
            <w:tcW w:w="1275" w:type="dxa"/>
            <w:gridSpan w:val="2"/>
            <w:vAlign w:val="center"/>
          </w:tcPr>
          <w:p w14:paraId="4C5A1F02">
            <w:pPr>
              <w:jc w:val="center"/>
              <w:rPr>
                <w:color w:val="auto"/>
                <w:highlight w:val="none"/>
              </w:rPr>
            </w:pPr>
          </w:p>
        </w:tc>
        <w:tc>
          <w:tcPr>
            <w:tcW w:w="1222" w:type="dxa"/>
            <w:gridSpan w:val="3"/>
            <w:vAlign w:val="center"/>
          </w:tcPr>
          <w:p w14:paraId="2DAD0077">
            <w:pPr>
              <w:jc w:val="center"/>
              <w:rPr>
                <w:rFonts w:cs="宋体"/>
                <w:color w:val="auto"/>
                <w:highlight w:val="none"/>
              </w:rPr>
            </w:pPr>
            <w:r>
              <w:rPr>
                <w:rFonts w:hint="eastAsia" w:cs="宋体"/>
                <w:color w:val="auto"/>
                <w:highlight w:val="none"/>
              </w:rPr>
              <w:t>C类</w:t>
            </w:r>
          </w:p>
        </w:tc>
        <w:tc>
          <w:tcPr>
            <w:tcW w:w="1417" w:type="dxa"/>
            <w:gridSpan w:val="3"/>
            <w:vAlign w:val="center"/>
          </w:tcPr>
          <w:p w14:paraId="5F747E53">
            <w:pPr>
              <w:jc w:val="center"/>
              <w:rPr>
                <w:color w:val="auto"/>
                <w:highlight w:val="none"/>
              </w:rPr>
            </w:pPr>
          </w:p>
        </w:tc>
        <w:tc>
          <w:tcPr>
            <w:tcW w:w="1418" w:type="dxa"/>
            <w:gridSpan w:val="3"/>
            <w:vAlign w:val="center"/>
          </w:tcPr>
          <w:p w14:paraId="32B51D2A">
            <w:pPr>
              <w:jc w:val="center"/>
              <w:rPr>
                <w:color w:val="auto"/>
                <w:highlight w:val="none"/>
              </w:rPr>
            </w:pPr>
          </w:p>
        </w:tc>
        <w:tc>
          <w:tcPr>
            <w:tcW w:w="1632" w:type="dxa"/>
            <w:gridSpan w:val="4"/>
            <w:vAlign w:val="center"/>
          </w:tcPr>
          <w:p w14:paraId="014D2ED8">
            <w:pPr>
              <w:jc w:val="center"/>
              <w:rPr>
                <w:color w:val="auto"/>
                <w:highlight w:val="none"/>
              </w:rPr>
            </w:pPr>
          </w:p>
        </w:tc>
        <w:tc>
          <w:tcPr>
            <w:tcW w:w="1416" w:type="dxa"/>
            <w:gridSpan w:val="2"/>
            <w:vAlign w:val="center"/>
          </w:tcPr>
          <w:p w14:paraId="739EE207">
            <w:pPr>
              <w:jc w:val="center"/>
              <w:rPr>
                <w:color w:val="auto"/>
                <w:highlight w:val="none"/>
              </w:rPr>
            </w:pPr>
          </w:p>
        </w:tc>
      </w:tr>
      <w:tr w14:paraId="3F327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vAlign w:val="center"/>
          </w:tcPr>
          <w:p w14:paraId="4F094BCF">
            <w:pPr>
              <w:jc w:val="center"/>
              <w:rPr>
                <w:color w:val="auto"/>
                <w:highlight w:val="none"/>
              </w:rPr>
            </w:pPr>
          </w:p>
        </w:tc>
        <w:tc>
          <w:tcPr>
            <w:tcW w:w="1275" w:type="dxa"/>
            <w:gridSpan w:val="2"/>
            <w:vAlign w:val="center"/>
          </w:tcPr>
          <w:p w14:paraId="71D55272">
            <w:pPr>
              <w:jc w:val="center"/>
              <w:rPr>
                <w:color w:val="auto"/>
                <w:highlight w:val="none"/>
              </w:rPr>
            </w:pPr>
          </w:p>
        </w:tc>
        <w:tc>
          <w:tcPr>
            <w:tcW w:w="1222" w:type="dxa"/>
            <w:gridSpan w:val="3"/>
            <w:vAlign w:val="center"/>
          </w:tcPr>
          <w:p w14:paraId="7A642690">
            <w:pPr>
              <w:jc w:val="center"/>
              <w:rPr>
                <w:rFonts w:cs="宋体"/>
                <w:color w:val="auto"/>
                <w:highlight w:val="none"/>
              </w:rPr>
            </w:pPr>
          </w:p>
        </w:tc>
        <w:tc>
          <w:tcPr>
            <w:tcW w:w="1417" w:type="dxa"/>
            <w:gridSpan w:val="3"/>
            <w:vAlign w:val="center"/>
          </w:tcPr>
          <w:p w14:paraId="75C5E555">
            <w:pPr>
              <w:jc w:val="center"/>
              <w:rPr>
                <w:color w:val="auto"/>
                <w:highlight w:val="none"/>
              </w:rPr>
            </w:pPr>
          </w:p>
        </w:tc>
        <w:tc>
          <w:tcPr>
            <w:tcW w:w="1418" w:type="dxa"/>
            <w:gridSpan w:val="3"/>
            <w:vAlign w:val="center"/>
          </w:tcPr>
          <w:p w14:paraId="458D0406">
            <w:pPr>
              <w:jc w:val="center"/>
              <w:rPr>
                <w:color w:val="auto"/>
                <w:highlight w:val="none"/>
              </w:rPr>
            </w:pPr>
          </w:p>
        </w:tc>
        <w:tc>
          <w:tcPr>
            <w:tcW w:w="1632" w:type="dxa"/>
            <w:gridSpan w:val="4"/>
            <w:vAlign w:val="center"/>
          </w:tcPr>
          <w:p w14:paraId="19A79996">
            <w:pPr>
              <w:jc w:val="center"/>
              <w:rPr>
                <w:color w:val="auto"/>
                <w:highlight w:val="none"/>
              </w:rPr>
            </w:pPr>
          </w:p>
        </w:tc>
        <w:tc>
          <w:tcPr>
            <w:tcW w:w="1416" w:type="dxa"/>
            <w:gridSpan w:val="2"/>
            <w:vAlign w:val="center"/>
          </w:tcPr>
          <w:p w14:paraId="4A2BE3FB">
            <w:pPr>
              <w:jc w:val="center"/>
              <w:rPr>
                <w:color w:val="auto"/>
                <w:highlight w:val="none"/>
              </w:rPr>
            </w:pPr>
          </w:p>
        </w:tc>
      </w:tr>
      <w:tr w14:paraId="065CF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19"/>
            <w:vAlign w:val="center"/>
          </w:tcPr>
          <w:p w14:paraId="269CD8A2">
            <w:pPr>
              <w:jc w:val="center"/>
              <w:rPr>
                <w:color w:val="auto"/>
                <w:highlight w:val="none"/>
              </w:rPr>
            </w:pPr>
            <w:r>
              <w:rPr>
                <w:rFonts w:hint="eastAsia" w:cs="宋体"/>
                <w:color w:val="auto"/>
                <w:highlight w:val="none"/>
              </w:rPr>
              <w:t>在建和已完成工程项目情况</w:t>
            </w:r>
          </w:p>
        </w:tc>
      </w:tr>
      <w:tr w14:paraId="1F175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14:paraId="3C14AEFE">
            <w:pPr>
              <w:jc w:val="center"/>
              <w:rPr>
                <w:color w:val="auto"/>
                <w:highlight w:val="none"/>
              </w:rPr>
            </w:pPr>
          </w:p>
        </w:tc>
        <w:tc>
          <w:tcPr>
            <w:tcW w:w="1548" w:type="dxa"/>
            <w:gridSpan w:val="2"/>
            <w:vAlign w:val="center"/>
          </w:tcPr>
          <w:p w14:paraId="67303FE8">
            <w:pPr>
              <w:jc w:val="center"/>
              <w:rPr>
                <w:color w:val="auto"/>
                <w:highlight w:val="none"/>
              </w:rPr>
            </w:pPr>
            <w:r>
              <w:rPr>
                <w:rFonts w:hint="eastAsia"/>
                <w:color w:val="auto"/>
                <w:highlight w:val="none"/>
              </w:rPr>
              <w:t>项目1</w:t>
            </w:r>
          </w:p>
        </w:tc>
        <w:tc>
          <w:tcPr>
            <w:tcW w:w="1837" w:type="dxa"/>
            <w:gridSpan w:val="4"/>
            <w:vAlign w:val="center"/>
          </w:tcPr>
          <w:p w14:paraId="58A34081">
            <w:pPr>
              <w:jc w:val="center"/>
              <w:rPr>
                <w:color w:val="auto"/>
                <w:highlight w:val="none"/>
              </w:rPr>
            </w:pPr>
            <w:r>
              <w:rPr>
                <w:rFonts w:hint="eastAsia"/>
                <w:color w:val="auto"/>
                <w:highlight w:val="none"/>
              </w:rPr>
              <w:t>项目2</w:t>
            </w:r>
          </w:p>
        </w:tc>
        <w:tc>
          <w:tcPr>
            <w:tcW w:w="1472" w:type="dxa"/>
            <w:gridSpan w:val="3"/>
            <w:vAlign w:val="center"/>
          </w:tcPr>
          <w:p w14:paraId="1E6AD56A">
            <w:pPr>
              <w:jc w:val="center"/>
              <w:rPr>
                <w:color w:val="auto"/>
                <w:highlight w:val="none"/>
              </w:rPr>
            </w:pPr>
            <w:r>
              <w:rPr>
                <w:rFonts w:hint="eastAsia"/>
                <w:color w:val="auto"/>
                <w:highlight w:val="none"/>
              </w:rPr>
              <w:t>项目3</w:t>
            </w:r>
          </w:p>
        </w:tc>
        <w:tc>
          <w:tcPr>
            <w:tcW w:w="1641" w:type="dxa"/>
            <w:gridSpan w:val="4"/>
            <w:vAlign w:val="center"/>
          </w:tcPr>
          <w:p w14:paraId="18AEEF36">
            <w:pPr>
              <w:jc w:val="center"/>
              <w:rPr>
                <w:color w:val="auto"/>
                <w:highlight w:val="none"/>
              </w:rPr>
            </w:pPr>
            <w:r>
              <w:rPr>
                <w:rFonts w:hint="eastAsia"/>
                <w:color w:val="auto"/>
                <w:highlight w:val="none"/>
              </w:rPr>
              <w:t>项目4</w:t>
            </w:r>
          </w:p>
        </w:tc>
        <w:tc>
          <w:tcPr>
            <w:tcW w:w="1484" w:type="dxa"/>
            <w:gridSpan w:val="2"/>
            <w:vAlign w:val="center"/>
          </w:tcPr>
          <w:p w14:paraId="2EEB0D83">
            <w:pPr>
              <w:jc w:val="center"/>
              <w:rPr>
                <w:color w:val="auto"/>
                <w:highlight w:val="none"/>
              </w:rPr>
            </w:pPr>
            <w:r>
              <w:rPr>
                <w:rFonts w:hint="eastAsia"/>
                <w:color w:val="auto"/>
                <w:highlight w:val="none"/>
              </w:rPr>
              <w:t>……</w:t>
            </w:r>
          </w:p>
        </w:tc>
      </w:tr>
      <w:tr w14:paraId="20C18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14:paraId="7CE36F4B">
            <w:pPr>
              <w:jc w:val="center"/>
              <w:rPr>
                <w:color w:val="auto"/>
                <w:highlight w:val="none"/>
              </w:rPr>
            </w:pPr>
            <w:r>
              <w:rPr>
                <w:rFonts w:hint="eastAsia"/>
                <w:color w:val="auto"/>
                <w:highlight w:val="none"/>
              </w:rPr>
              <w:t>项目名称</w:t>
            </w:r>
          </w:p>
        </w:tc>
        <w:tc>
          <w:tcPr>
            <w:tcW w:w="1548" w:type="dxa"/>
            <w:gridSpan w:val="2"/>
            <w:vAlign w:val="center"/>
          </w:tcPr>
          <w:p w14:paraId="3B598926">
            <w:pPr>
              <w:jc w:val="center"/>
              <w:rPr>
                <w:color w:val="auto"/>
                <w:highlight w:val="none"/>
              </w:rPr>
            </w:pPr>
          </w:p>
        </w:tc>
        <w:tc>
          <w:tcPr>
            <w:tcW w:w="1837" w:type="dxa"/>
            <w:gridSpan w:val="4"/>
            <w:vAlign w:val="center"/>
          </w:tcPr>
          <w:p w14:paraId="65044768">
            <w:pPr>
              <w:jc w:val="center"/>
              <w:rPr>
                <w:color w:val="auto"/>
                <w:highlight w:val="none"/>
              </w:rPr>
            </w:pPr>
          </w:p>
        </w:tc>
        <w:tc>
          <w:tcPr>
            <w:tcW w:w="1472" w:type="dxa"/>
            <w:gridSpan w:val="3"/>
            <w:vAlign w:val="center"/>
          </w:tcPr>
          <w:p w14:paraId="7C847BF2">
            <w:pPr>
              <w:jc w:val="center"/>
              <w:rPr>
                <w:color w:val="auto"/>
                <w:highlight w:val="none"/>
              </w:rPr>
            </w:pPr>
          </w:p>
        </w:tc>
        <w:tc>
          <w:tcPr>
            <w:tcW w:w="1641" w:type="dxa"/>
            <w:gridSpan w:val="4"/>
            <w:vAlign w:val="center"/>
          </w:tcPr>
          <w:p w14:paraId="026C927B">
            <w:pPr>
              <w:jc w:val="center"/>
              <w:rPr>
                <w:color w:val="auto"/>
                <w:highlight w:val="none"/>
              </w:rPr>
            </w:pPr>
          </w:p>
        </w:tc>
        <w:tc>
          <w:tcPr>
            <w:tcW w:w="1484" w:type="dxa"/>
            <w:gridSpan w:val="2"/>
            <w:vAlign w:val="center"/>
          </w:tcPr>
          <w:p w14:paraId="597CBD83">
            <w:pPr>
              <w:jc w:val="center"/>
              <w:rPr>
                <w:color w:val="auto"/>
                <w:highlight w:val="none"/>
              </w:rPr>
            </w:pPr>
          </w:p>
        </w:tc>
      </w:tr>
      <w:tr w14:paraId="18EEC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45643CCD">
            <w:pPr>
              <w:jc w:val="center"/>
              <w:rPr>
                <w:color w:val="auto"/>
                <w:highlight w:val="none"/>
              </w:rPr>
            </w:pPr>
            <w:r>
              <w:rPr>
                <w:rFonts w:hint="eastAsia" w:cs="宋体"/>
                <w:color w:val="auto"/>
                <w:highlight w:val="none"/>
              </w:rPr>
              <w:t>建设单位</w:t>
            </w:r>
          </w:p>
        </w:tc>
        <w:tc>
          <w:tcPr>
            <w:tcW w:w="1548" w:type="dxa"/>
            <w:gridSpan w:val="2"/>
            <w:vAlign w:val="center"/>
          </w:tcPr>
          <w:p w14:paraId="15DCD73C">
            <w:pPr>
              <w:jc w:val="center"/>
              <w:rPr>
                <w:color w:val="auto"/>
                <w:highlight w:val="none"/>
              </w:rPr>
            </w:pPr>
          </w:p>
        </w:tc>
        <w:tc>
          <w:tcPr>
            <w:tcW w:w="1837" w:type="dxa"/>
            <w:gridSpan w:val="4"/>
            <w:vAlign w:val="center"/>
          </w:tcPr>
          <w:p w14:paraId="61713484">
            <w:pPr>
              <w:jc w:val="center"/>
              <w:rPr>
                <w:color w:val="auto"/>
                <w:highlight w:val="none"/>
              </w:rPr>
            </w:pPr>
          </w:p>
        </w:tc>
        <w:tc>
          <w:tcPr>
            <w:tcW w:w="1472" w:type="dxa"/>
            <w:gridSpan w:val="3"/>
            <w:vAlign w:val="center"/>
          </w:tcPr>
          <w:p w14:paraId="098E82F4">
            <w:pPr>
              <w:jc w:val="center"/>
              <w:rPr>
                <w:color w:val="auto"/>
                <w:highlight w:val="none"/>
              </w:rPr>
            </w:pPr>
          </w:p>
        </w:tc>
        <w:tc>
          <w:tcPr>
            <w:tcW w:w="1641" w:type="dxa"/>
            <w:gridSpan w:val="4"/>
            <w:vAlign w:val="center"/>
          </w:tcPr>
          <w:p w14:paraId="6AC2AF45">
            <w:pPr>
              <w:jc w:val="center"/>
              <w:rPr>
                <w:color w:val="auto"/>
                <w:highlight w:val="none"/>
              </w:rPr>
            </w:pPr>
          </w:p>
        </w:tc>
        <w:tc>
          <w:tcPr>
            <w:tcW w:w="1484" w:type="dxa"/>
            <w:gridSpan w:val="2"/>
            <w:vAlign w:val="center"/>
          </w:tcPr>
          <w:p w14:paraId="3A078DF4">
            <w:pPr>
              <w:jc w:val="center"/>
              <w:rPr>
                <w:color w:val="auto"/>
                <w:highlight w:val="none"/>
              </w:rPr>
            </w:pPr>
          </w:p>
        </w:tc>
      </w:tr>
      <w:tr w14:paraId="097CF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10D34111">
            <w:pPr>
              <w:jc w:val="center"/>
              <w:rPr>
                <w:color w:val="auto"/>
                <w:highlight w:val="none"/>
              </w:rPr>
            </w:pPr>
            <w:r>
              <w:rPr>
                <w:rFonts w:hint="eastAsia" w:cs="宋体"/>
                <w:color w:val="auto"/>
                <w:highlight w:val="none"/>
              </w:rPr>
              <w:t>建设规模</w:t>
            </w:r>
          </w:p>
        </w:tc>
        <w:tc>
          <w:tcPr>
            <w:tcW w:w="1548" w:type="dxa"/>
            <w:gridSpan w:val="2"/>
            <w:vAlign w:val="center"/>
          </w:tcPr>
          <w:p w14:paraId="48AD7688">
            <w:pPr>
              <w:jc w:val="center"/>
              <w:rPr>
                <w:color w:val="auto"/>
                <w:highlight w:val="none"/>
              </w:rPr>
            </w:pPr>
          </w:p>
        </w:tc>
        <w:tc>
          <w:tcPr>
            <w:tcW w:w="1837" w:type="dxa"/>
            <w:gridSpan w:val="4"/>
            <w:vAlign w:val="center"/>
          </w:tcPr>
          <w:p w14:paraId="2248A434">
            <w:pPr>
              <w:jc w:val="center"/>
              <w:rPr>
                <w:color w:val="auto"/>
                <w:highlight w:val="none"/>
              </w:rPr>
            </w:pPr>
          </w:p>
        </w:tc>
        <w:tc>
          <w:tcPr>
            <w:tcW w:w="1472" w:type="dxa"/>
            <w:gridSpan w:val="3"/>
            <w:vAlign w:val="center"/>
          </w:tcPr>
          <w:p w14:paraId="3B8EC439">
            <w:pPr>
              <w:jc w:val="center"/>
              <w:rPr>
                <w:color w:val="auto"/>
                <w:highlight w:val="none"/>
              </w:rPr>
            </w:pPr>
          </w:p>
        </w:tc>
        <w:tc>
          <w:tcPr>
            <w:tcW w:w="1641" w:type="dxa"/>
            <w:gridSpan w:val="4"/>
            <w:vAlign w:val="center"/>
          </w:tcPr>
          <w:p w14:paraId="473B2A87">
            <w:pPr>
              <w:jc w:val="center"/>
              <w:rPr>
                <w:color w:val="auto"/>
                <w:highlight w:val="none"/>
              </w:rPr>
            </w:pPr>
          </w:p>
        </w:tc>
        <w:tc>
          <w:tcPr>
            <w:tcW w:w="1484" w:type="dxa"/>
            <w:gridSpan w:val="2"/>
            <w:vAlign w:val="center"/>
          </w:tcPr>
          <w:p w14:paraId="654AE2E1">
            <w:pPr>
              <w:jc w:val="center"/>
              <w:rPr>
                <w:color w:val="auto"/>
                <w:highlight w:val="none"/>
              </w:rPr>
            </w:pPr>
          </w:p>
        </w:tc>
      </w:tr>
      <w:tr w14:paraId="64440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1DBD3414">
            <w:pPr>
              <w:jc w:val="center"/>
              <w:rPr>
                <w:rFonts w:ascii="宋体" w:hAnsi="宋体" w:cs="宋体"/>
                <w:color w:val="auto"/>
                <w:sz w:val="27"/>
                <w:szCs w:val="27"/>
                <w:highlight w:val="none"/>
              </w:rPr>
            </w:pPr>
            <w:r>
              <w:rPr>
                <w:rFonts w:hint="eastAsia" w:cs="宋体"/>
                <w:color w:val="auto"/>
                <w:highlight w:val="none"/>
              </w:rPr>
              <w:t>开工日期</w:t>
            </w:r>
          </w:p>
        </w:tc>
        <w:tc>
          <w:tcPr>
            <w:tcW w:w="1548" w:type="dxa"/>
            <w:gridSpan w:val="2"/>
            <w:vAlign w:val="center"/>
          </w:tcPr>
          <w:p w14:paraId="5A448EA6">
            <w:pPr>
              <w:jc w:val="center"/>
              <w:rPr>
                <w:color w:val="auto"/>
                <w:highlight w:val="none"/>
              </w:rPr>
            </w:pPr>
          </w:p>
        </w:tc>
        <w:tc>
          <w:tcPr>
            <w:tcW w:w="1837" w:type="dxa"/>
            <w:gridSpan w:val="4"/>
            <w:vAlign w:val="center"/>
          </w:tcPr>
          <w:p w14:paraId="3698BA88">
            <w:pPr>
              <w:jc w:val="center"/>
              <w:rPr>
                <w:color w:val="auto"/>
                <w:highlight w:val="none"/>
              </w:rPr>
            </w:pPr>
          </w:p>
        </w:tc>
        <w:tc>
          <w:tcPr>
            <w:tcW w:w="1472" w:type="dxa"/>
            <w:gridSpan w:val="3"/>
            <w:vAlign w:val="center"/>
          </w:tcPr>
          <w:p w14:paraId="5B2599FD">
            <w:pPr>
              <w:jc w:val="center"/>
              <w:rPr>
                <w:color w:val="auto"/>
                <w:highlight w:val="none"/>
              </w:rPr>
            </w:pPr>
          </w:p>
        </w:tc>
        <w:tc>
          <w:tcPr>
            <w:tcW w:w="1641" w:type="dxa"/>
            <w:gridSpan w:val="4"/>
            <w:vAlign w:val="center"/>
          </w:tcPr>
          <w:p w14:paraId="3319B130">
            <w:pPr>
              <w:jc w:val="center"/>
              <w:rPr>
                <w:color w:val="auto"/>
                <w:highlight w:val="none"/>
              </w:rPr>
            </w:pPr>
          </w:p>
        </w:tc>
        <w:tc>
          <w:tcPr>
            <w:tcW w:w="1484" w:type="dxa"/>
            <w:gridSpan w:val="2"/>
            <w:vAlign w:val="center"/>
          </w:tcPr>
          <w:p w14:paraId="12041A93">
            <w:pPr>
              <w:jc w:val="center"/>
              <w:rPr>
                <w:color w:val="auto"/>
                <w:highlight w:val="none"/>
              </w:rPr>
            </w:pPr>
          </w:p>
        </w:tc>
      </w:tr>
      <w:tr w14:paraId="7C1E7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465E8602">
            <w:pPr>
              <w:jc w:val="center"/>
              <w:rPr>
                <w:color w:val="auto"/>
                <w:highlight w:val="none"/>
              </w:rPr>
            </w:pPr>
            <w:r>
              <w:rPr>
                <w:rFonts w:hint="eastAsia" w:cs="宋体"/>
                <w:color w:val="auto"/>
                <w:highlight w:val="none"/>
              </w:rPr>
              <w:t>竣工日期</w:t>
            </w:r>
          </w:p>
        </w:tc>
        <w:tc>
          <w:tcPr>
            <w:tcW w:w="1548" w:type="dxa"/>
            <w:gridSpan w:val="2"/>
            <w:vAlign w:val="center"/>
          </w:tcPr>
          <w:p w14:paraId="0AC3A77B">
            <w:pPr>
              <w:jc w:val="center"/>
              <w:rPr>
                <w:color w:val="auto"/>
                <w:highlight w:val="none"/>
              </w:rPr>
            </w:pPr>
          </w:p>
        </w:tc>
        <w:tc>
          <w:tcPr>
            <w:tcW w:w="1837" w:type="dxa"/>
            <w:gridSpan w:val="4"/>
            <w:vAlign w:val="center"/>
          </w:tcPr>
          <w:p w14:paraId="64A5B9FF">
            <w:pPr>
              <w:jc w:val="center"/>
              <w:rPr>
                <w:color w:val="auto"/>
                <w:highlight w:val="none"/>
              </w:rPr>
            </w:pPr>
          </w:p>
        </w:tc>
        <w:tc>
          <w:tcPr>
            <w:tcW w:w="1472" w:type="dxa"/>
            <w:gridSpan w:val="3"/>
            <w:vAlign w:val="center"/>
          </w:tcPr>
          <w:p w14:paraId="1EC848C3">
            <w:pPr>
              <w:jc w:val="center"/>
              <w:rPr>
                <w:color w:val="auto"/>
                <w:highlight w:val="none"/>
              </w:rPr>
            </w:pPr>
          </w:p>
        </w:tc>
        <w:tc>
          <w:tcPr>
            <w:tcW w:w="1641" w:type="dxa"/>
            <w:gridSpan w:val="4"/>
            <w:vAlign w:val="center"/>
          </w:tcPr>
          <w:p w14:paraId="156A2148">
            <w:pPr>
              <w:jc w:val="center"/>
              <w:rPr>
                <w:color w:val="auto"/>
                <w:highlight w:val="none"/>
              </w:rPr>
            </w:pPr>
          </w:p>
        </w:tc>
        <w:tc>
          <w:tcPr>
            <w:tcW w:w="1484" w:type="dxa"/>
            <w:gridSpan w:val="2"/>
            <w:vAlign w:val="center"/>
          </w:tcPr>
          <w:p w14:paraId="26B016F8">
            <w:pPr>
              <w:jc w:val="center"/>
              <w:rPr>
                <w:color w:val="auto"/>
                <w:highlight w:val="none"/>
              </w:rPr>
            </w:pPr>
          </w:p>
        </w:tc>
      </w:tr>
      <w:tr w14:paraId="47DC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11A21654">
            <w:pPr>
              <w:jc w:val="center"/>
              <w:rPr>
                <w:rFonts w:cs="宋体"/>
                <w:color w:val="auto"/>
                <w:highlight w:val="none"/>
              </w:rPr>
            </w:pPr>
            <w:r>
              <w:rPr>
                <w:rFonts w:hint="eastAsia" w:cs="宋体"/>
                <w:color w:val="auto"/>
                <w:highlight w:val="none"/>
              </w:rPr>
              <w:t>人员角色</w:t>
            </w:r>
          </w:p>
        </w:tc>
        <w:tc>
          <w:tcPr>
            <w:tcW w:w="1548" w:type="dxa"/>
            <w:gridSpan w:val="2"/>
            <w:vAlign w:val="center"/>
          </w:tcPr>
          <w:p w14:paraId="585AE70C">
            <w:pPr>
              <w:jc w:val="center"/>
              <w:rPr>
                <w:color w:val="auto"/>
                <w:highlight w:val="none"/>
              </w:rPr>
            </w:pPr>
          </w:p>
        </w:tc>
        <w:tc>
          <w:tcPr>
            <w:tcW w:w="1837" w:type="dxa"/>
            <w:gridSpan w:val="4"/>
            <w:vAlign w:val="center"/>
          </w:tcPr>
          <w:p w14:paraId="4A24A5C2">
            <w:pPr>
              <w:jc w:val="center"/>
              <w:rPr>
                <w:color w:val="auto"/>
                <w:highlight w:val="none"/>
              </w:rPr>
            </w:pPr>
          </w:p>
        </w:tc>
        <w:tc>
          <w:tcPr>
            <w:tcW w:w="1472" w:type="dxa"/>
            <w:gridSpan w:val="3"/>
            <w:vAlign w:val="center"/>
          </w:tcPr>
          <w:p w14:paraId="136F6C35">
            <w:pPr>
              <w:jc w:val="center"/>
              <w:rPr>
                <w:color w:val="auto"/>
                <w:highlight w:val="none"/>
              </w:rPr>
            </w:pPr>
          </w:p>
        </w:tc>
        <w:tc>
          <w:tcPr>
            <w:tcW w:w="1641" w:type="dxa"/>
            <w:gridSpan w:val="4"/>
            <w:vAlign w:val="center"/>
          </w:tcPr>
          <w:p w14:paraId="673289AB">
            <w:pPr>
              <w:jc w:val="center"/>
              <w:rPr>
                <w:color w:val="auto"/>
                <w:highlight w:val="none"/>
              </w:rPr>
            </w:pPr>
          </w:p>
        </w:tc>
        <w:tc>
          <w:tcPr>
            <w:tcW w:w="1484" w:type="dxa"/>
            <w:gridSpan w:val="2"/>
            <w:vAlign w:val="center"/>
          </w:tcPr>
          <w:p w14:paraId="32969E25">
            <w:pPr>
              <w:jc w:val="center"/>
              <w:rPr>
                <w:color w:val="auto"/>
                <w:highlight w:val="none"/>
              </w:rPr>
            </w:pPr>
          </w:p>
        </w:tc>
      </w:tr>
      <w:tr w14:paraId="0F5C4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62B32B8E">
            <w:pPr>
              <w:jc w:val="center"/>
              <w:rPr>
                <w:rFonts w:cs="宋体"/>
                <w:color w:val="auto"/>
                <w:highlight w:val="none"/>
              </w:rPr>
            </w:pPr>
            <w:r>
              <w:rPr>
                <w:rFonts w:hint="eastAsia" w:cs="宋体"/>
                <w:color w:val="auto"/>
                <w:highlight w:val="none"/>
              </w:rPr>
              <w:t>在建或已完成</w:t>
            </w:r>
          </w:p>
        </w:tc>
        <w:tc>
          <w:tcPr>
            <w:tcW w:w="1548" w:type="dxa"/>
            <w:gridSpan w:val="2"/>
            <w:vAlign w:val="center"/>
          </w:tcPr>
          <w:p w14:paraId="6466BC56">
            <w:pPr>
              <w:jc w:val="center"/>
              <w:rPr>
                <w:color w:val="auto"/>
                <w:highlight w:val="none"/>
              </w:rPr>
            </w:pPr>
          </w:p>
        </w:tc>
        <w:tc>
          <w:tcPr>
            <w:tcW w:w="1837" w:type="dxa"/>
            <w:gridSpan w:val="4"/>
            <w:vAlign w:val="center"/>
          </w:tcPr>
          <w:p w14:paraId="68D08004">
            <w:pPr>
              <w:jc w:val="center"/>
              <w:rPr>
                <w:color w:val="auto"/>
                <w:highlight w:val="none"/>
              </w:rPr>
            </w:pPr>
          </w:p>
        </w:tc>
        <w:tc>
          <w:tcPr>
            <w:tcW w:w="1472" w:type="dxa"/>
            <w:gridSpan w:val="3"/>
            <w:vAlign w:val="center"/>
          </w:tcPr>
          <w:p w14:paraId="5178D773">
            <w:pPr>
              <w:jc w:val="center"/>
              <w:rPr>
                <w:color w:val="auto"/>
                <w:highlight w:val="none"/>
              </w:rPr>
            </w:pPr>
          </w:p>
        </w:tc>
        <w:tc>
          <w:tcPr>
            <w:tcW w:w="1641" w:type="dxa"/>
            <w:gridSpan w:val="4"/>
            <w:vAlign w:val="center"/>
          </w:tcPr>
          <w:p w14:paraId="4F42BE78">
            <w:pPr>
              <w:jc w:val="center"/>
              <w:rPr>
                <w:color w:val="auto"/>
                <w:highlight w:val="none"/>
              </w:rPr>
            </w:pPr>
          </w:p>
        </w:tc>
        <w:tc>
          <w:tcPr>
            <w:tcW w:w="1484" w:type="dxa"/>
            <w:gridSpan w:val="2"/>
            <w:vAlign w:val="center"/>
          </w:tcPr>
          <w:p w14:paraId="65CFA271">
            <w:pPr>
              <w:jc w:val="center"/>
              <w:rPr>
                <w:color w:val="auto"/>
                <w:highlight w:val="none"/>
              </w:rPr>
            </w:pPr>
          </w:p>
        </w:tc>
      </w:tr>
      <w:tr w14:paraId="6400A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5EE23333">
            <w:pPr>
              <w:jc w:val="center"/>
              <w:rPr>
                <w:rFonts w:cs="宋体"/>
                <w:color w:val="auto"/>
                <w:highlight w:val="none"/>
              </w:rPr>
            </w:pPr>
            <w:r>
              <w:rPr>
                <w:rFonts w:hint="eastAsia" w:cs="宋体"/>
                <w:color w:val="auto"/>
                <w:highlight w:val="none"/>
              </w:rPr>
              <w:t>工程质量</w:t>
            </w:r>
          </w:p>
        </w:tc>
        <w:tc>
          <w:tcPr>
            <w:tcW w:w="1548" w:type="dxa"/>
            <w:gridSpan w:val="2"/>
            <w:vAlign w:val="center"/>
          </w:tcPr>
          <w:p w14:paraId="2C60074B">
            <w:pPr>
              <w:jc w:val="center"/>
              <w:rPr>
                <w:color w:val="auto"/>
                <w:highlight w:val="none"/>
              </w:rPr>
            </w:pPr>
          </w:p>
        </w:tc>
        <w:tc>
          <w:tcPr>
            <w:tcW w:w="1837" w:type="dxa"/>
            <w:gridSpan w:val="4"/>
            <w:vAlign w:val="center"/>
          </w:tcPr>
          <w:p w14:paraId="478286B9">
            <w:pPr>
              <w:jc w:val="center"/>
              <w:rPr>
                <w:color w:val="auto"/>
                <w:highlight w:val="none"/>
              </w:rPr>
            </w:pPr>
          </w:p>
        </w:tc>
        <w:tc>
          <w:tcPr>
            <w:tcW w:w="1472" w:type="dxa"/>
            <w:gridSpan w:val="3"/>
            <w:vAlign w:val="center"/>
          </w:tcPr>
          <w:p w14:paraId="0CDDD226">
            <w:pPr>
              <w:jc w:val="center"/>
              <w:rPr>
                <w:color w:val="auto"/>
                <w:highlight w:val="none"/>
              </w:rPr>
            </w:pPr>
          </w:p>
        </w:tc>
        <w:tc>
          <w:tcPr>
            <w:tcW w:w="1641" w:type="dxa"/>
            <w:gridSpan w:val="4"/>
            <w:vAlign w:val="center"/>
          </w:tcPr>
          <w:p w14:paraId="003B56FC">
            <w:pPr>
              <w:jc w:val="center"/>
              <w:rPr>
                <w:color w:val="auto"/>
                <w:highlight w:val="none"/>
              </w:rPr>
            </w:pPr>
          </w:p>
        </w:tc>
        <w:tc>
          <w:tcPr>
            <w:tcW w:w="1484" w:type="dxa"/>
            <w:gridSpan w:val="2"/>
            <w:vAlign w:val="center"/>
          </w:tcPr>
          <w:p w14:paraId="17C67370">
            <w:pPr>
              <w:jc w:val="center"/>
              <w:rPr>
                <w:color w:val="auto"/>
                <w:highlight w:val="none"/>
              </w:rPr>
            </w:pPr>
          </w:p>
        </w:tc>
      </w:tr>
      <w:tr w14:paraId="76B1C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192A058C">
            <w:pPr>
              <w:jc w:val="center"/>
              <w:rPr>
                <w:rFonts w:cs="宋体"/>
                <w:color w:val="auto"/>
                <w:highlight w:val="none"/>
              </w:rPr>
            </w:pPr>
            <w:r>
              <w:rPr>
                <w:rFonts w:hint="eastAsia" w:cs="宋体"/>
                <w:color w:val="auto"/>
                <w:highlight w:val="none"/>
              </w:rPr>
              <w:t>受奖情况</w:t>
            </w:r>
          </w:p>
        </w:tc>
        <w:tc>
          <w:tcPr>
            <w:tcW w:w="1548" w:type="dxa"/>
            <w:gridSpan w:val="2"/>
            <w:vAlign w:val="center"/>
          </w:tcPr>
          <w:p w14:paraId="4CAD37DC">
            <w:pPr>
              <w:jc w:val="center"/>
              <w:rPr>
                <w:color w:val="auto"/>
                <w:highlight w:val="none"/>
              </w:rPr>
            </w:pPr>
          </w:p>
        </w:tc>
        <w:tc>
          <w:tcPr>
            <w:tcW w:w="1837" w:type="dxa"/>
            <w:gridSpan w:val="4"/>
            <w:vAlign w:val="center"/>
          </w:tcPr>
          <w:p w14:paraId="4A066934">
            <w:pPr>
              <w:jc w:val="center"/>
              <w:rPr>
                <w:color w:val="auto"/>
                <w:highlight w:val="none"/>
              </w:rPr>
            </w:pPr>
          </w:p>
        </w:tc>
        <w:tc>
          <w:tcPr>
            <w:tcW w:w="1472" w:type="dxa"/>
            <w:gridSpan w:val="3"/>
            <w:vAlign w:val="center"/>
          </w:tcPr>
          <w:p w14:paraId="0762D71B">
            <w:pPr>
              <w:jc w:val="center"/>
              <w:rPr>
                <w:color w:val="auto"/>
                <w:highlight w:val="none"/>
              </w:rPr>
            </w:pPr>
          </w:p>
        </w:tc>
        <w:tc>
          <w:tcPr>
            <w:tcW w:w="1641" w:type="dxa"/>
            <w:gridSpan w:val="4"/>
            <w:vAlign w:val="center"/>
          </w:tcPr>
          <w:p w14:paraId="204AAEDC">
            <w:pPr>
              <w:jc w:val="center"/>
              <w:rPr>
                <w:color w:val="auto"/>
                <w:highlight w:val="none"/>
              </w:rPr>
            </w:pPr>
          </w:p>
        </w:tc>
        <w:tc>
          <w:tcPr>
            <w:tcW w:w="1484" w:type="dxa"/>
            <w:gridSpan w:val="2"/>
            <w:vAlign w:val="center"/>
          </w:tcPr>
          <w:p w14:paraId="6D3ECE61">
            <w:pPr>
              <w:jc w:val="center"/>
              <w:rPr>
                <w:color w:val="auto"/>
                <w:highlight w:val="none"/>
              </w:rPr>
            </w:pPr>
          </w:p>
        </w:tc>
      </w:tr>
    </w:tbl>
    <w:p w14:paraId="1D219200">
      <w:pPr>
        <w:spacing w:line="360" w:lineRule="auto"/>
        <w:rPr>
          <w:rFonts w:ascii="宋体" w:hAnsi="宋体"/>
          <w:color w:val="auto"/>
          <w:highlight w:val="none"/>
        </w:rPr>
      </w:pPr>
      <w:r>
        <w:rPr>
          <w:rFonts w:hint="eastAsia" w:ascii="宋体" w:hAnsi="宋体" w:cs="楷体_GB2312"/>
          <w:color w:val="auto"/>
          <w:highlight w:val="none"/>
        </w:rPr>
        <w:t>备注：</w:t>
      </w:r>
    </w:p>
    <w:p w14:paraId="1698CF61">
      <w:pPr>
        <w:spacing w:line="360" w:lineRule="auto"/>
        <w:ind w:firstLine="420" w:firstLineChars="200"/>
        <w:rPr>
          <w:rFonts w:ascii="宋体" w:hAnsi="宋体"/>
          <w:color w:val="auto"/>
          <w:highlight w:val="none"/>
        </w:rPr>
      </w:pPr>
      <w:r>
        <w:rPr>
          <w:rFonts w:hint="eastAsia" w:ascii="宋体" w:hAnsi="宋体"/>
          <w:color w:val="auto"/>
          <w:highlight w:val="none"/>
        </w:rPr>
        <w:t>1.供应商可以根据项目情况增减表格内容，项目数可以根据需要增加。</w:t>
      </w:r>
    </w:p>
    <w:p w14:paraId="666866EF">
      <w:pPr>
        <w:spacing w:line="360" w:lineRule="auto"/>
        <w:ind w:firstLine="420" w:firstLineChars="200"/>
        <w:rPr>
          <w:rFonts w:ascii="宋体" w:hAnsi="宋体"/>
          <w:color w:val="auto"/>
          <w:szCs w:val="21"/>
          <w:highlight w:val="none"/>
        </w:rPr>
      </w:pPr>
      <w:r>
        <w:rPr>
          <w:rFonts w:hint="eastAsia" w:ascii="宋体" w:hAnsi="宋体"/>
          <w:color w:val="auto"/>
          <w:highlight w:val="none"/>
        </w:rPr>
        <w:t>2.</w:t>
      </w:r>
      <w:r>
        <w:rPr>
          <w:rFonts w:hint="eastAsia" w:ascii="宋体" w:hAnsi="宋体"/>
          <w:color w:val="auto"/>
          <w:szCs w:val="21"/>
          <w:highlight w:val="none"/>
        </w:rPr>
        <w:t>本表后附专职安全生产管理人员的学历证、安全生产考核合格证（C类）、本表所列证书扫描件并加盖供应商电子签章。</w:t>
      </w:r>
    </w:p>
    <w:p w14:paraId="5924F058">
      <w:pPr>
        <w:spacing w:line="360" w:lineRule="auto"/>
        <w:rPr>
          <w:rFonts w:ascii="宋体" w:hAnsi="宋体"/>
          <w:color w:val="auto"/>
          <w:szCs w:val="21"/>
          <w:highlight w:val="none"/>
        </w:rPr>
      </w:pPr>
      <w:r>
        <w:rPr>
          <w:rFonts w:ascii="宋体" w:hAnsi="宋体"/>
          <w:b/>
          <w:bCs/>
          <w:color w:val="auto"/>
          <w:sz w:val="24"/>
          <w:highlight w:val="none"/>
        </w:rPr>
        <w:br w:type="page"/>
      </w:r>
      <w:r>
        <w:rPr>
          <w:rFonts w:hint="eastAsia" w:ascii="宋体" w:hAnsi="宋体"/>
          <w:b/>
          <w:bCs/>
          <w:color w:val="auto"/>
          <w:sz w:val="24"/>
          <w:highlight w:val="none"/>
        </w:rPr>
        <w:t>其他文书、文件格式</w:t>
      </w:r>
    </w:p>
    <w:p w14:paraId="1EC81FB5">
      <w:pPr>
        <w:jc w:val="center"/>
        <w:rPr>
          <w:rFonts w:ascii="方正小标宋简体" w:hAnsi="方正小标宋简体" w:eastAsia="方正小标宋简体" w:cs="方正小标宋简体"/>
          <w:color w:val="auto"/>
          <w:sz w:val="44"/>
          <w:szCs w:val="44"/>
          <w:highlight w:val="none"/>
        </w:rPr>
      </w:pPr>
      <w:bookmarkStart w:id="108" w:name="_Toc71365926"/>
      <w:r>
        <w:rPr>
          <w:rFonts w:hint="eastAsia" w:ascii="方正小标宋简体" w:hAnsi="方正小标宋简体" w:eastAsia="方正小标宋简体" w:cs="方正小标宋简体"/>
          <w:color w:val="auto"/>
          <w:sz w:val="44"/>
          <w:szCs w:val="44"/>
          <w:highlight w:val="none"/>
        </w:rPr>
        <w:t>中小企业声明函（工程）</w:t>
      </w:r>
      <w:bookmarkEnd w:id="108"/>
    </w:p>
    <w:p w14:paraId="19FB01CB">
      <w:pPr>
        <w:spacing w:before="2" w:line="500" w:lineRule="exact"/>
        <w:ind w:firstLine="708" w:firstLineChars="294"/>
        <w:rPr>
          <w:rFonts w:ascii="宋体" w:hAnsi="宋体" w:cs="宋体"/>
          <w:b/>
          <w:bCs/>
          <w:color w:val="auto"/>
          <w:sz w:val="24"/>
          <w:highlight w:val="none"/>
        </w:rPr>
      </w:pPr>
    </w:p>
    <w:p w14:paraId="47AE0CFB">
      <w:pPr>
        <w:pStyle w:val="21"/>
        <w:spacing w:line="500" w:lineRule="exact"/>
        <w:ind w:right="142" w:firstLine="705" w:firstLineChars="294"/>
        <w:rPr>
          <w:rFonts w:ascii="宋体" w:hAnsi="宋体"/>
          <w:color w:val="auto"/>
          <w:sz w:val="24"/>
          <w:highlight w:val="none"/>
        </w:rPr>
      </w:pPr>
      <w:r>
        <w:rPr>
          <w:rFonts w:ascii="宋体" w:hAnsi="宋体"/>
          <w:color w:val="auto"/>
          <w:sz w:val="24"/>
          <w:highlight w:val="none"/>
        </w:rPr>
        <w:t>本公司（联合体）郑重声明，根据《政府采购促进中小企业发展管理办法》（财库﹝2020﹞46号）的规定，本公司（联合体）参加</w:t>
      </w:r>
      <w:r>
        <w:rPr>
          <w:rFonts w:ascii="宋体" w:hAnsi="宋体"/>
          <w:color w:val="auto"/>
          <w:sz w:val="24"/>
          <w:highlight w:val="none"/>
          <w:u w:val="single"/>
        </w:rPr>
        <w:t>（单位名称）</w:t>
      </w:r>
      <w:r>
        <w:rPr>
          <w:rFonts w:ascii="宋体" w:hAnsi="宋体"/>
          <w:color w:val="auto"/>
          <w:sz w:val="24"/>
          <w:highlight w:val="none"/>
        </w:rPr>
        <w:t>的</w:t>
      </w:r>
      <w:r>
        <w:rPr>
          <w:rFonts w:ascii="宋体" w:hAnsi="宋体"/>
          <w:color w:val="auto"/>
          <w:sz w:val="24"/>
          <w:highlight w:val="none"/>
          <w:u w:val="single"/>
        </w:rPr>
        <w:t>（项目名称）</w:t>
      </w:r>
      <w:r>
        <w:rPr>
          <w:rFonts w:ascii="宋体" w:hAnsi="宋体"/>
          <w:color w:val="auto"/>
          <w:sz w:val="24"/>
          <w:highlight w:val="none"/>
        </w:rPr>
        <w:t>采购活动，</w:t>
      </w:r>
      <w:r>
        <w:rPr>
          <w:rFonts w:hint="eastAsia" w:ascii="宋体" w:hAnsi="宋体"/>
          <w:color w:val="auto"/>
          <w:sz w:val="24"/>
          <w:highlight w:val="none"/>
        </w:rPr>
        <w:t>工程的施工单位全部为符合政策要求的中小企业。相关企业（含联合体中的中小企业、签订分包意向协议的中小企业）的具体情况如下：</w:t>
      </w:r>
    </w:p>
    <w:p w14:paraId="587D7425">
      <w:pPr>
        <w:tabs>
          <w:tab w:val="left" w:pos="1384"/>
          <w:tab w:val="left" w:pos="4562"/>
          <w:tab w:val="left" w:pos="6803"/>
        </w:tabs>
        <w:spacing w:before="13" w:line="500" w:lineRule="exact"/>
        <w:ind w:right="142" w:firstLine="772" w:firstLineChars="322"/>
        <w:rPr>
          <w:rFonts w:ascii="宋体" w:hAnsi="宋体"/>
          <w:color w:val="auto"/>
          <w:sz w:val="24"/>
          <w:highlight w:val="none"/>
        </w:rPr>
      </w:pPr>
      <w:r>
        <w:rPr>
          <w:rFonts w:ascii="宋体" w:hAnsi="宋体"/>
          <w:color w:val="auto"/>
          <w:sz w:val="24"/>
          <w:highlight w:val="none"/>
        </w:rPr>
        <w:t>1.</w:t>
      </w:r>
      <w:r>
        <w:rPr>
          <w:rFonts w:ascii="宋体" w:hAnsi="宋体"/>
          <w:color w:val="auto"/>
          <w:sz w:val="24"/>
          <w:highlight w:val="none"/>
          <w:u w:val="single"/>
        </w:rPr>
        <w:t>（标的名称）</w:t>
      </w:r>
      <w:r>
        <w:rPr>
          <w:rFonts w:ascii="宋体" w:hAnsi="宋体"/>
          <w:color w:val="auto"/>
          <w:sz w:val="24"/>
          <w:highlight w:val="none"/>
        </w:rPr>
        <w:t>，属于</w:t>
      </w:r>
      <w:r>
        <w:rPr>
          <w:rFonts w:ascii="宋体" w:hAnsi="宋体"/>
          <w:color w:val="auto"/>
          <w:sz w:val="24"/>
          <w:highlight w:val="none"/>
          <w:u w:val="single"/>
        </w:rPr>
        <w:t>（采购文件中明确的所属</w:t>
      </w:r>
      <w:r>
        <w:rPr>
          <w:rFonts w:hint="eastAsia" w:ascii="宋体" w:hAnsi="宋体"/>
          <w:color w:val="auto"/>
          <w:sz w:val="24"/>
          <w:highlight w:val="none"/>
          <w:u w:val="single"/>
        </w:rPr>
        <w:t>行</w:t>
      </w:r>
      <w:r>
        <w:rPr>
          <w:rFonts w:ascii="宋体" w:hAnsi="宋体"/>
          <w:color w:val="auto"/>
          <w:sz w:val="24"/>
          <w:highlight w:val="none"/>
          <w:u w:val="single"/>
        </w:rPr>
        <w:t>业）</w:t>
      </w:r>
      <w:r>
        <w:rPr>
          <w:rFonts w:ascii="宋体" w:hAnsi="宋体"/>
          <w:color w:val="auto"/>
          <w:sz w:val="24"/>
          <w:highlight w:val="none"/>
        </w:rPr>
        <w:t>；</w:t>
      </w:r>
      <w:r>
        <w:rPr>
          <w:rFonts w:hint="eastAsia" w:ascii="宋体" w:hAnsi="宋体"/>
          <w:color w:val="auto"/>
          <w:sz w:val="24"/>
          <w:highlight w:val="none"/>
        </w:rPr>
        <w:t>承建企业为</w:t>
      </w:r>
      <w:r>
        <w:rPr>
          <w:rFonts w:hint="eastAsia" w:ascii="宋体" w:hAnsi="宋体"/>
          <w:color w:val="auto"/>
          <w:sz w:val="24"/>
          <w:highlight w:val="none"/>
          <w:u w:val="single"/>
        </w:rPr>
        <w:t>（企业名称）</w:t>
      </w:r>
      <w:r>
        <w:rPr>
          <w:rFonts w:hint="eastAsia" w:ascii="宋体" w:hAnsi="宋体"/>
          <w:color w:val="auto"/>
          <w:sz w:val="24"/>
          <w:highlight w:val="none"/>
        </w:rPr>
        <w:t>，从业人员人，营业收入为万元，资产总额为万元</w:t>
      </w:r>
      <w:r>
        <w:rPr>
          <w:rFonts w:ascii="宋体" w:hAnsi="宋体"/>
          <w:color w:val="auto"/>
          <w:sz w:val="24"/>
          <w:highlight w:val="none"/>
        </w:rPr>
        <w:t>，属于</w:t>
      </w:r>
      <w:r>
        <w:rPr>
          <w:rFonts w:ascii="宋体" w:hAnsi="宋体"/>
          <w:color w:val="auto"/>
          <w:sz w:val="24"/>
          <w:highlight w:val="none"/>
          <w:u w:val="single"/>
        </w:rPr>
        <w:t>（中型企业、</w:t>
      </w:r>
      <w:r>
        <w:rPr>
          <w:rFonts w:hint="eastAsia" w:ascii="宋体" w:hAnsi="宋体"/>
          <w:color w:val="auto"/>
          <w:sz w:val="24"/>
          <w:highlight w:val="none"/>
          <w:u w:val="single"/>
        </w:rPr>
        <w:t>小型企业、微型企业）</w:t>
      </w:r>
      <w:r>
        <w:rPr>
          <w:rFonts w:hint="eastAsia" w:ascii="宋体" w:hAnsi="宋体"/>
          <w:color w:val="auto"/>
          <w:sz w:val="24"/>
          <w:highlight w:val="none"/>
        </w:rPr>
        <w:t>；</w:t>
      </w:r>
    </w:p>
    <w:p w14:paraId="41833FAF">
      <w:pPr>
        <w:tabs>
          <w:tab w:val="left" w:pos="1065"/>
          <w:tab w:val="left" w:pos="4262"/>
          <w:tab w:val="left" w:pos="6477"/>
        </w:tabs>
        <w:spacing w:before="20" w:line="500" w:lineRule="exact"/>
        <w:ind w:right="84" w:firstLine="772" w:firstLineChars="322"/>
        <w:rPr>
          <w:rFonts w:ascii="宋体" w:hAnsi="宋体"/>
          <w:color w:val="auto"/>
          <w:sz w:val="24"/>
          <w:highlight w:val="none"/>
          <w:u w:val="single"/>
        </w:rPr>
      </w:pPr>
      <w:r>
        <w:rPr>
          <w:rFonts w:ascii="宋体" w:hAnsi="宋体"/>
          <w:color w:val="auto"/>
          <w:sz w:val="24"/>
          <w:highlight w:val="none"/>
        </w:rPr>
        <w:t>2.</w:t>
      </w:r>
      <w:r>
        <w:rPr>
          <w:rFonts w:ascii="宋体" w:hAnsi="宋体"/>
          <w:color w:val="auto"/>
          <w:sz w:val="24"/>
          <w:highlight w:val="none"/>
          <w:u w:val="single"/>
        </w:rPr>
        <w:t>（标的名称）</w:t>
      </w:r>
      <w:r>
        <w:rPr>
          <w:rFonts w:ascii="宋体" w:hAnsi="宋体"/>
          <w:color w:val="auto"/>
          <w:sz w:val="24"/>
          <w:highlight w:val="none"/>
        </w:rPr>
        <w:t>，属于</w:t>
      </w:r>
      <w:r>
        <w:rPr>
          <w:rFonts w:ascii="宋体" w:hAnsi="宋体"/>
          <w:color w:val="auto"/>
          <w:sz w:val="24"/>
          <w:highlight w:val="none"/>
          <w:u w:val="single"/>
        </w:rPr>
        <w:t>（采购文件中明确的所属</w:t>
      </w:r>
      <w:r>
        <w:rPr>
          <w:rFonts w:hint="eastAsia" w:ascii="宋体" w:hAnsi="宋体"/>
          <w:color w:val="auto"/>
          <w:sz w:val="24"/>
          <w:highlight w:val="none"/>
          <w:u w:val="single"/>
        </w:rPr>
        <w:t>行业</w:t>
      </w:r>
      <w:r>
        <w:rPr>
          <w:rFonts w:ascii="宋体" w:hAnsi="宋体"/>
          <w:color w:val="auto"/>
          <w:sz w:val="24"/>
          <w:highlight w:val="none"/>
          <w:u w:val="single"/>
        </w:rPr>
        <w:t>）</w:t>
      </w:r>
      <w:r>
        <w:rPr>
          <w:rFonts w:ascii="宋体" w:hAnsi="宋体"/>
          <w:color w:val="auto"/>
          <w:sz w:val="24"/>
          <w:highlight w:val="none"/>
        </w:rPr>
        <w:t>；</w:t>
      </w:r>
      <w:r>
        <w:rPr>
          <w:rFonts w:hint="eastAsia" w:ascii="宋体" w:hAnsi="宋体"/>
          <w:color w:val="auto"/>
          <w:sz w:val="24"/>
          <w:highlight w:val="none"/>
        </w:rPr>
        <w:t>承建企业为</w:t>
      </w:r>
      <w:r>
        <w:rPr>
          <w:rFonts w:hint="eastAsia" w:ascii="宋体" w:hAnsi="宋体"/>
          <w:color w:val="auto"/>
          <w:sz w:val="24"/>
          <w:highlight w:val="none"/>
          <w:u w:val="single"/>
        </w:rPr>
        <w:t>（企业名称）</w:t>
      </w:r>
      <w:r>
        <w:rPr>
          <w:rFonts w:hint="eastAsia" w:ascii="宋体" w:hAnsi="宋体"/>
          <w:color w:val="auto"/>
          <w:sz w:val="24"/>
          <w:highlight w:val="none"/>
        </w:rPr>
        <w:t>，从业人员人，营业收入为万元，资产总额为万元</w:t>
      </w:r>
      <w:r>
        <w:rPr>
          <w:rFonts w:ascii="宋体" w:hAnsi="宋体"/>
          <w:color w:val="auto"/>
          <w:sz w:val="24"/>
          <w:highlight w:val="none"/>
        </w:rPr>
        <w:t>，属于</w:t>
      </w:r>
      <w:r>
        <w:rPr>
          <w:rFonts w:ascii="宋体" w:hAnsi="宋体"/>
          <w:color w:val="auto"/>
          <w:sz w:val="24"/>
          <w:highlight w:val="none"/>
          <w:u w:val="single"/>
        </w:rPr>
        <w:t>（中型企业、</w:t>
      </w:r>
      <w:r>
        <w:rPr>
          <w:rFonts w:hint="eastAsia" w:ascii="宋体" w:hAnsi="宋体"/>
          <w:color w:val="auto"/>
          <w:sz w:val="24"/>
          <w:highlight w:val="none"/>
          <w:u w:val="single"/>
        </w:rPr>
        <w:t>小型企业、微型企业）</w:t>
      </w:r>
      <w:r>
        <w:rPr>
          <w:rFonts w:hint="eastAsia" w:ascii="宋体" w:hAnsi="宋体"/>
          <w:color w:val="auto"/>
          <w:sz w:val="24"/>
          <w:highlight w:val="none"/>
        </w:rPr>
        <w:t>；</w:t>
      </w:r>
    </w:p>
    <w:p w14:paraId="617F57D1">
      <w:pPr>
        <w:pStyle w:val="21"/>
        <w:spacing w:before="34" w:line="500" w:lineRule="exact"/>
        <w:ind w:right="142" w:firstLine="705" w:firstLineChars="294"/>
        <w:rPr>
          <w:rFonts w:ascii="宋体" w:hAnsi="宋体"/>
          <w:color w:val="auto"/>
          <w:sz w:val="24"/>
          <w:highlight w:val="none"/>
        </w:rPr>
      </w:pPr>
      <w:r>
        <w:rPr>
          <w:rFonts w:ascii="宋体" w:hAnsi="宋体"/>
          <w:color w:val="auto"/>
          <w:sz w:val="24"/>
          <w:highlight w:val="none"/>
        </w:rPr>
        <w:t xml:space="preserve">…… </w:t>
      </w:r>
    </w:p>
    <w:p w14:paraId="3542E624">
      <w:pPr>
        <w:pStyle w:val="21"/>
        <w:spacing w:before="34" w:line="500" w:lineRule="exact"/>
        <w:ind w:right="142" w:firstLine="705" w:firstLineChars="294"/>
        <w:rPr>
          <w:rFonts w:ascii="宋体" w:hAnsi="宋体"/>
          <w:color w:val="auto"/>
          <w:sz w:val="24"/>
          <w:highlight w:val="none"/>
        </w:rPr>
      </w:pPr>
      <w:r>
        <w:rPr>
          <w:rFonts w:ascii="宋体" w:hAnsi="宋体"/>
          <w:color w:val="auto"/>
          <w:sz w:val="24"/>
          <w:highlight w:val="none"/>
        </w:rPr>
        <w:t>以上企业，不属于大企业的分支机构，不存在控股股东为大企业的情形，也不存在与大企业的负责人为同一人的情形。</w:t>
      </w:r>
    </w:p>
    <w:p w14:paraId="3A15DE00">
      <w:pPr>
        <w:pStyle w:val="21"/>
        <w:spacing w:before="25" w:line="500" w:lineRule="exact"/>
        <w:ind w:right="142" w:firstLine="705" w:firstLineChars="294"/>
        <w:rPr>
          <w:rFonts w:ascii="宋体" w:hAnsi="宋体"/>
          <w:color w:val="auto"/>
          <w:sz w:val="24"/>
          <w:highlight w:val="none"/>
        </w:rPr>
      </w:pPr>
      <w:r>
        <w:rPr>
          <w:rFonts w:ascii="宋体" w:hAnsi="宋体"/>
          <w:color w:val="auto"/>
          <w:sz w:val="24"/>
          <w:highlight w:val="none"/>
        </w:rPr>
        <w:t>本企业对上述声明内容的真实性负责。如有虚假，将依法承担相应责任。</w:t>
      </w:r>
    </w:p>
    <w:p w14:paraId="3BB58A2B">
      <w:pPr>
        <w:pStyle w:val="21"/>
        <w:spacing w:before="56" w:line="500" w:lineRule="exact"/>
        <w:ind w:right="1808" w:firstLine="705" w:firstLineChars="294"/>
        <w:rPr>
          <w:rFonts w:ascii="宋体" w:hAnsi="宋体"/>
          <w:color w:val="auto"/>
          <w:sz w:val="24"/>
          <w:highlight w:val="none"/>
        </w:rPr>
      </w:pPr>
    </w:p>
    <w:p w14:paraId="516CF7A1">
      <w:pPr>
        <w:pStyle w:val="21"/>
        <w:spacing w:before="56" w:line="500" w:lineRule="exact"/>
        <w:ind w:right="650" w:firstLine="5625" w:firstLineChars="2344"/>
        <w:rPr>
          <w:rFonts w:ascii="宋体" w:hAnsi="宋体"/>
          <w:color w:val="auto"/>
          <w:sz w:val="24"/>
          <w:highlight w:val="none"/>
        </w:rPr>
      </w:pPr>
      <w:r>
        <w:rPr>
          <w:rFonts w:ascii="宋体" w:hAnsi="宋体"/>
          <w:color w:val="auto"/>
          <w:sz w:val="24"/>
          <w:highlight w:val="none"/>
        </w:rPr>
        <w:t xml:space="preserve">企业名称（章）： </w:t>
      </w:r>
    </w:p>
    <w:p w14:paraId="3CBE6FB8">
      <w:pPr>
        <w:pStyle w:val="21"/>
        <w:spacing w:before="56" w:line="500" w:lineRule="exact"/>
        <w:ind w:right="1808" w:firstLine="5625" w:firstLineChars="2344"/>
        <w:rPr>
          <w:rFonts w:ascii="宋体" w:hAnsi="宋体"/>
          <w:color w:val="auto"/>
          <w:sz w:val="24"/>
          <w:highlight w:val="none"/>
        </w:rPr>
      </w:pPr>
      <w:r>
        <w:rPr>
          <w:rFonts w:ascii="宋体" w:hAnsi="宋体"/>
          <w:color w:val="auto"/>
          <w:sz w:val="24"/>
          <w:highlight w:val="none"/>
        </w:rPr>
        <w:t>日 期：</w:t>
      </w:r>
    </w:p>
    <w:p w14:paraId="7DE58E6B">
      <w:pPr>
        <w:spacing w:line="520" w:lineRule="exact"/>
        <w:jc w:val="left"/>
        <w:rPr>
          <w:rFonts w:ascii="宋体" w:hAnsi="宋体" w:cs="仿宋_GB2312"/>
          <w:color w:val="auto"/>
          <w:sz w:val="24"/>
          <w:highlight w:val="none"/>
        </w:rPr>
      </w:pPr>
      <w:r>
        <w:rPr>
          <w:rFonts w:hint="eastAsia" w:ascii="宋体" w:hAnsi="宋体" w:cs="仿宋_GB2312"/>
          <w:color w:val="auto"/>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75CD8DB7">
      <w:pPr>
        <w:spacing w:line="520" w:lineRule="exact"/>
        <w:jc w:val="center"/>
        <w:rPr>
          <w:rFonts w:ascii="仿宋_GB2312" w:hAnsi="仿宋_GB2312" w:eastAsia="仿宋_GB2312" w:cs="仿宋_GB2312"/>
          <w:color w:val="auto"/>
          <w:sz w:val="32"/>
          <w:szCs w:val="32"/>
          <w:highlight w:val="none"/>
        </w:rPr>
      </w:pPr>
      <w:r>
        <w:rPr>
          <w:rFonts w:ascii="宋体" w:hAnsi="宋体"/>
          <w:color w:val="auto"/>
          <w:sz w:val="24"/>
          <w:highlight w:val="none"/>
        </w:rPr>
        <w:br w:type="page"/>
      </w:r>
      <w:r>
        <w:rPr>
          <w:rFonts w:hint="eastAsia" w:ascii="方正小标宋简体" w:hAnsi="方正小标宋简体" w:eastAsia="方正小标宋简体" w:cs="方正小标宋简体"/>
          <w:color w:val="auto"/>
          <w:sz w:val="44"/>
          <w:szCs w:val="44"/>
          <w:highlight w:val="none"/>
        </w:rPr>
        <w:t>残疾人福利性单位声明函</w:t>
      </w:r>
    </w:p>
    <w:p w14:paraId="31ACE8E7">
      <w:pPr>
        <w:spacing w:line="360" w:lineRule="auto"/>
        <w:contextualSpacing/>
        <w:rPr>
          <w:rFonts w:ascii="仿宋_GB2312" w:hAnsi="仿宋_GB2312" w:eastAsia="仿宋_GB2312" w:cs="仿宋_GB2312"/>
          <w:color w:val="auto"/>
          <w:sz w:val="32"/>
          <w:szCs w:val="32"/>
          <w:highlight w:val="none"/>
        </w:rPr>
      </w:pPr>
    </w:p>
    <w:p w14:paraId="3ABDB373">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2442BB3A">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本单位对上述声明的真实性负责。如有虚假，将依法承担相应责任。</w:t>
      </w:r>
    </w:p>
    <w:p w14:paraId="7254B951">
      <w:pPr>
        <w:spacing w:line="360" w:lineRule="auto"/>
        <w:contextualSpacing/>
        <w:rPr>
          <w:rFonts w:ascii="宋体" w:hAnsi="宋体" w:cs="仿宋_GB2312"/>
          <w:color w:val="auto"/>
          <w:sz w:val="24"/>
          <w:highlight w:val="none"/>
        </w:rPr>
      </w:pPr>
    </w:p>
    <w:p w14:paraId="42F42789">
      <w:pPr>
        <w:spacing w:line="360" w:lineRule="auto"/>
        <w:contextualSpacing/>
        <w:rPr>
          <w:rFonts w:ascii="宋体" w:hAnsi="宋体" w:cs="仿宋_GB2312"/>
          <w:color w:val="auto"/>
          <w:sz w:val="24"/>
          <w:highlight w:val="none"/>
        </w:rPr>
      </w:pPr>
    </w:p>
    <w:p w14:paraId="70765EE4">
      <w:pPr>
        <w:spacing w:line="360" w:lineRule="auto"/>
        <w:contextualSpacing/>
        <w:rPr>
          <w:rFonts w:ascii="宋体" w:hAnsi="宋体" w:cs="仿宋_GB2312"/>
          <w:color w:val="auto"/>
          <w:sz w:val="24"/>
          <w:highlight w:val="none"/>
        </w:rPr>
      </w:pPr>
    </w:p>
    <w:p w14:paraId="182639BF">
      <w:pPr>
        <w:spacing w:line="360" w:lineRule="auto"/>
        <w:ind w:firstLine="2400" w:firstLineChars="1000"/>
        <w:contextualSpacing/>
        <w:rPr>
          <w:rFonts w:ascii="宋体" w:hAnsi="宋体" w:cs="仿宋_GB2312"/>
          <w:color w:val="auto"/>
          <w:sz w:val="24"/>
          <w:highlight w:val="none"/>
        </w:rPr>
      </w:pPr>
      <w:r>
        <w:rPr>
          <w:rFonts w:hint="eastAsia" w:ascii="宋体" w:hAnsi="宋体" w:cs="仿宋_GB2312"/>
          <w:color w:val="auto"/>
          <w:sz w:val="24"/>
          <w:highlight w:val="none"/>
        </w:rPr>
        <w:t>单位名称（盖章）：</w:t>
      </w:r>
    </w:p>
    <w:p w14:paraId="0F509896">
      <w:pPr>
        <w:spacing w:line="360" w:lineRule="auto"/>
        <w:ind w:firstLine="3600" w:firstLineChars="1500"/>
        <w:contextualSpacing/>
        <w:rPr>
          <w:rFonts w:ascii="宋体" w:hAnsi="宋体" w:cs="仿宋_GB2312"/>
          <w:color w:val="auto"/>
          <w:sz w:val="24"/>
          <w:highlight w:val="none"/>
        </w:rPr>
      </w:pPr>
      <w:r>
        <w:rPr>
          <w:rFonts w:hint="eastAsia" w:ascii="宋体" w:hAnsi="宋体" w:cs="仿宋_GB2312"/>
          <w:color w:val="auto"/>
          <w:sz w:val="24"/>
          <w:highlight w:val="none"/>
        </w:rPr>
        <w:t>日  期：</w:t>
      </w:r>
    </w:p>
    <w:p w14:paraId="6747E3CB">
      <w:pPr>
        <w:spacing w:line="360" w:lineRule="auto"/>
        <w:contextualSpacing/>
        <w:rPr>
          <w:rFonts w:ascii="宋体" w:hAnsi="宋体" w:cs="仿宋_GB2312"/>
          <w:color w:val="auto"/>
          <w:sz w:val="24"/>
          <w:highlight w:val="none"/>
        </w:rPr>
      </w:pPr>
    </w:p>
    <w:p w14:paraId="00091B83">
      <w:pPr>
        <w:spacing w:line="360" w:lineRule="auto"/>
        <w:contextualSpacing/>
        <w:rPr>
          <w:rFonts w:ascii="宋体" w:hAnsi="宋体" w:cs="仿宋_GB2312"/>
          <w:color w:val="auto"/>
          <w:sz w:val="24"/>
          <w:highlight w:val="none"/>
        </w:rPr>
      </w:pPr>
    </w:p>
    <w:p w14:paraId="26C53EFF">
      <w:pPr>
        <w:spacing w:line="360" w:lineRule="auto"/>
        <w:contextualSpacing/>
        <w:rPr>
          <w:rFonts w:ascii="宋体" w:hAnsi="宋体" w:cs="仿宋_GB2312"/>
          <w:color w:val="auto"/>
          <w:sz w:val="24"/>
          <w:highlight w:val="none"/>
        </w:rPr>
      </w:pPr>
    </w:p>
    <w:p w14:paraId="511F4B70">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注：请根据自己的真实情况出具《残疾人福利性单位声明函》。依法享受中小企业优惠政策的，采购人或者采购代理机构在公告成交结果时，同时公告其《残疾人福利性单位声明函》，接受社会监督。</w:t>
      </w:r>
    </w:p>
    <w:p w14:paraId="606A7799">
      <w:pPr>
        <w:spacing w:line="360" w:lineRule="auto"/>
        <w:jc w:val="center"/>
        <w:rPr>
          <w:rFonts w:ascii="宋体" w:hAnsi="宋体" w:cs="仿宋_GB2312"/>
          <w:color w:val="auto"/>
          <w:sz w:val="24"/>
          <w:highlight w:val="none"/>
        </w:rPr>
      </w:pPr>
      <w:r>
        <w:rPr>
          <w:rFonts w:ascii="宋体" w:hAnsi="宋体" w:cs="仿宋_GB2312"/>
          <w:color w:val="auto"/>
          <w:sz w:val="24"/>
          <w:highlight w:val="none"/>
        </w:rPr>
        <w:br w:type="page"/>
      </w:r>
    </w:p>
    <w:p w14:paraId="1B12E03D">
      <w:pPr>
        <w:spacing w:line="360" w:lineRule="auto"/>
        <w:jc w:val="center"/>
        <w:rPr>
          <w:rFonts w:ascii="宋体" w:hAnsi="宋体"/>
          <w:b/>
          <w:bCs/>
          <w:color w:val="auto"/>
          <w:sz w:val="32"/>
          <w:szCs w:val="32"/>
          <w:highlight w:val="none"/>
        </w:rPr>
      </w:pPr>
      <w:r>
        <w:rPr>
          <w:rFonts w:hint="eastAsia" w:ascii="方正小标宋简体" w:hAnsi="方正小标宋简体" w:eastAsia="方正小标宋简体" w:cs="方正小标宋简体"/>
          <w:color w:val="auto"/>
          <w:sz w:val="44"/>
          <w:szCs w:val="44"/>
          <w:highlight w:val="none"/>
        </w:rPr>
        <w:t>质疑函（格式）</w:t>
      </w:r>
    </w:p>
    <w:p w14:paraId="48ADC6C5">
      <w:pPr>
        <w:pStyle w:val="29"/>
        <w:spacing w:line="360" w:lineRule="auto"/>
        <w:ind w:firstLine="482" w:firstLineChars="200"/>
        <w:contextualSpacing/>
        <w:rPr>
          <w:rFonts w:hAnsi="宋体"/>
          <w:b/>
          <w:bCs/>
          <w:color w:val="auto"/>
          <w:sz w:val="24"/>
          <w:szCs w:val="24"/>
          <w:highlight w:val="none"/>
        </w:rPr>
      </w:pPr>
      <w:r>
        <w:rPr>
          <w:rFonts w:hint="eastAsia" w:hAnsi="宋体"/>
          <w:b/>
          <w:bCs/>
          <w:color w:val="auto"/>
          <w:sz w:val="24"/>
          <w:szCs w:val="24"/>
          <w:highlight w:val="none"/>
        </w:rPr>
        <w:t>一、质疑供应商基本信息：</w:t>
      </w:r>
    </w:p>
    <w:p w14:paraId="4B206272">
      <w:pPr>
        <w:pStyle w:val="29"/>
        <w:spacing w:line="360" w:lineRule="auto"/>
        <w:ind w:firstLine="480" w:firstLineChars="200"/>
        <w:contextualSpacing/>
        <w:rPr>
          <w:rFonts w:hAnsi="宋体"/>
          <w:bCs/>
          <w:color w:val="auto"/>
          <w:sz w:val="24"/>
          <w:szCs w:val="24"/>
          <w:highlight w:val="none"/>
          <w:u w:val="single"/>
        </w:rPr>
      </w:pPr>
      <w:r>
        <w:rPr>
          <w:rFonts w:hint="eastAsia" w:hAnsi="宋体"/>
          <w:bCs/>
          <w:color w:val="auto"/>
          <w:sz w:val="24"/>
          <w:szCs w:val="24"/>
          <w:highlight w:val="none"/>
        </w:rPr>
        <w:t>质疑供应商：</w:t>
      </w:r>
    </w:p>
    <w:p w14:paraId="00B4D377">
      <w:pPr>
        <w:pStyle w:val="29"/>
        <w:spacing w:line="360" w:lineRule="auto"/>
        <w:ind w:firstLine="480" w:firstLineChars="200"/>
        <w:contextualSpacing/>
        <w:rPr>
          <w:rFonts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Ansi="宋体"/>
          <w:bCs/>
          <w:color w:val="auto"/>
          <w:sz w:val="24"/>
          <w:szCs w:val="24"/>
          <w:highlight w:val="none"/>
        </w:rPr>
        <w:t>邮编</w:t>
      </w:r>
      <w:r>
        <w:rPr>
          <w:rFonts w:hint="eastAsia" w:hAnsi="宋体"/>
          <w:bCs/>
          <w:color w:val="auto"/>
          <w:sz w:val="24"/>
          <w:szCs w:val="24"/>
          <w:highlight w:val="none"/>
        </w:rPr>
        <w:t>：</w:t>
      </w:r>
    </w:p>
    <w:p w14:paraId="22012C27">
      <w:pPr>
        <w:pStyle w:val="29"/>
        <w:spacing w:line="360" w:lineRule="auto"/>
        <w:ind w:firstLine="480" w:firstLineChars="200"/>
        <w:contextualSpacing/>
        <w:rPr>
          <w:rFonts w:hAnsi="宋体"/>
          <w:bCs/>
          <w:color w:val="auto"/>
          <w:sz w:val="24"/>
          <w:szCs w:val="24"/>
          <w:highlight w:val="none"/>
        </w:rPr>
      </w:pPr>
      <w:r>
        <w:rPr>
          <w:rFonts w:hAnsi="宋体"/>
          <w:bCs/>
          <w:color w:val="auto"/>
          <w:sz w:val="24"/>
          <w:szCs w:val="24"/>
          <w:highlight w:val="none"/>
        </w:rPr>
        <w:t>联系人</w:t>
      </w:r>
      <w:r>
        <w:rPr>
          <w:rFonts w:hint="eastAsia" w:hAnsi="宋体"/>
          <w:bCs/>
          <w:color w:val="auto"/>
          <w:sz w:val="24"/>
          <w:szCs w:val="24"/>
          <w:highlight w:val="none"/>
        </w:rPr>
        <w:t>：</w:t>
      </w:r>
      <w:r>
        <w:rPr>
          <w:rFonts w:hAnsi="宋体"/>
          <w:bCs/>
          <w:color w:val="auto"/>
          <w:sz w:val="24"/>
          <w:szCs w:val="24"/>
          <w:highlight w:val="none"/>
        </w:rPr>
        <w:t>联系电话</w:t>
      </w:r>
      <w:r>
        <w:rPr>
          <w:rFonts w:hint="eastAsia" w:hAnsi="宋体"/>
          <w:bCs/>
          <w:color w:val="auto"/>
          <w:sz w:val="24"/>
          <w:szCs w:val="24"/>
          <w:highlight w:val="none"/>
        </w:rPr>
        <w:t>：</w:t>
      </w:r>
    </w:p>
    <w:p w14:paraId="6EB18815">
      <w:pPr>
        <w:pStyle w:val="29"/>
        <w:spacing w:line="360" w:lineRule="auto"/>
        <w:ind w:firstLine="480" w:firstLineChars="200"/>
        <w:contextualSpacing/>
        <w:rPr>
          <w:rFonts w:hAnsi="宋体"/>
          <w:bCs/>
          <w:color w:val="auto"/>
          <w:sz w:val="24"/>
          <w:szCs w:val="24"/>
          <w:highlight w:val="none"/>
        </w:rPr>
      </w:pPr>
      <w:r>
        <w:rPr>
          <w:rFonts w:hint="eastAsia" w:hAnsi="宋体"/>
          <w:bCs/>
          <w:color w:val="auto"/>
          <w:sz w:val="24"/>
          <w:szCs w:val="24"/>
          <w:highlight w:val="none"/>
        </w:rPr>
        <w:t>授权代表：</w:t>
      </w:r>
    </w:p>
    <w:p w14:paraId="3311FC58">
      <w:pPr>
        <w:pStyle w:val="29"/>
        <w:spacing w:line="360" w:lineRule="auto"/>
        <w:ind w:firstLine="480" w:firstLineChars="200"/>
        <w:contextualSpacing/>
        <w:rPr>
          <w:rFonts w:hAnsi="宋体"/>
          <w:bCs/>
          <w:color w:val="auto"/>
          <w:sz w:val="24"/>
          <w:szCs w:val="24"/>
          <w:highlight w:val="none"/>
          <w:u w:val="single"/>
        </w:rPr>
      </w:pPr>
      <w:r>
        <w:rPr>
          <w:rFonts w:hAnsi="宋体"/>
          <w:bCs/>
          <w:color w:val="auto"/>
          <w:sz w:val="24"/>
          <w:szCs w:val="24"/>
          <w:highlight w:val="none"/>
        </w:rPr>
        <w:t>联系</w:t>
      </w:r>
      <w:r>
        <w:rPr>
          <w:rFonts w:hint="eastAsia" w:hAnsi="宋体"/>
          <w:bCs/>
          <w:color w:val="auto"/>
          <w:sz w:val="24"/>
          <w:szCs w:val="24"/>
          <w:highlight w:val="none"/>
        </w:rPr>
        <w:t>电话：</w:t>
      </w:r>
    </w:p>
    <w:p w14:paraId="39E03248">
      <w:pPr>
        <w:pStyle w:val="29"/>
        <w:spacing w:line="360" w:lineRule="auto"/>
        <w:ind w:firstLine="480" w:firstLineChars="200"/>
        <w:contextualSpacing/>
        <w:rPr>
          <w:rFonts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Ansi="宋体"/>
          <w:bCs/>
          <w:color w:val="auto"/>
          <w:sz w:val="24"/>
          <w:szCs w:val="24"/>
          <w:highlight w:val="none"/>
        </w:rPr>
        <w:t>邮编</w:t>
      </w:r>
      <w:r>
        <w:rPr>
          <w:rFonts w:hint="eastAsia" w:hAnsi="宋体"/>
          <w:bCs/>
          <w:color w:val="auto"/>
          <w:sz w:val="24"/>
          <w:szCs w:val="24"/>
          <w:highlight w:val="none"/>
        </w:rPr>
        <w:t>：</w:t>
      </w:r>
    </w:p>
    <w:p w14:paraId="1016346B">
      <w:pPr>
        <w:pStyle w:val="29"/>
        <w:spacing w:line="360" w:lineRule="auto"/>
        <w:ind w:firstLine="482" w:firstLineChars="200"/>
        <w:contextualSpacing/>
        <w:rPr>
          <w:rFonts w:hAnsi="宋体"/>
          <w:b/>
          <w:bCs/>
          <w:color w:val="auto"/>
          <w:sz w:val="24"/>
          <w:szCs w:val="24"/>
          <w:highlight w:val="none"/>
        </w:rPr>
      </w:pPr>
      <w:r>
        <w:rPr>
          <w:rFonts w:hint="eastAsia" w:hAnsi="宋体"/>
          <w:b/>
          <w:bCs/>
          <w:color w:val="auto"/>
          <w:sz w:val="24"/>
          <w:szCs w:val="24"/>
          <w:highlight w:val="none"/>
        </w:rPr>
        <w:t>二、质疑项目基本情况：</w:t>
      </w:r>
    </w:p>
    <w:p w14:paraId="0548040C">
      <w:pPr>
        <w:pStyle w:val="29"/>
        <w:spacing w:line="360" w:lineRule="auto"/>
        <w:ind w:left="25" w:leftChars="12" w:firstLine="472" w:firstLineChars="197"/>
        <w:contextualSpacing/>
        <w:rPr>
          <w:rFonts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项目的名称：</w:t>
      </w:r>
    </w:p>
    <w:p w14:paraId="6490204D">
      <w:pPr>
        <w:pStyle w:val="29"/>
        <w:spacing w:line="360" w:lineRule="auto"/>
        <w:ind w:left="25" w:leftChars="12" w:firstLine="472" w:firstLineChars="197"/>
        <w:contextualSpacing/>
        <w:rPr>
          <w:rFonts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项目的编号：</w:t>
      </w:r>
    </w:p>
    <w:p w14:paraId="627BE30E">
      <w:pPr>
        <w:pStyle w:val="29"/>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采购人名称：</w:t>
      </w:r>
    </w:p>
    <w:p w14:paraId="16B92968">
      <w:pPr>
        <w:pStyle w:val="29"/>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质疑事项：</w:t>
      </w:r>
    </w:p>
    <w:p w14:paraId="456F5C82">
      <w:pPr>
        <w:pStyle w:val="29"/>
        <w:spacing w:line="360" w:lineRule="auto"/>
        <w:ind w:left="25" w:leftChars="12" w:firstLine="352" w:firstLineChars="147"/>
        <w:contextualSpacing/>
        <w:rPr>
          <w:rFonts w:hAnsi="宋体"/>
          <w:color w:val="auto"/>
          <w:sz w:val="24"/>
          <w:szCs w:val="24"/>
          <w:highlight w:val="none"/>
        </w:rPr>
      </w:pPr>
      <w:r>
        <w:rPr>
          <w:rFonts w:hint="eastAsia" w:hAnsi="宋体"/>
          <w:color w:val="auto"/>
          <w:sz w:val="24"/>
          <w:szCs w:val="24"/>
          <w:highlight w:val="none"/>
        </w:rPr>
        <w:t>□采购文件   采购文件获取日期：</w:t>
      </w:r>
    </w:p>
    <w:p w14:paraId="35133D9B">
      <w:pPr>
        <w:pStyle w:val="29"/>
        <w:spacing w:line="360" w:lineRule="auto"/>
        <w:ind w:left="25" w:leftChars="12" w:firstLine="352" w:firstLineChars="147"/>
        <w:contextualSpacing/>
        <w:rPr>
          <w:rFonts w:hAnsi="宋体"/>
          <w:color w:val="auto"/>
          <w:sz w:val="24"/>
          <w:szCs w:val="24"/>
          <w:highlight w:val="none"/>
        </w:rPr>
      </w:pPr>
      <w:r>
        <w:rPr>
          <w:rFonts w:hint="eastAsia" w:hAnsi="宋体"/>
          <w:color w:val="auto"/>
          <w:sz w:val="24"/>
          <w:szCs w:val="24"/>
          <w:highlight w:val="none"/>
        </w:rPr>
        <w:t xml:space="preserve">□采购过程   </w:t>
      </w:r>
    </w:p>
    <w:p w14:paraId="12E57313">
      <w:pPr>
        <w:pStyle w:val="29"/>
        <w:spacing w:line="360" w:lineRule="auto"/>
        <w:ind w:left="25" w:leftChars="12" w:firstLine="352" w:firstLineChars="147"/>
        <w:contextualSpacing/>
        <w:rPr>
          <w:rFonts w:hAnsi="宋体"/>
          <w:bCs/>
          <w:color w:val="auto"/>
          <w:sz w:val="24"/>
          <w:szCs w:val="24"/>
          <w:highlight w:val="none"/>
          <w:u w:val="single"/>
        </w:rPr>
      </w:pPr>
      <w:r>
        <w:rPr>
          <w:rFonts w:hint="eastAsia" w:hAnsi="宋体"/>
          <w:color w:val="auto"/>
          <w:sz w:val="24"/>
          <w:szCs w:val="24"/>
          <w:highlight w:val="none"/>
        </w:rPr>
        <w:t xml:space="preserve">□成交结果   </w:t>
      </w:r>
    </w:p>
    <w:p w14:paraId="4D1D39B3">
      <w:pPr>
        <w:pStyle w:val="29"/>
        <w:spacing w:line="360" w:lineRule="auto"/>
        <w:ind w:left="25" w:leftChars="12" w:firstLine="472" w:firstLineChars="196"/>
        <w:contextualSpacing/>
        <w:rPr>
          <w:rFonts w:hAnsi="宋体"/>
          <w:b/>
          <w:color w:val="auto"/>
          <w:sz w:val="24"/>
          <w:szCs w:val="24"/>
          <w:highlight w:val="none"/>
        </w:rPr>
      </w:pPr>
      <w:r>
        <w:rPr>
          <w:rFonts w:hint="eastAsia" w:hAnsi="宋体"/>
          <w:b/>
          <w:color w:val="auto"/>
          <w:sz w:val="24"/>
          <w:szCs w:val="24"/>
          <w:highlight w:val="none"/>
        </w:rPr>
        <w:t>三、质疑事项具体内容</w:t>
      </w:r>
    </w:p>
    <w:p w14:paraId="474B93A9">
      <w:pPr>
        <w:pStyle w:val="29"/>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质疑事项1：</w:t>
      </w:r>
    </w:p>
    <w:p w14:paraId="2EA11A95">
      <w:pPr>
        <w:pStyle w:val="29"/>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事实依据：</w:t>
      </w:r>
    </w:p>
    <w:p w14:paraId="753C5013">
      <w:pPr>
        <w:pStyle w:val="29"/>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法律依据：</w:t>
      </w:r>
    </w:p>
    <w:p w14:paraId="40E06447">
      <w:pPr>
        <w:pStyle w:val="29"/>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质疑事项2</w:t>
      </w:r>
    </w:p>
    <w:p w14:paraId="29DB0C29">
      <w:pPr>
        <w:pStyle w:val="29"/>
        <w:spacing w:line="360" w:lineRule="auto"/>
        <w:ind w:left="25" w:leftChars="12" w:firstLine="472" w:firstLineChars="197"/>
        <w:contextualSpacing/>
        <w:rPr>
          <w:rFonts w:hAnsi="宋体"/>
          <w:color w:val="auto"/>
          <w:sz w:val="24"/>
          <w:szCs w:val="24"/>
          <w:highlight w:val="none"/>
        </w:rPr>
      </w:pPr>
      <w:r>
        <w:rPr>
          <w:rFonts w:hAnsi="宋体"/>
          <w:color w:val="auto"/>
          <w:sz w:val="24"/>
          <w:szCs w:val="24"/>
          <w:highlight w:val="none"/>
        </w:rPr>
        <w:t>……</w:t>
      </w:r>
    </w:p>
    <w:p w14:paraId="6B3F9142">
      <w:pPr>
        <w:pStyle w:val="29"/>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四、与质疑事项相关的质疑请求：</w:t>
      </w:r>
    </w:p>
    <w:p w14:paraId="5203D6B4">
      <w:pPr>
        <w:pStyle w:val="29"/>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请求：</w:t>
      </w:r>
    </w:p>
    <w:p w14:paraId="64F42634">
      <w:pPr>
        <w:pStyle w:val="29"/>
        <w:spacing w:line="360" w:lineRule="auto"/>
        <w:ind w:left="25" w:leftChars="12" w:firstLine="352" w:firstLineChars="147"/>
        <w:contextualSpacing/>
        <w:rPr>
          <w:rFonts w:hAnsi="宋体"/>
          <w:color w:val="auto"/>
          <w:sz w:val="24"/>
          <w:szCs w:val="24"/>
          <w:highlight w:val="none"/>
        </w:rPr>
      </w:pPr>
    </w:p>
    <w:p w14:paraId="45A6E3A9">
      <w:pPr>
        <w:pStyle w:val="29"/>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签字（签章）：                                       公章：</w:t>
      </w:r>
    </w:p>
    <w:p w14:paraId="2BB285EE">
      <w:pPr>
        <w:pStyle w:val="29"/>
        <w:spacing w:line="360" w:lineRule="auto"/>
        <w:ind w:firstLine="480" w:firstLineChars="200"/>
        <w:contextualSpacing/>
        <w:rPr>
          <w:rFonts w:hAnsi="宋体"/>
          <w:b/>
          <w:color w:val="auto"/>
          <w:sz w:val="24"/>
          <w:szCs w:val="24"/>
          <w:highlight w:val="none"/>
        </w:rPr>
      </w:pPr>
      <w:r>
        <w:rPr>
          <w:rFonts w:hint="eastAsia" w:hAnsi="宋体"/>
          <w:color w:val="auto"/>
          <w:sz w:val="24"/>
          <w:szCs w:val="24"/>
          <w:highlight w:val="none"/>
        </w:rPr>
        <w:t>日期：</w:t>
      </w:r>
    </w:p>
    <w:p w14:paraId="6B50E44D">
      <w:pPr>
        <w:pStyle w:val="29"/>
        <w:spacing w:line="360" w:lineRule="auto"/>
        <w:contextualSpacing/>
        <w:rPr>
          <w:rFonts w:hAnsi="宋体"/>
          <w:b/>
          <w:color w:val="auto"/>
          <w:sz w:val="24"/>
          <w:szCs w:val="24"/>
          <w:highlight w:val="none"/>
        </w:rPr>
      </w:pPr>
      <w:r>
        <w:rPr>
          <w:rFonts w:hint="eastAsia" w:hAnsi="宋体"/>
          <w:b/>
          <w:color w:val="auto"/>
          <w:sz w:val="24"/>
          <w:szCs w:val="24"/>
          <w:highlight w:val="none"/>
        </w:rPr>
        <w:t>说明：</w:t>
      </w:r>
    </w:p>
    <w:p w14:paraId="462012D6">
      <w:pPr>
        <w:pStyle w:val="29"/>
        <w:spacing w:line="360" w:lineRule="auto"/>
        <w:ind w:left="25" w:leftChars="12" w:firstLine="354" w:firstLineChars="147"/>
        <w:contextualSpacing/>
        <w:rPr>
          <w:rFonts w:hAnsi="宋体"/>
          <w:b/>
          <w:bCs/>
          <w:color w:val="auto"/>
          <w:sz w:val="24"/>
          <w:szCs w:val="24"/>
          <w:highlight w:val="none"/>
        </w:rPr>
      </w:pPr>
      <w:r>
        <w:rPr>
          <w:rFonts w:hint="eastAsia" w:hAnsi="宋体"/>
          <w:b/>
          <w:color w:val="auto"/>
          <w:sz w:val="24"/>
          <w:szCs w:val="24"/>
          <w:highlight w:val="none"/>
        </w:rPr>
        <w:t>1.供应商提出质疑时，应提交质疑函和必要的证明材料</w:t>
      </w:r>
      <w:r>
        <w:rPr>
          <w:rFonts w:hint="eastAsia" w:hAnsi="宋体"/>
          <w:b/>
          <w:bCs/>
          <w:color w:val="auto"/>
          <w:sz w:val="24"/>
          <w:szCs w:val="24"/>
          <w:highlight w:val="none"/>
        </w:rPr>
        <w:t>。</w:t>
      </w:r>
    </w:p>
    <w:p w14:paraId="24EFF858">
      <w:pPr>
        <w:pStyle w:val="29"/>
        <w:spacing w:line="360" w:lineRule="auto"/>
        <w:ind w:left="25" w:leftChars="12" w:firstLine="354" w:firstLineChars="147"/>
        <w:contextualSpacing/>
        <w:rPr>
          <w:rFonts w:hAnsi="宋体"/>
          <w:b/>
          <w:color w:val="auto"/>
          <w:sz w:val="24"/>
          <w:szCs w:val="24"/>
          <w:highlight w:val="none"/>
        </w:rPr>
      </w:pPr>
      <w:r>
        <w:rPr>
          <w:rFonts w:hint="eastAsia" w:hAnsi="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A22FDF0">
      <w:pPr>
        <w:pStyle w:val="29"/>
        <w:spacing w:line="360" w:lineRule="auto"/>
        <w:ind w:left="25" w:leftChars="12" w:firstLine="354" w:firstLineChars="147"/>
        <w:contextualSpacing/>
        <w:rPr>
          <w:rFonts w:hAnsi="宋体"/>
          <w:b/>
          <w:color w:val="auto"/>
          <w:sz w:val="24"/>
          <w:szCs w:val="24"/>
          <w:highlight w:val="none"/>
        </w:rPr>
      </w:pPr>
      <w:r>
        <w:rPr>
          <w:rFonts w:hint="eastAsia" w:hAnsi="宋体"/>
          <w:b/>
          <w:color w:val="auto"/>
          <w:sz w:val="24"/>
          <w:szCs w:val="24"/>
          <w:highlight w:val="none"/>
        </w:rPr>
        <w:t>3.质疑函的质疑事项应具体、明确，并有必要的事实依据和法律依据。</w:t>
      </w:r>
    </w:p>
    <w:p w14:paraId="67B1C261">
      <w:pPr>
        <w:pStyle w:val="29"/>
        <w:spacing w:line="360" w:lineRule="auto"/>
        <w:ind w:left="25" w:leftChars="12" w:firstLine="354" w:firstLineChars="147"/>
        <w:contextualSpacing/>
        <w:rPr>
          <w:rFonts w:hAnsi="宋体"/>
          <w:b/>
          <w:color w:val="auto"/>
          <w:sz w:val="24"/>
          <w:szCs w:val="24"/>
          <w:highlight w:val="none"/>
        </w:rPr>
      </w:pPr>
      <w:r>
        <w:rPr>
          <w:rFonts w:hint="eastAsia" w:hAnsi="宋体"/>
          <w:b/>
          <w:color w:val="auto"/>
          <w:sz w:val="24"/>
          <w:szCs w:val="24"/>
          <w:highlight w:val="none"/>
        </w:rPr>
        <w:t>4.质疑函的质疑请求应与质疑事项相关。</w:t>
      </w:r>
    </w:p>
    <w:p w14:paraId="0E79FD21">
      <w:pPr>
        <w:pStyle w:val="29"/>
        <w:spacing w:line="360" w:lineRule="auto"/>
        <w:ind w:left="25" w:leftChars="12" w:firstLine="354" w:firstLineChars="147"/>
        <w:contextualSpacing/>
        <w:rPr>
          <w:rFonts w:hAnsi="宋体"/>
          <w:b/>
          <w:color w:val="auto"/>
          <w:highlight w:val="none"/>
        </w:rPr>
      </w:pPr>
      <w:r>
        <w:rPr>
          <w:rFonts w:hint="eastAsia" w:hAnsi="宋体"/>
          <w:b/>
          <w:color w:val="auto"/>
          <w:sz w:val="24"/>
          <w:szCs w:val="24"/>
          <w:highlight w:val="none"/>
        </w:rPr>
        <w:t>5.质疑供应商为法人或者其他组织的，质疑函应由法定代表人、主要负责人，或者其授权代表签字或者盖章，并加盖公章。</w:t>
      </w:r>
    </w:p>
    <w:p w14:paraId="298BF437">
      <w:pPr>
        <w:pStyle w:val="29"/>
        <w:snapToGrid w:val="0"/>
        <w:rPr>
          <w:b/>
          <w:color w:val="auto"/>
          <w:sz w:val="24"/>
          <w:szCs w:val="24"/>
          <w:highlight w:val="none"/>
        </w:rPr>
      </w:pPr>
    </w:p>
    <w:p w14:paraId="1B637DBF">
      <w:pPr>
        <w:rPr>
          <w:color w:val="auto"/>
          <w:sz w:val="32"/>
          <w:szCs w:val="40"/>
          <w:highlight w:val="none"/>
        </w:rPr>
      </w:pPr>
    </w:p>
    <w:p w14:paraId="4D923235">
      <w:pPr>
        <w:rPr>
          <w:color w:val="auto"/>
          <w:sz w:val="32"/>
          <w:szCs w:val="40"/>
          <w:highlight w:val="none"/>
        </w:rPr>
      </w:pPr>
    </w:p>
    <w:p w14:paraId="373EF66F">
      <w:pPr>
        <w:rPr>
          <w:color w:val="auto"/>
          <w:sz w:val="32"/>
          <w:szCs w:val="40"/>
          <w:highlight w:val="none"/>
        </w:rPr>
      </w:pPr>
    </w:p>
    <w:p w14:paraId="40E05074">
      <w:pPr>
        <w:rPr>
          <w:color w:val="auto"/>
          <w:sz w:val="32"/>
          <w:szCs w:val="40"/>
          <w:highlight w:val="none"/>
        </w:rPr>
      </w:pPr>
    </w:p>
    <w:p w14:paraId="418F4ED9">
      <w:pPr>
        <w:rPr>
          <w:color w:val="auto"/>
          <w:sz w:val="32"/>
          <w:szCs w:val="40"/>
          <w:highlight w:val="none"/>
        </w:rPr>
      </w:pPr>
    </w:p>
    <w:p w14:paraId="274FDE82">
      <w:pPr>
        <w:rPr>
          <w:color w:val="auto"/>
          <w:sz w:val="32"/>
          <w:szCs w:val="40"/>
          <w:highlight w:val="none"/>
        </w:rPr>
      </w:pPr>
    </w:p>
    <w:p w14:paraId="442E711E">
      <w:pPr>
        <w:rPr>
          <w:color w:val="auto"/>
          <w:sz w:val="32"/>
          <w:szCs w:val="40"/>
          <w:highlight w:val="none"/>
        </w:rPr>
      </w:pPr>
    </w:p>
    <w:p w14:paraId="13DB026C">
      <w:pPr>
        <w:rPr>
          <w:color w:val="auto"/>
          <w:sz w:val="32"/>
          <w:szCs w:val="40"/>
          <w:highlight w:val="none"/>
        </w:rPr>
      </w:pPr>
    </w:p>
    <w:p w14:paraId="4B353186">
      <w:pPr>
        <w:rPr>
          <w:color w:val="auto"/>
          <w:sz w:val="32"/>
          <w:szCs w:val="40"/>
          <w:highlight w:val="none"/>
        </w:rPr>
      </w:pPr>
    </w:p>
    <w:p w14:paraId="243C7D34">
      <w:pPr>
        <w:rPr>
          <w:color w:val="auto"/>
          <w:sz w:val="32"/>
          <w:szCs w:val="40"/>
          <w:highlight w:val="none"/>
        </w:rPr>
      </w:pPr>
    </w:p>
    <w:p w14:paraId="2EF4F9D0">
      <w:pPr>
        <w:rPr>
          <w:color w:val="auto"/>
          <w:sz w:val="32"/>
          <w:szCs w:val="40"/>
          <w:highlight w:val="none"/>
        </w:rPr>
      </w:pPr>
    </w:p>
    <w:p w14:paraId="60372CEF">
      <w:pPr>
        <w:pStyle w:val="75"/>
        <w:ind w:firstLine="480"/>
        <w:rPr>
          <w:color w:val="auto"/>
          <w:highlight w:val="none"/>
          <w:lang w:eastAsia="zh-CN" w:bidi="ar-SA"/>
        </w:rPr>
      </w:pPr>
    </w:p>
    <w:p w14:paraId="5A27F634">
      <w:pPr>
        <w:pStyle w:val="75"/>
        <w:ind w:firstLine="480"/>
        <w:rPr>
          <w:color w:val="auto"/>
          <w:highlight w:val="none"/>
          <w:lang w:eastAsia="zh-CN" w:bidi="ar-SA"/>
        </w:rPr>
      </w:pPr>
    </w:p>
    <w:p w14:paraId="1BA7BA96">
      <w:pPr>
        <w:pStyle w:val="75"/>
        <w:ind w:firstLine="480"/>
        <w:rPr>
          <w:color w:val="auto"/>
          <w:highlight w:val="none"/>
          <w:lang w:eastAsia="zh-CN" w:bidi="ar-SA"/>
        </w:rPr>
      </w:pPr>
    </w:p>
    <w:p w14:paraId="10728C43">
      <w:pPr>
        <w:pStyle w:val="75"/>
        <w:ind w:firstLine="480"/>
        <w:rPr>
          <w:color w:val="auto"/>
          <w:highlight w:val="none"/>
          <w:lang w:eastAsia="zh-CN" w:bidi="ar-SA"/>
        </w:rPr>
      </w:pPr>
    </w:p>
    <w:p w14:paraId="70378101">
      <w:pPr>
        <w:pStyle w:val="75"/>
        <w:ind w:firstLine="480"/>
        <w:rPr>
          <w:color w:val="auto"/>
          <w:highlight w:val="none"/>
          <w:lang w:eastAsia="zh-CN" w:bidi="ar-SA"/>
        </w:rPr>
      </w:pPr>
    </w:p>
    <w:p w14:paraId="54F7F602">
      <w:pPr>
        <w:pStyle w:val="75"/>
        <w:ind w:firstLine="480"/>
        <w:rPr>
          <w:color w:val="auto"/>
          <w:highlight w:val="none"/>
          <w:lang w:eastAsia="zh-CN" w:bidi="ar-SA"/>
        </w:rPr>
      </w:pPr>
    </w:p>
    <w:p w14:paraId="121EF4AE">
      <w:pPr>
        <w:pStyle w:val="75"/>
        <w:ind w:firstLine="480"/>
        <w:rPr>
          <w:color w:val="auto"/>
          <w:highlight w:val="none"/>
          <w:lang w:eastAsia="zh-CN" w:bidi="ar-SA"/>
        </w:rPr>
      </w:pPr>
    </w:p>
    <w:p w14:paraId="6D2A8861">
      <w:pPr>
        <w:pStyle w:val="75"/>
        <w:ind w:firstLine="480"/>
        <w:rPr>
          <w:color w:val="auto"/>
          <w:highlight w:val="none"/>
          <w:lang w:eastAsia="zh-CN" w:bidi="ar-SA"/>
        </w:rPr>
      </w:pPr>
    </w:p>
    <w:p w14:paraId="12780D73">
      <w:pPr>
        <w:pStyle w:val="75"/>
        <w:ind w:firstLine="480"/>
        <w:rPr>
          <w:color w:val="auto"/>
          <w:highlight w:val="none"/>
          <w:lang w:eastAsia="zh-CN" w:bidi="ar-SA"/>
        </w:rPr>
      </w:pPr>
    </w:p>
    <w:p w14:paraId="3CA8838B">
      <w:pPr>
        <w:pStyle w:val="75"/>
        <w:ind w:firstLine="480"/>
        <w:rPr>
          <w:color w:val="auto"/>
          <w:highlight w:val="none"/>
          <w:lang w:eastAsia="zh-CN" w:bidi="ar-SA"/>
        </w:rPr>
      </w:pPr>
    </w:p>
    <w:p w14:paraId="32A6B5A4">
      <w:pP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br w:type="page"/>
      </w:r>
    </w:p>
    <w:p w14:paraId="6BBD19C2">
      <w:pPr>
        <w:spacing w:line="360" w:lineRule="auto"/>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投诉书（格式）</w:t>
      </w:r>
    </w:p>
    <w:p w14:paraId="097A3F4A">
      <w:pPr>
        <w:pStyle w:val="29"/>
        <w:snapToGrid w:val="0"/>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一、投诉相关主体基本情况：</w:t>
      </w:r>
    </w:p>
    <w:p w14:paraId="11DDCBAD">
      <w:pPr>
        <w:pStyle w:val="29"/>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供应商：</w:t>
      </w:r>
    </w:p>
    <w:p w14:paraId="4067676B">
      <w:pPr>
        <w:pStyle w:val="29"/>
        <w:snapToGrid w:val="0"/>
        <w:spacing w:line="360" w:lineRule="auto"/>
        <w:ind w:firstLine="480" w:firstLineChars="200"/>
        <w:rPr>
          <w:rFonts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Ansi="宋体"/>
          <w:bCs/>
          <w:color w:val="auto"/>
          <w:sz w:val="24"/>
          <w:szCs w:val="24"/>
          <w:highlight w:val="none"/>
        </w:rPr>
        <w:t>邮编</w:t>
      </w:r>
      <w:r>
        <w:rPr>
          <w:rFonts w:hint="eastAsia" w:hAnsi="宋体"/>
          <w:bCs/>
          <w:color w:val="auto"/>
          <w:sz w:val="24"/>
          <w:szCs w:val="24"/>
          <w:highlight w:val="none"/>
        </w:rPr>
        <w:t>：</w:t>
      </w:r>
    </w:p>
    <w:p w14:paraId="0905C8EB">
      <w:pPr>
        <w:pStyle w:val="29"/>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法定代表人/主要负责人：</w:t>
      </w:r>
    </w:p>
    <w:p w14:paraId="6F59FD2A">
      <w:pPr>
        <w:pStyle w:val="29"/>
        <w:snapToGrid w:val="0"/>
        <w:spacing w:line="360" w:lineRule="auto"/>
        <w:ind w:firstLine="480" w:firstLineChars="200"/>
        <w:rPr>
          <w:rFonts w:hAnsi="宋体"/>
          <w:bCs/>
          <w:color w:val="auto"/>
          <w:sz w:val="24"/>
          <w:szCs w:val="24"/>
          <w:highlight w:val="none"/>
        </w:rPr>
      </w:pPr>
      <w:r>
        <w:rPr>
          <w:rFonts w:hAnsi="宋体"/>
          <w:bCs/>
          <w:color w:val="auto"/>
          <w:sz w:val="24"/>
          <w:szCs w:val="24"/>
          <w:highlight w:val="none"/>
        </w:rPr>
        <w:t>联系电话</w:t>
      </w:r>
      <w:r>
        <w:rPr>
          <w:rFonts w:hint="eastAsia" w:hAnsi="宋体"/>
          <w:bCs/>
          <w:color w:val="auto"/>
          <w:sz w:val="24"/>
          <w:szCs w:val="24"/>
          <w:highlight w:val="none"/>
        </w:rPr>
        <w:t>：</w:t>
      </w:r>
    </w:p>
    <w:p w14:paraId="1B8301A0">
      <w:pPr>
        <w:pStyle w:val="29"/>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授权代表：</w:t>
      </w:r>
      <w:r>
        <w:rPr>
          <w:rFonts w:hAnsi="宋体"/>
          <w:bCs/>
          <w:color w:val="auto"/>
          <w:sz w:val="24"/>
          <w:szCs w:val="24"/>
          <w:highlight w:val="none"/>
        </w:rPr>
        <w:t>联系</w:t>
      </w:r>
      <w:r>
        <w:rPr>
          <w:rFonts w:hint="eastAsia" w:hAnsi="宋体"/>
          <w:bCs/>
          <w:color w:val="auto"/>
          <w:sz w:val="24"/>
          <w:szCs w:val="24"/>
          <w:highlight w:val="none"/>
        </w:rPr>
        <w:t>电话：</w:t>
      </w:r>
    </w:p>
    <w:p w14:paraId="3EA8D912">
      <w:pPr>
        <w:pStyle w:val="29"/>
        <w:snapToGrid w:val="0"/>
        <w:spacing w:line="360" w:lineRule="auto"/>
        <w:ind w:firstLine="480" w:firstLineChars="200"/>
        <w:rPr>
          <w:rFonts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p>
    <w:p w14:paraId="1DDC68D0">
      <w:pPr>
        <w:pStyle w:val="29"/>
        <w:snapToGrid w:val="0"/>
        <w:spacing w:line="360" w:lineRule="auto"/>
        <w:ind w:firstLine="480" w:firstLineChars="200"/>
        <w:rPr>
          <w:rFonts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p>
    <w:p w14:paraId="427A3F20">
      <w:pPr>
        <w:pStyle w:val="29"/>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被投诉人1：</w:t>
      </w:r>
    </w:p>
    <w:p w14:paraId="57BF217E">
      <w:pPr>
        <w:pStyle w:val="29"/>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地址：</w:t>
      </w:r>
    </w:p>
    <w:p w14:paraId="4935BFDA">
      <w:pPr>
        <w:pStyle w:val="29"/>
        <w:snapToGrid w:val="0"/>
        <w:spacing w:line="360" w:lineRule="auto"/>
        <w:ind w:firstLine="480" w:firstLineChars="200"/>
        <w:rPr>
          <w:rFonts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p>
    <w:p w14:paraId="73684712">
      <w:pPr>
        <w:pStyle w:val="29"/>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联系人：</w:t>
      </w:r>
      <w:r>
        <w:rPr>
          <w:rFonts w:hAnsi="宋体"/>
          <w:bCs/>
          <w:color w:val="auto"/>
          <w:sz w:val="24"/>
          <w:szCs w:val="24"/>
          <w:highlight w:val="none"/>
        </w:rPr>
        <w:t>联系</w:t>
      </w:r>
      <w:r>
        <w:rPr>
          <w:rFonts w:hint="eastAsia" w:hAnsi="宋体"/>
          <w:bCs/>
          <w:color w:val="auto"/>
          <w:sz w:val="24"/>
          <w:szCs w:val="24"/>
          <w:highlight w:val="none"/>
        </w:rPr>
        <w:t>电话：</w:t>
      </w:r>
    </w:p>
    <w:p w14:paraId="35044649">
      <w:pPr>
        <w:pStyle w:val="29"/>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被投诉人2：</w:t>
      </w:r>
    </w:p>
    <w:p w14:paraId="3F41D015">
      <w:pPr>
        <w:pStyle w:val="29"/>
        <w:snapToGrid w:val="0"/>
        <w:spacing w:line="360" w:lineRule="auto"/>
        <w:ind w:firstLine="480" w:firstLineChars="200"/>
        <w:rPr>
          <w:rFonts w:hAnsi="宋体"/>
          <w:bCs/>
          <w:color w:val="auto"/>
          <w:sz w:val="24"/>
          <w:szCs w:val="24"/>
          <w:highlight w:val="none"/>
        </w:rPr>
      </w:pPr>
      <w:r>
        <w:rPr>
          <w:rFonts w:hAnsi="宋体"/>
          <w:bCs/>
          <w:color w:val="auto"/>
          <w:sz w:val="24"/>
          <w:szCs w:val="24"/>
          <w:highlight w:val="none"/>
        </w:rPr>
        <w:t>……</w:t>
      </w:r>
    </w:p>
    <w:p w14:paraId="46F3FC06">
      <w:pPr>
        <w:pStyle w:val="29"/>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相关供应商：</w:t>
      </w:r>
    </w:p>
    <w:p w14:paraId="0D91F3C7">
      <w:pPr>
        <w:pStyle w:val="29"/>
        <w:snapToGrid w:val="0"/>
        <w:spacing w:line="360" w:lineRule="auto"/>
        <w:ind w:firstLine="480" w:firstLineChars="200"/>
        <w:rPr>
          <w:rFonts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Ansi="宋体"/>
          <w:bCs/>
          <w:color w:val="auto"/>
          <w:sz w:val="24"/>
          <w:szCs w:val="24"/>
          <w:highlight w:val="none"/>
        </w:rPr>
        <w:t>邮编</w:t>
      </w:r>
      <w:r>
        <w:rPr>
          <w:rFonts w:hint="eastAsia" w:hAnsi="宋体"/>
          <w:bCs/>
          <w:color w:val="auto"/>
          <w:sz w:val="24"/>
          <w:szCs w:val="24"/>
          <w:highlight w:val="none"/>
        </w:rPr>
        <w:t>：</w:t>
      </w:r>
    </w:p>
    <w:p w14:paraId="370D72A1">
      <w:pPr>
        <w:pStyle w:val="29"/>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联系人：</w:t>
      </w:r>
      <w:r>
        <w:rPr>
          <w:rFonts w:hAnsi="宋体"/>
          <w:bCs/>
          <w:color w:val="auto"/>
          <w:sz w:val="24"/>
          <w:szCs w:val="24"/>
          <w:highlight w:val="none"/>
        </w:rPr>
        <w:t>联系</w:t>
      </w:r>
      <w:r>
        <w:rPr>
          <w:rFonts w:hint="eastAsia" w:hAnsi="宋体"/>
          <w:bCs/>
          <w:color w:val="auto"/>
          <w:sz w:val="24"/>
          <w:szCs w:val="24"/>
          <w:highlight w:val="none"/>
        </w:rPr>
        <w:t>电话：</w:t>
      </w:r>
    </w:p>
    <w:p w14:paraId="215890FA">
      <w:pPr>
        <w:pStyle w:val="29"/>
        <w:snapToGrid w:val="0"/>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二、投诉项目基本情况：</w:t>
      </w:r>
    </w:p>
    <w:p w14:paraId="401198CF">
      <w:pPr>
        <w:pStyle w:val="29"/>
        <w:spacing w:line="360" w:lineRule="auto"/>
        <w:ind w:left="25" w:leftChars="12" w:firstLine="472" w:firstLineChars="197"/>
        <w:rPr>
          <w:rFonts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项目的名称：</w:t>
      </w:r>
    </w:p>
    <w:p w14:paraId="3D0F57C5">
      <w:pPr>
        <w:pStyle w:val="29"/>
        <w:spacing w:line="360" w:lineRule="auto"/>
        <w:ind w:left="25" w:leftChars="12" w:firstLine="472" w:firstLineChars="197"/>
        <w:rPr>
          <w:rFonts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项目的编号：</w:t>
      </w:r>
    </w:p>
    <w:p w14:paraId="1C6EAAF8">
      <w:pPr>
        <w:pStyle w:val="29"/>
        <w:spacing w:line="360" w:lineRule="auto"/>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采购人名称：</w:t>
      </w:r>
    </w:p>
    <w:p w14:paraId="59F3749E">
      <w:pPr>
        <w:pStyle w:val="29"/>
        <w:spacing w:line="360" w:lineRule="auto"/>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代理机构名称：</w:t>
      </w:r>
    </w:p>
    <w:p w14:paraId="75CE77A6">
      <w:pPr>
        <w:pStyle w:val="29"/>
        <w:spacing w:line="360" w:lineRule="auto"/>
        <w:ind w:left="25" w:leftChars="12" w:firstLine="472" w:firstLineChars="197"/>
        <w:rPr>
          <w:rFonts w:hAnsi="宋体"/>
          <w:bCs/>
          <w:color w:val="auto"/>
          <w:sz w:val="24"/>
          <w:szCs w:val="24"/>
          <w:highlight w:val="none"/>
          <w:u w:val="single"/>
        </w:rPr>
      </w:pPr>
      <w:r>
        <w:rPr>
          <w:rFonts w:hint="eastAsia" w:hAnsi="宋体"/>
          <w:bCs/>
          <w:color w:val="auto"/>
          <w:sz w:val="24"/>
          <w:szCs w:val="24"/>
          <w:highlight w:val="none"/>
        </w:rPr>
        <w:t>采购文件公告：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p>
    <w:p w14:paraId="2CF48D56">
      <w:pPr>
        <w:pStyle w:val="29"/>
        <w:spacing w:line="360" w:lineRule="auto"/>
        <w:ind w:left="25" w:leftChars="12" w:firstLine="472" w:firstLineChars="197"/>
        <w:rPr>
          <w:rFonts w:hAnsi="宋体"/>
          <w:b/>
          <w:color w:val="auto"/>
          <w:sz w:val="24"/>
          <w:szCs w:val="24"/>
          <w:highlight w:val="none"/>
        </w:rPr>
      </w:pPr>
      <w:r>
        <w:rPr>
          <w:rFonts w:hint="eastAsia" w:hAnsi="宋体"/>
          <w:bCs/>
          <w:color w:val="auto"/>
          <w:sz w:val="24"/>
          <w:szCs w:val="24"/>
          <w:highlight w:val="none"/>
        </w:rPr>
        <w:t>采购结果公告：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p>
    <w:p w14:paraId="2AB029C9">
      <w:pPr>
        <w:pStyle w:val="29"/>
        <w:spacing w:line="360" w:lineRule="auto"/>
        <w:ind w:left="25" w:leftChars="12" w:firstLine="472" w:firstLineChars="196"/>
        <w:rPr>
          <w:rFonts w:hAnsi="宋体"/>
          <w:b/>
          <w:color w:val="auto"/>
          <w:sz w:val="24"/>
          <w:szCs w:val="24"/>
          <w:highlight w:val="none"/>
        </w:rPr>
      </w:pPr>
      <w:r>
        <w:rPr>
          <w:rFonts w:hint="eastAsia" w:hAnsi="宋体"/>
          <w:b/>
          <w:color w:val="auto"/>
          <w:sz w:val="24"/>
          <w:szCs w:val="24"/>
          <w:highlight w:val="none"/>
        </w:rPr>
        <w:t>三、质疑基本情况</w:t>
      </w:r>
    </w:p>
    <w:p w14:paraId="4426744E">
      <w:pPr>
        <w:pStyle w:val="29"/>
        <w:spacing w:line="360" w:lineRule="auto"/>
        <w:ind w:firstLine="480" w:firstLineChars="200"/>
        <w:rPr>
          <w:rFonts w:hAnsi="宋体"/>
          <w:color w:val="auto"/>
          <w:sz w:val="24"/>
          <w:szCs w:val="24"/>
          <w:highlight w:val="none"/>
        </w:rPr>
      </w:pPr>
      <w:r>
        <w:rPr>
          <w:rFonts w:hint="eastAsia" w:hAnsi="宋体"/>
          <w:color w:val="auto"/>
          <w:sz w:val="24"/>
          <w:szCs w:val="24"/>
          <w:highlight w:val="none"/>
        </w:rPr>
        <w:t>投诉人于</w:t>
      </w:r>
      <w:r>
        <w:rPr>
          <w:rFonts w:hint="eastAsia" w:hAnsi="宋体"/>
          <w:color w:val="auto"/>
          <w:sz w:val="24"/>
          <w:szCs w:val="24"/>
          <w:highlight w:val="none"/>
          <w:u w:val="single"/>
        </w:rPr>
        <w:t xml:space="preserve">    年  月  </w:t>
      </w:r>
      <w:r>
        <w:rPr>
          <w:rFonts w:hint="eastAsia" w:hAnsi="宋体"/>
          <w:color w:val="auto"/>
          <w:sz w:val="24"/>
          <w:szCs w:val="24"/>
          <w:highlight w:val="none"/>
        </w:rPr>
        <w:t>日，向提出质疑，质疑事项为：</w:t>
      </w:r>
    </w:p>
    <w:p w14:paraId="215C3E11">
      <w:pPr>
        <w:pStyle w:val="29"/>
        <w:spacing w:line="360" w:lineRule="auto"/>
        <w:ind w:firstLine="241"/>
        <w:rPr>
          <w:rFonts w:hAnsi="宋体"/>
          <w:bCs/>
          <w:color w:val="auto"/>
          <w:sz w:val="24"/>
          <w:szCs w:val="24"/>
          <w:highlight w:val="none"/>
          <w:u w:val="single"/>
        </w:rPr>
      </w:pPr>
    </w:p>
    <w:p w14:paraId="33F330BF">
      <w:pPr>
        <w:pStyle w:val="29"/>
        <w:spacing w:line="360" w:lineRule="auto"/>
        <w:ind w:firstLine="241"/>
        <w:rPr>
          <w:rFonts w:hAnsi="宋体"/>
          <w:bCs/>
          <w:color w:val="auto"/>
          <w:sz w:val="24"/>
          <w:szCs w:val="24"/>
          <w:highlight w:val="none"/>
          <w:u w:val="single"/>
        </w:rPr>
      </w:pPr>
    </w:p>
    <w:p w14:paraId="5567F9D3">
      <w:pPr>
        <w:pStyle w:val="29"/>
        <w:spacing w:line="360" w:lineRule="auto"/>
        <w:ind w:firstLine="480" w:firstLineChars="200"/>
        <w:rPr>
          <w:rFonts w:hAnsi="宋体"/>
          <w:color w:val="auto"/>
          <w:sz w:val="24"/>
          <w:szCs w:val="24"/>
          <w:highlight w:val="none"/>
        </w:rPr>
      </w:pP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rPr>
        <w:t xml:space="preserve">    年  月  日，</w:t>
      </w:r>
      <w:r>
        <w:rPr>
          <w:rFonts w:hint="eastAsia" w:hAnsi="宋体"/>
          <w:bCs/>
          <w:color w:val="auto"/>
          <w:sz w:val="24"/>
          <w:szCs w:val="24"/>
          <w:highlight w:val="none"/>
        </w:rPr>
        <w:t xml:space="preserve">就质疑事项作出了答复/没有在法定期限内作出答复。                                                                                             </w:t>
      </w:r>
    </w:p>
    <w:p w14:paraId="5845FABD">
      <w:pPr>
        <w:pStyle w:val="29"/>
        <w:spacing w:line="360" w:lineRule="auto"/>
        <w:ind w:left="25" w:leftChars="12" w:firstLine="472" w:firstLineChars="196"/>
        <w:rPr>
          <w:rFonts w:hAnsi="宋体"/>
          <w:b/>
          <w:color w:val="auto"/>
          <w:sz w:val="24"/>
          <w:szCs w:val="24"/>
          <w:highlight w:val="none"/>
        </w:rPr>
      </w:pPr>
      <w:r>
        <w:rPr>
          <w:rFonts w:hint="eastAsia" w:hAnsi="宋体"/>
          <w:b/>
          <w:color w:val="auto"/>
          <w:sz w:val="24"/>
          <w:szCs w:val="24"/>
          <w:highlight w:val="none"/>
        </w:rPr>
        <w:t>四、投诉事项具体内容</w:t>
      </w:r>
    </w:p>
    <w:p w14:paraId="12469387">
      <w:pPr>
        <w:pStyle w:val="29"/>
        <w:spacing w:line="360" w:lineRule="auto"/>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投诉事项1：</w:t>
      </w:r>
    </w:p>
    <w:p w14:paraId="79541E42">
      <w:pPr>
        <w:pStyle w:val="29"/>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事实依据：</w:t>
      </w:r>
    </w:p>
    <w:p w14:paraId="4E9DAC72">
      <w:pPr>
        <w:pStyle w:val="29"/>
        <w:spacing w:line="360" w:lineRule="auto"/>
        <w:ind w:left="25" w:leftChars="12" w:firstLine="472" w:firstLineChars="197"/>
        <w:rPr>
          <w:rFonts w:hAnsi="宋体"/>
          <w:color w:val="auto"/>
          <w:sz w:val="24"/>
          <w:szCs w:val="24"/>
          <w:highlight w:val="none"/>
        </w:rPr>
      </w:pPr>
    </w:p>
    <w:p w14:paraId="4F3332EF">
      <w:pPr>
        <w:pStyle w:val="29"/>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法律依据：</w:t>
      </w:r>
    </w:p>
    <w:p w14:paraId="066A9C0C">
      <w:pPr>
        <w:pStyle w:val="29"/>
        <w:spacing w:line="360" w:lineRule="auto"/>
        <w:ind w:left="25" w:leftChars="12" w:firstLine="352" w:firstLineChars="147"/>
        <w:rPr>
          <w:rFonts w:hAnsi="宋体"/>
          <w:bCs/>
          <w:color w:val="auto"/>
          <w:sz w:val="24"/>
          <w:szCs w:val="24"/>
          <w:highlight w:val="none"/>
          <w:u w:val="single"/>
        </w:rPr>
      </w:pPr>
    </w:p>
    <w:p w14:paraId="327A8076">
      <w:pPr>
        <w:pStyle w:val="29"/>
        <w:spacing w:line="360" w:lineRule="auto"/>
        <w:ind w:left="25" w:leftChars="12" w:firstLine="472" w:firstLineChars="197"/>
        <w:rPr>
          <w:rFonts w:hAnsi="宋体"/>
          <w:bCs/>
          <w:color w:val="auto"/>
          <w:sz w:val="24"/>
          <w:szCs w:val="24"/>
          <w:highlight w:val="none"/>
        </w:rPr>
      </w:pPr>
      <w:r>
        <w:rPr>
          <w:rFonts w:hint="eastAsia" w:hAnsi="宋体"/>
          <w:color w:val="auto"/>
          <w:sz w:val="24"/>
          <w:szCs w:val="24"/>
          <w:highlight w:val="none"/>
        </w:rPr>
        <w:t xml:space="preserve">投诉事项2  </w:t>
      </w:r>
    </w:p>
    <w:p w14:paraId="4249AEED">
      <w:pPr>
        <w:pStyle w:val="29"/>
        <w:spacing w:line="360" w:lineRule="auto"/>
        <w:ind w:left="25" w:leftChars="12" w:firstLine="472" w:firstLineChars="197"/>
        <w:rPr>
          <w:rFonts w:hAnsi="宋体"/>
          <w:bCs/>
          <w:color w:val="auto"/>
          <w:sz w:val="24"/>
          <w:szCs w:val="24"/>
          <w:highlight w:val="none"/>
        </w:rPr>
      </w:pPr>
      <w:r>
        <w:rPr>
          <w:rFonts w:hAnsi="宋体"/>
          <w:bCs/>
          <w:color w:val="auto"/>
          <w:sz w:val="24"/>
          <w:szCs w:val="24"/>
          <w:highlight w:val="none"/>
        </w:rPr>
        <w:t>……</w:t>
      </w:r>
    </w:p>
    <w:p w14:paraId="64B02B68">
      <w:pPr>
        <w:pStyle w:val="29"/>
        <w:spacing w:line="360" w:lineRule="auto"/>
        <w:ind w:left="25" w:leftChars="12" w:firstLine="472" w:firstLineChars="196"/>
        <w:rPr>
          <w:rFonts w:hAnsi="宋体"/>
          <w:b/>
          <w:color w:val="auto"/>
          <w:sz w:val="24"/>
          <w:szCs w:val="24"/>
          <w:highlight w:val="none"/>
        </w:rPr>
      </w:pPr>
      <w:r>
        <w:rPr>
          <w:rFonts w:hint="eastAsia" w:hAnsi="宋体"/>
          <w:b/>
          <w:color w:val="auto"/>
          <w:sz w:val="24"/>
          <w:szCs w:val="24"/>
          <w:highlight w:val="none"/>
        </w:rPr>
        <w:t>五、与投诉事项相关的投诉请求：</w:t>
      </w:r>
    </w:p>
    <w:p w14:paraId="278AD834">
      <w:pPr>
        <w:pStyle w:val="29"/>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请求：</w:t>
      </w:r>
    </w:p>
    <w:p w14:paraId="2AA6E433">
      <w:pPr>
        <w:pStyle w:val="29"/>
        <w:spacing w:line="360" w:lineRule="auto"/>
        <w:ind w:left="25" w:leftChars="12" w:firstLine="352" w:firstLineChars="147"/>
        <w:rPr>
          <w:rFonts w:hAnsi="宋体"/>
          <w:color w:val="auto"/>
          <w:sz w:val="24"/>
          <w:szCs w:val="24"/>
          <w:highlight w:val="none"/>
        </w:rPr>
      </w:pPr>
    </w:p>
    <w:p w14:paraId="64F1F530">
      <w:pPr>
        <w:pStyle w:val="29"/>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签字（签章）：                                       公章：</w:t>
      </w:r>
    </w:p>
    <w:p w14:paraId="7BEDA60D">
      <w:pPr>
        <w:pStyle w:val="29"/>
        <w:spacing w:line="360" w:lineRule="auto"/>
        <w:ind w:left="25" w:leftChars="12" w:firstLine="352" w:firstLineChars="147"/>
        <w:rPr>
          <w:rFonts w:hAnsi="宋体"/>
          <w:color w:val="auto"/>
          <w:sz w:val="24"/>
          <w:szCs w:val="24"/>
          <w:highlight w:val="none"/>
        </w:rPr>
      </w:pPr>
    </w:p>
    <w:p w14:paraId="12AAD5CD">
      <w:pPr>
        <w:pStyle w:val="29"/>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日期：</w:t>
      </w:r>
    </w:p>
    <w:p w14:paraId="5EB905C5">
      <w:pPr>
        <w:pStyle w:val="29"/>
        <w:spacing w:line="360" w:lineRule="auto"/>
        <w:ind w:left="25" w:leftChars="12" w:firstLine="475" w:firstLineChars="197"/>
        <w:rPr>
          <w:rFonts w:hAnsi="宋体"/>
          <w:b/>
          <w:color w:val="auto"/>
          <w:sz w:val="24"/>
          <w:szCs w:val="24"/>
          <w:highlight w:val="none"/>
        </w:rPr>
      </w:pPr>
    </w:p>
    <w:p w14:paraId="01A0413A">
      <w:pPr>
        <w:pStyle w:val="29"/>
        <w:snapToGrid w:val="0"/>
        <w:spacing w:line="360" w:lineRule="auto"/>
        <w:rPr>
          <w:rFonts w:hAnsi="宋体"/>
          <w:b/>
          <w:color w:val="auto"/>
          <w:sz w:val="24"/>
          <w:szCs w:val="24"/>
          <w:highlight w:val="none"/>
        </w:rPr>
      </w:pPr>
      <w:r>
        <w:rPr>
          <w:rFonts w:hint="eastAsia" w:hAnsi="宋体"/>
          <w:b/>
          <w:color w:val="auto"/>
          <w:sz w:val="24"/>
          <w:szCs w:val="24"/>
          <w:highlight w:val="none"/>
        </w:rPr>
        <w:t>说明：</w:t>
      </w:r>
    </w:p>
    <w:p w14:paraId="117A9A82">
      <w:pPr>
        <w:pStyle w:val="29"/>
        <w:spacing w:line="360" w:lineRule="auto"/>
        <w:ind w:left="25" w:leftChars="12" w:firstLine="354" w:firstLineChars="147"/>
        <w:rPr>
          <w:rFonts w:hAnsi="宋体"/>
          <w:b/>
          <w:bCs/>
          <w:color w:val="auto"/>
          <w:sz w:val="24"/>
          <w:szCs w:val="24"/>
          <w:highlight w:val="none"/>
        </w:rPr>
      </w:pPr>
      <w:r>
        <w:rPr>
          <w:rFonts w:hint="eastAsia" w:hAnsi="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b/>
          <w:bCs/>
          <w:color w:val="auto"/>
          <w:sz w:val="24"/>
          <w:szCs w:val="24"/>
          <w:highlight w:val="none"/>
        </w:rPr>
        <w:t>。</w:t>
      </w:r>
    </w:p>
    <w:p w14:paraId="1FF6ECDB">
      <w:pPr>
        <w:pStyle w:val="29"/>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6DD8F369">
      <w:pPr>
        <w:pStyle w:val="29"/>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3.投诉书应简要列明质疑事项，质疑函、质疑答复等作为附件材料提供。</w:t>
      </w:r>
    </w:p>
    <w:p w14:paraId="0EB77728">
      <w:pPr>
        <w:pStyle w:val="29"/>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4.投诉书的投诉事项应具体、明确，并有必要的事实依据和法律依据。</w:t>
      </w:r>
    </w:p>
    <w:p w14:paraId="4A8557A5">
      <w:pPr>
        <w:pStyle w:val="29"/>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5.投诉书的投诉请求应与投诉事项相关。</w:t>
      </w:r>
    </w:p>
    <w:p w14:paraId="3722D24F">
      <w:pPr>
        <w:pStyle w:val="29"/>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6.投诉人为法人或者其他组织的，投诉书应由法定代表人、主要负责人，或者其授权代表签字或者盖章，并加盖公章。</w:t>
      </w:r>
    </w:p>
    <w:p w14:paraId="2AD6A9D1">
      <w:pPr>
        <w:pStyle w:val="29"/>
        <w:spacing w:line="360" w:lineRule="auto"/>
        <w:ind w:left="25" w:leftChars="12" w:firstLine="354" w:firstLineChars="147"/>
        <w:rPr>
          <w:rFonts w:hAnsi="宋体"/>
          <w:b/>
          <w:color w:val="auto"/>
          <w:sz w:val="24"/>
          <w:szCs w:val="24"/>
          <w:highlight w:val="none"/>
        </w:rPr>
      </w:pPr>
    </w:p>
    <w:p w14:paraId="67350831">
      <w:pPr>
        <w:pStyle w:val="29"/>
        <w:spacing w:line="360" w:lineRule="auto"/>
        <w:ind w:left="25" w:leftChars="12" w:firstLine="295" w:firstLineChars="147"/>
        <w:rPr>
          <w:rFonts w:hAnsi="宋体"/>
          <w:b/>
          <w:color w:val="auto"/>
          <w:highlight w:val="none"/>
        </w:rPr>
      </w:pPr>
    </w:p>
    <w:p w14:paraId="295959C9">
      <w:pPr>
        <w:pStyle w:val="2"/>
        <w:spacing w:after="340" w:line="360" w:lineRule="auto"/>
        <w:jc w:val="center"/>
        <w:rPr>
          <w:color w:val="auto"/>
          <w:highlight w:val="none"/>
        </w:rPr>
      </w:pPr>
      <w:bookmarkStart w:id="109" w:name="_Toc185869578"/>
      <w:r>
        <w:rPr>
          <w:rFonts w:hint="eastAsia"/>
          <w:color w:val="auto"/>
          <w:highlight w:val="none"/>
        </w:rPr>
        <w:t>第七章合同文本</w:t>
      </w:r>
      <w:bookmarkEnd w:id="109"/>
    </w:p>
    <w:p w14:paraId="02FB978F">
      <w:pPr>
        <w:spacing w:line="520" w:lineRule="exact"/>
        <w:rPr>
          <w:rFonts w:ascii="宋体" w:hAnsi="宋体" w:cs="Courier New"/>
          <w:b/>
          <w:color w:val="auto"/>
          <w:sz w:val="32"/>
          <w:szCs w:val="32"/>
          <w:highlight w:val="none"/>
        </w:rPr>
      </w:pPr>
    </w:p>
    <w:p w14:paraId="46E26006">
      <w:pPr>
        <w:widowControl/>
        <w:jc w:val="center"/>
        <w:rPr>
          <w:rFonts w:ascii="宋体" w:hAnsi="宋体" w:cs="宋体"/>
          <w:b/>
          <w:color w:val="auto"/>
          <w:sz w:val="44"/>
          <w:szCs w:val="44"/>
          <w:highlight w:val="none"/>
        </w:rPr>
      </w:pPr>
      <w:r>
        <w:rPr>
          <w:rFonts w:ascii="宋体" w:hAnsi="宋体" w:cs="宋体"/>
          <w:color w:val="auto"/>
          <w:sz w:val="24"/>
          <w:highlight w:val="none"/>
        </w:rPr>
        <w:br w:type="page"/>
      </w:r>
    </w:p>
    <w:p w14:paraId="289C358B">
      <w:pPr>
        <w:jc w:val="center"/>
        <w:rPr>
          <w:rFonts w:hint="eastAsia" w:ascii="Calibri" w:hAnsi="Calibri" w:cs="宋体"/>
          <w:color w:val="auto"/>
          <w:sz w:val="44"/>
          <w:szCs w:val="44"/>
          <w:highlight w:val="none"/>
          <w:lang w:val="zh-CN"/>
        </w:rPr>
      </w:pPr>
    </w:p>
    <w:p w14:paraId="28D82353">
      <w:pPr>
        <w:jc w:val="center"/>
        <w:rPr>
          <w:rFonts w:hint="eastAsia" w:ascii="Calibri" w:hAnsi="Calibri" w:cs="宋体"/>
          <w:color w:val="auto"/>
          <w:sz w:val="44"/>
          <w:szCs w:val="44"/>
          <w:highlight w:val="none"/>
          <w:lang w:val="zh-CN"/>
        </w:rPr>
      </w:pPr>
    </w:p>
    <w:p w14:paraId="162A1C4F">
      <w:pPr>
        <w:jc w:val="center"/>
        <w:rPr>
          <w:rFonts w:ascii="Calibri" w:hAnsi="Calibri" w:cs="宋体"/>
          <w:color w:val="auto"/>
          <w:sz w:val="44"/>
          <w:szCs w:val="44"/>
          <w:highlight w:val="none"/>
          <w:lang w:val="zh-CN"/>
        </w:rPr>
      </w:pPr>
      <w:r>
        <w:rPr>
          <w:rFonts w:hint="eastAsia" w:ascii="Calibri" w:hAnsi="Calibri" w:cs="宋体"/>
          <w:color w:val="auto"/>
          <w:sz w:val="44"/>
          <w:szCs w:val="44"/>
          <w:highlight w:val="none"/>
          <w:lang w:val="zh-CN"/>
        </w:rPr>
        <w:t>广西幼儿师范高等专科学校平果校区室外风雨球场建设项目</w:t>
      </w:r>
    </w:p>
    <w:p w14:paraId="1684629E">
      <w:pPr>
        <w:widowControl/>
        <w:jc w:val="center"/>
        <w:rPr>
          <w:rFonts w:ascii="宋体" w:hAnsi="宋体" w:cs="宋体"/>
          <w:b/>
          <w:color w:val="auto"/>
          <w:sz w:val="40"/>
          <w:szCs w:val="40"/>
          <w:highlight w:val="none"/>
        </w:rPr>
      </w:pPr>
    </w:p>
    <w:p w14:paraId="294B9225">
      <w:pPr>
        <w:widowControl/>
        <w:jc w:val="center"/>
        <w:rPr>
          <w:rFonts w:ascii="宋体" w:hAnsi="宋体" w:cs="宋体"/>
          <w:b/>
          <w:color w:val="auto"/>
          <w:sz w:val="40"/>
          <w:szCs w:val="40"/>
          <w:highlight w:val="none"/>
        </w:rPr>
      </w:pPr>
    </w:p>
    <w:p w14:paraId="3FCA3CC8">
      <w:pPr>
        <w:widowControl/>
        <w:jc w:val="center"/>
        <w:rPr>
          <w:rFonts w:ascii="宋体" w:hAnsi="宋体" w:cs="宋体"/>
          <w:b/>
          <w:color w:val="auto"/>
          <w:sz w:val="40"/>
          <w:szCs w:val="40"/>
          <w:highlight w:val="none"/>
        </w:rPr>
      </w:pPr>
    </w:p>
    <w:p w14:paraId="04DB2EF7">
      <w:pPr>
        <w:widowControl/>
        <w:jc w:val="center"/>
        <w:rPr>
          <w:rFonts w:ascii="宋体" w:hAnsi="宋体" w:cs="宋体"/>
          <w:b/>
          <w:color w:val="auto"/>
          <w:sz w:val="40"/>
          <w:szCs w:val="40"/>
          <w:highlight w:val="none"/>
        </w:rPr>
      </w:pPr>
      <w:r>
        <w:rPr>
          <w:rFonts w:hint="eastAsia" w:ascii="宋体" w:hAnsi="宋体" w:cs="宋体"/>
          <w:b/>
          <w:color w:val="auto"/>
          <w:sz w:val="72"/>
          <w:szCs w:val="72"/>
          <w:highlight w:val="none"/>
        </w:rPr>
        <w:t>建设工程施工合同</w:t>
      </w:r>
    </w:p>
    <w:p w14:paraId="6096DE4B">
      <w:pPr>
        <w:keepNext/>
        <w:keepLines/>
        <w:spacing w:before="340" w:after="330" w:line="578" w:lineRule="auto"/>
        <w:jc w:val="center"/>
        <w:outlineLvl w:val="0"/>
        <w:rPr>
          <w:rFonts w:cs="黑体"/>
          <w:b/>
          <w:bCs/>
          <w:color w:val="auto"/>
          <w:kern w:val="44"/>
          <w:sz w:val="40"/>
          <w:szCs w:val="40"/>
          <w:highlight w:val="none"/>
        </w:rPr>
      </w:pPr>
    </w:p>
    <w:p w14:paraId="078BF17E">
      <w:pPr>
        <w:keepNext/>
        <w:keepLines/>
        <w:spacing w:before="340" w:after="330" w:line="578" w:lineRule="auto"/>
        <w:jc w:val="center"/>
        <w:outlineLvl w:val="0"/>
        <w:rPr>
          <w:rFonts w:cs="黑体"/>
          <w:b/>
          <w:bCs/>
          <w:color w:val="auto"/>
          <w:kern w:val="44"/>
          <w:sz w:val="40"/>
          <w:szCs w:val="40"/>
          <w:highlight w:val="none"/>
        </w:rPr>
      </w:pPr>
    </w:p>
    <w:p w14:paraId="55BA1273">
      <w:pPr>
        <w:spacing w:line="360" w:lineRule="auto"/>
        <w:ind w:firstLine="470" w:firstLineChars="147"/>
        <w:jc w:val="left"/>
        <w:rPr>
          <w:rFonts w:cs="宋体"/>
          <w:color w:val="auto"/>
          <w:sz w:val="32"/>
          <w:szCs w:val="32"/>
          <w:highlight w:val="none"/>
          <w:u w:val="single"/>
        </w:rPr>
      </w:pPr>
      <w:r>
        <w:rPr>
          <w:rFonts w:hint="eastAsia" w:cs="宋体"/>
          <w:color w:val="auto"/>
          <w:sz w:val="32"/>
          <w:szCs w:val="32"/>
          <w:highlight w:val="none"/>
          <w:lang w:val="zh-CN"/>
        </w:rPr>
        <w:t>合同编号：</w:t>
      </w:r>
    </w:p>
    <w:p w14:paraId="5215890A">
      <w:pPr>
        <w:spacing w:line="360" w:lineRule="auto"/>
        <w:ind w:firstLine="470" w:firstLineChars="147"/>
        <w:jc w:val="left"/>
        <w:rPr>
          <w:rFonts w:cs="宋体"/>
          <w:color w:val="auto"/>
          <w:sz w:val="32"/>
          <w:szCs w:val="32"/>
          <w:highlight w:val="none"/>
          <w:u w:val="single"/>
          <w:lang w:val="zh-CN"/>
        </w:rPr>
      </w:pPr>
      <w:r>
        <w:rPr>
          <w:rFonts w:hint="eastAsia" w:cs="宋体"/>
          <w:color w:val="auto"/>
          <w:sz w:val="32"/>
          <w:szCs w:val="32"/>
          <w:highlight w:val="none"/>
          <w:lang w:val="zh-CN"/>
        </w:rPr>
        <w:t>发包人：</w:t>
      </w:r>
      <w:r>
        <w:rPr>
          <w:rFonts w:hint="eastAsia" w:cs="宋体"/>
          <w:color w:val="auto"/>
          <w:sz w:val="32"/>
          <w:szCs w:val="32"/>
          <w:highlight w:val="none"/>
          <w:u w:val="single"/>
          <w:lang w:val="zh-CN"/>
        </w:rPr>
        <w:t>广西幼儿师范高等专科学校</w:t>
      </w:r>
    </w:p>
    <w:p w14:paraId="6B8D3DF3">
      <w:pPr>
        <w:spacing w:line="360" w:lineRule="auto"/>
        <w:ind w:firstLine="470" w:firstLineChars="147"/>
        <w:jc w:val="left"/>
        <w:rPr>
          <w:rFonts w:cs="宋体"/>
          <w:color w:val="auto"/>
          <w:sz w:val="32"/>
          <w:szCs w:val="32"/>
          <w:highlight w:val="none"/>
          <w:u w:val="single"/>
          <w:lang w:val="zh-CN"/>
        </w:rPr>
      </w:pPr>
      <w:r>
        <w:rPr>
          <w:rFonts w:hint="eastAsia" w:cs="宋体"/>
          <w:color w:val="auto"/>
          <w:sz w:val="32"/>
          <w:szCs w:val="32"/>
          <w:highlight w:val="none"/>
          <w:lang w:val="zh-CN"/>
        </w:rPr>
        <w:t>承包人：</w:t>
      </w:r>
    </w:p>
    <w:p w14:paraId="0FC5ECDD">
      <w:pPr>
        <w:pStyle w:val="2"/>
        <w:jc w:val="center"/>
        <w:rPr>
          <w:color w:val="auto"/>
          <w:highlight w:val="none"/>
        </w:rPr>
      </w:pPr>
      <w:r>
        <w:rPr>
          <w:rFonts w:cs="黑体"/>
          <w:b/>
          <w:bCs/>
          <w:color w:val="auto"/>
          <w:kern w:val="44"/>
          <w:sz w:val="44"/>
          <w:szCs w:val="44"/>
          <w:highlight w:val="none"/>
        </w:rPr>
        <w:br w:type="page"/>
      </w:r>
      <w:bookmarkStart w:id="110" w:name="_Toc373478199"/>
      <w:bookmarkStart w:id="111" w:name="_Toc389065255"/>
      <w:bookmarkStart w:id="112" w:name="_Toc407135191"/>
      <w:bookmarkStart w:id="113" w:name="_Toc1756478213"/>
      <w:bookmarkStart w:id="114" w:name="_Toc373227552"/>
      <w:bookmarkStart w:id="115" w:name="_Toc296890982"/>
      <w:bookmarkStart w:id="116" w:name="_Toc724920571"/>
      <w:bookmarkStart w:id="117" w:name="_Toc351203480"/>
      <w:bookmarkStart w:id="118" w:name="_Toc296503025"/>
      <w:bookmarkStart w:id="119" w:name="_Toc78449777"/>
      <w:r>
        <w:rPr>
          <w:rFonts w:hint="eastAsia" w:cs="黑体"/>
          <w:color w:val="auto"/>
          <w:highlight w:val="none"/>
        </w:rPr>
        <w:t>第一部分</w:t>
      </w:r>
      <w:r>
        <w:rPr>
          <w:color w:val="auto"/>
          <w:highlight w:val="none"/>
        </w:rPr>
        <w:t xml:space="preserve"> </w:t>
      </w:r>
      <w:r>
        <w:rPr>
          <w:rFonts w:hint="eastAsia" w:cs="黑体"/>
          <w:color w:val="auto"/>
          <w:highlight w:val="none"/>
        </w:rPr>
        <w:t>合同协议书</w:t>
      </w:r>
      <w:bookmarkEnd w:id="110"/>
      <w:bookmarkEnd w:id="111"/>
      <w:bookmarkEnd w:id="112"/>
      <w:bookmarkEnd w:id="113"/>
      <w:bookmarkEnd w:id="114"/>
      <w:bookmarkEnd w:id="115"/>
      <w:bookmarkEnd w:id="116"/>
      <w:bookmarkEnd w:id="117"/>
      <w:bookmarkEnd w:id="118"/>
      <w:bookmarkEnd w:id="119"/>
    </w:p>
    <w:p w14:paraId="1F1D430C">
      <w:pPr>
        <w:spacing w:line="360" w:lineRule="auto"/>
        <w:rPr>
          <w:color w:val="auto"/>
          <w:highlight w:val="none"/>
          <w:u w:val="single"/>
        </w:rPr>
      </w:pPr>
      <w:r>
        <w:rPr>
          <w:rFonts w:hint="eastAsia" w:hAnsi="宋体" w:cs="宋体"/>
          <w:color w:val="auto"/>
          <w:highlight w:val="none"/>
        </w:rPr>
        <w:t>发包人（全称）：</w:t>
      </w:r>
      <w:r>
        <w:rPr>
          <w:rFonts w:hint="eastAsia" w:hAnsi="宋体"/>
          <w:color w:val="auto"/>
          <w:highlight w:val="none"/>
          <w:u w:val="single"/>
        </w:rPr>
        <w:t>广西幼儿师范高等专科学校</w:t>
      </w:r>
    </w:p>
    <w:p w14:paraId="0C7765B0">
      <w:pPr>
        <w:spacing w:line="360" w:lineRule="auto"/>
        <w:rPr>
          <w:color w:val="auto"/>
          <w:highlight w:val="none"/>
          <w:u w:val="single"/>
        </w:rPr>
      </w:pPr>
      <w:r>
        <w:rPr>
          <w:rFonts w:hint="eastAsia" w:hAnsi="宋体" w:cs="宋体"/>
          <w:color w:val="auto"/>
          <w:highlight w:val="none"/>
        </w:rPr>
        <w:t>承包人（全称）：</w:t>
      </w:r>
      <w:r>
        <w:rPr>
          <w:rFonts w:hAnsi="宋体"/>
          <w:color w:val="auto"/>
          <w:highlight w:val="none"/>
          <w:u w:val="single"/>
        </w:rPr>
        <w:t xml:space="preserve">                              </w:t>
      </w:r>
    </w:p>
    <w:p w14:paraId="4D2B2A45">
      <w:pPr>
        <w:spacing w:line="360" w:lineRule="auto"/>
        <w:ind w:firstLine="420" w:firstLineChars="200"/>
        <w:rPr>
          <w:rFonts w:hAnsi="宋体"/>
          <w:color w:val="auto"/>
          <w:highlight w:val="none"/>
        </w:rPr>
      </w:pPr>
      <w:r>
        <w:rPr>
          <w:rFonts w:hint="eastAsia" w:hAnsi="宋体" w:cs="宋体"/>
          <w:color w:val="auto"/>
          <w:highlight w:val="none"/>
        </w:rPr>
        <w:t>根据《中华人民共和国民法典</w:t>
      </w:r>
      <w:r>
        <w:rPr>
          <w:rFonts w:hint="eastAsia" w:hAnsi="宋体" w:cs="宋体"/>
          <w:color w:val="auto"/>
          <w:highlight w:val="none"/>
          <w:lang w:eastAsia="zh-CN"/>
        </w:rPr>
        <w:t>》《</w:t>
      </w:r>
      <w:r>
        <w:rPr>
          <w:rFonts w:hint="eastAsia" w:hAnsi="宋体" w:cs="宋体"/>
          <w:color w:val="auto"/>
          <w:highlight w:val="none"/>
        </w:rPr>
        <w:t>中华人民共和国建筑法》及有关法律规定，遵循平等、自愿、公平和诚实信用的原则，双方就</w:t>
      </w:r>
      <w:r>
        <w:rPr>
          <w:rFonts w:hint="eastAsia" w:hAnsi="宋体" w:cs="宋体"/>
          <w:color w:val="auto"/>
          <w:highlight w:val="none"/>
          <w:u w:val="single"/>
          <w:lang w:eastAsia="zh-CN"/>
        </w:rPr>
        <w:t>广西幼儿师范高等专科学校平果校区室外风雨球场建设项目</w:t>
      </w:r>
      <w:r>
        <w:rPr>
          <w:rFonts w:hint="eastAsia" w:hAnsi="宋体" w:cs="宋体"/>
          <w:color w:val="auto"/>
          <w:highlight w:val="none"/>
        </w:rPr>
        <w:t>工程施工及有关事项协商一致，共同达成如下协议：</w:t>
      </w:r>
      <w:bookmarkStart w:id="120" w:name="_Toc351203481"/>
    </w:p>
    <w:p w14:paraId="3E27CD77">
      <w:pPr>
        <w:spacing w:line="360" w:lineRule="auto"/>
        <w:ind w:firstLine="422" w:firstLineChars="200"/>
        <w:outlineLvl w:val="0"/>
        <w:rPr>
          <w:b/>
          <w:bCs/>
          <w:color w:val="auto"/>
          <w:highlight w:val="none"/>
        </w:rPr>
      </w:pPr>
      <w:r>
        <w:rPr>
          <w:rFonts w:hint="eastAsia" w:hAnsi="宋体" w:cs="宋体"/>
          <w:b/>
          <w:bCs/>
          <w:color w:val="auto"/>
          <w:highlight w:val="none"/>
        </w:rPr>
        <w:t>一、工程概况</w:t>
      </w:r>
      <w:bookmarkEnd w:id="120"/>
    </w:p>
    <w:p w14:paraId="703A0648">
      <w:pPr>
        <w:spacing w:line="360" w:lineRule="auto"/>
        <w:ind w:firstLine="411" w:firstLineChars="196"/>
        <w:rPr>
          <w:color w:val="auto"/>
          <w:highlight w:val="none"/>
          <w:u w:val="single"/>
        </w:rPr>
      </w:pPr>
      <w:r>
        <w:rPr>
          <w:color w:val="auto"/>
          <w:highlight w:val="none"/>
        </w:rPr>
        <w:t xml:space="preserve">1. </w:t>
      </w:r>
      <w:r>
        <w:rPr>
          <w:rFonts w:hint="eastAsia" w:hAnsi="宋体" w:cs="宋体"/>
          <w:color w:val="auto"/>
          <w:highlight w:val="none"/>
        </w:rPr>
        <w:t>工程名称：</w:t>
      </w:r>
      <w:r>
        <w:rPr>
          <w:color w:val="auto"/>
          <w:highlight w:val="none"/>
          <w:u w:val="single"/>
        </w:rPr>
        <w:t xml:space="preserve">  </w:t>
      </w:r>
      <w:r>
        <w:rPr>
          <w:rFonts w:hint="eastAsia"/>
          <w:color w:val="auto"/>
          <w:highlight w:val="none"/>
          <w:u w:val="single"/>
          <w:lang w:eastAsia="zh-CN"/>
        </w:rPr>
        <w:t>广西幼儿师范高等专科学校平果校区室外风雨球场建设项目</w:t>
      </w:r>
      <w:r>
        <w:rPr>
          <w:color w:val="auto"/>
          <w:highlight w:val="none"/>
          <w:u w:val="single"/>
        </w:rPr>
        <w:t xml:space="preserve"> </w:t>
      </w:r>
      <w:r>
        <w:rPr>
          <w:rFonts w:hint="eastAsia" w:hAnsi="宋体" w:cs="宋体"/>
          <w:color w:val="auto"/>
          <w:highlight w:val="none"/>
        </w:rPr>
        <w:t>。</w:t>
      </w:r>
    </w:p>
    <w:p w14:paraId="49923440">
      <w:pPr>
        <w:spacing w:line="360" w:lineRule="auto"/>
        <w:ind w:firstLine="411" w:firstLineChars="196"/>
        <w:rPr>
          <w:color w:val="auto"/>
          <w:highlight w:val="none"/>
        </w:rPr>
      </w:pPr>
      <w:r>
        <w:rPr>
          <w:color w:val="auto"/>
          <w:highlight w:val="none"/>
        </w:rPr>
        <w:t xml:space="preserve">2. </w:t>
      </w:r>
      <w:r>
        <w:rPr>
          <w:rFonts w:hint="eastAsia" w:hAnsi="宋体" w:cs="宋体"/>
          <w:color w:val="auto"/>
          <w:highlight w:val="none"/>
        </w:rPr>
        <w:t>工程地点：</w:t>
      </w:r>
      <w:r>
        <w:rPr>
          <w:color w:val="auto"/>
          <w:highlight w:val="none"/>
          <w:u w:val="single"/>
        </w:rPr>
        <w:t xml:space="preserve">  </w:t>
      </w:r>
      <w:r>
        <w:rPr>
          <w:rFonts w:hint="eastAsia"/>
          <w:color w:val="auto"/>
          <w:highlight w:val="none"/>
          <w:u w:val="single"/>
        </w:rPr>
        <w:t>广西幼儿师范高等专科学校平果校区</w:t>
      </w:r>
      <w:r>
        <w:rPr>
          <w:rFonts w:hint="eastAsia"/>
          <w:color w:val="auto"/>
          <w:highlight w:val="none"/>
          <w:u w:val="single"/>
          <w:lang w:val="en-US" w:eastAsia="zh-CN"/>
        </w:rPr>
        <w:t xml:space="preserve">       </w:t>
      </w:r>
      <w:r>
        <w:rPr>
          <w:color w:val="auto"/>
          <w:highlight w:val="none"/>
          <w:u w:val="single"/>
        </w:rPr>
        <w:t xml:space="preserve">  </w:t>
      </w:r>
      <w:r>
        <w:rPr>
          <w:rFonts w:hint="eastAsia" w:hAnsi="宋体" w:cs="宋体"/>
          <w:color w:val="auto"/>
          <w:highlight w:val="none"/>
        </w:rPr>
        <w:t>。</w:t>
      </w:r>
    </w:p>
    <w:p w14:paraId="6FDEE7B3">
      <w:pPr>
        <w:spacing w:line="360" w:lineRule="auto"/>
        <w:ind w:firstLine="411" w:firstLineChars="196"/>
        <w:rPr>
          <w:color w:val="auto"/>
          <w:highlight w:val="none"/>
        </w:rPr>
      </w:pPr>
      <w:r>
        <w:rPr>
          <w:color w:val="auto"/>
          <w:highlight w:val="none"/>
        </w:rPr>
        <w:t xml:space="preserve">3. </w:t>
      </w:r>
      <w:r>
        <w:rPr>
          <w:rFonts w:hint="eastAsia" w:hAnsi="宋体" w:cs="宋体"/>
          <w:color w:val="auto"/>
          <w:highlight w:val="none"/>
        </w:rPr>
        <w:t>工程立项批准文号：</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5354FAF8">
      <w:pPr>
        <w:spacing w:line="360" w:lineRule="auto"/>
        <w:ind w:firstLine="411" w:firstLineChars="196"/>
        <w:rPr>
          <w:color w:val="auto"/>
          <w:highlight w:val="none"/>
        </w:rPr>
      </w:pPr>
      <w:r>
        <w:rPr>
          <w:color w:val="auto"/>
          <w:highlight w:val="none"/>
        </w:rPr>
        <w:t xml:space="preserve">4. </w:t>
      </w:r>
      <w:r>
        <w:rPr>
          <w:rFonts w:hint="eastAsia" w:hAnsi="宋体" w:cs="宋体"/>
          <w:color w:val="auto"/>
          <w:highlight w:val="none"/>
        </w:rPr>
        <w:t>资金来源：</w:t>
      </w:r>
      <w:r>
        <w:rPr>
          <w:color w:val="auto"/>
          <w:highlight w:val="none"/>
          <w:u w:val="single"/>
        </w:rPr>
        <w:t xml:space="preserve">  </w:t>
      </w:r>
      <w:r>
        <w:rPr>
          <w:rFonts w:hint="eastAsia"/>
          <w:color w:val="auto"/>
          <w:highlight w:val="none"/>
          <w:u w:val="single"/>
          <w:lang w:val="en-US" w:eastAsia="zh-CN"/>
        </w:rPr>
        <w:t>100%</w:t>
      </w:r>
      <w:r>
        <w:rPr>
          <w:rFonts w:hint="eastAsia"/>
          <w:color w:val="auto"/>
          <w:highlight w:val="none"/>
          <w:u w:val="single"/>
        </w:rPr>
        <w:t xml:space="preserve">财政性资金                       </w:t>
      </w:r>
      <w:r>
        <w:rPr>
          <w:color w:val="auto"/>
          <w:highlight w:val="none"/>
          <w:u w:val="single"/>
        </w:rPr>
        <w:t xml:space="preserve">   </w:t>
      </w:r>
      <w:r>
        <w:rPr>
          <w:rFonts w:hint="eastAsia" w:hAnsi="宋体" w:cs="宋体"/>
          <w:color w:val="auto"/>
          <w:highlight w:val="none"/>
        </w:rPr>
        <w:t>。</w:t>
      </w:r>
    </w:p>
    <w:p w14:paraId="42F57917">
      <w:pPr>
        <w:spacing w:line="360" w:lineRule="auto"/>
        <w:ind w:firstLine="411" w:firstLineChars="196"/>
        <w:rPr>
          <w:color w:val="auto"/>
          <w:highlight w:val="none"/>
        </w:rPr>
      </w:pPr>
      <w:r>
        <w:rPr>
          <w:color w:val="auto"/>
          <w:highlight w:val="none"/>
        </w:rPr>
        <w:t xml:space="preserve">5. </w:t>
      </w:r>
      <w:r>
        <w:rPr>
          <w:rFonts w:hint="eastAsia" w:hAnsi="宋体" w:cs="宋体"/>
          <w:color w:val="auto"/>
          <w:highlight w:val="none"/>
        </w:rPr>
        <w:t>工程内容：</w:t>
      </w:r>
      <w:r>
        <w:rPr>
          <w:color w:val="auto"/>
          <w:highlight w:val="none"/>
          <w:u w:val="single"/>
        </w:rPr>
        <w:t xml:space="preserve">  </w:t>
      </w:r>
      <w:r>
        <w:rPr>
          <w:rFonts w:hint="eastAsia"/>
          <w:color w:val="auto"/>
          <w:highlight w:val="none"/>
          <w:u w:val="single"/>
        </w:rPr>
        <w:t>详见工程量清单及图纸</w:t>
      </w:r>
      <w:r>
        <w:rPr>
          <w:color w:val="auto"/>
          <w:highlight w:val="none"/>
          <w:u w:val="single"/>
        </w:rPr>
        <w:t xml:space="preserve"> </w:t>
      </w:r>
      <w:r>
        <w:rPr>
          <w:rFonts w:hint="eastAsia" w:hAnsi="宋体" w:cs="宋体"/>
          <w:color w:val="auto"/>
          <w:highlight w:val="none"/>
        </w:rPr>
        <w:t>。</w:t>
      </w:r>
    </w:p>
    <w:p w14:paraId="26B12408">
      <w:pPr>
        <w:spacing w:line="360" w:lineRule="auto"/>
        <w:ind w:firstLine="411" w:firstLineChars="196"/>
        <w:rPr>
          <w:color w:val="auto"/>
          <w:highlight w:val="none"/>
        </w:rPr>
      </w:pPr>
      <w:r>
        <w:rPr>
          <w:rFonts w:hint="eastAsia" w:hAnsi="宋体" w:cs="宋体"/>
          <w:color w:val="auto"/>
          <w:highlight w:val="none"/>
        </w:rPr>
        <w:t>群体工程应附《承包人承揽工程项目一览表》（附件</w:t>
      </w:r>
      <w:r>
        <w:rPr>
          <w:color w:val="auto"/>
          <w:highlight w:val="none"/>
        </w:rPr>
        <w:t>1</w:t>
      </w:r>
      <w:r>
        <w:rPr>
          <w:rFonts w:hint="eastAsia" w:hAnsi="宋体" w:cs="宋体"/>
          <w:color w:val="auto"/>
          <w:highlight w:val="none"/>
        </w:rPr>
        <w:t>）。</w:t>
      </w:r>
    </w:p>
    <w:p w14:paraId="5BF0DC7D">
      <w:pPr>
        <w:spacing w:line="360" w:lineRule="auto"/>
        <w:ind w:firstLine="411" w:firstLineChars="196"/>
        <w:rPr>
          <w:color w:val="auto"/>
          <w:highlight w:val="none"/>
        </w:rPr>
      </w:pPr>
      <w:r>
        <w:rPr>
          <w:color w:val="auto"/>
          <w:highlight w:val="none"/>
        </w:rPr>
        <w:t xml:space="preserve">6. </w:t>
      </w:r>
      <w:r>
        <w:rPr>
          <w:rFonts w:hint="eastAsia" w:hAnsi="宋体" w:cs="宋体"/>
          <w:color w:val="auto"/>
          <w:highlight w:val="none"/>
        </w:rPr>
        <w:t>工程承包范围：</w:t>
      </w:r>
    </w:p>
    <w:p w14:paraId="2D0E2284">
      <w:pPr>
        <w:spacing w:line="360" w:lineRule="auto"/>
        <w:ind w:firstLine="405" w:firstLineChars="193"/>
        <w:rPr>
          <w:rFonts w:hAnsi="宋体"/>
          <w:color w:val="auto"/>
          <w:highlight w:val="none"/>
        </w:rPr>
      </w:pPr>
      <w:r>
        <w:rPr>
          <w:color w:val="auto"/>
          <w:highlight w:val="none"/>
          <w:u w:val="single"/>
        </w:rPr>
        <w:t xml:space="preserve"> </w:t>
      </w:r>
      <w:r>
        <w:rPr>
          <w:rFonts w:hint="eastAsia"/>
          <w:color w:val="auto"/>
          <w:highlight w:val="none"/>
          <w:u w:val="single"/>
          <w:lang w:eastAsia="zh-CN"/>
        </w:rPr>
        <w:t>广西幼儿师范高等专科学校平果校区室外风雨球场建设项目</w:t>
      </w:r>
      <w:r>
        <w:rPr>
          <w:rFonts w:hint="eastAsia"/>
          <w:color w:val="auto"/>
          <w:highlight w:val="none"/>
          <w:u w:val="single"/>
        </w:rPr>
        <w:t>，主要建设内容为：拆除工程，独立基础，砼工程，硅PU地面，钢结构，压型钢板屋面等。建筑面积3100平方米。具体内容以施工图设计及工程量清单为准</w:t>
      </w:r>
      <w:r>
        <w:rPr>
          <w:rFonts w:hint="eastAsia" w:hAnsi="宋体" w:cs="宋体"/>
          <w:color w:val="auto"/>
          <w:highlight w:val="none"/>
        </w:rPr>
        <w:t>。</w:t>
      </w:r>
    </w:p>
    <w:p w14:paraId="1788ED67">
      <w:pPr>
        <w:spacing w:line="360" w:lineRule="auto"/>
        <w:ind w:firstLine="407" w:firstLineChars="193"/>
        <w:outlineLvl w:val="0"/>
        <w:rPr>
          <w:b/>
          <w:bCs/>
          <w:color w:val="auto"/>
          <w:highlight w:val="none"/>
        </w:rPr>
      </w:pPr>
      <w:bookmarkStart w:id="121" w:name="_Toc351203482"/>
      <w:r>
        <w:rPr>
          <w:rFonts w:hint="eastAsia" w:hAnsi="宋体" w:cs="宋体"/>
          <w:b/>
          <w:bCs/>
          <w:color w:val="auto"/>
          <w:highlight w:val="none"/>
        </w:rPr>
        <w:t>二、合同工期</w:t>
      </w:r>
      <w:bookmarkEnd w:id="121"/>
    </w:p>
    <w:p w14:paraId="6214A4B9">
      <w:pPr>
        <w:spacing w:line="360" w:lineRule="auto"/>
        <w:ind w:firstLine="459"/>
        <w:rPr>
          <w:color w:val="auto"/>
          <w:highlight w:val="none"/>
        </w:rPr>
      </w:pPr>
      <w:r>
        <w:rPr>
          <w:rFonts w:hint="eastAsia" w:hAnsi="宋体" w:cs="宋体"/>
          <w:color w:val="auto"/>
          <w:highlight w:val="none"/>
        </w:rPr>
        <w:t>计划开工日期：</w:t>
      </w:r>
      <w:r>
        <w:rPr>
          <w:rFonts w:hAnsi="宋体"/>
          <w:color w:val="auto"/>
          <w:highlight w:val="none"/>
          <w:u w:val="single"/>
        </w:rPr>
        <w:t></w:t>
      </w:r>
      <w:r>
        <w:rPr>
          <w:rFonts w:hint="eastAsia" w:hAnsi="宋体"/>
          <w:color w:val="auto"/>
          <w:highlight w:val="none"/>
          <w:u w:val="single"/>
          <w:lang w:val="en-US" w:eastAsia="zh-CN"/>
        </w:rPr>
        <w:t>2026</w:t>
      </w:r>
      <w:r>
        <w:rPr>
          <w:rFonts w:hAnsi="宋体"/>
          <w:color w:val="auto"/>
          <w:highlight w:val="none"/>
          <w:u w:val="single"/>
        </w:rPr>
        <w:t></w:t>
      </w:r>
      <w:r>
        <w:rPr>
          <w:rFonts w:hAnsi="宋体"/>
          <w:color w:val="auto"/>
          <w:highlight w:val="none"/>
        </w:rPr>
        <w:t>年</w:t>
      </w:r>
      <w:r>
        <w:rPr>
          <w:rFonts w:hAnsi="宋体"/>
          <w:color w:val="auto"/>
          <w:highlight w:val="none"/>
          <w:u w:val="single"/>
        </w:rPr>
        <w:t></w:t>
      </w:r>
      <w:r>
        <w:rPr>
          <w:rFonts w:hAnsi="宋体"/>
          <w:color w:val="auto"/>
          <w:highlight w:val="none"/>
        </w:rPr>
        <w:t>月</w:t>
      </w:r>
      <w:r>
        <w:rPr>
          <w:rFonts w:hAnsi="宋体"/>
          <w:color w:val="auto"/>
          <w:highlight w:val="none"/>
          <w:u w:val="single"/>
        </w:rPr>
        <w:t></w:t>
      </w:r>
      <w:r>
        <w:rPr>
          <w:rFonts w:hAnsi="宋体"/>
          <w:color w:val="auto"/>
          <w:highlight w:val="none"/>
        </w:rPr>
        <w:t>日。</w:t>
      </w:r>
      <w:r>
        <w:rPr>
          <w:rFonts w:hint="eastAsia" w:hAnsi="宋体" w:cs="宋体"/>
          <w:color w:val="auto"/>
          <w:highlight w:val="none"/>
        </w:rPr>
        <w:t>（具体以发包人书面通知为准）</w:t>
      </w:r>
    </w:p>
    <w:p w14:paraId="7E7A52D3">
      <w:pPr>
        <w:spacing w:line="360" w:lineRule="auto"/>
        <w:ind w:firstLine="459"/>
        <w:rPr>
          <w:color w:val="auto"/>
          <w:highlight w:val="none"/>
        </w:rPr>
      </w:pPr>
      <w:r>
        <w:rPr>
          <w:rFonts w:hint="eastAsia" w:hAnsi="宋体" w:cs="宋体"/>
          <w:color w:val="auto"/>
          <w:highlight w:val="none"/>
        </w:rPr>
        <w:t>计划竣工日期：</w:t>
      </w:r>
      <w:r>
        <w:rPr>
          <w:rFonts w:hAnsi="宋体"/>
          <w:color w:val="auto"/>
          <w:highlight w:val="none"/>
          <w:u w:val="single"/>
        </w:rPr>
        <w:t></w:t>
      </w:r>
      <w:r>
        <w:rPr>
          <w:rFonts w:hint="eastAsia" w:hAnsi="宋体"/>
          <w:color w:val="auto"/>
          <w:highlight w:val="none"/>
          <w:u w:val="single"/>
          <w:lang w:val="en-US" w:eastAsia="zh-CN"/>
        </w:rPr>
        <w:t>2026</w:t>
      </w:r>
      <w:r>
        <w:rPr>
          <w:rFonts w:hAnsi="宋体"/>
          <w:color w:val="auto"/>
          <w:highlight w:val="none"/>
          <w:u w:val="single"/>
        </w:rPr>
        <w:t></w:t>
      </w:r>
      <w:r>
        <w:rPr>
          <w:rFonts w:hAnsi="宋体"/>
          <w:color w:val="auto"/>
          <w:highlight w:val="none"/>
        </w:rPr>
        <w:t>年</w:t>
      </w:r>
      <w:r>
        <w:rPr>
          <w:rFonts w:hAnsi="宋体"/>
          <w:color w:val="auto"/>
          <w:highlight w:val="none"/>
          <w:u w:val="single"/>
        </w:rPr>
        <w:t></w:t>
      </w:r>
      <w:r>
        <w:rPr>
          <w:rFonts w:hAnsi="宋体"/>
          <w:color w:val="auto"/>
          <w:highlight w:val="none"/>
        </w:rPr>
        <w:t>月</w:t>
      </w:r>
      <w:r>
        <w:rPr>
          <w:rFonts w:hAnsi="宋体"/>
          <w:color w:val="auto"/>
          <w:highlight w:val="none"/>
          <w:u w:val="single"/>
        </w:rPr>
        <w:t></w:t>
      </w:r>
      <w:r>
        <w:rPr>
          <w:rFonts w:hAnsi="宋体"/>
          <w:color w:val="auto"/>
          <w:highlight w:val="none"/>
        </w:rPr>
        <w:t>日</w:t>
      </w:r>
      <w:r>
        <w:rPr>
          <w:rFonts w:hint="eastAsia" w:hAnsi="宋体" w:cs="宋体"/>
          <w:color w:val="auto"/>
          <w:highlight w:val="none"/>
        </w:rPr>
        <w:t>。</w:t>
      </w:r>
    </w:p>
    <w:p w14:paraId="7E03EC27">
      <w:pPr>
        <w:spacing w:line="360" w:lineRule="auto"/>
        <w:ind w:firstLine="459"/>
        <w:rPr>
          <w:rFonts w:hAnsi="宋体"/>
          <w:color w:val="auto"/>
          <w:highlight w:val="none"/>
        </w:rPr>
      </w:pPr>
      <w:r>
        <w:rPr>
          <w:rFonts w:hint="eastAsia" w:hAnsi="宋体" w:cs="宋体"/>
          <w:color w:val="auto"/>
          <w:highlight w:val="none"/>
        </w:rPr>
        <w:t>工期总日历天数：</w:t>
      </w:r>
      <w:r>
        <w:rPr>
          <w:rFonts w:hint="eastAsia" w:hAnsi="宋体" w:cs="宋体"/>
          <w:color w:val="auto"/>
          <w:highlight w:val="none"/>
          <w:u w:val="single"/>
        </w:rPr>
        <w:t xml:space="preserve">  </w:t>
      </w:r>
      <w:r>
        <w:rPr>
          <w:rFonts w:hint="eastAsia" w:hAnsi="宋体" w:cs="宋体"/>
          <w:color w:val="auto"/>
          <w:highlight w:val="none"/>
          <w:u w:val="single"/>
          <w:lang w:val="en-US" w:eastAsia="zh-CN"/>
        </w:rPr>
        <w:t>120</w:t>
      </w:r>
      <w:r>
        <w:rPr>
          <w:rFonts w:hint="eastAsia" w:hAnsi="宋体" w:cs="宋体"/>
          <w:color w:val="auto"/>
          <w:highlight w:val="none"/>
          <w:u w:val="single"/>
        </w:rPr>
        <w:t xml:space="preserve">  </w:t>
      </w:r>
      <w:r>
        <w:rPr>
          <w:rFonts w:hint="eastAsia" w:hAnsi="宋体" w:cs="宋体"/>
          <w:color w:val="auto"/>
          <w:highlight w:val="none"/>
        </w:rPr>
        <w:t>天。工期总日历天数与根据前述计划开竣工日期计算的工期天数不一致的，以工期总日历天数为准。</w:t>
      </w:r>
    </w:p>
    <w:p w14:paraId="2DAD7B57">
      <w:pPr>
        <w:spacing w:line="360" w:lineRule="auto"/>
        <w:ind w:firstLine="459"/>
        <w:outlineLvl w:val="0"/>
        <w:rPr>
          <w:b/>
          <w:bCs/>
          <w:color w:val="auto"/>
          <w:highlight w:val="none"/>
        </w:rPr>
      </w:pPr>
      <w:bookmarkStart w:id="122" w:name="_Toc351203483"/>
      <w:r>
        <w:rPr>
          <w:rFonts w:hint="eastAsia" w:hAnsi="宋体" w:cs="宋体"/>
          <w:b/>
          <w:bCs/>
          <w:color w:val="auto"/>
          <w:highlight w:val="none"/>
        </w:rPr>
        <w:t>三、质量标准</w:t>
      </w:r>
      <w:bookmarkEnd w:id="122"/>
    </w:p>
    <w:p w14:paraId="69A25E7A">
      <w:pPr>
        <w:spacing w:line="360" w:lineRule="auto"/>
        <w:ind w:firstLine="459"/>
        <w:rPr>
          <w:rFonts w:hAnsi="宋体"/>
          <w:color w:val="auto"/>
          <w:highlight w:val="none"/>
        </w:rPr>
      </w:pPr>
      <w:r>
        <w:rPr>
          <w:rFonts w:hint="eastAsia" w:hAnsi="宋体" w:cs="宋体"/>
          <w:color w:val="auto"/>
          <w:highlight w:val="none"/>
        </w:rPr>
        <w:t>工程质量符合</w:t>
      </w:r>
      <w:r>
        <w:rPr>
          <w:rFonts w:eastAsia="仿宋_GB2312"/>
          <w:color w:val="auto"/>
          <w:highlight w:val="none"/>
          <w:u w:val="single"/>
        </w:rPr>
        <w:t></w:t>
      </w:r>
      <w:r>
        <w:rPr>
          <w:rFonts w:hint="eastAsia" w:asciiTheme="minorEastAsia" w:hAnsiTheme="minorEastAsia" w:eastAsiaTheme="minorEastAsia" w:cstheme="minorEastAsia"/>
          <w:color w:val="auto"/>
          <w:highlight w:val="none"/>
          <w:u w:val="single"/>
        </w:rPr>
        <w:t>合格</w:t>
      </w:r>
      <w:r>
        <w:rPr>
          <w:rFonts w:eastAsia="仿宋_GB2312"/>
          <w:color w:val="auto"/>
          <w:highlight w:val="none"/>
          <w:u w:val="single"/>
        </w:rPr>
        <w:t></w:t>
      </w:r>
      <w:r>
        <w:rPr>
          <w:rFonts w:hint="eastAsia" w:hAnsi="宋体" w:cs="宋体"/>
          <w:color w:val="auto"/>
          <w:highlight w:val="none"/>
        </w:rPr>
        <w:t>标准。</w:t>
      </w:r>
    </w:p>
    <w:p w14:paraId="261E03D4">
      <w:pPr>
        <w:spacing w:line="360" w:lineRule="auto"/>
        <w:ind w:firstLine="459"/>
        <w:outlineLvl w:val="0"/>
        <w:rPr>
          <w:rFonts w:hAnsi="宋体"/>
          <w:b/>
          <w:bCs/>
          <w:color w:val="auto"/>
          <w:highlight w:val="none"/>
        </w:rPr>
      </w:pPr>
      <w:bookmarkStart w:id="123" w:name="_Toc351203484"/>
      <w:r>
        <w:rPr>
          <w:rFonts w:hint="eastAsia" w:hAnsi="宋体" w:cs="宋体"/>
          <w:b/>
          <w:bCs/>
          <w:color w:val="auto"/>
          <w:highlight w:val="none"/>
        </w:rPr>
        <w:t>四、签约合同价与合同价格形式</w:t>
      </w:r>
      <w:bookmarkEnd w:id="123"/>
    </w:p>
    <w:p w14:paraId="606318F4">
      <w:pPr>
        <w:spacing w:line="360" w:lineRule="auto"/>
        <w:ind w:firstLine="459"/>
        <w:rPr>
          <w:color w:val="auto"/>
          <w:highlight w:val="none"/>
        </w:rPr>
      </w:pPr>
      <w:r>
        <w:rPr>
          <w:color w:val="auto"/>
          <w:highlight w:val="none"/>
        </w:rPr>
        <w:t xml:space="preserve">1. </w:t>
      </w:r>
      <w:r>
        <w:rPr>
          <w:rFonts w:hint="eastAsia" w:hAnsi="宋体" w:cs="宋体"/>
          <w:color w:val="auto"/>
          <w:highlight w:val="none"/>
        </w:rPr>
        <w:t>签约合同价为：</w:t>
      </w:r>
    </w:p>
    <w:p w14:paraId="5331E42E">
      <w:pPr>
        <w:spacing w:line="360" w:lineRule="auto"/>
        <w:ind w:firstLine="525" w:firstLineChars="250"/>
        <w:rPr>
          <w:rFonts w:hAnsi="宋体"/>
          <w:color w:val="auto"/>
          <w:highlight w:val="none"/>
        </w:rPr>
      </w:pPr>
      <w:r>
        <w:rPr>
          <w:rFonts w:hint="eastAsia" w:hAnsi="宋体" w:cs="宋体"/>
          <w:color w:val="auto"/>
          <w:highlight w:val="none"/>
        </w:rPr>
        <w:t>人民币（大写）</w:t>
      </w:r>
      <w:r>
        <w:rPr>
          <w:color w:val="auto"/>
          <w:highlight w:val="none"/>
          <w:u w:val="single"/>
        </w:rPr>
        <w:t xml:space="preserve">                 </w:t>
      </w:r>
      <w:r>
        <w:rPr>
          <w:rFonts w:hint="eastAsia" w:cs="宋体"/>
          <w:color w:val="auto"/>
          <w:highlight w:val="none"/>
        </w:rPr>
        <w:t>（</w:t>
      </w:r>
      <w:r>
        <w:rPr>
          <w:color w:val="auto"/>
          <w:highlight w:val="none"/>
        </w:rPr>
        <w:t>¥</w:t>
      </w:r>
      <w:r>
        <w:rPr>
          <w:color w:val="auto"/>
          <w:highlight w:val="none"/>
          <w:u w:val="single"/>
        </w:rPr>
        <w:t xml:space="preserve">            </w:t>
      </w:r>
      <w:r>
        <w:rPr>
          <w:rFonts w:hint="eastAsia" w:hAnsi="宋体" w:cs="宋体"/>
          <w:color w:val="auto"/>
          <w:highlight w:val="none"/>
        </w:rPr>
        <w:t>元</w:t>
      </w:r>
      <w:r>
        <w:rPr>
          <w:rFonts w:hint="eastAsia" w:cs="宋体"/>
          <w:color w:val="auto"/>
          <w:highlight w:val="none"/>
        </w:rPr>
        <w:t>）</w:t>
      </w:r>
      <w:r>
        <w:rPr>
          <w:rFonts w:hint="eastAsia" w:hAnsi="宋体" w:cs="宋体"/>
          <w:color w:val="auto"/>
          <w:highlight w:val="none"/>
        </w:rPr>
        <w:t>；</w:t>
      </w:r>
    </w:p>
    <w:p w14:paraId="1C812793">
      <w:pPr>
        <w:spacing w:line="360" w:lineRule="auto"/>
        <w:ind w:firstLine="525" w:firstLineChars="250"/>
        <w:rPr>
          <w:rFonts w:hAnsi="宋体"/>
          <w:color w:val="auto"/>
          <w:highlight w:val="none"/>
        </w:rPr>
      </w:pPr>
      <w:r>
        <w:rPr>
          <w:rFonts w:hint="eastAsia" w:hAnsi="宋体" w:cs="宋体"/>
          <w:color w:val="auto"/>
          <w:highlight w:val="none"/>
        </w:rPr>
        <w:t>其中：</w:t>
      </w:r>
    </w:p>
    <w:p w14:paraId="0BAB6E2C">
      <w:pPr>
        <w:spacing w:line="360" w:lineRule="auto"/>
        <w:ind w:firstLine="420" w:firstLineChars="200"/>
        <w:rPr>
          <w:color w:val="auto"/>
          <w:highlight w:val="none"/>
        </w:rPr>
      </w:pPr>
      <w:r>
        <w:rPr>
          <w:rFonts w:hint="eastAsia" w:hAnsi="宋体" w:cs="宋体"/>
          <w:color w:val="auto"/>
          <w:highlight w:val="none"/>
        </w:rPr>
        <w:t>（</w:t>
      </w:r>
      <w:r>
        <w:rPr>
          <w:rFonts w:hAnsi="宋体"/>
          <w:color w:val="auto"/>
          <w:highlight w:val="none"/>
        </w:rPr>
        <w:t>1</w:t>
      </w:r>
      <w:r>
        <w:rPr>
          <w:rFonts w:hint="eastAsia" w:hAnsi="宋体" w:cs="宋体"/>
          <w:color w:val="auto"/>
          <w:highlight w:val="none"/>
        </w:rPr>
        <w:t>）安全文明施工费：</w:t>
      </w:r>
    </w:p>
    <w:p w14:paraId="61E5759C">
      <w:pPr>
        <w:spacing w:line="360" w:lineRule="auto"/>
        <w:ind w:left="420" w:leftChars="200" w:firstLine="525" w:firstLineChars="250"/>
        <w:rPr>
          <w:rFonts w:hAnsi="宋体"/>
          <w:color w:val="auto"/>
          <w:highlight w:val="none"/>
        </w:rPr>
      </w:pPr>
      <w:r>
        <w:rPr>
          <w:rFonts w:hint="eastAsia" w:hAnsi="宋体" w:cs="宋体"/>
          <w:color w:val="auto"/>
          <w:highlight w:val="none"/>
        </w:rPr>
        <w:t>人民币（大写）</w:t>
      </w:r>
      <w:r>
        <w:rPr>
          <w:color w:val="auto"/>
          <w:highlight w:val="none"/>
          <w:u w:val="single"/>
        </w:rPr>
        <w:t xml:space="preserve">              </w:t>
      </w:r>
      <w:r>
        <w:rPr>
          <w:color w:val="auto"/>
          <w:highlight w:val="none"/>
        </w:rPr>
        <w:t xml:space="preserve"> </w:t>
      </w:r>
      <w:r>
        <w:rPr>
          <w:rFonts w:hint="eastAsia" w:cs="宋体"/>
          <w:color w:val="auto"/>
          <w:highlight w:val="none"/>
        </w:rPr>
        <w:t>（</w:t>
      </w:r>
      <w:r>
        <w:rPr>
          <w:color w:val="auto"/>
          <w:highlight w:val="none"/>
        </w:rPr>
        <w:t>¥</w:t>
      </w:r>
      <w:r>
        <w:rPr>
          <w:color w:val="auto"/>
          <w:highlight w:val="none"/>
          <w:u w:val="single"/>
        </w:rPr>
        <w:t xml:space="preserve">          </w:t>
      </w:r>
      <w:r>
        <w:rPr>
          <w:rFonts w:hint="eastAsia" w:hAnsi="宋体" w:cs="宋体"/>
          <w:color w:val="auto"/>
          <w:highlight w:val="none"/>
        </w:rPr>
        <w:t>元</w:t>
      </w:r>
      <w:r>
        <w:rPr>
          <w:rFonts w:hint="eastAsia" w:cs="宋体"/>
          <w:color w:val="auto"/>
          <w:highlight w:val="none"/>
        </w:rPr>
        <w:t>）</w:t>
      </w:r>
      <w:r>
        <w:rPr>
          <w:rFonts w:hint="eastAsia" w:hAnsi="宋体" w:cs="宋体"/>
          <w:color w:val="auto"/>
          <w:highlight w:val="none"/>
        </w:rPr>
        <w:t>；</w:t>
      </w:r>
    </w:p>
    <w:p w14:paraId="51EFBCF7">
      <w:pPr>
        <w:spacing w:line="360" w:lineRule="auto"/>
        <w:ind w:firstLine="420" w:firstLineChars="200"/>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）材料和工程设备暂估价金额：</w:t>
      </w:r>
    </w:p>
    <w:p w14:paraId="1E00083F">
      <w:pPr>
        <w:spacing w:line="360" w:lineRule="auto"/>
        <w:ind w:firstLine="945" w:firstLineChars="450"/>
        <w:rPr>
          <w:color w:val="auto"/>
          <w:highlight w:val="none"/>
        </w:rPr>
      </w:pPr>
      <w:r>
        <w:rPr>
          <w:rFonts w:hint="eastAsia" w:hAnsi="宋体" w:cs="宋体"/>
          <w:color w:val="auto"/>
          <w:highlight w:val="none"/>
        </w:rPr>
        <w:t>人民币（大写）</w:t>
      </w:r>
      <w:r>
        <w:rPr>
          <w:color w:val="auto"/>
          <w:highlight w:val="none"/>
          <w:u w:val="single"/>
        </w:rPr>
        <w:t xml:space="preserve">              </w:t>
      </w:r>
      <w:r>
        <w:rPr>
          <w:color w:val="auto"/>
          <w:highlight w:val="none"/>
        </w:rPr>
        <w:t xml:space="preserve"> </w:t>
      </w:r>
      <w:r>
        <w:rPr>
          <w:rFonts w:hint="eastAsia" w:cs="宋体"/>
          <w:color w:val="auto"/>
          <w:highlight w:val="none"/>
        </w:rPr>
        <w:t>（</w:t>
      </w:r>
      <w:r>
        <w:rPr>
          <w:color w:val="auto"/>
          <w:highlight w:val="none"/>
        </w:rPr>
        <w:t>¥</w:t>
      </w:r>
      <w:r>
        <w:rPr>
          <w:color w:val="auto"/>
          <w:highlight w:val="none"/>
          <w:u w:val="single"/>
        </w:rPr>
        <w:t xml:space="preserve">          </w:t>
      </w:r>
      <w:r>
        <w:rPr>
          <w:rFonts w:hint="eastAsia" w:hAnsi="宋体" w:cs="宋体"/>
          <w:color w:val="auto"/>
          <w:highlight w:val="none"/>
        </w:rPr>
        <w:t>元</w:t>
      </w:r>
      <w:r>
        <w:rPr>
          <w:rFonts w:hint="eastAsia" w:cs="宋体"/>
          <w:color w:val="auto"/>
          <w:highlight w:val="none"/>
        </w:rPr>
        <w:t>）</w:t>
      </w:r>
      <w:r>
        <w:rPr>
          <w:rFonts w:hint="eastAsia" w:hAnsi="宋体" w:cs="宋体"/>
          <w:color w:val="auto"/>
          <w:highlight w:val="none"/>
        </w:rPr>
        <w:t>；</w:t>
      </w:r>
    </w:p>
    <w:p w14:paraId="3F1AB14E">
      <w:pPr>
        <w:spacing w:line="360" w:lineRule="auto"/>
        <w:ind w:firstLine="420" w:firstLineChars="200"/>
        <w:rPr>
          <w:color w:val="auto"/>
          <w:highlight w:val="none"/>
        </w:rPr>
      </w:pPr>
      <w:r>
        <w:rPr>
          <w:rFonts w:hint="eastAsia" w:hAnsi="宋体" w:cs="宋体"/>
          <w:color w:val="auto"/>
          <w:highlight w:val="none"/>
        </w:rPr>
        <w:t>（</w:t>
      </w:r>
      <w:r>
        <w:rPr>
          <w:color w:val="auto"/>
          <w:highlight w:val="none"/>
        </w:rPr>
        <w:t>3</w:t>
      </w:r>
      <w:r>
        <w:rPr>
          <w:rFonts w:hint="eastAsia" w:hAnsi="宋体" w:cs="宋体"/>
          <w:color w:val="auto"/>
          <w:highlight w:val="none"/>
        </w:rPr>
        <w:t>）专业工程暂估价金额：</w:t>
      </w:r>
    </w:p>
    <w:p w14:paraId="65652F5F">
      <w:pPr>
        <w:spacing w:line="360" w:lineRule="auto"/>
        <w:ind w:firstLine="945" w:firstLineChars="450"/>
        <w:rPr>
          <w:color w:val="auto"/>
          <w:highlight w:val="none"/>
        </w:rPr>
      </w:pPr>
      <w:r>
        <w:rPr>
          <w:rFonts w:hint="eastAsia" w:hAnsi="宋体" w:cs="宋体"/>
          <w:color w:val="auto"/>
          <w:highlight w:val="none"/>
        </w:rPr>
        <w:t>人民币（大写）</w:t>
      </w:r>
      <w:r>
        <w:rPr>
          <w:color w:val="auto"/>
          <w:highlight w:val="none"/>
          <w:u w:val="single"/>
        </w:rPr>
        <w:t xml:space="preserve">              </w:t>
      </w:r>
      <w:r>
        <w:rPr>
          <w:color w:val="auto"/>
          <w:highlight w:val="none"/>
        </w:rPr>
        <w:t xml:space="preserve"> </w:t>
      </w:r>
      <w:r>
        <w:rPr>
          <w:rFonts w:hint="eastAsia" w:cs="宋体"/>
          <w:color w:val="auto"/>
          <w:highlight w:val="none"/>
        </w:rPr>
        <w:t>（</w:t>
      </w:r>
      <w:r>
        <w:rPr>
          <w:color w:val="auto"/>
          <w:highlight w:val="none"/>
        </w:rPr>
        <w:t>¥</w:t>
      </w:r>
      <w:r>
        <w:rPr>
          <w:color w:val="auto"/>
          <w:highlight w:val="none"/>
          <w:u w:val="single"/>
        </w:rPr>
        <w:t xml:space="preserve">          </w:t>
      </w:r>
      <w:r>
        <w:rPr>
          <w:rFonts w:hint="eastAsia" w:hAnsi="宋体" w:cs="宋体"/>
          <w:color w:val="auto"/>
          <w:highlight w:val="none"/>
        </w:rPr>
        <w:t>元</w:t>
      </w:r>
      <w:r>
        <w:rPr>
          <w:rFonts w:hint="eastAsia" w:cs="宋体"/>
          <w:color w:val="auto"/>
          <w:highlight w:val="none"/>
        </w:rPr>
        <w:t>）</w:t>
      </w:r>
      <w:r>
        <w:rPr>
          <w:rFonts w:hint="eastAsia" w:hAnsi="宋体" w:cs="宋体"/>
          <w:color w:val="auto"/>
          <w:highlight w:val="none"/>
        </w:rPr>
        <w:t>；</w:t>
      </w:r>
    </w:p>
    <w:p w14:paraId="569C3E36">
      <w:pPr>
        <w:spacing w:line="360" w:lineRule="auto"/>
        <w:ind w:firstLine="420" w:firstLineChars="200"/>
        <w:rPr>
          <w:color w:val="auto"/>
          <w:highlight w:val="none"/>
        </w:rPr>
      </w:pPr>
      <w:r>
        <w:rPr>
          <w:rFonts w:hint="eastAsia" w:hAnsi="宋体" w:cs="宋体"/>
          <w:color w:val="auto"/>
          <w:highlight w:val="none"/>
        </w:rPr>
        <w:t>（</w:t>
      </w:r>
      <w:r>
        <w:rPr>
          <w:color w:val="auto"/>
          <w:highlight w:val="none"/>
        </w:rPr>
        <w:t>4</w:t>
      </w:r>
      <w:r>
        <w:rPr>
          <w:rFonts w:hint="eastAsia" w:hAnsi="宋体" w:cs="宋体"/>
          <w:color w:val="auto"/>
          <w:highlight w:val="none"/>
        </w:rPr>
        <w:t>）暂列金额：</w:t>
      </w:r>
    </w:p>
    <w:p w14:paraId="02B32E28">
      <w:pPr>
        <w:spacing w:line="360" w:lineRule="auto"/>
        <w:ind w:firstLine="945" w:firstLineChars="450"/>
        <w:rPr>
          <w:rFonts w:hAnsi="宋体"/>
          <w:color w:val="auto"/>
          <w:highlight w:val="none"/>
        </w:rPr>
      </w:pPr>
      <w:r>
        <w:rPr>
          <w:rFonts w:hint="eastAsia" w:hAnsi="宋体" w:cs="宋体"/>
          <w:color w:val="auto"/>
          <w:highlight w:val="none"/>
        </w:rPr>
        <w:t>人民币（大写）</w:t>
      </w:r>
      <w:r>
        <w:rPr>
          <w:color w:val="auto"/>
          <w:highlight w:val="none"/>
          <w:u w:val="single"/>
        </w:rPr>
        <w:t xml:space="preserve">              </w:t>
      </w:r>
      <w:r>
        <w:rPr>
          <w:color w:val="auto"/>
          <w:highlight w:val="none"/>
        </w:rPr>
        <w:t xml:space="preserve"> </w:t>
      </w:r>
      <w:r>
        <w:rPr>
          <w:rFonts w:hint="eastAsia" w:cs="宋体"/>
          <w:color w:val="auto"/>
          <w:highlight w:val="none"/>
        </w:rPr>
        <w:t>（</w:t>
      </w:r>
      <w:r>
        <w:rPr>
          <w:color w:val="auto"/>
          <w:highlight w:val="none"/>
        </w:rPr>
        <w:t>¥</w:t>
      </w:r>
      <w:r>
        <w:rPr>
          <w:color w:val="auto"/>
          <w:highlight w:val="none"/>
          <w:u w:val="single"/>
        </w:rPr>
        <w:t xml:space="preserve">          </w:t>
      </w:r>
      <w:r>
        <w:rPr>
          <w:rFonts w:hint="eastAsia" w:hAnsi="宋体" w:cs="宋体"/>
          <w:color w:val="auto"/>
          <w:highlight w:val="none"/>
        </w:rPr>
        <w:t>元</w:t>
      </w:r>
      <w:r>
        <w:rPr>
          <w:rFonts w:hint="eastAsia" w:cs="宋体"/>
          <w:color w:val="auto"/>
          <w:highlight w:val="none"/>
        </w:rPr>
        <w:t>）</w:t>
      </w:r>
      <w:r>
        <w:rPr>
          <w:rFonts w:hint="eastAsia" w:hAnsi="宋体" w:cs="宋体"/>
          <w:color w:val="auto"/>
          <w:highlight w:val="none"/>
        </w:rPr>
        <w:t>。</w:t>
      </w:r>
    </w:p>
    <w:p w14:paraId="27E442E1">
      <w:pPr>
        <w:spacing w:line="360" w:lineRule="auto"/>
        <w:ind w:firstLine="420" w:firstLineChars="200"/>
        <w:rPr>
          <w:rFonts w:hint="eastAsia" w:hAnsi="宋体"/>
          <w:color w:val="auto"/>
          <w:highlight w:val="none"/>
        </w:rPr>
      </w:pPr>
      <w:r>
        <w:rPr>
          <w:color w:val="auto"/>
          <w:highlight w:val="none"/>
        </w:rPr>
        <w:t xml:space="preserve">2. </w:t>
      </w:r>
      <w:r>
        <w:rPr>
          <w:rFonts w:hint="eastAsia" w:hAnsi="宋体" w:cs="宋体"/>
          <w:color w:val="auto"/>
          <w:highlight w:val="none"/>
        </w:rPr>
        <w:t>合同价格形式：</w:t>
      </w:r>
      <w:r>
        <w:rPr>
          <w:color w:val="auto"/>
          <w:highlight w:val="none"/>
        </w:rPr>
        <w:t xml:space="preserve">   </w:t>
      </w:r>
      <w:r>
        <w:rPr>
          <w:color w:val="auto"/>
          <w:highlight w:val="none"/>
          <w:u w:val="single"/>
        </w:rPr>
        <w:t xml:space="preserve">   </w:t>
      </w:r>
      <w:r>
        <w:rPr>
          <w:rFonts w:hint="eastAsia"/>
          <w:color w:val="auto"/>
          <w:highlight w:val="none"/>
          <w:u w:val="single"/>
          <w:lang w:val="en-US" w:eastAsia="zh-CN"/>
        </w:rPr>
        <w:t>固定综合单价</w:t>
      </w:r>
      <w:r>
        <w:rPr>
          <w:color w:val="auto"/>
          <w:highlight w:val="none"/>
          <w:u w:val="single"/>
        </w:rPr>
        <w:t xml:space="preserve">   </w:t>
      </w:r>
      <w:r>
        <w:rPr>
          <w:rFonts w:hint="eastAsia" w:hAnsi="宋体" w:cs="宋体"/>
          <w:color w:val="auto"/>
          <w:highlight w:val="none"/>
        </w:rPr>
        <w:t>。</w:t>
      </w:r>
    </w:p>
    <w:p w14:paraId="66624921">
      <w:pPr>
        <w:spacing w:line="360" w:lineRule="auto"/>
        <w:ind w:firstLine="422" w:firstLineChars="200"/>
        <w:outlineLvl w:val="0"/>
        <w:rPr>
          <w:b/>
          <w:bCs/>
          <w:color w:val="auto"/>
          <w:highlight w:val="none"/>
        </w:rPr>
      </w:pPr>
      <w:bookmarkStart w:id="124" w:name="_Toc351203485"/>
      <w:r>
        <w:rPr>
          <w:rFonts w:hint="eastAsia" w:hAnsi="宋体" w:cs="宋体"/>
          <w:b/>
          <w:bCs/>
          <w:color w:val="auto"/>
          <w:highlight w:val="none"/>
        </w:rPr>
        <w:t>五、</w:t>
      </w:r>
      <w:bookmarkEnd w:id="124"/>
      <w:r>
        <w:rPr>
          <w:rFonts w:hint="eastAsia" w:hAnsi="宋体" w:cs="宋体"/>
          <w:b/>
          <w:bCs/>
          <w:color w:val="auto"/>
          <w:highlight w:val="none"/>
        </w:rPr>
        <w:t>项目经理</w:t>
      </w:r>
    </w:p>
    <w:p w14:paraId="17A97D7F">
      <w:pPr>
        <w:spacing w:line="360" w:lineRule="auto"/>
        <w:ind w:firstLine="420" w:firstLineChars="200"/>
        <w:rPr>
          <w:rFonts w:hAnsi="宋体"/>
          <w:color w:val="auto"/>
          <w:highlight w:val="none"/>
        </w:rPr>
      </w:pPr>
      <w:r>
        <w:rPr>
          <w:rFonts w:hint="eastAsia" w:hAnsi="宋体" w:cs="宋体"/>
          <w:color w:val="auto"/>
          <w:highlight w:val="none"/>
        </w:rPr>
        <w:t>承包人项目经理：</w:t>
      </w:r>
      <w:r>
        <w:rPr>
          <w:color w:val="auto"/>
          <w:highlight w:val="none"/>
          <w:u w:val="single"/>
        </w:rPr>
        <w:t xml:space="preserve">                     </w:t>
      </w:r>
      <w:r>
        <w:rPr>
          <w:rFonts w:hint="eastAsia" w:hAnsi="宋体" w:cs="宋体"/>
          <w:color w:val="auto"/>
          <w:highlight w:val="none"/>
        </w:rPr>
        <w:t>。</w:t>
      </w:r>
    </w:p>
    <w:p w14:paraId="7E7EF29D">
      <w:pPr>
        <w:spacing w:line="360" w:lineRule="auto"/>
        <w:ind w:firstLine="422" w:firstLineChars="200"/>
        <w:outlineLvl w:val="0"/>
        <w:rPr>
          <w:b/>
          <w:bCs/>
          <w:color w:val="auto"/>
          <w:highlight w:val="none"/>
        </w:rPr>
      </w:pPr>
      <w:bookmarkStart w:id="125" w:name="_Toc351203486"/>
      <w:r>
        <w:rPr>
          <w:rFonts w:hint="eastAsia" w:hAnsi="宋体" w:cs="宋体"/>
          <w:b/>
          <w:bCs/>
          <w:color w:val="auto"/>
          <w:highlight w:val="none"/>
        </w:rPr>
        <w:t>六、合同文件构成</w:t>
      </w:r>
      <w:bookmarkEnd w:id="125"/>
    </w:p>
    <w:p w14:paraId="0693CAA8">
      <w:pPr>
        <w:spacing w:line="360" w:lineRule="auto"/>
        <w:ind w:firstLine="420" w:firstLineChars="200"/>
        <w:rPr>
          <w:color w:val="auto"/>
          <w:highlight w:val="none"/>
        </w:rPr>
      </w:pPr>
      <w:r>
        <w:rPr>
          <w:rFonts w:hint="eastAsia" w:hAnsi="宋体" w:cs="宋体"/>
          <w:color w:val="auto"/>
          <w:highlight w:val="none"/>
        </w:rPr>
        <w:t>本协议书与下列文件一起构成合同文件：</w:t>
      </w:r>
    </w:p>
    <w:p w14:paraId="242665A9">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（1）合同协议书；</w:t>
      </w:r>
    </w:p>
    <w:p w14:paraId="0DEEDE01">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（2）成交通知书；</w:t>
      </w:r>
    </w:p>
    <w:p w14:paraId="686B8FC6">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（3）竞标函；</w:t>
      </w:r>
    </w:p>
    <w:p w14:paraId="55ADC1AE">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（4）专用合同条款及其附件；</w:t>
      </w:r>
    </w:p>
    <w:p w14:paraId="01246432">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（5）通用合同条款；</w:t>
      </w:r>
    </w:p>
    <w:p w14:paraId="5B1C1530">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（6）技术标准和要求；</w:t>
      </w:r>
    </w:p>
    <w:p w14:paraId="3A679529">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（7）图纸；</w:t>
      </w:r>
    </w:p>
    <w:p w14:paraId="3152A2E4">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（8）已标价工程量清单；</w:t>
      </w:r>
    </w:p>
    <w:p w14:paraId="074D9BB9">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（9）磋商文件（含补充通知和答疑）；</w:t>
      </w:r>
    </w:p>
    <w:p w14:paraId="068F7D20">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（10）履约保证金缴纳证明；</w:t>
      </w:r>
    </w:p>
    <w:p w14:paraId="52605AA0">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（1</w:t>
      </w:r>
      <w:r>
        <w:rPr>
          <w:rFonts w:hAnsi="宋体" w:cs="宋体"/>
          <w:color w:val="auto"/>
          <w:highlight w:val="none"/>
        </w:rPr>
        <w:t>1</w:t>
      </w:r>
      <w:r>
        <w:rPr>
          <w:rFonts w:hint="eastAsia" w:hAnsi="宋体" w:cs="宋体"/>
          <w:color w:val="auto"/>
          <w:highlight w:val="none"/>
        </w:rPr>
        <w:t>）其他合同文件（</w:t>
      </w:r>
      <w:r>
        <w:rPr>
          <w:rFonts w:hint="eastAsia" w:ascii="宋体" w:hAnsi="宋体"/>
          <w:color w:val="auto"/>
          <w:highlight w:val="none"/>
        </w:rPr>
        <w:t xml:space="preserve"> 在合同订立及履行过程中形成的与合同有关的文件均构成合同文件组成部分。</w:t>
      </w:r>
      <w:r>
        <w:rPr>
          <w:rFonts w:hint="eastAsia" w:hAnsi="宋体" w:cs="宋体"/>
          <w:color w:val="auto"/>
          <w:highlight w:val="none"/>
        </w:rPr>
        <w:t>）。</w:t>
      </w:r>
    </w:p>
    <w:p w14:paraId="67FB0322">
      <w:pPr>
        <w:autoSpaceDE w:val="0"/>
        <w:autoSpaceDN w:val="0"/>
        <w:adjustRightInd w:val="0"/>
        <w:spacing w:line="360" w:lineRule="auto"/>
        <w:ind w:firstLine="420" w:firstLineChars="200"/>
        <w:jc w:val="left"/>
        <w:rPr>
          <w:rFonts w:hAnsi="宋体"/>
          <w:color w:val="auto"/>
          <w:highlight w:val="none"/>
        </w:rPr>
      </w:pPr>
      <w:r>
        <w:rPr>
          <w:rFonts w:hint="eastAsia" w:hAnsi="宋体" w:cs="宋体"/>
          <w:color w:val="auto"/>
          <w:highlight w:val="none"/>
        </w:rPr>
        <w:t>上述各项合同文件包括合同当事人就该项合同文件所作出的补充和修改，属于同一类内容的文件，应以最新签署的为准（违反招标文件</w:t>
      </w:r>
      <w:r>
        <w:rPr>
          <w:rFonts w:hAnsi="宋体" w:cs="宋体"/>
          <w:color w:val="auto"/>
          <w:highlight w:val="none"/>
        </w:rPr>
        <w:t>实质性内容的约定除外</w:t>
      </w:r>
      <w:r>
        <w:rPr>
          <w:rFonts w:hint="eastAsia" w:hAnsi="宋体" w:cs="宋体"/>
          <w:color w:val="auto"/>
          <w:highlight w:val="none"/>
        </w:rPr>
        <w:t>）。专用合同条款及其附件须经合同当事人签字或盖章。</w:t>
      </w:r>
    </w:p>
    <w:p w14:paraId="1D73F099">
      <w:pPr>
        <w:autoSpaceDE w:val="0"/>
        <w:autoSpaceDN w:val="0"/>
        <w:adjustRightInd w:val="0"/>
        <w:spacing w:line="360" w:lineRule="auto"/>
        <w:ind w:firstLine="422" w:firstLineChars="200"/>
        <w:jc w:val="left"/>
        <w:outlineLvl w:val="0"/>
        <w:rPr>
          <w:b/>
          <w:bCs/>
          <w:color w:val="auto"/>
          <w:highlight w:val="none"/>
        </w:rPr>
      </w:pPr>
      <w:bookmarkStart w:id="126" w:name="_Toc351203487"/>
      <w:r>
        <w:rPr>
          <w:rFonts w:hint="eastAsia" w:hAnsi="宋体" w:cs="宋体"/>
          <w:b/>
          <w:bCs/>
          <w:color w:val="auto"/>
          <w:highlight w:val="none"/>
        </w:rPr>
        <w:t>七、承诺</w:t>
      </w:r>
      <w:bookmarkEnd w:id="126"/>
    </w:p>
    <w:p w14:paraId="633BAB35">
      <w:pPr>
        <w:spacing w:line="360" w:lineRule="auto"/>
        <w:ind w:firstLine="420" w:firstLineChars="200"/>
        <w:rPr>
          <w:color w:val="auto"/>
          <w:highlight w:val="none"/>
        </w:rPr>
      </w:pPr>
      <w:r>
        <w:rPr>
          <w:color w:val="auto"/>
          <w:highlight w:val="none"/>
        </w:rPr>
        <w:t xml:space="preserve">1. </w:t>
      </w:r>
      <w:r>
        <w:rPr>
          <w:rFonts w:hint="eastAsia" w:hAnsi="宋体" w:cs="宋体"/>
          <w:color w:val="auto"/>
          <w:highlight w:val="none"/>
        </w:rPr>
        <w:t>发包人承诺按照法律规定履行项目审批手续、筹集工程建设资金并按照合同约定的期限和方式支付合同价款。</w:t>
      </w:r>
    </w:p>
    <w:p w14:paraId="6F558C78">
      <w:pPr>
        <w:spacing w:line="360" w:lineRule="auto"/>
        <w:ind w:firstLine="420" w:firstLineChars="200"/>
        <w:rPr>
          <w:color w:val="auto"/>
          <w:highlight w:val="none"/>
        </w:rPr>
      </w:pPr>
      <w:r>
        <w:rPr>
          <w:color w:val="auto"/>
          <w:highlight w:val="none"/>
        </w:rPr>
        <w:t xml:space="preserve">2. </w:t>
      </w:r>
      <w:r>
        <w:rPr>
          <w:rFonts w:hint="eastAsia" w:hAnsi="宋体" w:cs="宋体"/>
          <w:color w:val="auto"/>
          <w:highlight w:val="none"/>
        </w:rPr>
        <w:t>承包人承诺按照法律规定及合同约定组织完成工程施工，确保工程质量和安全，不进行转包及违法分包，并在缺陷责任期及保修期内承担相应的工程维修责任。</w:t>
      </w:r>
    </w:p>
    <w:p w14:paraId="5830E098">
      <w:pPr>
        <w:spacing w:line="360" w:lineRule="auto"/>
        <w:ind w:firstLine="420" w:firstLineChars="200"/>
        <w:rPr>
          <w:rFonts w:hAnsi="宋体"/>
          <w:color w:val="auto"/>
          <w:highlight w:val="none"/>
        </w:rPr>
      </w:pPr>
      <w:r>
        <w:rPr>
          <w:color w:val="auto"/>
          <w:highlight w:val="none"/>
        </w:rPr>
        <w:t xml:space="preserve">3. </w:t>
      </w:r>
      <w:r>
        <w:rPr>
          <w:rFonts w:hint="eastAsia" w:hAnsi="宋体" w:cs="宋体"/>
          <w:color w:val="auto"/>
          <w:highlight w:val="none"/>
        </w:rPr>
        <w:t>发包人和承包人通过招投标形式签订合同的，双方理解并承诺不再就同一工程另行签订与合同实质性内容相背离的协议。</w:t>
      </w:r>
      <w:bookmarkStart w:id="127" w:name="_Toc351203488"/>
    </w:p>
    <w:p w14:paraId="66F91D68">
      <w:pPr>
        <w:spacing w:line="360" w:lineRule="auto"/>
        <w:ind w:firstLine="422" w:firstLineChars="200"/>
        <w:outlineLvl w:val="0"/>
        <w:rPr>
          <w:b/>
          <w:bCs/>
          <w:color w:val="auto"/>
          <w:highlight w:val="none"/>
        </w:rPr>
      </w:pPr>
      <w:r>
        <w:rPr>
          <w:rFonts w:hint="eastAsia" w:hAnsi="宋体" w:cs="宋体"/>
          <w:b/>
          <w:bCs/>
          <w:color w:val="auto"/>
          <w:highlight w:val="none"/>
        </w:rPr>
        <w:t>八、词语含义</w:t>
      </w:r>
      <w:bookmarkEnd w:id="127"/>
    </w:p>
    <w:p w14:paraId="7151D6FC">
      <w:pPr>
        <w:spacing w:line="360" w:lineRule="auto"/>
        <w:ind w:firstLine="420" w:firstLineChars="200"/>
        <w:rPr>
          <w:rFonts w:hAnsi="宋体"/>
          <w:color w:val="auto"/>
          <w:highlight w:val="none"/>
        </w:rPr>
      </w:pPr>
      <w:r>
        <w:rPr>
          <w:rFonts w:hint="eastAsia" w:hAnsi="宋体" w:cs="宋体"/>
          <w:color w:val="auto"/>
          <w:highlight w:val="none"/>
        </w:rPr>
        <w:t>本协议书中词语含义与第二部分通用合同条款中赋予的含义相同。</w:t>
      </w:r>
    </w:p>
    <w:p w14:paraId="4AE3A271">
      <w:pPr>
        <w:spacing w:line="360" w:lineRule="auto"/>
        <w:ind w:firstLine="422" w:firstLineChars="200"/>
        <w:outlineLvl w:val="0"/>
        <w:rPr>
          <w:b/>
          <w:bCs/>
          <w:color w:val="auto"/>
          <w:highlight w:val="none"/>
        </w:rPr>
      </w:pPr>
      <w:bookmarkStart w:id="128" w:name="_Toc351203489"/>
      <w:r>
        <w:rPr>
          <w:rFonts w:hint="eastAsia" w:hAnsi="宋体" w:cs="宋体"/>
          <w:b/>
          <w:bCs/>
          <w:color w:val="auto"/>
          <w:highlight w:val="none"/>
        </w:rPr>
        <w:t>九、签订时间</w:t>
      </w:r>
      <w:bookmarkEnd w:id="128"/>
    </w:p>
    <w:p w14:paraId="491899A7">
      <w:pPr>
        <w:spacing w:line="360" w:lineRule="auto"/>
        <w:ind w:firstLine="420" w:firstLineChars="200"/>
        <w:rPr>
          <w:rFonts w:hAnsi="宋体"/>
          <w:color w:val="auto"/>
          <w:highlight w:val="none"/>
        </w:rPr>
      </w:pPr>
      <w:r>
        <w:rPr>
          <w:rFonts w:hint="eastAsia" w:hAnsi="宋体" w:cs="宋体"/>
          <w:color w:val="auto"/>
          <w:highlight w:val="none"/>
        </w:rPr>
        <w:t>本合同于</w:t>
      </w:r>
      <w:r>
        <w:rPr>
          <w:color w:val="auto"/>
          <w:highlight w:val="none"/>
          <w:u w:val="single"/>
        </w:rPr>
        <w:t xml:space="preserve">         </w:t>
      </w:r>
      <w:r>
        <w:rPr>
          <w:rFonts w:hint="eastAsia" w:hAnsi="宋体" w:cs="宋体"/>
          <w:color w:val="auto"/>
          <w:highlight w:val="none"/>
        </w:rPr>
        <w:t>年</w:t>
      </w:r>
      <w:r>
        <w:rPr>
          <w:color w:val="auto"/>
          <w:highlight w:val="none"/>
          <w:u w:val="single"/>
        </w:rPr>
        <w:t xml:space="preserve">    </w:t>
      </w:r>
      <w:r>
        <w:rPr>
          <w:rFonts w:hint="eastAsia" w:hAnsi="宋体" w:cs="宋体"/>
          <w:color w:val="auto"/>
          <w:highlight w:val="none"/>
        </w:rPr>
        <w:t>月</w:t>
      </w:r>
      <w:r>
        <w:rPr>
          <w:color w:val="auto"/>
          <w:highlight w:val="none"/>
          <w:u w:val="single"/>
        </w:rPr>
        <w:t xml:space="preserve">    </w:t>
      </w:r>
      <w:r>
        <w:rPr>
          <w:rFonts w:hint="eastAsia" w:hAnsi="宋体" w:cs="宋体"/>
          <w:color w:val="auto"/>
          <w:highlight w:val="none"/>
        </w:rPr>
        <w:t>日签订。</w:t>
      </w:r>
    </w:p>
    <w:p w14:paraId="1D336991">
      <w:pPr>
        <w:spacing w:line="360" w:lineRule="auto"/>
        <w:ind w:firstLine="422" w:firstLineChars="200"/>
        <w:outlineLvl w:val="0"/>
        <w:rPr>
          <w:b/>
          <w:bCs/>
          <w:color w:val="auto"/>
          <w:highlight w:val="none"/>
        </w:rPr>
      </w:pPr>
      <w:bookmarkStart w:id="129" w:name="_Toc351203490"/>
      <w:r>
        <w:rPr>
          <w:rFonts w:hint="eastAsia" w:hAnsi="宋体" w:cs="宋体"/>
          <w:b/>
          <w:bCs/>
          <w:color w:val="auto"/>
          <w:highlight w:val="none"/>
        </w:rPr>
        <w:t>十、签订地点</w:t>
      </w:r>
      <w:bookmarkEnd w:id="129"/>
    </w:p>
    <w:p w14:paraId="41A3B7B8">
      <w:pPr>
        <w:spacing w:line="360" w:lineRule="auto"/>
        <w:ind w:firstLine="420" w:firstLineChars="200"/>
        <w:rPr>
          <w:rFonts w:hAnsi="宋体"/>
          <w:color w:val="auto"/>
          <w:highlight w:val="none"/>
        </w:rPr>
      </w:pPr>
      <w:r>
        <w:rPr>
          <w:rFonts w:hint="eastAsia" w:hAnsi="宋体" w:cs="宋体"/>
          <w:color w:val="auto"/>
          <w:highlight w:val="none"/>
        </w:rPr>
        <w:t>本合同在</w:t>
      </w:r>
      <w:r>
        <w:rPr>
          <w:color w:val="auto"/>
          <w:highlight w:val="none"/>
          <w:u w:val="single"/>
        </w:rPr>
        <w:t xml:space="preserve">  </w:t>
      </w:r>
      <w:r>
        <w:rPr>
          <w:rFonts w:hint="eastAsia" w:hAnsi="宋体" w:cs="宋体"/>
          <w:color w:val="auto"/>
          <w:highlight w:val="none"/>
          <w:u w:val="single"/>
        </w:rPr>
        <w:t>广西南宁</w:t>
      </w:r>
      <w:r>
        <w:rPr>
          <w:color w:val="auto"/>
          <w:highlight w:val="none"/>
          <w:u w:val="single"/>
        </w:rPr>
        <w:t xml:space="preserve">   </w:t>
      </w:r>
      <w:r>
        <w:rPr>
          <w:rFonts w:hint="eastAsia" w:hAnsi="宋体" w:cs="宋体"/>
          <w:color w:val="auto"/>
          <w:highlight w:val="none"/>
        </w:rPr>
        <w:t>签订。</w:t>
      </w:r>
    </w:p>
    <w:p w14:paraId="1F50F632">
      <w:pPr>
        <w:spacing w:line="360" w:lineRule="auto"/>
        <w:ind w:firstLine="422" w:firstLineChars="200"/>
        <w:outlineLvl w:val="0"/>
        <w:rPr>
          <w:b/>
          <w:bCs/>
          <w:color w:val="auto"/>
          <w:highlight w:val="none"/>
        </w:rPr>
      </w:pPr>
      <w:bookmarkStart w:id="130" w:name="_Toc351203491"/>
      <w:r>
        <w:rPr>
          <w:rFonts w:hint="eastAsia" w:hAnsi="宋体" w:cs="宋体"/>
          <w:b/>
          <w:bCs/>
          <w:color w:val="auto"/>
          <w:highlight w:val="none"/>
        </w:rPr>
        <w:t>十一、补充协议</w:t>
      </w:r>
      <w:bookmarkEnd w:id="130"/>
    </w:p>
    <w:p w14:paraId="0EC98CC9">
      <w:pPr>
        <w:spacing w:line="360" w:lineRule="auto"/>
        <w:ind w:firstLine="420" w:firstLineChars="200"/>
        <w:rPr>
          <w:rFonts w:hAnsi="宋体"/>
          <w:color w:val="auto"/>
          <w:highlight w:val="none"/>
        </w:rPr>
      </w:pPr>
      <w:r>
        <w:rPr>
          <w:rFonts w:hint="eastAsia" w:hAnsi="宋体" w:cs="宋体"/>
          <w:color w:val="auto"/>
          <w:highlight w:val="none"/>
        </w:rPr>
        <w:t>合同未尽事宜，合同当事人另行签订补充协议，补充协议是合同的组成部分。</w:t>
      </w:r>
    </w:p>
    <w:p w14:paraId="36381FC5">
      <w:pPr>
        <w:spacing w:line="360" w:lineRule="auto"/>
        <w:ind w:firstLine="422" w:firstLineChars="200"/>
        <w:outlineLvl w:val="0"/>
        <w:rPr>
          <w:b/>
          <w:bCs/>
          <w:color w:val="auto"/>
          <w:highlight w:val="none"/>
        </w:rPr>
      </w:pPr>
      <w:bookmarkStart w:id="131" w:name="_Toc351203492"/>
      <w:r>
        <w:rPr>
          <w:rFonts w:hint="eastAsia" w:hAnsi="宋体" w:cs="宋体"/>
          <w:b/>
          <w:bCs/>
          <w:color w:val="auto"/>
          <w:highlight w:val="none"/>
        </w:rPr>
        <w:t>十二、合同生效</w:t>
      </w:r>
      <w:bookmarkEnd w:id="131"/>
    </w:p>
    <w:p w14:paraId="5E6C850A">
      <w:pPr>
        <w:spacing w:line="360" w:lineRule="auto"/>
        <w:ind w:firstLine="420" w:firstLineChars="200"/>
        <w:rPr>
          <w:rFonts w:hAnsi="宋体"/>
          <w:color w:val="auto"/>
          <w:highlight w:val="none"/>
        </w:rPr>
      </w:pPr>
      <w:r>
        <w:rPr>
          <w:rFonts w:hint="eastAsia" w:hAnsi="宋体" w:cs="宋体"/>
          <w:color w:val="auto"/>
          <w:highlight w:val="none"/>
        </w:rPr>
        <w:t>本合同自</w:t>
      </w:r>
      <w:r>
        <w:rPr>
          <w:color w:val="auto"/>
          <w:highlight w:val="none"/>
          <w:u w:val="single"/>
        </w:rPr>
        <w:t xml:space="preserve">  </w:t>
      </w:r>
      <w:r>
        <w:rPr>
          <w:rFonts w:hint="eastAsia" w:hAnsi="宋体" w:cs="宋体"/>
          <w:color w:val="auto"/>
          <w:highlight w:val="none"/>
          <w:u w:val="single"/>
        </w:rPr>
        <w:t>双方法定代表人或其授权代理人签字或盖章并加盖单位公章</w:t>
      </w:r>
      <w:r>
        <w:rPr>
          <w:color w:val="auto"/>
          <w:highlight w:val="none"/>
          <w:u w:val="single"/>
        </w:rPr>
        <w:t xml:space="preserve"> </w:t>
      </w:r>
      <w:r>
        <w:rPr>
          <w:rFonts w:hint="eastAsia" w:hAnsi="宋体" w:cs="宋体"/>
          <w:color w:val="auto"/>
          <w:highlight w:val="none"/>
        </w:rPr>
        <w:t>生效。</w:t>
      </w:r>
    </w:p>
    <w:p w14:paraId="3689E6A1">
      <w:pPr>
        <w:spacing w:line="360" w:lineRule="auto"/>
        <w:ind w:firstLine="422" w:firstLineChars="200"/>
        <w:outlineLvl w:val="0"/>
        <w:rPr>
          <w:b/>
          <w:bCs/>
          <w:color w:val="auto"/>
          <w:highlight w:val="none"/>
        </w:rPr>
      </w:pPr>
      <w:bookmarkStart w:id="132" w:name="_Toc351203493"/>
      <w:r>
        <w:rPr>
          <w:rFonts w:hint="eastAsia" w:hAnsi="宋体" w:cs="宋体"/>
          <w:b/>
          <w:bCs/>
          <w:color w:val="auto"/>
          <w:highlight w:val="none"/>
        </w:rPr>
        <w:t>十三、合同份数</w:t>
      </w:r>
      <w:bookmarkEnd w:id="132"/>
    </w:p>
    <w:p w14:paraId="2D5136D4">
      <w:pPr>
        <w:spacing w:line="360" w:lineRule="auto"/>
        <w:ind w:firstLine="420" w:firstLineChars="200"/>
        <w:rPr>
          <w:color w:val="auto"/>
          <w:highlight w:val="none"/>
        </w:rPr>
      </w:pPr>
      <w:r>
        <w:rPr>
          <w:rFonts w:hint="eastAsia" w:hAnsi="宋体" w:cs="宋体"/>
          <w:color w:val="auto"/>
          <w:highlight w:val="none"/>
        </w:rPr>
        <w:t>本合同一式</w:t>
      </w:r>
      <w:r>
        <w:rPr>
          <w:color w:val="auto"/>
          <w:highlight w:val="none"/>
          <w:u w:val="single"/>
        </w:rPr>
        <w:t xml:space="preserve">    </w:t>
      </w:r>
      <w:r>
        <w:rPr>
          <w:rFonts w:hint="eastAsia" w:hAnsi="宋体" w:cs="宋体"/>
          <w:color w:val="auto"/>
          <w:highlight w:val="none"/>
        </w:rPr>
        <w:t>份，均具有同等法律效力，发包人执</w:t>
      </w:r>
      <w:r>
        <w:rPr>
          <w:color w:val="auto"/>
          <w:highlight w:val="none"/>
          <w:u w:val="single"/>
        </w:rPr>
        <w:t xml:space="preserve">    </w:t>
      </w:r>
      <w:r>
        <w:rPr>
          <w:rFonts w:hint="eastAsia" w:hAnsi="宋体" w:cs="宋体"/>
          <w:color w:val="auto"/>
          <w:highlight w:val="none"/>
        </w:rPr>
        <w:t>份，承包人执</w:t>
      </w:r>
      <w:r>
        <w:rPr>
          <w:color w:val="auto"/>
          <w:highlight w:val="none"/>
          <w:u w:val="single"/>
        </w:rPr>
        <w:t xml:space="preserve">    </w:t>
      </w:r>
      <w:r>
        <w:rPr>
          <w:rFonts w:hint="eastAsia" w:hAnsi="宋体" w:cs="宋体"/>
          <w:color w:val="auto"/>
          <w:highlight w:val="none"/>
        </w:rPr>
        <w:t>份。</w:t>
      </w:r>
    </w:p>
    <w:p w14:paraId="5959E53B">
      <w:pPr>
        <w:spacing w:line="360" w:lineRule="auto"/>
        <w:rPr>
          <w:color w:val="auto"/>
          <w:highlight w:val="none"/>
        </w:rPr>
      </w:pPr>
    </w:p>
    <w:p w14:paraId="35B43DEA">
      <w:pPr>
        <w:spacing w:line="360" w:lineRule="auto"/>
        <w:rPr>
          <w:color w:val="auto"/>
          <w:highlight w:val="none"/>
        </w:rPr>
      </w:pPr>
    </w:p>
    <w:p w14:paraId="1E41B89D">
      <w:pPr>
        <w:spacing w:line="360" w:lineRule="auto"/>
        <w:rPr>
          <w:color w:val="auto"/>
          <w:highlight w:val="none"/>
        </w:rPr>
      </w:pPr>
      <w:r>
        <w:rPr>
          <w:rFonts w:hint="eastAsia" w:hAnsi="宋体" w:cs="宋体"/>
          <w:color w:val="auto"/>
          <w:highlight w:val="none"/>
        </w:rPr>
        <w:t>发包人：</w:t>
      </w:r>
      <w:r>
        <w:rPr>
          <w:color w:val="auto"/>
          <w:highlight w:val="none"/>
        </w:rPr>
        <w:t xml:space="preserve">  </w:t>
      </w:r>
      <w:r>
        <w:rPr>
          <w:rFonts w:hint="eastAsia" w:cs="宋体"/>
          <w:color w:val="auto"/>
          <w:highlight w:val="none"/>
        </w:rPr>
        <w:t>（</w:t>
      </w:r>
      <w:r>
        <w:rPr>
          <w:rFonts w:hint="eastAsia" w:hAnsi="宋体" w:cs="宋体"/>
          <w:color w:val="auto"/>
          <w:highlight w:val="none"/>
        </w:rPr>
        <w:t>公章</w:t>
      </w:r>
      <w:r>
        <w:rPr>
          <w:rFonts w:hint="eastAsia" w:cs="宋体"/>
          <w:color w:val="auto"/>
          <w:highlight w:val="none"/>
        </w:rPr>
        <w:t>）</w:t>
      </w:r>
      <w:r>
        <w:rPr>
          <w:color w:val="auto"/>
          <w:highlight w:val="none"/>
        </w:rPr>
        <w:t xml:space="preserve">                              </w:t>
      </w:r>
      <w:r>
        <w:rPr>
          <w:rFonts w:hint="eastAsia" w:hAnsi="宋体" w:cs="宋体"/>
          <w:color w:val="auto"/>
          <w:highlight w:val="none"/>
        </w:rPr>
        <w:t>承包人：</w:t>
      </w:r>
      <w:r>
        <w:rPr>
          <w:color w:val="auto"/>
          <w:highlight w:val="none"/>
        </w:rPr>
        <w:t xml:space="preserve">  </w:t>
      </w:r>
      <w:r>
        <w:rPr>
          <w:rFonts w:hint="eastAsia" w:cs="宋体"/>
          <w:color w:val="auto"/>
          <w:highlight w:val="none"/>
        </w:rPr>
        <w:t>（</w:t>
      </w:r>
      <w:r>
        <w:rPr>
          <w:rFonts w:hint="eastAsia" w:hAnsi="宋体" w:cs="宋体"/>
          <w:color w:val="auto"/>
          <w:highlight w:val="none"/>
        </w:rPr>
        <w:t>公章</w:t>
      </w:r>
      <w:r>
        <w:rPr>
          <w:rFonts w:hint="eastAsia" w:cs="宋体"/>
          <w:color w:val="auto"/>
          <w:highlight w:val="none"/>
        </w:rPr>
        <w:t>）</w:t>
      </w:r>
    </w:p>
    <w:p w14:paraId="6072E330">
      <w:pPr>
        <w:spacing w:line="360" w:lineRule="auto"/>
        <w:rPr>
          <w:color w:val="auto"/>
          <w:highlight w:val="none"/>
          <w:u w:val="single"/>
        </w:rPr>
      </w:pPr>
      <w:r>
        <w:rPr>
          <w:color w:val="auto"/>
          <w:highlight w:val="none"/>
        </w:rPr>
        <w:t xml:space="preserve">                                 </w:t>
      </w:r>
    </w:p>
    <w:p w14:paraId="5573FADA">
      <w:pPr>
        <w:spacing w:line="360" w:lineRule="auto"/>
        <w:rPr>
          <w:color w:val="auto"/>
          <w:highlight w:val="none"/>
        </w:rPr>
      </w:pPr>
      <w:r>
        <w:rPr>
          <w:rFonts w:hint="eastAsia" w:hAnsi="宋体" w:cs="宋体"/>
          <w:color w:val="auto"/>
          <w:highlight w:val="none"/>
        </w:rPr>
        <w:t>法定代表人或其委托代理人：</w:t>
      </w:r>
      <w:r>
        <w:rPr>
          <w:color w:val="auto"/>
          <w:highlight w:val="none"/>
        </w:rPr>
        <w:t xml:space="preserve">                    </w:t>
      </w:r>
      <w:r>
        <w:rPr>
          <w:rFonts w:hint="eastAsia" w:hAnsi="宋体" w:cs="宋体"/>
          <w:color w:val="auto"/>
          <w:highlight w:val="none"/>
        </w:rPr>
        <w:t>法定代表人或其委托代理人：</w:t>
      </w:r>
    </w:p>
    <w:p w14:paraId="01910D8C">
      <w:pPr>
        <w:spacing w:line="360" w:lineRule="auto"/>
        <w:rPr>
          <w:color w:val="auto"/>
          <w:highlight w:val="none"/>
        </w:rPr>
      </w:pPr>
      <w:r>
        <w:rPr>
          <w:rFonts w:hint="eastAsia" w:hAnsi="宋体" w:cs="宋体"/>
          <w:color w:val="auto"/>
          <w:highlight w:val="none"/>
        </w:rPr>
        <w:t>（签字）</w:t>
      </w:r>
      <w:r>
        <w:rPr>
          <w:color w:val="auto"/>
          <w:highlight w:val="none"/>
        </w:rPr>
        <w:t xml:space="preserve">                                     </w:t>
      </w:r>
      <w:r>
        <w:rPr>
          <w:rFonts w:hint="eastAsia" w:hAnsi="宋体" w:cs="宋体"/>
          <w:color w:val="auto"/>
          <w:highlight w:val="none"/>
        </w:rPr>
        <w:t>（签字）</w:t>
      </w:r>
    </w:p>
    <w:p w14:paraId="4F1D92D5">
      <w:pPr>
        <w:spacing w:line="360" w:lineRule="auto"/>
        <w:rPr>
          <w:color w:val="auto"/>
          <w:highlight w:val="none"/>
          <w:u w:val="single"/>
        </w:rPr>
      </w:pPr>
    </w:p>
    <w:p w14:paraId="1884F406">
      <w:pPr>
        <w:tabs>
          <w:tab w:val="left" w:pos="4410"/>
        </w:tabs>
        <w:spacing w:line="360" w:lineRule="auto"/>
        <w:rPr>
          <w:color w:val="auto"/>
          <w:highlight w:val="none"/>
        </w:rPr>
      </w:pPr>
      <w:r>
        <w:rPr>
          <w:rFonts w:hint="eastAsia" w:hAnsi="宋体" w:cs="宋体"/>
          <w:color w:val="auto"/>
          <w:highlight w:val="none"/>
        </w:rPr>
        <w:t>统一社会信用代码：</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cs="宋体"/>
          <w:color w:val="auto"/>
          <w:highlight w:val="none"/>
        </w:rPr>
        <w:t>统一</w:t>
      </w:r>
      <w:r>
        <w:rPr>
          <w:rFonts w:hint="eastAsia" w:hAnsi="宋体" w:cs="宋体"/>
          <w:color w:val="auto"/>
          <w:highlight w:val="none"/>
        </w:rPr>
        <w:t>社会信用代码：</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p>
    <w:p w14:paraId="403C8927">
      <w:pPr>
        <w:spacing w:line="360" w:lineRule="auto"/>
        <w:rPr>
          <w:color w:val="auto"/>
          <w:highlight w:val="none"/>
        </w:rPr>
      </w:pPr>
      <w:r>
        <w:rPr>
          <w:rFonts w:hint="eastAsia" w:hAnsi="宋体" w:cs="宋体"/>
          <w:color w:val="auto"/>
          <w:highlight w:val="none"/>
        </w:rPr>
        <w:t>地</w:t>
      </w:r>
      <w:r>
        <w:rPr>
          <w:color w:val="auto"/>
          <w:highlight w:val="none"/>
        </w:rPr>
        <w:t xml:space="preserve">  </w:t>
      </w:r>
      <w:r>
        <w:rPr>
          <w:rFonts w:hint="eastAsia" w:hAnsi="宋体" w:cs="宋体"/>
          <w:color w:val="auto"/>
          <w:highlight w:val="none"/>
        </w:rPr>
        <w:t>址：</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hAnsi="宋体" w:cs="宋体"/>
          <w:color w:val="auto"/>
          <w:highlight w:val="none"/>
        </w:rPr>
        <w:t>地</w:t>
      </w:r>
      <w:r>
        <w:rPr>
          <w:color w:val="auto"/>
          <w:highlight w:val="none"/>
        </w:rPr>
        <w:t xml:space="preserve">  </w:t>
      </w:r>
      <w:r>
        <w:rPr>
          <w:rFonts w:hint="eastAsia" w:hAnsi="宋体" w:cs="宋体"/>
          <w:color w:val="auto"/>
          <w:highlight w:val="none"/>
        </w:rPr>
        <w:t>址：</w:t>
      </w:r>
      <w:r>
        <w:rPr>
          <w:color w:val="auto"/>
          <w:highlight w:val="none"/>
          <w:u w:val="single"/>
        </w:rPr>
        <w:t xml:space="preserve">        </w:t>
      </w:r>
      <w:r>
        <w:rPr>
          <w:rFonts w:hint="eastAsia"/>
          <w:color w:val="auto"/>
          <w:highlight w:val="none"/>
          <w:u w:val="single"/>
        </w:rPr>
        <w:t xml:space="preserve">                    </w:t>
      </w:r>
    </w:p>
    <w:p w14:paraId="318C32AC">
      <w:pPr>
        <w:spacing w:line="360" w:lineRule="auto"/>
        <w:rPr>
          <w:color w:val="auto"/>
          <w:highlight w:val="none"/>
        </w:rPr>
      </w:pPr>
      <w:r>
        <w:rPr>
          <w:rFonts w:hint="eastAsia" w:hAnsi="宋体" w:cs="宋体"/>
          <w:color w:val="auto"/>
          <w:highlight w:val="none"/>
        </w:rPr>
        <w:t>邮政编码：</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color w:val="auto"/>
          <w:highlight w:val="none"/>
        </w:rPr>
        <w:t xml:space="preserve"> </w:t>
      </w:r>
      <w:r>
        <w:rPr>
          <w:rFonts w:hint="eastAsia" w:hAnsi="宋体" w:cs="宋体"/>
          <w:color w:val="auto"/>
          <w:highlight w:val="none"/>
        </w:rPr>
        <w:t>邮政编码：</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14:paraId="2F78A98B">
      <w:pPr>
        <w:spacing w:line="360" w:lineRule="auto"/>
        <w:rPr>
          <w:color w:val="auto"/>
          <w:highlight w:val="none"/>
        </w:rPr>
      </w:pPr>
      <w:r>
        <w:rPr>
          <w:rFonts w:hint="eastAsia" w:hAnsi="宋体" w:cs="宋体"/>
          <w:color w:val="auto"/>
          <w:highlight w:val="none"/>
        </w:rPr>
        <w:t>法定代表人：</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hAnsi="宋体" w:cs="宋体"/>
          <w:color w:val="auto"/>
          <w:highlight w:val="none"/>
        </w:rPr>
        <w:t>法定代表人：</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14:paraId="752080F9">
      <w:pPr>
        <w:spacing w:line="360" w:lineRule="auto"/>
        <w:rPr>
          <w:color w:val="auto"/>
          <w:highlight w:val="none"/>
        </w:rPr>
      </w:pPr>
      <w:r>
        <w:rPr>
          <w:rFonts w:hint="eastAsia" w:hAnsi="宋体" w:cs="宋体"/>
          <w:color w:val="auto"/>
          <w:highlight w:val="none"/>
        </w:rPr>
        <w:t>委托代理人：</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hAnsi="宋体" w:cs="宋体"/>
          <w:color w:val="auto"/>
          <w:highlight w:val="none"/>
        </w:rPr>
        <w:t>委托代理人：</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14:paraId="64F3A708">
      <w:pPr>
        <w:spacing w:line="360" w:lineRule="auto"/>
        <w:rPr>
          <w:color w:val="auto"/>
          <w:highlight w:val="none"/>
        </w:rPr>
      </w:pPr>
      <w:r>
        <w:rPr>
          <w:rFonts w:hint="eastAsia" w:hAnsi="宋体" w:cs="宋体"/>
          <w:color w:val="auto"/>
          <w:highlight w:val="none"/>
        </w:rPr>
        <w:t>电</w:t>
      </w:r>
      <w:r>
        <w:rPr>
          <w:color w:val="auto"/>
          <w:highlight w:val="none"/>
        </w:rPr>
        <w:t xml:space="preserve">  </w:t>
      </w:r>
      <w:r>
        <w:rPr>
          <w:rFonts w:hint="eastAsia" w:hAnsi="宋体" w:cs="宋体"/>
          <w:color w:val="auto"/>
          <w:highlight w:val="none"/>
        </w:rPr>
        <w:t>话：</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hAnsi="宋体" w:cs="宋体"/>
          <w:color w:val="auto"/>
          <w:highlight w:val="none"/>
        </w:rPr>
        <w:t>电</w:t>
      </w:r>
      <w:r>
        <w:rPr>
          <w:color w:val="auto"/>
          <w:highlight w:val="none"/>
        </w:rPr>
        <w:t xml:space="preserve">  </w:t>
      </w:r>
      <w:r>
        <w:rPr>
          <w:rFonts w:hint="eastAsia" w:hAnsi="宋体" w:cs="宋体"/>
          <w:color w:val="auto"/>
          <w:highlight w:val="none"/>
        </w:rPr>
        <w:t>话：</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14:paraId="34C46C1C">
      <w:pPr>
        <w:spacing w:line="360" w:lineRule="auto"/>
        <w:rPr>
          <w:color w:val="auto"/>
          <w:highlight w:val="none"/>
        </w:rPr>
      </w:pPr>
      <w:r>
        <w:rPr>
          <w:rFonts w:hint="eastAsia" w:hAnsi="宋体" w:cs="宋体"/>
          <w:color w:val="auto"/>
          <w:highlight w:val="none"/>
        </w:rPr>
        <w:t>传</w:t>
      </w:r>
      <w:r>
        <w:rPr>
          <w:color w:val="auto"/>
          <w:highlight w:val="none"/>
        </w:rPr>
        <w:t xml:space="preserve">  </w:t>
      </w:r>
      <w:r>
        <w:rPr>
          <w:rFonts w:hint="eastAsia" w:hAnsi="宋体" w:cs="宋体"/>
          <w:color w:val="auto"/>
          <w:highlight w:val="none"/>
        </w:rPr>
        <w:t>真：</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hAnsi="宋体" w:cs="宋体"/>
          <w:color w:val="auto"/>
          <w:highlight w:val="none"/>
        </w:rPr>
        <w:t>传</w:t>
      </w:r>
      <w:r>
        <w:rPr>
          <w:color w:val="auto"/>
          <w:highlight w:val="none"/>
        </w:rPr>
        <w:t xml:space="preserve">  </w:t>
      </w:r>
      <w:r>
        <w:rPr>
          <w:rFonts w:hint="eastAsia" w:hAnsi="宋体" w:cs="宋体"/>
          <w:color w:val="auto"/>
          <w:highlight w:val="none"/>
        </w:rPr>
        <w:t>真：</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14:paraId="6F8C5555">
      <w:pPr>
        <w:spacing w:line="360" w:lineRule="auto"/>
        <w:rPr>
          <w:color w:val="auto"/>
          <w:highlight w:val="none"/>
        </w:rPr>
      </w:pPr>
      <w:r>
        <w:rPr>
          <w:rFonts w:hint="eastAsia" w:hAnsi="宋体" w:cs="宋体"/>
          <w:color w:val="auto"/>
          <w:highlight w:val="none"/>
        </w:rPr>
        <w:t>电子信箱：</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hAnsi="宋体" w:cs="宋体"/>
          <w:color w:val="auto"/>
          <w:highlight w:val="none"/>
        </w:rPr>
        <w:t>电子信箱：</w:t>
      </w:r>
      <w:r>
        <w:rPr>
          <w:color w:val="auto"/>
          <w:highlight w:val="none"/>
          <w:u w:val="single"/>
        </w:rPr>
        <w:t xml:space="preserve">   </w:t>
      </w:r>
      <w:r>
        <w:rPr>
          <w:rFonts w:hint="eastAsia"/>
          <w:color w:val="auto"/>
          <w:highlight w:val="none"/>
          <w:u w:val="single"/>
        </w:rPr>
        <w:t xml:space="preserve">                      </w:t>
      </w:r>
    </w:p>
    <w:p w14:paraId="59BB0B64">
      <w:pPr>
        <w:spacing w:line="360" w:lineRule="auto"/>
        <w:rPr>
          <w:color w:val="auto"/>
          <w:highlight w:val="none"/>
        </w:rPr>
      </w:pPr>
      <w:r>
        <w:rPr>
          <w:rFonts w:hint="eastAsia" w:hAnsi="宋体" w:cs="宋体"/>
          <w:color w:val="auto"/>
          <w:highlight w:val="none"/>
        </w:rPr>
        <w:t>开户银行：</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hAnsi="宋体" w:cs="宋体"/>
          <w:color w:val="auto"/>
          <w:highlight w:val="none"/>
        </w:rPr>
        <w:t>开户银行：</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14:paraId="6332B380">
      <w:pPr>
        <w:rPr>
          <w:color w:val="auto"/>
          <w:highlight w:val="none"/>
          <w:u w:val="single"/>
        </w:rPr>
      </w:pPr>
      <w:r>
        <w:rPr>
          <w:rFonts w:hint="eastAsia" w:hAnsi="宋体" w:cs="宋体"/>
          <w:color w:val="auto"/>
          <w:highlight w:val="none"/>
        </w:rPr>
        <w:t>账</w:t>
      </w:r>
      <w:r>
        <w:rPr>
          <w:color w:val="auto"/>
          <w:highlight w:val="none"/>
        </w:rPr>
        <w:t xml:space="preserve">  </w:t>
      </w:r>
      <w:r>
        <w:rPr>
          <w:rFonts w:hint="eastAsia" w:hAnsi="宋体" w:cs="宋体"/>
          <w:color w:val="auto"/>
          <w:highlight w:val="none"/>
        </w:rPr>
        <w:t>号：</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hAnsi="宋体" w:cs="宋体"/>
          <w:color w:val="auto"/>
          <w:highlight w:val="none"/>
        </w:rPr>
        <w:t>账</w:t>
      </w:r>
      <w:r>
        <w:rPr>
          <w:color w:val="auto"/>
          <w:highlight w:val="none"/>
        </w:rPr>
        <w:t xml:space="preserve">  </w:t>
      </w:r>
      <w:r>
        <w:rPr>
          <w:rFonts w:hint="eastAsia" w:hAnsi="宋体" w:cs="宋体"/>
          <w:color w:val="auto"/>
          <w:highlight w:val="none"/>
        </w:rPr>
        <w:t>号：</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14:paraId="6143D615">
      <w:pPr>
        <w:widowControl/>
        <w:jc w:val="left"/>
        <w:rPr>
          <w:color w:val="auto"/>
          <w:highlight w:val="none"/>
          <w:u w:val="single"/>
        </w:rPr>
      </w:pPr>
      <w:r>
        <w:rPr>
          <w:color w:val="auto"/>
          <w:highlight w:val="none"/>
        </w:rPr>
        <w:br w:type="page"/>
      </w:r>
    </w:p>
    <w:p w14:paraId="6588FC67">
      <w:pPr>
        <w:pStyle w:val="2"/>
        <w:jc w:val="center"/>
        <w:rPr>
          <w:color w:val="auto"/>
          <w:highlight w:val="none"/>
        </w:rPr>
      </w:pPr>
      <w:bookmarkStart w:id="133" w:name="_Toc389065256"/>
      <w:bookmarkStart w:id="134" w:name="_Toc86847323"/>
      <w:bookmarkStart w:id="135" w:name="_Toc1714491818"/>
      <w:bookmarkStart w:id="136" w:name="_Toc407135192"/>
      <w:bookmarkStart w:id="137" w:name="_Toc78449778"/>
      <w:bookmarkStart w:id="138" w:name="_Toc373227691"/>
      <w:bookmarkStart w:id="139" w:name="_Toc351203632"/>
      <w:bookmarkStart w:id="140" w:name="_Toc373478338"/>
      <w:r>
        <w:rPr>
          <w:rFonts w:hint="eastAsia" w:cs="黑体"/>
          <w:color w:val="auto"/>
          <w:highlight w:val="none"/>
        </w:rPr>
        <w:t>第二部分</w:t>
      </w:r>
      <w:r>
        <w:rPr>
          <w:color w:val="auto"/>
          <w:highlight w:val="none"/>
        </w:rPr>
        <w:t xml:space="preserve"> </w:t>
      </w:r>
      <w:r>
        <w:rPr>
          <w:rFonts w:hint="eastAsia" w:cs="黑体"/>
          <w:color w:val="auto"/>
          <w:highlight w:val="none"/>
        </w:rPr>
        <w:t>通用合同条款</w:t>
      </w:r>
      <w:bookmarkEnd w:id="133"/>
      <w:bookmarkEnd w:id="134"/>
      <w:bookmarkEnd w:id="135"/>
      <w:bookmarkEnd w:id="136"/>
      <w:bookmarkEnd w:id="137"/>
    </w:p>
    <w:p w14:paraId="7817503B">
      <w:pPr>
        <w:spacing w:line="360" w:lineRule="auto"/>
        <w:ind w:firstLine="420" w:firstLineChars="200"/>
        <w:rPr>
          <w:rFonts w:hAnsi="宋体"/>
          <w:color w:val="auto"/>
          <w:kern w:val="0"/>
          <w:highlight w:val="none"/>
        </w:rPr>
      </w:pPr>
    </w:p>
    <w:p w14:paraId="1D7BF3AD">
      <w:pPr>
        <w:spacing w:line="360" w:lineRule="auto"/>
        <w:ind w:firstLine="422" w:firstLineChars="200"/>
        <w:rPr>
          <w:rFonts w:hAnsi="宋体"/>
          <w:b/>
          <w:bCs/>
          <w:color w:val="auto"/>
          <w:kern w:val="0"/>
          <w:highlight w:val="none"/>
        </w:rPr>
      </w:pPr>
      <w:r>
        <w:rPr>
          <w:rFonts w:hint="eastAsia" w:hAnsi="宋体" w:cs="宋体"/>
          <w:b/>
          <w:bCs/>
          <w:color w:val="auto"/>
          <w:kern w:val="0"/>
          <w:highlight w:val="none"/>
        </w:rPr>
        <w:t>采用《建设工程施工合同（示范文本）》（</w:t>
      </w:r>
      <w:r>
        <w:rPr>
          <w:rFonts w:hAnsi="宋体"/>
          <w:b/>
          <w:bCs/>
          <w:color w:val="auto"/>
          <w:kern w:val="0"/>
          <w:highlight w:val="none"/>
        </w:rPr>
        <w:t>GF</w:t>
      </w:r>
      <w:r>
        <w:rPr>
          <w:rFonts w:hAnsi="宋体" w:cs="宋体"/>
          <w:b/>
          <w:bCs/>
          <w:color w:val="auto"/>
          <w:kern w:val="0"/>
          <w:highlight w:val="none"/>
        </w:rPr>
        <w:t>—</w:t>
      </w:r>
      <w:r>
        <w:rPr>
          <w:rFonts w:hAnsi="宋体"/>
          <w:b/>
          <w:bCs/>
          <w:color w:val="auto"/>
          <w:kern w:val="0"/>
          <w:highlight w:val="none"/>
        </w:rPr>
        <w:t>201</w:t>
      </w:r>
      <w:r>
        <w:rPr>
          <w:rFonts w:hint="eastAsia" w:hAnsi="宋体"/>
          <w:b/>
          <w:bCs/>
          <w:color w:val="auto"/>
          <w:kern w:val="0"/>
          <w:highlight w:val="none"/>
        </w:rPr>
        <w:t>7</w:t>
      </w:r>
      <w:r>
        <w:rPr>
          <w:rFonts w:hAnsi="宋体" w:cs="宋体"/>
          <w:b/>
          <w:bCs/>
          <w:color w:val="auto"/>
          <w:kern w:val="0"/>
          <w:highlight w:val="none"/>
        </w:rPr>
        <w:t>—</w:t>
      </w:r>
      <w:r>
        <w:rPr>
          <w:rFonts w:hAnsi="宋体"/>
          <w:b/>
          <w:bCs/>
          <w:color w:val="auto"/>
          <w:kern w:val="0"/>
          <w:highlight w:val="none"/>
        </w:rPr>
        <w:t>0201</w:t>
      </w:r>
      <w:r>
        <w:rPr>
          <w:rFonts w:hint="eastAsia" w:hAnsi="宋体" w:cs="宋体"/>
          <w:b/>
          <w:bCs/>
          <w:color w:val="auto"/>
          <w:kern w:val="0"/>
          <w:highlight w:val="none"/>
        </w:rPr>
        <w:t>）。</w:t>
      </w:r>
    </w:p>
    <w:p w14:paraId="0B0B131F">
      <w:pPr>
        <w:pStyle w:val="2"/>
        <w:jc w:val="center"/>
        <w:rPr>
          <w:rFonts w:hint="eastAsia" w:cs="黑体"/>
          <w:color w:val="auto"/>
          <w:highlight w:val="none"/>
        </w:rPr>
      </w:pPr>
      <w:bookmarkStart w:id="141" w:name="_Toc407135193"/>
      <w:bookmarkStart w:id="142" w:name="_Toc1204138598"/>
      <w:bookmarkStart w:id="143" w:name="_Toc389065257"/>
      <w:bookmarkStart w:id="144" w:name="_Toc78449779"/>
      <w:bookmarkStart w:id="145" w:name="_Toc704444909"/>
    </w:p>
    <w:p w14:paraId="2A5E83DA">
      <w:pPr>
        <w:pStyle w:val="2"/>
        <w:jc w:val="center"/>
        <w:rPr>
          <w:rFonts w:hint="eastAsia" w:cs="黑体"/>
          <w:color w:val="auto"/>
          <w:highlight w:val="none"/>
        </w:rPr>
      </w:pPr>
      <w:r>
        <w:rPr>
          <w:rFonts w:hint="eastAsia" w:cs="黑体"/>
          <w:color w:val="auto"/>
          <w:highlight w:val="none"/>
        </w:rPr>
        <w:t>第三部分 专用合同条款</w:t>
      </w:r>
      <w:bookmarkEnd w:id="138"/>
      <w:bookmarkEnd w:id="139"/>
      <w:bookmarkEnd w:id="140"/>
      <w:bookmarkEnd w:id="141"/>
      <w:bookmarkEnd w:id="142"/>
      <w:bookmarkEnd w:id="143"/>
      <w:bookmarkEnd w:id="144"/>
      <w:bookmarkEnd w:id="145"/>
    </w:p>
    <w:p w14:paraId="10D4DD09">
      <w:pPr>
        <w:spacing w:line="360" w:lineRule="auto"/>
        <w:jc w:val="center"/>
        <w:rPr>
          <w:rFonts w:hAnsi="宋体"/>
          <w:b/>
          <w:bCs/>
          <w:color w:val="auto"/>
          <w:kern w:val="0"/>
          <w:highlight w:val="none"/>
        </w:rPr>
      </w:pPr>
    </w:p>
    <w:p w14:paraId="6ADC976F">
      <w:pPr>
        <w:pStyle w:val="3"/>
        <w:rPr>
          <w:color w:val="auto"/>
          <w:highlight w:val="none"/>
        </w:rPr>
      </w:pPr>
      <w:bookmarkStart w:id="146" w:name="_Toc407135194"/>
      <w:bookmarkStart w:id="147" w:name="_Toc78449780"/>
      <w:bookmarkStart w:id="148" w:name="_Toc351203633"/>
      <w:bookmarkStart w:id="149" w:name="_Toc373227692"/>
      <w:bookmarkStart w:id="150" w:name="_Toc1516097295"/>
      <w:bookmarkStart w:id="151" w:name="_Toc389065258"/>
      <w:bookmarkStart w:id="152" w:name="_Toc373478339"/>
      <w:bookmarkStart w:id="153" w:name="_Toc1013968286"/>
      <w:r>
        <w:rPr>
          <w:color w:val="auto"/>
          <w:highlight w:val="none"/>
        </w:rPr>
        <w:t>1</w:t>
      </w:r>
      <w:bookmarkStart w:id="154" w:name="_Toc296347155"/>
      <w:bookmarkStart w:id="155" w:name="_Toc296891196"/>
      <w:bookmarkStart w:id="156" w:name="_Toc296944495"/>
      <w:bookmarkStart w:id="157" w:name="_Toc296503156"/>
      <w:bookmarkStart w:id="158" w:name="_Toc296890984"/>
      <w:bookmarkStart w:id="159" w:name="_Toc297120456"/>
      <w:bookmarkStart w:id="160" w:name="_Toc297048342"/>
      <w:bookmarkStart w:id="161" w:name="_Toc292559866"/>
      <w:bookmarkStart w:id="162" w:name="_Toc292559361"/>
      <w:bookmarkStart w:id="163" w:name="_Toc296346657"/>
      <w:r>
        <w:rPr>
          <w:color w:val="auto"/>
          <w:highlight w:val="none"/>
        </w:rPr>
        <w:t xml:space="preserve">. </w:t>
      </w:r>
      <w:r>
        <w:rPr>
          <w:rFonts w:hint="eastAsia" w:hAnsi="宋体" w:cs="黑体"/>
          <w:color w:val="auto"/>
          <w:highlight w:val="none"/>
        </w:rPr>
        <w:t>一般约定</w:t>
      </w:r>
      <w:bookmarkEnd w:id="146"/>
      <w:bookmarkEnd w:id="147"/>
      <w:bookmarkEnd w:id="148"/>
      <w:bookmarkEnd w:id="149"/>
      <w:bookmarkEnd w:id="150"/>
      <w:bookmarkEnd w:id="151"/>
      <w:bookmarkEnd w:id="152"/>
      <w:bookmarkEnd w:id="153"/>
    </w:p>
    <w:bookmarkEnd w:id="154"/>
    <w:bookmarkEnd w:id="155"/>
    <w:bookmarkEnd w:id="156"/>
    <w:bookmarkEnd w:id="157"/>
    <w:bookmarkEnd w:id="158"/>
    <w:bookmarkEnd w:id="159"/>
    <w:bookmarkEnd w:id="160"/>
    <w:bookmarkEnd w:id="161"/>
    <w:bookmarkEnd w:id="162"/>
    <w:bookmarkEnd w:id="163"/>
    <w:p w14:paraId="465B2EAE">
      <w:pPr>
        <w:pStyle w:val="4"/>
        <w:rPr>
          <w:color w:val="auto"/>
          <w:highlight w:val="none"/>
        </w:rPr>
      </w:pPr>
      <w:bookmarkStart w:id="164" w:name="_Toc373227693"/>
      <w:bookmarkStart w:id="165" w:name="_Toc1618220701"/>
      <w:bookmarkStart w:id="166" w:name="_Toc155697041"/>
      <w:bookmarkStart w:id="167" w:name="_Toc389065259"/>
      <w:bookmarkStart w:id="168" w:name="_Toc407135195"/>
      <w:bookmarkStart w:id="169" w:name="_Toc78449781"/>
      <w:bookmarkStart w:id="170" w:name="_Toc373478340"/>
      <w:r>
        <w:rPr>
          <w:color w:val="auto"/>
          <w:highlight w:val="none"/>
        </w:rPr>
        <w:t xml:space="preserve">1.1 </w:t>
      </w:r>
      <w:r>
        <w:rPr>
          <w:rFonts w:hint="eastAsia" w:hAnsi="宋体" w:cs="黑体"/>
          <w:color w:val="auto"/>
          <w:highlight w:val="none"/>
        </w:rPr>
        <w:t>词语定义</w:t>
      </w:r>
      <w:bookmarkEnd w:id="164"/>
      <w:bookmarkEnd w:id="165"/>
      <w:bookmarkEnd w:id="166"/>
      <w:bookmarkEnd w:id="167"/>
      <w:bookmarkEnd w:id="168"/>
      <w:bookmarkEnd w:id="169"/>
      <w:bookmarkEnd w:id="170"/>
    </w:p>
    <w:p w14:paraId="1F1626B5">
      <w:pPr>
        <w:spacing w:line="360" w:lineRule="auto"/>
        <w:ind w:firstLine="420" w:firstLineChars="200"/>
        <w:rPr>
          <w:color w:val="auto"/>
          <w:kern w:val="0"/>
          <w:highlight w:val="none"/>
        </w:rPr>
      </w:pPr>
      <w:r>
        <w:rPr>
          <w:color w:val="auto"/>
          <w:kern w:val="0"/>
          <w:highlight w:val="none"/>
        </w:rPr>
        <w:t xml:space="preserve">1.1.1 </w:t>
      </w:r>
      <w:r>
        <w:rPr>
          <w:rFonts w:hint="eastAsia" w:hAnsi="宋体" w:cs="宋体"/>
          <w:color w:val="auto"/>
          <w:kern w:val="0"/>
          <w:highlight w:val="none"/>
        </w:rPr>
        <w:t>合同</w:t>
      </w:r>
    </w:p>
    <w:p w14:paraId="12AB485B">
      <w:pPr>
        <w:spacing w:line="360" w:lineRule="auto"/>
        <w:rPr>
          <w:color w:val="auto"/>
          <w:kern w:val="0"/>
          <w:highlight w:val="none"/>
        </w:rPr>
      </w:pPr>
      <w:r>
        <w:rPr>
          <w:color w:val="auto"/>
          <w:kern w:val="0"/>
          <w:highlight w:val="none"/>
        </w:rPr>
        <w:t xml:space="preserve">1.1.1.10 </w:t>
      </w:r>
      <w:r>
        <w:rPr>
          <w:rFonts w:hint="eastAsia" w:hAnsi="宋体" w:cs="宋体"/>
          <w:color w:val="auto"/>
          <w:kern w:val="0"/>
          <w:highlight w:val="none"/>
        </w:rPr>
        <w:t>其他合同文件包括：</w:t>
      </w:r>
      <w:r>
        <w:rPr>
          <w:color w:val="auto"/>
          <w:highlight w:val="none"/>
          <w:u w:val="single"/>
        </w:rPr>
        <w:t xml:space="preserve">  </w:t>
      </w:r>
      <w:r>
        <w:rPr>
          <w:rFonts w:hint="eastAsia" w:hAnsi="宋体"/>
          <w:color w:val="auto"/>
          <w:szCs w:val="21"/>
          <w:highlight w:val="none"/>
          <w:u w:val="single"/>
        </w:rPr>
        <w:t>①发包人、承包人双方确认工程报价单或预算书；②发包人、承包人、监理单位会签的工程签证单；③发包人、承包人双方就本工程及有关合同文件进行协商、洽谈、变更、解除等所形成的补充协议等书面资料</w:t>
      </w:r>
      <w:r>
        <w:rPr>
          <w:rFonts w:hAnsi="宋体"/>
          <w:color w:val="auto"/>
          <w:szCs w:val="21"/>
          <w:highlight w:val="none"/>
          <w:u w:val="single"/>
        </w:rPr>
        <w:t>。</w:t>
      </w:r>
      <w:r>
        <w:rPr>
          <w:rFonts w:hint="eastAsia" w:hAnsi="宋体"/>
          <w:color w:val="auto"/>
          <w:szCs w:val="21"/>
          <w:highlight w:val="none"/>
          <w:u w:val="single"/>
        </w:rPr>
        <w:t>采购文件及附件（含所有补充通知）；控制价</w:t>
      </w:r>
      <w:r>
        <w:rPr>
          <w:color w:val="auto"/>
          <w:highlight w:val="none"/>
          <w:u w:val="single"/>
        </w:rPr>
        <w:t xml:space="preserve">  </w:t>
      </w:r>
      <w:r>
        <w:rPr>
          <w:rFonts w:hint="eastAsia" w:hAnsi="宋体" w:cs="宋体"/>
          <w:color w:val="auto"/>
          <w:highlight w:val="none"/>
        </w:rPr>
        <w:t>。</w:t>
      </w:r>
    </w:p>
    <w:p w14:paraId="3377530D">
      <w:pPr>
        <w:spacing w:line="360" w:lineRule="auto"/>
        <w:ind w:firstLine="420" w:firstLineChars="200"/>
        <w:rPr>
          <w:color w:val="auto"/>
          <w:highlight w:val="none"/>
        </w:rPr>
      </w:pPr>
      <w:r>
        <w:rPr>
          <w:color w:val="auto"/>
          <w:highlight w:val="none"/>
        </w:rPr>
        <w:t xml:space="preserve">1.1.2 </w:t>
      </w:r>
      <w:r>
        <w:rPr>
          <w:rFonts w:hint="eastAsia" w:hAnsi="宋体" w:cs="宋体"/>
          <w:color w:val="auto"/>
          <w:highlight w:val="none"/>
        </w:rPr>
        <w:t>合同当事人及其他相关方</w:t>
      </w:r>
    </w:p>
    <w:p w14:paraId="2C5797E5">
      <w:pPr>
        <w:spacing w:line="360" w:lineRule="auto"/>
        <w:ind w:firstLine="420" w:firstLineChars="200"/>
        <w:outlineLvl w:val="0"/>
        <w:rPr>
          <w:color w:val="auto"/>
          <w:highlight w:val="none"/>
        </w:rPr>
      </w:pPr>
      <w:r>
        <w:rPr>
          <w:color w:val="auto"/>
          <w:highlight w:val="none"/>
        </w:rPr>
        <w:t xml:space="preserve">1.1.2.4 </w:t>
      </w:r>
      <w:r>
        <w:rPr>
          <w:rFonts w:hint="eastAsia" w:hAnsi="宋体" w:cs="宋体"/>
          <w:color w:val="auto"/>
          <w:highlight w:val="none"/>
        </w:rPr>
        <w:t>监理人：</w:t>
      </w:r>
    </w:p>
    <w:p w14:paraId="6221F026">
      <w:pPr>
        <w:spacing w:line="360" w:lineRule="auto"/>
        <w:ind w:firstLine="420" w:firstLineChars="200"/>
        <w:rPr>
          <w:color w:val="auto"/>
          <w:highlight w:val="none"/>
        </w:rPr>
      </w:pPr>
      <w:r>
        <w:rPr>
          <w:rFonts w:hint="eastAsia" w:hAnsi="宋体" w:cs="宋体"/>
          <w:color w:val="auto"/>
          <w:highlight w:val="none"/>
        </w:rPr>
        <w:t>名</w:t>
      </w:r>
      <w:r>
        <w:rPr>
          <w:color w:val="auto"/>
          <w:highlight w:val="none"/>
        </w:rPr>
        <w:t xml:space="preserve">    </w:t>
      </w:r>
      <w:r>
        <w:rPr>
          <w:rFonts w:hint="eastAsia" w:hAnsi="宋体" w:cs="宋体"/>
          <w:color w:val="auto"/>
          <w:highlight w:val="none"/>
        </w:rPr>
        <w:t>称：</w:t>
      </w:r>
      <w:r>
        <w:rPr>
          <w:color w:val="auto"/>
          <w:highlight w:val="none"/>
          <w:u w:val="single"/>
        </w:rPr>
        <w:t xml:space="preserve">                </w:t>
      </w:r>
      <w:r>
        <w:rPr>
          <w:rFonts w:hint="eastAsia" w:hAnsi="宋体" w:cs="宋体"/>
          <w:color w:val="auto"/>
          <w:highlight w:val="none"/>
        </w:rPr>
        <w:t>；</w:t>
      </w:r>
    </w:p>
    <w:p w14:paraId="3BB9DAB2">
      <w:pPr>
        <w:spacing w:line="360" w:lineRule="auto"/>
        <w:ind w:firstLine="420" w:firstLineChars="200"/>
        <w:rPr>
          <w:color w:val="auto"/>
          <w:highlight w:val="none"/>
        </w:rPr>
      </w:pPr>
      <w:r>
        <w:rPr>
          <w:rFonts w:hint="eastAsia" w:hAnsi="宋体" w:cs="宋体"/>
          <w:color w:val="auto"/>
          <w:highlight w:val="none"/>
        </w:rPr>
        <w:t>资质类别和等级：</w:t>
      </w:r>
      <w:r>
        <w:rPr>
          <w:color w:val="auto"/>
          <w:highlight w:val="none"/>
          <w:u w:val="single"/>
        </w:rPr>
        <w:t xml:space="preserve">               </w:t>
      </w:r>
      <w:r>
        <w:rPr>
          <w:rFonts w:hint="eastAsia" w:hAnsi="宋体" w:cs="宋体"/>
          <w:color w:val="auto"/>
          <w:highlight w:val="none"/>
        </w:rPr>
        <w:t>；</w:t>
      </w:r>
    </w:p>
    <w:p w14:paraId="26296E14">
      <w:pPr>
        <w:spacing w:line="360" w:lineRule="auto"/>
        <w:ind w:firstLine="420" w:firstLineChars="200"/>
        <w:rPr>
          <w:color w:val="auto"/>
          <w:highlight w:val="none"/>
        </w:rPr>
      </w:pPr>
      <w:r>
        <w:rPr>
          <w:rFonts w:hint="eastAsia" w:hAnsi="宋体" w:cs="宋体"/>
          <w:color w:val="auto"/>
          <w:highlight w:val="none"/>
        </w:rPr>
        <w:t>联系电话：</w:t>
      </w:r>
      <w:r>
        <w:rPr>
          <w:color w:val="auto"/>
          <w:highlight w:val="none"/>
          <w:u w:val="single"/>
        </w:rPr>
        <w:t xml:space="preserve">                </w:t>
      </w:r>
      <w:r>
        <w:rPr>
          <w:rFonts w:hint="eastAsia" w:hAnsi="宋体" w:cs="宋体"/>
          <w:color w:val="auto"/>
          <w:highlight w:val="none"/>
        </w:rPr>
        <w:t>；</w:t>
      </w:r>
    </w:p>
    <w:p w14:paraId="0A959C76">
      <w:pPr>
        <w:spacing w:line="360" w:lineRule="auto"/>
        <w:ind w:firstLine="420" w:firstLineChars="200"/>
        <w:rPr>
          <w:color w:val="auto"/>
          <w:highlight w:val="none"/>
        </w:rPr>
      </w:pPr>
      <w:r>
        <w:rPr>
          <w:rFonts w:hint="eastAsia" w:hAnsi="宋体" w:cs="宋体"/>
          <w:color w:val="auto"/>
          <w:highlight w:val="none"/>
        </w:rPr>
        <w:t>电子信箱：</w:t>
      </w:r>
      <w:r>
        <w:rPr>
          <w:color w:val="auto"/>
          <w:highlight w:val="none"/>
          <w:u w:val="single"/>
        </w:rPr>
        <w:t xml:space="preserve">                </w:t>
      </w:r>
      <w:r>
        <w:rPr>
          <w:rFonts w:hint="eastAsia" w:hAnsi="宋体" w:cs="宋体"/>
          <w:color w:val="auto"/>
          <w:highlight w:val="none"/>
        </w:rPr>
        <w:t>；</w:t>
      </w:r>
    </w:p>
    <w:p w14:paraId="590C875B">
      <w:pPr>
        <w:spacing w:line="360" w:lineRule="auto"/>
        <w:ind w:firstLine="420" w:firstLineChars="200"/>
        <w:rPr>
          <w:color w:val="auto"/>
          <w:highlight w:val="none"/>
        </w:rPr>
      </w:pPr>
      <w:r>
        <w:rPr>
          <w:rFonts w:hint="eastAsia" w:hAnsi="宋体" w:cs="宋体"/>
          <w:color w:val="auto"/>
          <w:highlight w:val="none"/>
        </w:rPr>
        <w:t>通信地址：</w:t>
      </w:r>
      <w:r>
        <w:rPr>
          <w:color w:val="auto"/>
          <w:highlight w:val="none"/>
          <w:u w:val="single"/>
        </w:rPr>
        <w:t xml:space="preserve">                </w:t>
      </w:r>
      <w:r>
        <w:rPr>
          <w:rFonts w:hint="eastAsia" w:hAnsi="宋体" w:cs="宋体"/>
          <w:color w:val="auto"/>
          <w:highlight w:val="none"/>
        </w:rPr>
        <w:t>。</w:t>
      </w:r>
    </w:p>
    <w:p w14:paraId="5D919FDF">
      <w:pPr>
        <w:spacing w:line="360" w:lineRule="auto"/>
        <w:ind w:firstLine="420" w:firstLineChars="200"/>
        <w:outlineLvl w:val="0"/>
        <w:rPr>
          <w:color w:val="auto"/>
          <w:highlight w:val="none"/>
        </w:rPr>
      </w:pPr>
      <w:r>
        <w:rPr>
          <w:color w:val="auto"/>
          <w:highlight w:val="none"/>
        </w:rPr>
        <w:t xml:space="preserve">1.1.2.5 </w:t>
      </w:r>
      <w:r>
        <w:rPr>
          <w:rFonts w:hint="eastAsia" w:hAnsi="宋体" w:cs="宋体"/>
          <w:color w:val="auto"/>
          <w:highlight w:val="none"/>
        </w:rPr>
        <w:t>设计人：</w:t>
      </w:r>
    </w:p>
    <w:p w14:paraId="77610DB0">
      <w:pPr>
        <w:spacing w:line="360" w:lineRule="auto"/>
        <w:ind w:firstLine="420" w:firstLineChars="200"/>
        <w:rPr>
          <w:color w:val="auto"/>
          <w:highlight w:val="none"/>
        </w:rPr>
      </w:pPr>
      <w:r>
        <w:rPr>
          <w:rFonts w:hint="eastAsia" w:hAnsi="宋体" w:cs="宋体"/>
          <w:color w:val="auto"/>
          <w:highlight w:val="none"/>
        </w:rPr>
        <w:t>名</w:t>
      </w:r>
      <w:r>
        <w:rPr>
          <w:color w:val="auto"/>
          <w:highlight w:val="none"/>
        </w:rPr>
        <w:t xml:space="preserve">    </w:t>
      </w:r>
      <w:r>
        <w:rPr>
          <w:rFonts w:hint="eastAsia" w:hAnsi="宋体" w:cs="宋体"/>
          <w:color w:val="auto"/>
          <w:highlight w:val="none"/>
        </w:rPr>
        <w:t>称：</w:t>
      </w:r>
      <w:r>
        <w:rPr>
          <w:color w:val="auto"/>
          <w:highlight w:val="none"/>
          <w:u w:val="single"/>
        </w:rPr>
        <w:t xml:space="preserve">                 </w:t>
      </w:r>
      <w:r>
        <w:rPr>
          <w:rFonts w:hint="eastAsia" w:hAnsi="宋体" w:cs="宋体"/>
          <w:color w:val="auto"/>
          <w:highlight w:val="none"/>
        </w:rPr>
        <w:t>；</w:t>
      </w:r>
    </w:p>
    <w:p w14:paraId="5721515C">
      <w:pPr>
        <w:spacing w:line="360" w:lineRule="auto"/>
        <w:ind w:firstLine="420" w:firstLineChars="200"/>
        <w:rPr>
          <w:color w:val="auto"/>
          <w:highlight w:val="none"/>
        </w:rPr>
      </w:pPr>
      <w:r>
        <w:rPr>
          <w:rFonts w:hint="eastAsia" w:hAnsi="宋体" w:cs="宋体"/>
          <w:color w:val="auto"/>
          <w:highlight w:val="none"/>
        </w:rPr>
        <w:t>资质类别和等级：</w:t>
      </w:r>
      <w:r>
        <w:rPr>
          <w:color w:val="auto"/>
          <w:highlight w:val="none"/>
          <w:u w:val="single"/>
        </w:rPr>
        <w:t xml:space="preserve">               </w:t>
      </w:r>
      <w:r>
        <w:rPr>
          <w:rFonts w:hint="eastAsia" w:hAnsi="宋体" w:cs="宋体"/>
          <w:color w:val="auto"/>
          <w:highlight w:val="none"/>
        </w:rPr>
        <w:t>；</w:t>
      </w:r>
    </w:p>
    <w:p w14:paraId="62F85170">
      <w:pPr>
        <w:spacing w:line="360" w:lineRule="auto"/>
        <w:ind w:firstLine="420" w:firstLineChars="200"/>
        <w:rPr>
          <w:color w:val="auto"/>
          <w:highlight w:val="none"/>
        </w:rPr>
      </w:pPr>
      <w:r>
        <w:rPr>
          <w:rFonts w:hint="eastAsia" w:hAnsi="宋体" w:cs="宋体"/>
          <w:color w:val="auto"/>
          <w:highlight w:val="none"/>
        </w:rPr>
        <w:t>联系电话：</w:t>
      </w:r>
      <w:r>
        <w:rPr>
          <w:color w:val="auto"/>
          <w:highlight w:val="none"/>
          <w:u w:val="single"/>
        </w:rPr>
        <w:t xml:space="preserve">                 </w:t>
      </w:r>
      <w:r>
        <w:rPr>
          <w:rFonts w:hint="eastAsia" w:hAnsi="宋体" w:cs="宋体"/>
          <w:color w:val="auto"/>
          <w:highlight w:val="none"/>
        </w:rPr>
        <w:t>；</w:t>
      </w:r>
    </w:p>
    <w:p w14:paraId="4D0868F3">
      <w:pPr>
        <w:spacing w:line="360" w:lineRule="auto"/>
        <w:ind w:firstLine="420" w:firstLineChars="200"/>
        <w:rPr>
          <w:color w:val="auto"/>
          <w:highlight w:val="none"/>
        </w:rPr>
      </w:pPr>
      <w:r>
        <w:rPr>
          <w:rFonts w:hint="eastAsia" w:hAnsi="宋体" w:cs="宋体"/>
          <w:color w:val="auto"/>
          <w:highlight w:val="none"/>
        </w:rPr>
        <w:t>电子信箱：</w:t>
      </w:r>
      <w:r>
        <w:rPr>
          <w:color w:val="auto"/>
          <w:highlight w:val="none"/>
          <w:u w:val="single"/>
        </w:rPr>
        <w:t xml:space="preserve">                    </w:t>
      </w:r>
      <w:r>
        <w:rPr>
          <w:rFonts w:hint="eastAsia" w:hAnsi="宋体" w:cs="宋体"/>
          <w:color w:val="auto"/>
          <w:highlight w:val="none"/>
        </w:rPr>
        <w:t>；</w:t>
      </w:r>
    </w:p>
    <w:p w14:paraId="324337C9">
      <w:pPr>
        <w:spacing w:line="360" w:lineRule="auto"/>
        <w:ind w:firstLine="420" w:firstLineChars="200"/>
        <w:rPr>
          <w:color w:val="auto"/>
          <w:highlight w:val="none"/>
        </w:rPr>
      </w:pPr>
      <w:r>
        <w:rPr>
          <w:rFonts w:hint="eastAsia" w:hAnsi="宋体" w:cs="宋体"/>
          <w:color w:val="auto"/>
          <w:highlight w:val="none"/>
        </w:rPr>
        <w:t>通信地址：</w:t>
      </w:r>
      <w:r>
        <w:rPr>
          <w:color w:val="auto"/>
          <w:highlight w:val="none"/>
          <w:u w:val="single"/>
        </w:rPr>
        <w:t xml:space="preserve">                </w:t>
      </w:r>
      <w:r>
        <w:rPr>
          <w:rFonts w:hint="eastAsia" w:hAnsi="宋体" w:cs="宋体"/>
          <w:color w:val="auto"/>
          <w:highlight w:val="none"/>
        </w:rPr>
        <w:t>。</w:t>
      </w:r>
    </w:p>
    <w:p w14:paraId="1C7E44A7">
      <w:pPr>
        <w:spacing w:line="360" w:lineRule="auto"/>
        <w:ind w:firstLine="420" w:firstLineChars="200"/>
        <w:rPr>
          <w:color w:val="auto"/>
          <w:highlight w:val="none"/>
        </w:rPr>
      </w:pPr>
      <w:r>
        <w:rPr>
          <w:color w:val="auto"/>
          <w:highlight w:val="none"/>
        </w:rPr>
        <w:t xml:space="preserve">1.1.3 </w:t>
      </w:r>
      <w:r>
        <w:rPr>
          <w:rFonts w:hint="eastAsia" w:hAnsi="宋体" w:cs="宋体"/>
          <w:color w:val="auto"/>
          <w:highlight w:val="none"/>
        </w:rPr>
        <w:t>工程和设备</w:t>
      </w:r>
    </w:p>
    <w:p w14:paraId="12D09C1E">
      <w:pPr>
        <w:spacing w:line="360" w:lineRule="auto"/>
        <w:ind w:firstLine="420" w:firstLineChars="200"/>
        <w:outlineLvl w:val="0"/>
        <w:rPr>
          <w:color w:val="auto"/>
          <w:szCs w:val="21"/>
          <w:highlight w:val="none"/>
        </w:rPr>
      </w:pPr>
      <w:r>
        <w:rPr>
          <w:color w:val="auto"/>
          <w:highlight w:val="none"/>
        </w:rPr>
        <w:t>1</w:t>
      </w:r>
      <w:bookmarkStart w:id="171" w:name="_Toc185869617"/>
      <w:r>
        <w:rPr>
          <w:color w:val="auto"/>
          <w:szCs w:val="21"/>
          <w:highlight w:val="none"/>
        </w:rPr>
        <w:t xml:space="preserve">.1.3.7 </w:t>
      </w:r>
      <w:r>
        <w:rPr>
          <w:rFonts w:hAnsi="宋体"/>
          <w:color w:val="auto"/>
          <w:szCs w:val="21"/>
          <w:highlight w:val="none"/>
        </w:rPr>
        <w:t>作为施工现场组成部分的其他场所包括：</w:t>
      </w:r>
      <w:r>
        <w:rPr>
          <w:rFonts w:hint="eastAsia"/>
          <w:color w:val="auto"/>
          <w:szCs w:val="21"/>
          <w:highlight w:val="none"/>
          <w:u w:val="single"/>
        </w:rPr>
        <w:t>按通用条款</w:t>
      </w:r>
      <w:r>
        <w:rPr>
          <w:rFonts w:hAnsi="宋体"/>
          <w:color w:val="auto"/>
          <w:szCs w:val="21"/>
          <w:highlight w:val="none"/>
        </w:rPr>
        <w:t>。</w:t>
      </w:r>
      <w:bookmarkEnd w:id="171"/>
    </w:p>
    <w:p w14:paraId="61C843D2">
      <w:pPr>
        <w:spacing w:line="360" w:lineRule="auto"/>
        <w:ind w:firstLine="420" w:firstLineChars="200"/>
        <w:jc w:val="left"/>
        <w:rPr>
          <w:color w:val="auto"/>
          <w:kern w:val="0"/>
          <w:szCs w:val="21"/>
          <w:highlight w:val="none"/>
        </w:rPr>
      </w:pPr>
      <w:r>
        <w:rPr>
          <w:color w:val="auto"/>
          <w:kern w:val="0"/>
          <w:szCs w:val="21"/>
          <w:highlight w:val="none"/>
        </w:rPr>
        <w:t xml:space="preserve">1.1.3.9 </w:t>
      </w:r>
      <w:r>
        <w:rPr>
          <w:rFonts w:hAnsi="宋体"/>
          <w:color w:val="auto"/>
          <w:kern w:val="0"/>
          <w:szCs w:val="21"/>
          <w:highlight w:val="none"/>
        </w:rPr>
        <w:t>永久占地包括：</w:t>
      </w:r>
      <w:r>
        <w:rPr>
          <w:rFonts w:hint="eastAsia"/>
          <w:color w:val="auto"/>
          <w:szCs w:val="21"/>
          <w:highlight w:val="none"/>
          <w:u w:val="single"/>
        </w:rPr>
        <w:t>依据设计图纸确定</w:t>
      </w:r>
      <w:r>
        <w:rPr>
          <w:rFonts w:hAnsi="宋体"/>
          <w:color w:val="auto"/>
          <w:kern w:val="0"/>
          <w:szCs w:val="21"/>
          <w:highlight w:val="none"/>
        </w:rPr>
        <w:t>。</w:t>
      </w:r>
    </w:p>
    <w:p w14:paraId="19D2B0E7">
      <w:pPr>
        <w:spacing w:line="360" w:lineRule="auto"/>
        <w:ind w:firstLine="420" w:firstLineChars="200"/>
        <w:jc w:val="left"/>
        <w:rPr>
          <w:color w:val="auto"/>
          <w:szCs w:val="21"/>
          <w:highlight w:val="none"/>
        </w:rPr>
      </w:pPr>
      <w:r>
        <w:rPr>
          <w:color w:val="auto"/>
          <w:kern w:val="0"/>
          <w:szCs w:val="21"/>
          <w:highlight w:val="none"/>
        </w:rPr>
        <w:t xml:space="preserve">1.1.3.10 </w:t>
      </w:r>
      <w:r>
        <w:rPr>
          <w:rFonts w:hAnsi="宋体"/>
          <w:color w:val="auto"/>
          <w:kern w:val="0"/>
          <w:szCs w:val="21"/>
          <w:highlight w:val="none"/>
        </w:rPr>
        <w:t>临时占地包括：</w:t>
      </w:r>
      <w:r>
        <w:rPr>
          <w:rFonts w:hint="eastAsia"/>
          <w:color w:val="auto"/>
          <w:szCs w:val="21"/>
          <w:highlight w:val="none"/>
          <w:u w:val="single"/>
        </w:rPr>
        <w:t>双方在合同履行过程中确定</w:t>
      </w:r>
      <w:r>
        <w:rPr>
          <w:rFonts w:hint="eastAsia" w:hAnsi="宋体" w:cs="宋体"/>
          <w:color w:val="auto"/>
          <w:kern w:val="0"/>
          <w:szCs w:val="21"/>
          <w:highlight w:val="none"/>
        </w:rPr>
        <w:t>。</w:t>
      </w:r>
    </w:p>
    <w:p w14:paraId="709A1FA8">
      <w:pPr>
        <w:spacing w:line="360" w:lineRule="auto"/>
        <w:ind w:firstLine="420" w:firstLineChars="200"/>
        <w:jc w:val="left"/>
        <w:rPr>
          <w:color w:val="auto"/>
          <w:highlight w:val="none"/>
        </w:rPr>
      </w:pPr>
    </w:p>
    <w:p w14:paraId="7AEC240E">
      <w:pPr>
        <w:pStyle w:val="4"/>
        <w:rPr>
          <w:color w:val="auto"/>
          <w:highlight w:val="none"/>
        </w:rPr>
      </w:pPr>
      <w:bookmarkStart w:id="172" w:name="_Toc389065260"/>
      <w:bookmarkStart w:id="173" w:name="_Toc407135196"/>
      <w:bookmarkStart w:id="174" w:name="_Toc1182598796"/>
      <w:bookmarkStart w:id="175" w:name="_Toc78449782"/>
      <w:bookmarkStart w:id="176" w:name="_Toc373478341"/>
      <w:bookmarkStart w:id="177" w:name="_Toc1162259329"/>
      <w:bookmarkStart w:id="178" w:name="_Toc373227694"/>
      <w:r>
        <w:rPr>
          <w:color w:val="auto"/>
          <w:highlight w:val="none"/>
        </w:rPr>
        <w:t xml:space="preserve">1.3 </w:t>
      </w:r>
      <w:r>
        <w:rPr>
          <w:rFonts w:hint="eastAsia" w:hAnsi="宋体" w:cs="黑体"/>
          <w:color w:val="auto"/>
          <w:highlight w:val="none"/>
        </w:rPr>
        <w:t>法律</w:t>
      </w:r>
      <w:bookmarkEnd w:id="172"/>
      <w:bookmarkEnd w:id="173"/>
      <w:bookmarkEnd w:id="174"/>
      <w:bookmarkEnd w:id="175"/>
      <w:bookmarkEnd w:id="176"/>
      <w:bookmarkEnd w:id="177"/>
      <w:bookmarkEnd w:id="178"/>
    </w:p>
    <w:p w14:paraId="30DF03F8">
      <w:pPr>
        <w:autoSpaceDE w:val="0"/>
        <w:autoSpaceDN w:val="0"/>
        <w:adjustRightInd w:val="0"/>
        <w:spacing w:line="360" w:lineRule="auto"/>
        <w:jc w:val="left"/>
        <w:rPr>
          <w:color w:val="auto"/>
          <w:highlight w:val="none"/>
        </w:rPr>
      </w:pPr>
      <w:r>
        <w:rPr>
          <w:rFonts w:hint="eastAsia" w:hAnsi="宋体" w:cs="宋体"/>
          <w:color w:val="auto"/>
          <w:highlight w:val="none"/>
        </w:rPr>
        <w:t>适用于合同的其他规范性文件：</w:t>
      </w:r>
      <w:r>
        <w:rPr>
          <w:rFonts w:hAnsi="宋体"/>
          <w:color w:val="auto"/>
          <w:highlight w:val="none"/>
          <w:u w:val="single"/>
        </w:rPr>
        <w:t xml:space="preserve"> </w:t>
      </w:r>
      <w:r>
        <w:rPr>
          <w:rFonts w:hint="eastAsia" w:hAnsi="宋体"/>
          <w:color w:val="auto"/>
          <w:szCs w:val="21"/>
          <w:highlight w:val="none"/>
          <w:u w:val="single"/>
        </w:rPr>
        <w:t>国家、地方、行政主管部门对建设工程项目的有关规范性文件</w:t>
      </w:r>
      <w:r>
        <w:rPr>
          <w:color w:val="auto"/>
          <w:highlight w:val="none"/>
          <w:u w:val="single"/>
        </w:rPr>
        <w:t xml:space="preserve">  </w:t>
      </w:r>
      <w:r>
        <w:rPr>
          <w:rFonts w:hint="eastAsia" w:hAnsi="宋体" w:cs="宋体"/>
          <w:color w:val="auto"/>
          <w:highlight w:val="none"/>
        </w:rPr>
        <w:t>。</w:t>
      </w:r>
    </w:p>
    <w:p w14:paraId="15990D02">
      <w:pPr>
        <w:pStyle w:val="4"/>
        <w:rPr>
          <w:color w:val="auto"/>
          <w:highlight w:val="none"/>
        </w:rPr>
      </w:pPr>
      <w:bookmarkStart w:id="179" w:name="_Toc407135197"/>
      <w:bookmarkStart w:id="180" w:name="_Toc389065261"/>
      <w:bookmarkStart w:id="181" w:name="_Toc1694357896"/>
      <w:bookmarkStart w:id="182" w:name="_Toc78449783"/>
      <w:bookmarkStart w:id="183" w:name="_Toc373478342"/>
      <w:bookmarkStart w:id="184" w:name="_Toc1569433547"/>
      <w:bookmarkStart w:id="185" w:name="_Toc373227695"/>
      <w:r>
        <w:rPr>
          <w:color w:val="auto"/>
          <w:highlight w:val="none"/>
        </w:rPr>
        <w:t xml:space="preserve">1.4 </w:t>
      </w:r>
      <w:r>
        <w:rPr>
          <w:rFonts w:hint="eastAsia" w:hAnsi="宋体" w:cs="黑体"/>
          <w:color w:val="auto"/>
          <w:highlight w:val="none"/>
        </w:rPr>
        <w:t>标准和规范</w:t>
      </w:r>
      <w:bookmarkEnd w:id="179"/>
      <w:bookmarkEnd w:id="180"/>
      <w:bookmarkEnd w:id="181"/>
      <w:bookmarkEnd w:id="182"/>
      <w:bookmarkEnd w:id="183"/>
      <w:bookmarkEnd w:id="184"/>
      <w:bookmarkEnd w:id="185"/>
    </w:p>
    <w:p w14:paraId="37E92B28">
      <w:pPr>
        <w:spacing w:line="360" w:lineRule="auto"/>
        <w:ind w:firstLine="420" w:firstLineChars="200"/>
        <w:rPr>
          <w:rFonts w:hAnsi="宋体"/>
          <w:color w:val="auto"/>
          <w:szCs w:val="21"/>
          <w:highlight w:val="none"/>
        </w:rPr>
      </w:pPr>
      <w:r>
        <w:rPr>
          <w:color w:val="auto"/>
          <w:szCs w:val="21"/>
          <w:highlight w:val="none"/>
        </w:rPr>
        <w:t>1.4.1</w:t>
      </w:r>
      <w:r>
        <w:rPr>
          <w:rFonts w:hAnsi="宋体"/>
          <w:color w:val="auto"/>
          <w:szCs w:val="21"/>
          <w:highlight w:val="none"/>
        </w:rPr>
        <w:t>适用于工程的标准规范包括：</w:t>
      </w:r>
      <w:r>
        <w:rPr>
          <w:rFonts w:hint="eastAsia" w:hAnsi="宋体"/>
          <w:color w:val="auto"/>
          <w:szCs w:val="21"/>
          <w:highlight w:val="none"/>
          <w:u w:val="single"/>
        </w:rPr>
        <w:t>经审查的设计施工图规定的各类</w:t>
      </w:r>
      <w:r>
        <w:rPr>
          <w:rFonts w:hint="eastAsia" w:hAnsi="宋体"/>
          <w:color w:val="auto"/>
          <w:szCs w:val="21"/>
          <w:highlight w:val="none"/>
          <w:u w:val="single"/>
          <w:lang w:eastAsia="zh-CN"/>
        </w:rPr>
        <w:t>国家</w:t>
      </w:r>
      <w:r>
        <w:rPr>
          <w:rFonts w:hint="eastAsia" w:hAnsi="宋体"/>
          <w:color w:val="auto"/>
          <w:szCs w:val="21"/>
          <w:highlight w:val="none"/>
          <w:u w:val="single"/>
        </w:rPr>
        <w:t>标准和规范，且不仅限于此</w:t>
      </w:r>
      <w:r>
        <w:rPr>
          <w:rFonts w:hAnsi="宋体"/>
          <w:color w:val="auto"/>
          <w:szCs w:val="21"/>
          <w:highlight w:val="none"/>
        </w:rPr>
        <w:t>。</w:t>
      </w:r>
    </w:p>
    <w:p w14:paraId="1150EB13">
      <w:pPr>
        <w:spacing w:line="360" w:lineRule="auto"/>
        <w:ind w:firstLine="420" w:firstLineChars="200"/>
        <w:rPr>
          <w:color w:val="auto"/>
          <w:kern w:val="0"/>
          <w:szCs w:val="21"/>
          <w:highlight w:val="none"/>
        </w:rPr>
      </w:pPr>
      <w:r>
        <w:rPr>
          <w:color w:val="auto"/>
          <w:kern w:val="0"/>
          <w:szCs w:val="21"/>
          <w:highlight w:val="none"/>
        </w:rPr>
        <w:t xml:space="preserve">1.4.2 </w:t>
      </w:r>
      <w:r>
        <w:rPr>
          <w:rFonts w:hAnsi="宋体"/>
          <w:color w:val="auto"/>
          <w:kern w:val="0"/>
          <w:szCs w:val="21"/>
          <w:highlight w:val="none"/>
        </w:rPr>
        <w:t>发包人提供国外标准、规范的名称：</w:t>
      </w:r>
      <w:r>
        <w:rPr>
          <w:rFonts w:hint="eastAsia" w:hAnsi="宋体"/>
          <w:color w:val="auto"/>
          <w:szCs w:val="21"/>
          <w:highlight w:val="none"/>
          <w:u w:val="single"/>
        </w:rPr>
        <w:t>无</w:t>
      </w:r>
      <w:r>
        <w:rPr>
          <w:rFonts w:hint="eastAsia" w:hAnsi="宋体"/>
          <w:color w:val="auto"/>
          <w:szCs w:val="21"/>
          <w:highlight w:val="none"/>
        </w:rPr>
        <w:t>；</w:t>
      </w:r>
    </w:p>
    <w:p w14:paraId="00AF0785">
      <w:pPr>
        <w:spacing w:line="360" w:lineRule="auto"/>
        <w:ind w:firstLine="420" w:firstLineChars="200"/>
        <w:rPr>
          <w:color w:val="auto"/>
          <w:kern w:val="0"/>
          <w:szCs w:val="21"/>
          <w:highlight w:val="none"/>
        </w:rPr>
      </w:pPr>
      <w:r>
        <w:rPr>
          <w:rFonts w:hAnsi="宋体"/>
          <w:color w:val="auto"/>
          <w:kern w:val="0"/>
          <w:szCs w:val="21"/>
          <w:highlight w:val="none"/>
        </w:rPr>
        <w:t>发包人提供国外标准、规范的份数：</w:t>
      </w:r>
      <w:r>
        <w:rPr>
          <w:rFonts w:hint="eastAsia"/>
          <w:color w:val="auto"/>
          <w:kern w:val="0"/>
          <w:szCs w:val="21"/>
          <w:highlight w:val="none"/>
          <w:u w:val="single"/>
        </w:rPr>
        <w:t>无</w:t>
      </w:r>
      <w:r>
        <w:rPr>
          <w:rFonts w:hAnsi="宋体"/>
          <w:color w:val="auto"/>
          <w:kern w:val="0"/>
          <w:szCs w:val="21"/>
          <w:highlight w:val="none"/>
        </w:rPr>
        <w:t>；</w:t>
      </w:r>
    </w:p>
    <w:p w14:paraId="298F467C">
      <w:pPr>
        <w:spacing w:line="360" w:lineRule="auto"/>
        <w:ind w:firstLine="420" w:firstLineChars="200"/>
        <w:rPr>
          <w:color w:val="auto"/>
          <w:szCs w:val="21"/>
          <w:highlight w:val="none"/>
        </w:rPr>
      </w:pPr>
      <w:r>
        <w:rPr>
          <w:rFonts w:hAnsi="宋体"/>
          <w:color w:val="auto"/>
          <w:kern w:val="0"/>
          <w:szCs w:val="21"/>
          <w:highlight w:val="none"/>
        </w:rPr>
        <w:t>发包人提供国外标准、规范的名称：</w:t>
      </w:r>
      <w:r>
        <w:rPr>
          <w:rFonts w:hint="eastAsia"/>
          <w:color w:val="auto"/>
          <w:kern w:val="0"/>
          <w:szCs w:val="21"/>
          <w:highlight w:val="none"/>
          <w:u w:val="single"/>
        </w:rPr>
        <w:t>无</w:t>
      </w:r>
      <w:r>
        <w:rPr>
          <w:rFonts w:hAnsi="宋体"/>
          <w:color w:val="auto"/>
          <w:kern w:val="0"/>
          <w:szCs w:val="21"/>
          <w:highlight w:val="none"/>
        </w:rPr>
        <w:t>。</w:t>
      </w:r>
    </w:p>
    <w:p w14:paraId="0BD2540B">
      <w:pPr>
        <w:spacing w:line="360" w:lineRule="auto"/>
        <w:rPr>
          <w:color w:val="auto"/>
          <w:highlight w:val="none"/>
        </w:rPr>
      </w:pPr>
      <w:r>
        <w:rPr>
          <w:color w:val="auto"/>
          <w:szCs w:val="21"/>
          <w:highlight w:val="none"/>
        </w:rPr>
        <w:t>1.4.3</w:t>
      </w:r>
      <w:r>
        <w:rPr>
          <w:rFonts w:hAnsi="宋体"/>
          <w:color w:val="auto"/>
          <w:szCs w:val="21"/>
          <w:highlight w:val="none"/>
        </w:rPr>
        <w:t>发包人对工程的技术标准和功能要求的特殊要求：</w:t>
      </w:r>
      <w:r>
        <w:rPr>
          <w:rFonts w:hint="eastAsia" w:hAnsi="宋体"/>
          <w:color w:val="auto"/>
          <w:szCs w:val="21"/>
          <w:highlight w:val="none"/>
          <w:u w:val="single"/>
        </w:rPr>
        <w:t>无</w:t>
      </w:r>
      <w:r>
        <w:rPr>
          <w:rFonts w:hint="eastAsia" w:hAnsi="宋体" w:cs="宋体"/>
          <w:color w:val="auto"/>
          <w:szCs w:val="21"/>
          <w:highlight w:val="none"/>
        </w:rPr>
        <w:t>。</w:t>
      </w:r>
    </w:p>
    <w:p w14:paraId="6BE814B6">
      <w:pPr>
        <w:pStyle w:val="4"/>
        <w:rPr>
          <w:color w:val="auto"/>
          <w:highlight w:val="none"/>
        </w:rPr>
      </w:pPr>
      <w:bookmarkStart w:id="186" w:name="_Toc373478343"/>
      <w:bookmarkStart w:id="187" w:name="_Toc188277238"/>
      <w:bookmarkStart w:id="188" w:name="_Toc407135198"/>
      <w:bookmarkStart w:id="189" w:name="_Toc24431861"/>
      <w:bookmarkStart w:id="190" w:name="_Toc389065262"/>
      <w:bookmarkStart w:id="191" w:name="_Toc78449784"/>
      <w:bookmarkStart w:id="192" w:name="_Toc373227696"/>
      <w:r>
        <w:rPr>
          <w:color w:val="auto"/>
          <w:highlight w:val="none"/>
        </w:rPr>
        <w:t xml:space="preserve">1.5 </w:t>
      </w:r>
      <w:r>
        <w:rPr>
          <w:rFonts w:hint="eastAsia" w:cs="黑体"/>
          <w:color w:val="auto"/>
          <w:highlight w:val="none"/>
        </w:rPr>
        <w:t>合同文件的优先顺序</w:t>
      </w:r>
      <w:bookmarkEnd w:id="186"/>
      <w:bookmarkEnd w:id="187"/>
      <w:bookmarkEnd w:id="188"/>
      <w:bookmarkEnd w:id="189"/>
      <w:bookmarkEnd w:id="190"/>
      <w:bookmarkEnd w:id="191"/>
      <w:bookmarkEnd w:id="192"/>
    </w:p>
    <w:p w14:paraId="5274E409">
      <w:pPr>
        <w:spacing w:line="360" w:lineRule="auto"/>
        <w:ind w:firstLine="420" w:firstLineChars="200"/>
        <w:rPr>
          <w:rFonts w:hint="eastAsia" w:hAnsi="宋体" w:cs="宋体"/>
          <w:color w:val="auto"/>
          <w:kern w:val="0"/>
          <w:highlight w:val="none"/>
        </w:rPr>
      </w:pPr>
      <w:r>
        <w:rPr>
          <w:rFonts w:hint="eastAsia" w:hAnsi="宋体" w:cs="宋体"/>
          <w:color w:val="auto"/>
          <w:highlight w:val="none"/>
        </w:rPr>
        <w:t>合同文件组成及优先顺序为：</w:t>
      </w:r>
    </w:p>
    <w:p w14:paraId="41F7E7AE">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（1）合同协议书；</w:t>
      </w:r>
    </w:p>
    <w:p w14:paraId="7E6F39B0">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（2）成交通知书；</w:t>
      </w:r>
    </w:p>
    <w:p w14:paraId="5C221A33">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（3）报价函；</w:t>
      </w:r>
    </w:p>
    <w:p w14:paraId="557069F8">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（4）专用合同条款及其附件；</w:t>
      </w:r>
    </w:p>
    <w:p w14:paraId="526DC687">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（5）通用合同条款；</w:t>
      </w:r>
    </w:p>
    <w:p w14:paraId="4B43FD22">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（6）技术标准和要求；</w:t>
      </w:r>
    </w:p>
    <w:p w14:paraId="598BF00F">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（7）图纸；</w:t>
      </w:r>
    </w:p>
    <w:p w14:paraId="14CFB9E3">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（8）已标价工程量清单或预算书；</w:t>
      </w:r>
    </w:p>
    <w:p w14:paraId="795879E9">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（9）磋商文件（含补充通知和答疑）；</w:t>
      </w:r>
    </w:p>
    <w:p w14:paraId="2313F3D9">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（10）履约保证金缴纳证明；</w:t>
      </w:r>
    </w:p>
    <w:p w14:paraId="2D4C5A74">
      <w:pPr>
        <w:spacing w:line="360" w:lineRule="auto"/>
        <w:ind w:firstLine="420" w:firstLineChars="200"/>
        <w:rPr>
          <w:rFonts w:hAnsi="宋体" w:cs="宋体"/>
          <w:color w:val="auto"/>
          <w:highlight w:val="none"/>
        </w:rPr>
      </w:pPr>
      <w:r>
        <w:rPr>
          <w:rFonts w:hint="eastAsia" w:hAnsi="宋体" w:cs="宋体"/>
          <w:color w:val="auto"/>
          <w:highlight w:val="none"/>
        </w:rPr>
        <w:t>（1</w:t>
      </w:r>
      <w:r>
        <w:rPr>
          <w:rFonts w:hAnsi="宋体" w:cs="宋体"/>
          <w:color w:val="auto"/>
          <w:highlight w:val="none"/>
        </w:rPr>
        <w:t>1</w:t>
      </w:r>
      <w:r>
        <w:rPr>
          <w:rFonts w:hint="eastAsia" w:hAnsi="宋体" w:cs="宋体"/>
          <w:color w:val="auto"/>
          <w:highlight w:val="none"/>
        </w:rPr>
        <w:t>）其他合同文件（</w:t>
      </w:r>
      <w:r>
        <w:rPr>
          <w:rFonts w:hint="eastAsia" w:ascii="宋体" w:hAnsi="宋体"/>
          <w:color w:val="auto"/>
          <w:highlight w:val="none"/>
        </w:rPr>
        <w:t xml:space="preserve"> 在合同订立及履行过程中形成的与合同有关的文件均构成合同文件组成部分。</w:t>
      </w:r>
      <w:r>
        <w:rPr>
          <w:rFonts w:hint="eastAsia" w:hAnsi="宋体" w:cs="宋体"/>
          <w:color w:val="auto"/>
          <w:highlight w:val="none"/>
        </w:rPr>
        <w:t>）</w:t>
      </w:r>
    </w:p>
    <w:p w14:paraId="7A2F2E41">
      <w:pPr>
        <w:spacing w:line="360" w:lineRule="auto"/>
        <w:ind w:left="539" w:leftChars="200" w:hanging="119" w:hangingChars="57"/>
        <w:rPr>
          <w:rFonts w:ascii="宋体" w:hAnsi="宋体"/>
          <w:color w:val="auto"/>
          <w:highlight w:val="none"/>
          <w:u w:val="single"/>
        </w:rPr>
      </w:pPr>
      <w:r>
        <w:rPr>
          <w:rFonts w:ascii="宋体" w:hAnsi="宋体"/>
          <w:color w:val="auto"/>
          <w:highlight w:val="none"/>
        </w:rPr>
        <w:t>设计变更文件一律采取书面形式。包括：</w:t>
      </w:r>
      <w:r>
        <w:rPr>
          <w:rFonts w:ascii="宋体" w:hAnsi="宋体"/>
          <w:color w:val="auto"/>
          <w:highlight w:val="none"/>
        </w:rPr>
        <w:br w:type="textWrapping"/>
      </w:r>
      <w:r>
        <w:rPr>
          <w:rFonts w:hint="eastAsia"/>
          <w:color w:val="auto"/>
          <w:highlight w:val="none"/>
        </w:rPr>
        <w:t>①</w:t>
      </w:r>
      <w:r>
        <w:rPr>
          <w:rFonts w:ascii="宋体" w:hAnsi="宋体"/>
          <w:color w:val="auto"/>
          <w:highlight w:val="none"/>
        </w:rPr>
        <w:t>设计单位作出的设计变更通知单；</w:t>
      </w:r>
      <w:r>
        <w:rPr>
          <w:rFonts w:ascii="宋体" w:hAnsi="宋体"/>
          <w:color w:val="auto"/>
          <w:highlight w:val="none"/>
        </w:rPr>
        <w:br w:type="textWrapping"/>
      </w:r>
      <w:r>
        <w:rPr>
          <w:rFonts w:hint="eastAsia"/>
          <w:color w:val="auto"/>
          <w:highlight w:val="none"/>
        </w:rPr>
        <w:t>②</w:t>
      </w:r>
      <w:r>
        <w:rPr>
          <w:rFonts w:ascii="宋体" w:hAnsi="宋体"/>
          <w:color w:val="auto"/>
          <w:highlight w:val="none"/>
        </w:rPr>
        <w:t>根据洽商结果写成的洽商记录；</w:t>
      </w:r>
      <w:r>
        <w:rPr>
          <w:rFonts w:ascii="宋体" w:hAnsi="宋体"/>
          <w:color w:val="auto"/>
          <w:highlight w:val="none"/>
        </w:rPr>
        <w:br w:type="textWrapping"/>
      </w:r>
      <w:r>
        <w:rPr>
          <w:rFonts w:hint="eastAsia"/>
          <w:color w:val="auto"/>
          <w:highlight w:val="none"/>
        </w:rPr>
        <w:t>③</w:t>
      </w:r>
      <w:r>
        <w:rPr>
          <w:rFonts w:ascii="宋体" w:hAnsi="宋体"/>
          <w:color w:val="auto"/>
          <w:highlight w:val="none"/>
        </w:rPr>
        <w:t>比较重要的设计变更和洽商记录所附的变更后的施工图。</w:t>
      </w:r>
      <w:r>
        <w:rPr>
          <w:rFonts w:ascii="宋体" w:hAnsi="宋体"/>
          <w:color w:val="auto"/>
          <w:highlight w:val="none"/>
        </w:rPr>
        <w:br w:type="textWrapping"/>
      </w:r>
      <w:r>
        <w:rPr>
          <w:rFonts w:ascii="宋体" w:hAnsi="宋体"/>
          <w:color w:val="auto"/>
          <w:highlight w:val="none"/>
        </w:rPr>
        <w:t>设计变更文件经过三方或双方签证认可后生效，并作为施工和编审增减工程预算的依据。</w:t>
      </w:r>
    </w:p>
    <w:p w14:paraId="424D2C6F">
      <w:pPr>
        <w:spacing w:line="360" w:lineRule="auto"/>
        <w:ind w:firstLine="420" w:firstLineChars="200"/>
        <w:rPr>
          <w:rFonts w:hAnsi="宋体" w:cs="宋体"/>
          <w:color w:val="auto"/>
          <w:kern w:val="0"/>
          <w:highlight w:val="none"/>
        </w:rPr>
      </w:pPr>
      <w:r>
        <w:rPr>
          <w:rFonts w:hint="eastAsia" w:hAnsi="宋体" w:cs="宋体"/>
          <w:color w:val="auto"/>
          <w:kern w:val="0"/>
          <w:highlight w:val="none"/>
        </w:rPr>
        <w:t>上述各项合同文件包括合同当事人就该项合同文件所作出的补充和修改，属于同一类内容的文件，应以最新签署的为准（违反招标文件</w:t>
      </w:r>
      <w:r>
        <w:rPr>
          <w:rFonts w:hAnsi="宋体" w:cs="宋体"/>
          <w:color w:val="auto"/>
          <w:kern w:val="0"/>
          <w:highlight w:val="none"/>
        </w:rPr>
        <w:t>实质性内容的约定除外</w:t>
      </w:r>
      <w:r>
        <w:rPr>
          <w:rFonts w:hint="eastAsia" w:hAnsi="宋体" w:cs="宋体"/>
          <w:color w:val="auto"/>
          <w:kern w:val="0"/>
          <w:highlight w:val="none"/>
        </w:rPr>
        <w:t>）。专用合同条款及其附件须经合同当事人签字或盖章。</w:t>
      </w:r>
    </w:p>
    <w:p w14:paraId="6EFB6D83">
      <w:pPr>
        <w:pStyle w:val="4"/>
        <w:rPr>
          <w:color w:val="auto"/>
          <w:highlight w:val="none"/>
        </w:rPr>
      </w:pPr>
      <w:bookmarkStart w:id="193" w:name="_Toc407135199"/>
      <w:bookmarkStart w:id="194" w:name="_Toc1531480704"/>
      <w:bookmarkStart w:id="195" w:name="_Toc389065263"/>
      <w:bookmarkStart w:id="196" w:name="_Toc373227697"/>
      <w:bookmarkStart w:id="197" w:name="_Toc373478344"/>
      <w:bookmarkStart w:id="198" w:name="_Toc1537247101"/>
      <w:bookmarkStart w:id="199" w:name="_Toc78449785"/>
      <w:r>
        <w:rPr>
          <w:color w:val="auto"/>
          <w:highlight w:val="none"/>
        </w:rPr>
        <w:t xml:space="preserve">1.6 </w:t>
      </w:r>
      <w:r>
        <w:rPr>
          <w:rFonts w:hint="eastAsia" w:cs="黑体"/>
          <w:color w:val="auto"/>
          <w:highlight w:val="none"/>
        </w:rPr>
        <w:t>图纸和承包人文件</w:t>
      </w:r>
      <w:bookmarkEnd w:id="193"/>
      <w:bookmarkEnd w:id="194"/>
      <w:bookmarkEnd w:id="195"/>
      <w:bookmarkEnd w:id="196"/>
      <w:bookmarkEnd w:id="197"/>
      <w:bookmarkEnd w:id="198"/>
      <w:bookmarkEnd w:id="199"/>
      <w:r>
        <w:rPr>
          <w:color w:val="auto"/>
          <w:highlight w:val="none"/>
        </w:rPr>
        <w:tab/>
      </w:r>
    </w:p>
    <w:p w14:paraId="400EAA18">
      <w:pPr>
        <w:spacing w:line="360" w:lineRule="auto"/>
        <w:ind w:firstLine="420" w:firstLineChars="200"/>
        <w:rPr>
          <w:color w:val="auto"/>
          <w:szCs w:val="21"/>
          <w:highlight w:val="none"/>
        </w:rPr>
      </w:pPr>
      <w:bookmarkStart w:id="200" w:name="_Toc407135200"/>
      <w:bookmarkStart w:id="201" w:name="_Toc78449786"/>
      <w:bookmarkStart w:id="202" w:name="_Toc110523719"/>
      <w:bookmarkStart w:id="203" w:name="_Toc389065264"/>
      <w:bookmarkStart w:id="204" w:name="_Toc373227698"/>
      <w:bookmarkStart w:id="205" w:name="_Toc373478345"/>
      <w:bookmarkStart w:id="206" w:name="_Toc1944260835"/>
      <w:r>
        <w:rPr>
          <w:color w:val="auto"/>
          <w:szCs w:val="21"/>
          <w:highlight w:val="none"/>
        </w:rPr>
        <w:t xml:space="preserve">1.6.1 </w:t>
      </w:r>
      <w:r>
        <w:rPr>
          <w:rFonts w:hint="eastAsia" w:hAnsi="宋体" w:cs="宋体"/>
          <w:color w:val="auto"/>
          <w:szCs w:val="21"/>
          <w:highlight w:val="none"/>
        </w:rPr>
        <w:t>图纸的提供</w:t>
      </w:r>
    </w:p>
    <w:p w14:paraId="173E427F">
      <w:pPr>
        <w:spacing w:line="360" w:lineRule="auto"/>
        <w:ind w:firstLine="420" w:firstLineChars="200"/>
        <w:rPr>
          <w:color w:val="auto"/>
          <w:szCs w:val="21"/>
          <w:highlight w:val="none"/>
        </w:rPr>
      </w:pPr>
      <w:r>
        <w:rPr>
          <w:rFonts w:hint="eastAsia" w:hAnsi="宋体" w:cs="宋体"/>
          <w:color w:val="auto"/>
          <w:szCs w:val="21"/>
          <w:highlight w:val="none"/>
        </w:rPr>
        <w:t>发包人向承包人提供图纸的期限：</w:t>
      </w:r>
      <w:r>
        <w:rPr>
          <w:rFonts w:hint="eastAsia" w:hAnsi="宋体"/>
          <w:color w:val="auto"/>
          <w:szCs w:val="21"/>
          <w:highlight w:val="none"/>
          <w:u w:val="single"/>
        </w:rPr>
        <w:t>合同签订之日起7个工作日内</w:t>
      </w:r>
      <w:r>
        <w:rPr>
          <w:rFonts w:hint="eastAsia" w:hAnsi="宋体" w:cs="宋体"/>
          <w:color w:val="auto"/>
          <w:szCs w:val="21"/>
          <w:highlight w:val="none"/>
        </w:rPr>
        <w:t>；</w:t>
      </w:r>
    </w:p>
    <w:p w14:paraId="30D97EA6">
      <w:pPr>
        <w:spacing w:line="360" w:lineRule="auto"/>
        <w:ind w:firstLine="420" w:firstLineChars="200"/>
        <w:rPr>
          <w:color w:val="auto"/>
          <w:szCs w:val="21"/>
          <w:highlight w:val="none"/>
        </w:rPr>
      </w:pPr>
      <w:r>
        <w:rPr>
          <w:rFonts w:hint="eastAsia" w:hAnsi="宋体" w:cs="宋体"/>
          <w:color w:val="auto"/>
          <w:szCs w:val="21"/>
          <w:highlight w:val="none"/>
        </w:rPr>
        <w:t>发包人向承包人提供图纸的数量：</w:t>
      </w:r>
      <w:r>
        <w:rPr>
          <w:rFonts w:hint="eastAsia" w:hAnsi="宋体"/>
          <w:color w:val="auto"/>
          <w:szCs w:val="21"/>
          <w:highlight w:val="none"/>
          <w:u w:val="single"/>
        </w:rPr>
        <w:t>贰</w:t>
      </w:r>
      <w:r>
        <w:rPr>
          <w:rFonts w:hint="eastAsia" w:hAnsi="宋体" w:cs="宋体"/>
          <w:color w:val="auto"/>
          <w:szCs w:val="21"/>
          <w:highlight w:val="none"/>
        </w:rPr>
        <w:t>套（承包人需要增加图纸套数的，发包人应代为复制，复制费用由承包人承担）；</w:t>
      </w:r>
    </w:p>
    <w:p w14:paraId="1441C863">
      <w:pPr>
        <w:spacing w:line="360" w:lineRule="auto"/>
        <w:ind w:firstLine="420" w:firstLineChars="200"/>
        <w:rPr>
          <w:color w:val="auto"/>
          <w:szCs w:val="21"/>
          <w:highlight w:val="none"/>
        </w:rPr>
      </w:pPr>
      <w:r>
        <w:rPr>
          <w:rFonts w:hint="eastAsia" w:hAnsi="宋体" w:cs="宋体"/>
          <w:color w:val="auto"/>
          <w:szCs w:val="21"/>
          <w:highlight w:val="none"/>
        </w:rPr>
        <w:t>发包人向承包人提供图纸的内容：</w:t>
      </w:r>
      <w:r>
        <w:rPr>
          <w:rFonts w:hint="eastAsia" w:hAnsi="宋体"/>
          <w:color w:val="auto"/>
          <w:szCs w:val="21"/>
          <w:highlight w:val="none"/>
          <w:u w:val="single"/>
        </w:rPr>
        <w:t>本合同发包内容中的全部图纸（含设计变更）</w:t>
      </w:r>
      <w:r>
        <w:rPr>
          <w:rFonts w:hint="eastAsia" w:hAnsi="宋体" w:cs="宋体"/>
          <w:color w:val="auto"/>
          <w:szCs w:val="21"/>
          <w:highlight w:val="none"/>
        </w:rPr>
        <w:t>。</w:t>
      </w:r>
    </w:p>
    <w:p w14:paraId="6415F806">
      <w:pPr>
        <w:spacing w:line="360" w:lineRule="auto"/>
        <w:ind w:firstLine="420" w:firstLineChars="200"/>
        <w:rPr>
          <w:color w:val="auto"/>
          <w:szCs w:val="21"/>
          <w:highlight w:val="none"/>
        </w:rPr>
      </w:pPr>
      <w:r>
        <w:rPr>
          <w:color w:val="auto"/>
          <w:szCs w:val="21"/>
          <w:highlight w:val="none"/>
        </w:rPr>
        <w:t xml:space="preserve">1.6.4 </w:t>
      </w:r>
      <w:r>
        <w:rPr>
          <w:rFonts w:hint="eastAsia" w:hAnsi="宋体" w:cs="宋体"/>
          <w:color w:val="auto"/>
          <w:szCs w:val="21"/>
          <w:highlight w:val="none"/>
        </w:rPr>
        <w:t>承包人文件</w:t>
      </w:r>
    </w:p>
    <w:p w14:paraId="6F392A8A">
      <w:pPr>
        <w:spacing w:line="360" w:lineRule="auto"/>
        <w:ind w:firstLine="420" w:firstLineChars="200"/>
        <w:jc w:val="left"/>
        <w:rPr>
          <w:color w:val="auto"/>
          <w:szCs w:val="21"/>
          <w:highlight w:val="none"/>
          <w:u w:val="single"/>
        </w:rPr>
      </w:pPr>
      <w:r>
        <w:rPr>
          <w:rFonts w:hAnsi="宋体"/>
          <w:color w:val="auto"/>
          <w:szCs w:val="21"/>
          <w:highlight w:val="none"/>
        </w:rPr>
        <w:t>需要由承包人提供的文件，包括：</w:t>
      </w:r>
      <w:r>
        <w:rPr>
          <w:rFonts w:hint="eastAsia" w:ascii="宋体" w:hAnsi="宋体" w:cs="宋体"/>
          <w:bCs/>
          <w:color w:val="auto"/>
          <w:szCs w:val="21"/>
          <w:highlight w:val="none"/>
          <w:u w:val="single"/>
        </w:rPr>
        <w:t>实施性施工组织设计及方案 ；建设项目竣工验收前，承包人应根据合同工作内容要求，分别整理竣工验收资料（含竣工图），汇总为完整的建设项目竣工资料报发包人（费用由承包人负责）</w:t>
      </w:r>
      <w:r>
        <w:rPr>
          <w:rFonts w:hAnsi="宋体"/>
          <w:color w:val="auto"/>
          <w:szCs w:val="21"/>
          <w:highlight w:val="none"/>
        </w:rPr>
        <w:t>；</w:t>
      </w:r>
    </w:p>
    <w:p w14:paraId="3C89A032">
      <w:pPr>
        <w:spacing w:line="360" w:lineRule="auto"/>
        <w:ind w:firstLine="420" w:firstLineChars="200"/>
        <w:rPr>
          <w:color w:val="auto"/>
          <w:szCs w:val="21"/>
          <w:highlight w:val="none"/>
        </w:rPr>
      </w:pPr>
      <w:r>
        <w:rPr>
          <w:rFonts w:hAnsi="宋体"/>
          <w:color w:val="auto"/>
          <w:szCs w:val="21"/>
          <w:highlight w:val="none"/>
        </w:rPr>
        <w:t>承包人提供的文件的期限为：</w:t>
      </w:r>
      <w:r>
        <w:rPr>
          <w:rFonts w:hint="eastAsia" w:ascii="宋体" w:hAnsi="宋体"/>
          <w:color w:val="auto"/>
          <w:szCs w:val="21"/>
          <w:highlight w:val="none"/>
          <w:u w:val="single"/>
        </w:rPr>
        <w:t>开工前及</w:t>
      </w:r>
      <w:r>
        <w:rPr>
          <w:rFonts w:ascii="宋体" w:hAnsi="宋体" w:cs="宋体"/>
          <w:bCs/>
          <w:color w:val="auto"/>
          <w:szCs w:val="21"/>
          <w:highlight w:val="none"/>
          <w:u w:val="single"/>
        </w:rPr>
        <w:t>竣工验收正式通过后15</w:t>
      </w:r>
      <w:r>
        <w:rPr>
          <w:rFonts w:hint="eastAsia" w:ascii="宋体" w:hAnsi="宋体" w:cs="宋体"/>
          <w:bCs/>
          <w:color w:val="auto"/>
          <w:szCs w:val="21"/>
          <w:highlight w:val="none"/>
          <w:u w:val="single"/>
        </w:rPr>
        <w:t>天</w:t>
      </w:r>
      <w:r>
        <w:rPr>
          <w:rFonts w:hAnsi="宋体"/>
          <w:color w:val="auto"/>
          <w:szCs w:val="21"/>
          <w:highlight w:val="none"/>
        </w:rPr>
        <w:t>；</w:t>
      </w:r>
    </w:p>
    <w:p w14:paraId="19A8956C">
      <w:pPr>
        <w:spacing w:line="360" w:lineRule="auto"/>
        <w:ind w:firstLine="420" w:firstLineChars="200"/>
        <w:rPr>
          <w:color w:val="auto"/>
          <w:szCs w:val="21"/>
          <w:highlight w:val="none"/>
        </w:rPr>
      </w:pPr>
      <w:r>
        <w:rPr>
          <w:rFonts w:hAnsi="宋体"/>
          <w:color w:val="auto"/>
          <w:szCs w:val="21"/>
          <w:highlight w:val="none"/>
        </w:rPr>
        <w:t>承包人提供的文件的数量为：</w:t>
      </w:r>
      <w:r>
        <w:rPr>
          <w:rFonts w:hint="eastAsia" w:hAnsi="宋体"/>
          <w:color w:val="auto"/>
          <w:szCs w:val="21"/>
          <w:highlight w:val="none"/>
          <w:u w:val="single"/>
        </w:rPr>
        <w:t>提供6套</w:t>
      </w:r>
      <w:r>
        <w:rPr>
          <w:rFonts w:hAnsi="宋体"/>
          <w:color w:val="auto"/>
          <w:szCs w:val="21"/>
          <w:highlight w:val="none"/>
        </w:rPr>
        <w:t>；</w:t>
      </w:r>
    </w:p>
    <w:p w14:paraId="23016AD2">
      <w:pPr>
        <w:spacing w:line="360" w:lineRule="auto"/>
        <w:ind w:firstLine="420" w:firstLineChars="200"/>
        <w:rPr>
          <w:color w:val="auto"/>
          <w:szCs w:val="21"/>
          <w:highlight w:val="none"/>
        </w:rPr>
      </w:pPr>
      <w:r>
        <w:rPr>
          <w:rFonts w:hAnsi="宋体"/>
          <w:color w:val="auto"/>
          <w:szCs w:val="21"/>
          <w:highlight w:val="none"/>
        </w:rPr>
        <w:t>承包人提供的文件的形式为：</w:t>
      </w:r>
      <w:r>
        <w:rPr>
          <w:rFonts w:hint="eastAsia" w:hAnsi="宋体"/>
          <w:color w:val="auto"/>
          <w:szCs w:val="21"/>
          <w:highlight w:val="none"/>
          <w:u w:val="single"/>
        </w:rPr>
        <w:t>书面形式和电子版</w:t>
      </w:r>
      <w:r>
        <w:rPr>
          <w:rFonts w:hAnsi="宋体"/>
          <w:color w:val="auto"/>
          <w:szCs w:val="21"/>
          <w:highlight w:val="none"/>
        </w:rPr>
        <w:t>；</w:t>
      </w:r>
    </w:p>
    <w:p w14:paraId="319BD058">
      <w:pPr>
        <w:spacing w:line="360" w:lineRule="auto"/>
        <w:ind w:firstLine="420" w:firstLineChars="200"/>
        <w:rPr>
          <w:color w:val="auto"/>
          <w:szCs w:val="21"/>
          <w:highlight w:val="none"/>
        </w:rPr>
      </w:pPr>
      <w:r>
        <w:rPr>
          <w:rFonts w:hAnsi="宋体"/>
          <w:color w:val="auto"/>
          <w:szCs w:val="21"/>
          <w:highlight w:val="none"/>
        </w:rPr>
        <w:t>发包人审批承包人文件的期限：</w:t>
      </w:r>
      <w:r>
        <w:rPr>
          <w:rFonts w:hint="eastAsia" w:hAnsi="宋体"/>
          <w:color w:val="auto"/>
          <w:szCs w:val="21"/>
          <w:highlight w:val="none"/>
          <w:u w:val="single"/>
        </w:rPr>
        <w:t>提交文件后14个工作日内</w:t>
      </w:r>
      <w:r>
        <w:rPr>
          <w:rFonts w:hint="eastAsia" w:hAnsi="宋体" w:cs="宋体"/>
          <w:color w:val="auto"/>
          <w:szCs w:val="21"/>
          <w:highlight w:val="none"/>
        </w:rPr>
        <w:t>。</w:t>
      </w:r>
    </w:p>
    <w:p w14:paraId="31877730">
      <w:pPr>
        <w:spacing w:line="360" w:lineRule="auto"/>
        <w:ind w:firstLine="420" w:firstLineChars="200"/>
        <w:rPr>
          <w:color w:val="auto"/>
          <w:szCs w:val="21"/>
          <w:highlight w:val="none"/>
        </w:rPr>
      </w:pPr>
      <w:r>
        <w:rPr>
          <w:color w:val="auto"/>
          <w:szCs w:val="21"/>
          <w:highlight w:val="none"/>
        </w:rPr>
        <w:t xml:space="preserve">1.6.5 </w:t>
      </w:r>
      <w:r>
        <w:rPr>
          <w:rFonts w:hint="eastAsia" w:hAnsi="宋体" w:cs="宋体"/>
          <w:color w:val="auto"/>
          <w:szCs w:val="21"/>
          <w:highlight w:val="none"/>
        </w:rPr>
        <w:t>现场图纸准备</w:t>
      </w:r>
    </w:p>
    <w:p w14:paraId="11EC7A23">
      <w:pPr>
        <w:spacing w:line="360" w:lineRule="auto"/>
        <w:ind w:firstLine="420" w:firstLineChars="200"/>
        <w:rPr>
          <w:color w:val="auto"/>
          <w:szCs w:val="21"/>
          <w:highlight w:val="none"/>
        </w:rPr>
      </w:pPr>
      <w:r>
        <w:rPr>
          <w:rFonts w:hint="eastAsia" w:hAnsi="宋体" w:cs="宋体"/>
          <w:color w:val="auto"/>
          <w:szCs w:val="21"/>
          <w:highlight w:val="none"/>
        </w:rPr>
        <w:t>关于现场图纸准备的约定：</w:t>
      </w:r>
      <w:r>
        <w:rPr>
          <w:rFonts w:hint="eastAsia" w:hAnsi="宋体"/>
          <w:color w:val="auto"/>
          <w:szCs w:val="21"/>
          <w:highlight w:val="none"/>
          <w:u w:val="single"/>
        </w:rPr>
        <w:t>承包人在施工现场保留一套完整图纸和承包人文件，供发包人、监理人及有关人员进行工程检查时使用</w:t>
      </w:r>
      <w:r>
        <w:rPr>
          <w:rFonts w:hint="eastAsia" w:hAnsi="宋体" w:cs="宋体"/>
          <w:color w:val="auto"/>
          <w:szCs w:val="21"/>
          <w:highlight w:val="none"/>
        </w:rPr>
        <w:t>。</w:t>
      </w:r>
    </w:p>
    <w:p w14:paraId="3039176D">
      <w:pPr>
        <w:pStyle w:val="4"/>
        <w:rPr>
          <w:color w:val="auto"/>
          <w:highlight w:val="none"/>
        </w:rPr>
      </w:pPr>
      <w:r>
        <w:rPr>
          <w:color w:val="auto"/>
          <w:highlight w:val="none"/>
        </w:rPr>
        <w:t xml:space="preserve">1.7 </w:t>
      </w:r>
      <w:r>
        <w:rPr>
          <w:rFonts w:hint="eastAsia" w:hAnsi="宋体" w:cs="黑体"/>
          <w:color w:val="auto"/>
          <w:highlight w:val="none"/>
        </w:rPr>
        <w:t>联络</w:t>
      </w:r>
      <w:bookmarkEnd w:id="200"/>
      <w:bookmarkEnd w:id="201"/>
      <w:bookmarkEnd w:id="202"/>
      <w:bookmarkEnd w:id="203"/>
      <w:bookmarkEnd w:id="204"/>
      <w:bookmarkEnd w:id="205"/>
      <w:bookmarkEnd w:id="206"/>
    </w:p>
    <w:p w14:paraId="01ABD7BD">
      <w:pPr>
        <w:spacing w:line="360" w:lineRule="auto"/>
        <w:ind w:firstLine="420" w:firstLineChars="200"/>
        <w:rPr>
          <w:color w:val="auto"/>
          <w:kern w:val="0"/>
          <w:szCs w:val="21"/>
          <w:highlight w:val="none"/>
        </w:rPr>
      </w:pPr>
      <w:r>
        <w:rPr>
          <w:color w:val="auto"/>
          <w:kern w:val="0"/>
          <w:szCs w:val="21"/>
          <w:highlight w:val="none"/>
        </w:rPr>
        <w:t>1.7.1</w:t>
      </w:r>
      <w:r>
        <w:rPr>
          <w:rFonts w:hint="eastAsia" w:hAnsi="宋体" w:cs="宋体"/>
          <w:color w:val="auto"/>
          <w:kern w:val="0"/>
          <w:szCs w:val="21"/>
          <w:highlight w:val="none"/>
        </w:rPr>
        <w:t>发包人和承包人应当在</w:t>
      </w:r>
      <w:r>
        <w:rPr>
          <w:rFonts w:hint="eastAsia"/>
          <w:color w:val="auto"/>
          <w:szCs w:val="21"/>
          <w:highlight w:val="none"/>
          <w:u w:val="single"/>
        </w:rPr>
        <w:t>7日历</w:t>
      </w:r>
      <w:r>
        <w:rPr>
          <w:rFonts w:hint="eastAsia" w:hAnsi="宋体" w:cs="宋体"/>
          <w:color w:val="auto"/>
          <w:kern w:val="0"/>
          <w:szCs w:val="21"/>
          <w:highlight w:val="none"/>
        </w:rPr>
        <w:t>天内将与合同有关的通知、批准、证明、证书、指示、指令、要求、请求、同意、意见、确定和决定等书面函件送达对方当事人。</w:t>
      </w:r>
    </w:p>
    <w:p w14:paraId="52BCE8F1">
      <w:pPr>
        <w:spacing w:line="360" w:lineRule="auto"/>
        <w:ind w:firstLine="420" w:firstLineChars="200"/>
        <w:rPr>
          <w:color w:val="auto"/>
          <w:kern w:val="0"/>
          <w:szCs w:val="21"/>
          <w:highlight w:val="none"/>
        </w:rPr>
      </w:pPr>
      <w:r>
        <w:rPr>
          <w:color w:val="auto"/>
          <w:kern w:val="0"/>
          <w:szCs w:val="21"/>
          <w:highlight w:val="none"/>
        </w:rPr>
        <w:t xml:space="preserve">1.7.2 </w:t>
      </w:r>
      <w:r>
        <w:rPr>
          <w:rFonts w:hAnsi="宋体"/>
          <w:color w:val="auto"/>
          <w:kern w:val="0"/>
          <w:szCs w:val="21"/>
          <w:highlight w:val="none"/>
        </w:rPr>
        <w:t>发包人接收文件的地点：</w:t>
      </w:r>
      <w:r>
        <w:rPr>
          <w:rFonts w:hint="eastAsia" w:hAnsi="宋体"/>
          <w:color w:val="auto"/>
          <w:szCs w:val="21"/>
          <w:highlight w:val="none"/>
          <w:u w:val="single"/>
        </w:rPr>
        <w:t>施工现场发包人办公室</w:t>
      </w:r>
      <w:r>
        <w:rPr>
          <w:rFonts w:hAnsi="宋体"/>
          <w:color w:val="auto"/>
          <w:kern w:val="0"/>
          <w:szCs w:val="21"/>
          <w:highlight w:val="none"/>
        </w:rPr>
        <w:t>；</w:t>
      </w:r>
    </w:p>
    <w:p w14:paraId="52319646">
      <w:pPr>
        <w:spacing w:line="360" w:lineRule="auto"/>
        <w:ind w:firstLine="420" w:firstLineChars="200"/>
        <w:rPr>
          <w:color w:val="auto"/>
          <w:kern w:val="0"/>
          <w:szCs w:val="21"/>
          <w:highlight w:val="none"/>
        </w:rPr>
      </w:pPr>
      <w:r>
        <w:rPr>
          <w:rFonts w:hAnsi="宋体"/>
          <w:color w:val="auto"/>
          <w:kern w:val="0"/>
          <w:szCs w:val="21"/>
          <w:highlight w:val="none"/>
        </w:rPr>
        <w:t>发包人指定的接收人为：</w:t>
      </w:r>
      <w:r>
        <w:rPr>
          <w:rFonts w:hint="eastAsia" w:hAnsi="宋体"/>
          <w:color w:val="auto"/>
          <w:szCs w:val="21"/>
          <w:highlight w:val="none"/>
          <w:u w:val="single"/>
        </w:rPr>
        <w:t>业主代表（现场）</w:t>
      </w:r>
      <w:r>
        <w:rPr>
          <w:rFonts w:hAnsi="宋体"/>
          <w:color w:val="auto"/>
          <w:kern w:val="0"/>
          <w:szCs w:val="21"/>
          <w:highlight w:val="none"/>
        </w:rPr>
        <w:t>。</w:t>
      </w:r>
    </w:p>
    <w:p w14:paraId="6EDFAD2A">
      <w:pPr>
        <w:spacing w:line="360" w:lineRule="auto"/>
        <w:ind w:firstLine="420" w:firstLineChars="200"/>
        <w:rPr>
          <w:color w:val="auto"/>
          <w:kern w:val="0"/>
          <w:szCs w:val="21"/>
          <w:highlight w:val="none"/>
        </w:rPr>
      </w:pPr>
      <w:r>
        <w:rPr>
          <w:rFonts w:hAnsi="宋体"/>
          <w:color w:val="auto"/>
          <w:kern w:val="0"/>
          <w:szCs w:val="21"/>
          <w:highlight w:val="none"/>
        </w:rPr>
        <w:t>承包人接收文件的地点：</w:t>
      </w:r>
      <w:r>
        <w:rPr>
          <w:rFonts w:hint="eastAsia" w:hAnsi="宋体"/>
          <w:color w:val="auto"/>
          <w:szCs w:val="21"/>
          <w:highlight w:val="none"/>
          <w:u w:val="single"/>
        </w:rPr>
        <w:t>施工现场承包人办公室</w:t>
      </w:r>
      <w:r>
        <w:rPr>
          <w:rFonts w:hAnsi="宋体"/>
          <w:color w:val="auto"/>
          <w:kern w:val="0"/>
          <w:szCs w:val="21"/>
          <w:highlight w:val="none"/>
        </w:rPr>
        <w:t>；</w:t>
      </w:r>
    </w:p>
    <w:p w14:paraId="61331F0C">
      <w:pPr>
        <w:spacing w:line="360" w:lineRule="auto"/>
        <w:ind w:firstLine="420" w:firstLineChars="200"/>
        <w:rPr>
          <w:color w:val="auto"/>
          <w:kern w:val="0"/>
          <w:szCs w:val="21"/>
          <w:highlight w:val="none"/>
        </w:rPr>
      </w:pPr>
      <w:r>
        <w:rPr>
          <w:rFonts w:hAnsi="宋体"/>
          <w:color w:val="auto"/>
          <w:kern w:val="0"/>
          <w:szCs w:val="21"/>
          <w:highlight w:val="none"/>
        </w:rPr>
        <w:t>承包人指定的接收人为：</w:t>
      </w:r>
      <w:r>
        <w:rPr>
          <w:rFonts w:hint="eastAsia" w:hAnsi="宋体"/>
          <w:color w:val="auto"/>
          <w:szCs w:val="21"/>
          <w:highlight w:val="none"/>
          <w:u w:val="single"/>
        </w:rPr>
        <w:t>承包人项目经理</w:t>
      </w:r>
      <w:r>
        <w:rPr>
          <w:rFonts w:hAnsi="宋体"/>
          <w:color w:val="auto"/>
          <w:kern w:val="0"/>
          <w:szCs w:val="21"/>
          <w:highlight w:val="none"/>
        </w:rPr>
        <w:t>。</w:t>
      </w:r>
    </w:p>
    <w:p w14:paraId="72EF160D">
      <w:pPr>
        <w:spacing w:line="360" w:lineRule="auto"/>
        <w:ind w:firstLine="420" w:firstLineChars="200"/>
        <w:rPr>
          <w:color w:val="auto"/>
          <w:kern w:val="0"/>
          <w:szCs w:val="21"/>
          <w:highlight w:val="none"/>
        </w:rPr>
      </w:pPr>
      <w:r>
        <w:rPr>
          <w:rFonts w:hAnsi="宋体"/>
          <w:color w:val="auto"/>
          <w:kern w:val="0"/>
          <w:szCs w:val="21"/>
          <w:highlight w:val="none"/>
        </w:rPr>
        <w:t>监理人接收文件的地点：</w:t>
      </w:r>
      <w:r>
        <w:rPr>
          <w:rFonts w:hint="eastAsia" w:hAnsi="宋体"/>
          <w:color w:val="auto"/>
          <w:szCs w:val="21"/>
          <w:highlight w:val="none"/>
          <w:u w:val="single"/>
        </w:rPr>
        <w:t>施工现场监理人办公室</w:t>
      </w:r>
      <w:r>
        <w:rPr>
          <w:rFonts w:hAnsi="宋体"/>
          <w:color w:val="auto"/>
          <w:kern w:val="0"/>
          <w:szCs w:val="21"/>
          <w:highlight w:val="none"/>
        </w:rPr>
        <w:t>；</w:t>
      </w:r>
    </w:p>
    <w:p w14:paraId="3A5E9C3B">
      <w:pPr>
        <w:spacing w:line="360" w:lineRule="auto"/>
        <w:ind w:firstLine="420" w:firstLineChars="200"/>
        <w:rPr>
          <w:color w:val="auto"/>
          <w:kern w:val="0"/>
          <w:highlight w:val="none"/>
        </w:rPr>
      </w:pPr>
      <w:r>
        <w:rPr>
          <w:rFonts w:hAnsi="宋体"/>
          <w:color w:val="auto"/>
          <w:kern w:val="0"/>
          <w:szCs w:val="21"/>
          <w:highlight w:val="none"/>
        </w:rPr>
        <w:t>监理人指定的接收人为：</w:t>
      </w:r>
      <w:r>
        <w:rPr>
          <w:rFonts w:hint="eastAsia" w:hAnsi="宋体"/>
          <w:color w:val="auto"/>
          <w:szCs w:val="21"/>
          <w:highlight w:val="none"/>
          <w:u w:val="single"/>
        </w:rPr>
        <w:t>总监理工程师或总监代表</w:t>
      </w:r>
      <w:r>
        <w:rPr>
          <w:rFonts w:hint="eastAsia" w:hAnsi="宋体" w:cs="宋体"/>
          <w:color w:val="auto"/>
          <w:kern w:val="0"/>
          <w:szCs w:val="21"/>
          <w:highlight w:val="none"/>
        </w:rPr>
        <w:t>。</w:t>
      </w:r>
    </w:p>
    <w:p w14:paraId="4A9A114C">
      <w:pPr>
        <w:pStyle w:val="4"/>
        <w:rPr>
          <w:color w:val="auto"/>
          <w:highlight w:val="none"/>
        </w:rPr>
      </w:pPr>
      <w:bookmarkStart w:id="207" w:name="_Toc407135201"/>
      <w:bookmarkStart w:id="208" w:name="_Toc373478346"/>
      <w:bookmarkStart w:id="209" w:name="_Toc373227699"/>
      <w:bookmarkStart w:id="210" w:name="_Toc389065265"/>
      <w:bookmarkStart w:id="211" w:name="_Toc1387231545"/>
      <w:bookmarkStart w:id="212" w:name="_Toc224348539"/>
      <w:bookmarkStart w:id="213" w:name="_Toc78449787"/>
      <w:r>
        <w:rPr>
          <w:color w:val="auto"/>
          <w:highlight w:val="none"/>
        </w:rPr>
        <w:t xml:space="preserve">1.10 </w:t>
      </w:r>
      <w:r>
        <w:rPr>
          <w:rFonts w:hint="eastAsia" w:hAnsi="宋体" w:cs="黑体"/>
          <w:color w:val="auto"/>
          <w:highlight w:val="none"/>
        </w:rPr>
        <w:t>交通运输</w:t>
      </w:r>
      <w:bookmarkEnd w:id="207"/>
      <w:bookmarkEnd w:id="208"/>
      <w:bookmarkEnd w:id="209"/>
      <w:bookmarkEnd w:id="210"/>
      <w:bookmarkEnd w:id="211"/>
      <w:bookmarkEnd w:id="212"/>
      <w:bookmarkEnd w:id="213"/>
    </w:p>
    <w:p w14:paraId="313DFE1F">
      <w:pPr>
        <w:spacing w:line="360" w:lineRule="auto"/>
        <w:ind w:firstLine="420" w:firstLineChars="200"/>
        <w:rPr>
          <w:color w:val="auto"/>
          <w:szCs w:val="21"/>
          <w:highlight w:val="none"/>
        </w:rPr>
      </w:pPr>
      <w:bookmarkStart w:id="214" w:name="_Toc318581157"/>
      <w:r>
        <w:rPr>
          <w:color w:val="auto"/>
          <w:szCs w:val="21"/>
          <w:highlight w:val="none"/>
        </w:rPr>
        <w:t xml:space="preserve">1.10.1 </w:t>
      </w:r>
      <w:r>
        <w:rPr>
          <w:rFonts w:hAnsi="宋体"/>
          <w:color w:val="auto"/>
          <w:szCs w:val="21"/>
          <w:highlight w:val="none"/>
        </w:rPr>
        <w:t>出入现场的权利</w:t>
      </w:r>
    </w:p>
    <w:p w14:paraId="5E06FB8B">
      <w:pPr>
        <w:spacing w:line="360" w:lineRule="auto"/>
        <w:ind w:firstLine="420" w:firstLineChars="200"/>
        <w:rPr>
          <w:color w:val="auto"/>
          <w:szCs w:val="21"/>
          <w:highlight w:val="none"/>
          <w:u w:val="single"/>
        </w:rPr>
      </w:pPr>
      <w:r>
        <w:rPr>
          <w:rFonts w:hAnsi="宋体"/>
          <w:color w:val="auto"/>
          <w:szCs w:val="21"/>
          <w:highlight w:val="none"/>
        </w:rPr>
        <w:t>关于出入现场的权利的约定：</w:t>
      </w:r>
      <w:r>
        <w:rPr>
          <w:rFonts w:hint="eastAsia" w:hAnsi="宋体"/>
          <w:color w:val="auto"/>
          <w:szCs w:val="21"/>
          <w:highlight w:val="none"/>
          <w:u w:val="single"/>
        </w:rPr>
        <w:t>承包人根据工程建设需要，负责施工场地范围内的照明、砖砌围墙设施、临时给排水敷设、施工道路硬化、施工场地硬化施工，并承担因此而发生的费用，同时负责安全保卫工作。发包人和监理人有权无偿使用承包人修建的临时道路和交通设施，不需要缴纳任何费用</w:t>
      </w:r>
      <w:r>
        <w:rPr>
          <w:rFonts w:hAnsi="宋体"/>
          <w:color w:val="auto"/>
          <w:szCs w:val="21"/>
          <w:highlight w:val="none"/>
        </w:rPr>
        <w:t>。</w:t>
      </w:r>
    </w:p>
    <w:p w14:paraId="625F8D27">
      <w:pPr>
        <w:spacing w:line="360" w:lineRule="auto"/>
        <w:ind w:firstLine="420" w:firstLineChars="200"/>
        <w:jc w:val="left"/>
        <w:rPr>
          <w:color w:val="auto"/>
          <w:szCs w:val="21"/>
          <w:highlight w:val="none"/>
        </w:rPr>
      </w:pPr>
      <w:r>
        <w:rPr>
          <w:color w:val="auto"/>
          <w:szCs w:val="21"/>
          <w:highlight w:val="none"/>
        </w:rPr>
        <w:t xml:space="preserve">1.10.3 </w:t>
      </w:r>
      <w:r>
        <w:rPr>
          <w:rFonts w:hAnsi="宋体"/>
          <w:color w:val="auto"/>
          <w:szCs w:val="21"/>
          <w:highlight w:val="none"/>
        </w:rPr>
        <w:t>场内交通</w:t>
      </w:r>
    </w:p>
    <w:p w14:paraId="54F1EE25">
      <w:pPr>
        <w:spacing w:line="360" w:lineRule="auto"/>
        <w:ind w:firstLine="420" w:firstLineChars="200"/>
        <w:jc w:val="left"/>
        <w:rPr>
          <w:color w:val="auto"/>
          <w:kern w:val="0"/>
          <w:szCs w:val="21"/>
          <w:highlight w:val="none"/>
        </w:rPr>
      </w:pPr>
      <w:r>
        <w:rPr>
          <w:rFonts w:hAnsi="宋体"/>
          <w:color w:val="auto"/>
          <w:kern w:val="0"/>
          <w:szCs w:val="21"/>
          <w:highlight w:val="none"/>
        </w:rPr>
        <w:t>关于场外交通和场内交通的边界的约定：</w:t>
      </w:r>
      <w:r>
        <w:rPr>
          <w:rFonts w:hint="eastAsia" w:ascii="宋体" w:hAnsi="宋体" w:cs="宋体"/>
          <w:bCs/>
          <w:color w:val="auto"/>
          <w:szCs w:val="21"/>
          <w:highlight w:val="none"/>
          <w:u w:val="single"/>
        </w:rPr>
        <w:t>以工程用地红线界定</w:t>
      </w:r>
      <w:r>
        <w:rPr>
          <w:rFonts w:hAnsi="宋体"/>
          <w:color w:val="auto"/>
          <w:szCs w:val="21"/>
          <w:highlight w:val="none"/>
        </w:rPr>
        <w:t>。</w:t>
      </w:r>
    </w:p>
    <w:p w14:paraId="4A8992BB">
      <w:pPr>
        <w:spacing w:line="360" w:lineRule="auto"/>
        <w:ind w:firstLine="420" w:firstLineChars="200"/>
        <w:jc w:val="left"/>
        <w:rPr>
          <w:color w:val="auto"/>
          <w:szCs w:val="21"/>
          <w:highlight w:val="none"/>
        </w:rPr>
      </w:pPr>
      <w:r>
        <w:rPr>
          <w:rFonts w:hAnsi="宋体"/>
          <w:color w:val="auto"/>
          <w:szCs w:val="21"/>
          <w:highlight w:val="none"/>
        </w:rPr>
        <w:t>关于发包人向承包人免费提供满足工程施工需要的场内道路和交通设施的约定：</w:t>
      </w:r>
      <w:r>
        <w:rPr>
          <w:rFonts w:hint="eastAsia"/>
          <w:color w:val="auto"/>
          <w:highlight w:val="none"/>
          <w:u w:val="single"/>
        </w:rPr>
        <w:t>施工现场内临时道路由承包人负责建设及拆除并承担相关费用</w:t>
      </w:r>
      <w:r>
        <w:rPr>
          <w:rFonts w:hAnsi="宋体"/>
          <w:color w:val="auto"/>
          <w:szCs w:val="21"/>
          <w:highlight w:val="none"/>
        </w:rPr>
        <w:t>。</w:t>
      </w:r>
    </w:p>
    <w:p w14:paraId="7C512750">
      <w:pPr>
        <w:spacing w:line="360" w:lineRule="auto"/>
        <w:ind w:firstLine="420" w:firstLineChars="200"/>
        <w:jc w:val="left"/>
        <w:rPr>
          <w:color w:val="auto"/>
          <w:szCs w:val="21"/>
          <w:highlight w:val="none"/>
        </w:rPr>
      </w:pPr>
      <w:r>
        <w:rPr>
          <w:color w:val="auto"/>
          <w:szCs w:val="21"/>
          <w:highlight w:val="none"/>
        </w:rPr>
        <w:t>1.10.4</w:t>
      </w:r>
      <w:r>
        <w:rPr>
          <w:rFonts w:hAnsi="宋体"/>
          <w:color w:val="auto"/>
          <w:szCs w:val="21"/>
          <w:highlight w:val="none"/>
        </w:rPr>
        <w:t>超大件和超重件的运输</w:t>
      </w:r>
    </w:p>
    <w:p w14:paraId="6882A81E">
      <w:pPr>
        <w:spacing w:line="360" w:lineRule="auto"/>
        <w:ind w:firstLine="420" w:firstLineChars="200"/>
        <w:jc w:val="left"/>
        <w:rPr>
          <w:color w:val="auto"/>
          <w:highlight w:val="none"/>
          <w:u w:val="single"/>
        </w:rPr>
      </w:pPr>
      <w:r>
        <w:rPr>
          <w:rFonts w:hAnsi="宋体"/>
          <w:color w:val="auto"/>
          <w:szCs w:val="21"/>
          <w:highlight w:val="none"/>
        </w:rPr>
        <w:t>运输超大件或超重件所需的道路和桥梁临时加固改造费用和其他有关费用由</w:t>
      </w:r>
      <w:r>
        <w:rPr>
          <w:rFonts w:hint="eastAsia"/>
          <w:color w:val="auto"/>
          <w:szCs w:val="21"/>
          <w:highlight w:val="none"/>
          <w:u w:val="single"/>
        </w:rPr>
        <w:t>承包人</w:t>
      </w:r>
      <w:r>
        <w:rPr>
          <w:rFonts w:hAnsi="宋体"/>
          <w:color w:val="auto"/>
          <w:szCs w:val="21"/>
          <w:highlight w:val="none"/>
        </w:rPr>
        <w:t>承担</w:t>
      </w:r>
      <w:r>
        <w:rPr>
          <w:rFonts w:hint="eastAsia" w:hAnsi="宋体" w:cs="宋体"/>
          <w:color w:val="auto"/>
          <w:szCs w:val="21"/>
          <w:highlight w:val="none"/>
        </w:rPr>
        <w:t>。</w:t>
      </w:r>
    </w:p>
    <w:bookmarkEnd w:id="214"/>
    <w:p w14:paraId="70BBDB58">
      <w:pPr>
        <w:pStyle w:val="4"/>
        <w:rPr>
          <w:color w:val="auto"/>
          <w:highlight w:val="none"/>
        </w:rPr>
      </w:pPr>
      <w:bookmarkStart w:id="215" w:name="_Toc373478347"/>
      <w:bookmarkStart w:id="216" w:name="_Toc373227700"/>
      <w:bookmarkStart w:id="217" w:name="_Toc1495098807"/>
      <w:bookmarkStart w:id="218" w:name="_Toc389065266"/>
      <w:bookmarkStart w:id="219" w:name="_Toc512841653"/>
      <w:bookmarkStart w:id="220" w:name="_Toc78449788"/>
      <w:bookmarkStart w:id="221" w:name="_Toc407135202"/>
      <w:r>
        <w:rPr>
          <w:color w:val="auto"/>
          <w:highlight w:val="none"/>
        </w:rPr>
        <w:t xml:space="preserve">1.11 </w:t>
      </w:r>
      <w:r>
        <w:rPr>
          <w:rFonts w:hint="eastAsia" w:hAnsi="宋体" w:cs="黑体"/>
          <w:color w:val="auto"/>
          <w:highlight w:val="none"/>
        </w:rPr>
        <w:t>知识产权</w:t>
      </w:r>
      <w:bookmarkEnd w:id="215"/>
      <w:bookmarkEnd w:id="216"/>
      <w:bookmarkEnd w:id="217"/>
      <w:bookmarkEnd w:id="218"/>
      <w:bookmarkEnd w:id="219"/>
      <w:bookmarkEnd w:id="220"/>
      <w:bookmarkEnd w:id="221"/>
    </w:p>
    <w:p w14:paraId="166C6047">
      <w:pPr>
        <w:spacing w:line="360" w:lineRule="auto"/>
        <w:ind w:firstLine="420" w:firstLineChars="200"/>
        <w:rPr>
          <w:color w:val="auto"/>
          <w:szCs w:val="21"/>
          <w:highlight w:val="none"/>
        </w:rPr>
      </w:pPr>
      <w:r>
        <w:rPr>
          <w:color w:val="auto"/>
          <w:szCs w:val="21"/>
          <w:highlight w:val="none"/>
        </w:rPr>
        <w:t xml:space="preserve">1.11.1 </w:t>
      </w:r>
      <w:r>
        <w:rPr>
          <w:rFonts w:hint="eastAsia" w:hAnsi="宋体" w:cs="宋体"/>
          <w:color w:val="auto"/>
          <w:szCs w:val="21"/>
          <w:highlight w:val="none"/>
        </w:rPr>
        <w:t>关于发包人提供给承包人的图纸、发包人为实施工程自行编制或委托编制的技术规范以及反映发包人关于合同要求或其他类似性质的文件的著作权的归属：</w:t>
      </w:r>
      <w:r>
        <w:rPr>
          <w:rFonts w:hint="eastAsia" w:hAnsi="宋体"/>
          <w:color w:val="auto"/>
          <w:szCs w:val="21"/>
          <w:highlight w:val="none"/>
          <w:u w:val="single"/>
        </w:rPr>
        <w:t>按通用条款</w:t>
      </w:r>
      <w:r>
        <w:rPr>
          <w:rFonts w:hint="eastAsia" w:hAnsi="宋体" w:cs="宋体"/>
          <w:color w:val="auto"/>
          <w:szCs w:val="21"/>
          <w:highlight w:val="none"/>
        </w:rPr>
        <w:t>。</w:t>
      </w:r>
    </w:p>
    <w:p w14:paraId="0D10D393">
      <w:pPr>
        <w:spacing w:line="360" w:lineRule="auto"/>
        <w:ind w:firstLine="420" w:firstLineChars="200"/>
        <w:rPr>
          <w:color w:val="auto"/>
          <w:szCs w:val="21"/>
          <w:highlight w:val="none"/>
        </w:rPr>
      </w:pPr>
      <w:r>
        <w:rPr>
          <w:rFonts w:hint="eastAsia" w:hAnsi="宋体" w:cs="宋体"/>
          <w:color w:val="auto"/>
          <w:szCs w:val="21"/>
          <w:highlight w:val="none"/>
        </w:rPr>
        <w:t>关于发包人提供的上述文件的使用限制的要求：</w:t>
      </w:r>
      <w:r>
        <w:rPr>
          <w:rFonts w:hint="eastAsia"/>
          <w:color w:val="auto"/>
          <w:szCs w:val="21"/>
          <w:highlight w:val="none"/>
          <w:u w:val="single"/>
        </w:rPr>
        <w:t>仅限该项工程</w:t>
      </w:r>
      <w:r>
        <w:rPr>
          <w:rFonts w:hint="eastAsia" w:hAnsi="宋体" w:cs="宋体"/>
          <w:color w:val="auto"/>
          <w:szCs w:val="21"/>
          <w:highlight w:val="none"/>
        </w:rPr>
        <w:t>。</w:t>
      </w:r>
    </w:p>
    <w:p w14:paraId="4E0C4144">
      <w:pPr>
        <w:spacing w:line="360" w:lineRule="auto"/>
        <w:ind w:firstLine="420" w:firstLineChars="200"/>
        <w:rPr>
          <w:color w:val="auto"/>
          <w:szCs w:val="21"/>
          <w:highlight w:val="none"/>
        </w:rPr>
      </w:pPr>
      <w:r>
        <w:rPr>
          <w:color w:val="auto"/>
          <w:szCs w:val="21"/>
          <w:highlight w:val="none"/>
        </w:rPr>
        <w:t xml:space="preserve">1.11.2 </w:t>
      </w:r>
      <w:r>
        <w:rPr>
          <w:rFonts w:hint="eastAsia" w:hAnsi="宋体" w:cs="宋体"/>
          <w:color w:val="auto"/>
          <w:szCs w:val="21"/>
          <w:highlight w:val="none"/>
        </w:rPr>
        <w:t>关于承包人为实施工程所编制文件的著作权的归属：</w:t>
      </w:r>
      <w:r>
        <w:rPr>
          <w:rFonts w:hint="eastAsia" w:hAnsi="宋体"/>
          <w:color w:val="auto"/>
          <w:szCs w:val="21"/>
          <w:highlight w:val="none"/>
          <w:u w:val="single"/>
        </w:rPr>
        <w:t>按通用条款</w:t>
      </w:r>
      <w:r>
        <w:rPr>
          <w:rFonts w:hint="eastAsia" w:hAnsi="宋体" w:cs="宋体"/>
          <w:color w:val="auto"/>
          <w:szCs w:val="21"/>
          <w:highlight w:val="none"/>
        </w:rPr>
        <w:t>。</w:t>
      </w:r>
    </w:p>
    <w:p w14:paraId="65675C87">
      <w:pPr>
        <w:spacing w:line="360" w:lineRule="auto"/>
        <w:ind w:firstLine="420" w:firstLineChars="200"/>
        <w:rPr>
          <w:color w:val="auto"/>
          <w:szCs w:val="21"/>
          <w:highlight w:val="none"/>
          <w:u w:val="single"/>
        </w:rPr>
      </w:pPr>
      <w:r>
        <w:rPr>
          <w:rFonts w:hint="eastAsia" w:hAnsi="宋体" w:cs="宋体"/>
          <w:color w:val="auto"/>
          <w:szCs w:val="21"/>
          <w:highlight w:val="none"/>
        </w:rPr>
        <w:t>关于承包人提供的上述文件的使用限制的要求：</w:t>
      </w:r>
      <w:r>
        <w:rPr>
          <w:rFonts w:hint="eastAsia" w:hAnsi="宋体"/>
          <w:color w:val="auto"/>
          <w:szCs w:val="21"/>
          <w:highlight w:val="none"/>
          <w:u w:val="single"/>
        </w:rPr>
        <w:t>按通用条款</w:t>
      </w:r>
      <w:r>
        <w:rPr>
          <w:rFonts w:hint="eastAsia" w:hAnsi="宋体" w:cs="宋体"/>
          <w:color w:val="auto"/>
          <w:szCs w:val="21"/>
          <w:highlight w:val="none"/>
        </w:rPr>
        <w:t>。</w:t>
      </w:r>
    </w:p>
    <w:p w14:paraId="5A13337E">
      <w:pPr>
        <w:spacing w:line="360" w:lineRule="auto"/>
        <w:ind w:firstLine="420" w:firstLineChars="200"/>
        <w:rPr>
          <w:rFonts w:hAnsi="宋体"/>
          <w:color w:val="auto"/>
          <w:szCs w:val="21"/>
          <w:highlight w:val="none"/>
          <w:u w:val="single"/>
        </w:rPr>
      </w:pPr>
      <w:r>
        <w:rPr>
          <w:color w:val="auto"/>
          <w:szCs w:val="21"/>
          <w:highlight w:val="none"/>
        </w:rPr>
        <w:t xml:space="preserve">1.11.4 </w:t>
      </w:r>
      <w:r>
        <w:rPr>
          <w:rFonts w:hint="eastAsia" w:hAnsi="宋体" w:cs="宋体"/>
          <w:color w:val="auto"/>
          <w:szCs w:val="21"/>
          <w:highlight w:val="none"/>
        </w:rPr>
        <w:t>承包人在施工过程中所采用的专利、专有技术、技术秘密的使用费的承担方式：</w:t>
      </w:r>
    </w:p>
    <w:p w14:paraId="0E2BADC1">
      <w:pPr>
        <w:spacing w:line="360" w:lineRule="auto"/>
        <w:rPr>
          <w:color w:val="auto"/>
          <w:kern w:val="0"/>
          <w:highlight w:val="none"/>
        </w:rPr>
      </w:pPr>
      <w:r>
        <w:rPr>
          <w:rFonts w:hint="eastAsia" w:hAnsi="宋体"/>
          <w:color w:val="auto"/>
          <w:szCs w:val="21"/>
          <w:highlight w:val="none"/>
          <w:u w:val="single"/>
        </w:rPr>
        <w:t>由承包人负责</w:t>
      </w:r>
      <w:r>
        <w:rPr>
          <w:rFonts w:hint="eastAsia" w:hAnsi="宋体" w:cs="宋体"/>
          <w:color w:val="auto"/>
          <w:kern w:val="0"/>
          <w:szCs w:val="21"/>
          <w:highlight w:val="none"/>
        </w:rPr>
        <w:t>。</w:t>
      </w:r>
    </w:p>
    <w:p w14:paraId="1353B457">
      <w:pPr>
        <w:pStyle w:val="4"/>
        <w:rPr>
          <w:color w:val="auto"/>
          <w:highlight w:val="none"/>
        </w:rPr>
      </w:pPr>
      <w:bookmarkStart w:id="222" w:name="_Toc267680563"/>
      <w:bookmarkStart w:id="223" w:name="_Toc78449789"/>
      <w:bookmarkStart w:id="224" w:name="_Toc373227701"/>
      <w:bookmarkStart w:id="225" w:name="_Toc373478348"/>
      <w:bookmarkStart w:id="226" w:name="_Toc1194977599"/>
      <w:bookmarkStart w:id="227" w:name="_Toc389065267"/>
      <w:bookmarkStart w:id="228" w:name="_Toc407135203"/>
      <w:r>
        <w:rPr>
          <w:color w:val="auto"/>
          <w:highlight w:val="none"/>
        </w:rPr>
        <w:t>1.13</w:t>
      </w:r>
      <w:r>
        <w:rPr>
          <w:rFonts w:hint="eastAsia" w:cs="黑体"/>
          <w:color w:val="auto"/>
          <w:highlight w:val="none"/>
        </w:rPr>
        <w:t>工程量清单错误的修正</w:t>
      </w:r>
      <w:bookmarkEnd w:id="222"/>
      <w:bookmarkEnd w:id="223"/>
      <w:bookmarkEnd w:id="224"/>
      <w:bookmarkEnd w:id="225"/>
      <w:bookmarkEnd w:id="226"/>
      <w:bookmarkEnd w:id="227"/>
      <w:bookmarkEnd w:id="228"/>
    </w:p>
    <w:p w14:paraId="6F9C4386">
      <w:pPr>
        <w:spacing w:line="360" w:lineRule="auto"/>
        <w:ind w:firstLine="420" w:firstLineChars="200"/>
        <w:rPr>
          <w:color w:val="auto"/>
          <w:highlight w:val="none"/>
        </w:rPr>
      </w:pPr>
      <w:r>
        <w:rPr>
          <w:rFonts w:hint="eastAsia" w:hAnsi="宋体" w:cs="宋体"/>
          <w:color w:val="auto"/>
          <w:highlight w:val="none"/>
        </w:rPr>
        <w:t>出现工程量清单工程量偏差时，是否调整合同价格：</w:t>
      </w:r>
      <w:r>
        <w:rPr>
          <w:rFonts w:hint="eastAsia" w:ascii="宋体" w:hAnsi="宋体" w:cs="宋体"/>
          <w:color w:val="auto"/>
          <w:highlight w:val="none"/>
          <w:u w:val="single"/>
          <w:lang w:eastAsia="zh-CN"/>
        </w:rPr>
        <w:t>☑</w:t>
      </w:r>
      <w:r>
        <w:rPr>
          <w:rFonts w:hint="eastAsia" w:hAnsi="宋体" w:cs="宋体"/>
          <w:color w:val="auto"/>
          <w:highlight w:val="none"/>
          <w:u w:val="single"/>
        </w:rPr>
        <w:t xml:space="preserve">是  </w:t>
      </w:r>
      <w:r>
        <w:rPr>
          <w:rFonts w:hint="eastAsia" w:ascii="宋体" w:hAnsi="宋体" w:cs="宋体"/>
          <w:color w:val="auto"/>
          <w:highlight w:val="none"/>
          <w:u w:val="single"/>
          <w:lang w:eastAsia="zh-CN"/>
        </w:rPr>
        <w:t>□</w:t>
      </w:r>
      <w:r>
        <w:rPr>
          <w:rFonts w:hint="eastAsia" w:hAnsi="宋体" w:cs="宋体"/>
          <w:color w:val="auto"/>
          <w:highlight w:val="none"/>
          <w:u w:val="single"/>
        </w:rPr>
        <w:t>否</w:t>
      </w:r>
      <w:r>
        <w:rPr>
          <w:rFonts w:hint="eastAsia" w:hAnsi="宋体" w:cs="宋体"/>
          <w:color w:val="auto"/>
          <w:kern w:val="0"/>
          <w:highlight w:val="none"/>
        </w:rPr>
        <w:t>。</w:t>
      </w:r>
    </w:p>
    <w:p w14:paraId="4C2F7D5D">
      <w:pPr>
        <w:spacing w:line="360" w:lineRule="auto"/>
        <w:ind w:firstLine="420" w:firstLineChars="200"/>
        <w:rPr>
          <w:rFonts w:hint="eastAsia" w:hAnsi="宋体" w:cs="宋体"/>
          <w:color w:val="auto"/>
          <w:highlight w:val="none"/>
        </w:rPr>
      </w:pPr>
      <w:r>
        <w:rPr>
          <w:rFonts w:hint="eastAsia" w:hAnsi="宋体" w:cs="宋体"/>
          <w:color w:val="auto"/>
          <w:highlight w:val="none"/>
        </w:rPr>
        <w:t>允许调整合同价格的工程量偏差范围及其调整办法：</w:t>
      </w:r>
    </w:p>
    <w:p w14:paraId="30B2277A">
      <w:pPr>
        <w:spacing w:line="360" w:lineRule="auto"/>
        <w:ind w:firstLine="420" w:firstLineChars="200"/>
        <w:rPr>
          <w:color w:val="auto"/>
          <w:kern w:val="0"/>
          <w:highlight w:val="none"/>
        </w:rPr>
      </w:pPr>
      <w:r>
        <w:rPr>
          <w:rFonts w:hint="eastAsia" w:ascii="宋体" w:hAnsi="宋体" w:cs="宋体"/>
          <w:color w:val="auto"/>
          <w:highlight w:val="none"/>
          <w:lang w:eastAsia="zh-CN"/>
        </w:rPr>
        <w:t>□</w:t>
      </w:r>
      <w:r>
        <w:rPr>
          <w:color w:val="auto"/>
          <w:highlight w:val="none"/>
          <w:u w:val="single"/>
        </w:rPr>
        <w:t xml:space="preserve"> </w:t>
      </w:r>
      <w:r>
        <w:rPr>
          <w:rFonts w:hint="eastAsia"/>
          <w:color w:val="auto"/>
          <w:highlight w:val="none"/>
          <w:u w:val="single"/>
        </w:rPr>
        <w:t>除严重不平衡报价外，无论分部分项工程量清单项目中的工程量变化多少均不调整</w:t>
      </w:r>
      <w:r>
        <w:rPr>
          <w:rFonts w:hint="eastAsia" w:hAnsi="宋体" w:cs="宋体"/>
          <w:color w:val="auto"/>
          <w:kern w:val="0"/>
          <w:highlight w:val="none"/>
        </w:rPr>
        <w:t>。</w:t>
      </w:r>
    </w:p>
    <w:p w14:paraId="0F541048">
      <w:pPr>
        <w:spacing w:line="360" w:lineRule="auto"/>
        <w:ind w:firstLine="420" w:firstLineChars="200"/>
        <w:rPr>
          <w:rFonts w:hint="eastAsia" w:hAnsi="宋体" w:cs="宋体"/>
          <w:color w:val="auto"/>
          <w:highlight w:val="none"/>
          <w:u w:val="single"/>
        </w:rPr>
      </w:pPr>
      <w:r>
        <w:rPr>
          <w:rFonts w:hint="eastAsia" w:ascii="宋体" w:hAnsi="宋体" w:cs="宋体"/>
          <w:color w:val="auto"/>
          <w:highlight w:val="none"/>
          <w:lang w:eastAsia="zh-CN"/>
        </w:rPr>
        <w:t>☑</w:t>
      </w:r>
      <w:r>
        <w:rPr>
          <w:rFonts w:hint="eastAsia" w:ascii="Calibri" w:hAnsi="宋体" w:cs="宋体"/>
          <w:color w:val="auto"/>
          <w:highlight w:val="none"/>
          <w:u w:val="single"/>
        </w:rPr>
        <w:t>承包人实际完成的某单项清单项目工程量与招标工程量清单工程量偏差超过</w:t>
      </w:r>
      <w:r>
        <w:rPr>
          <w:rFonts w:hint="eastAsia" w:ascii="Calibri" w:hAnsi="宋体" w:cs="宋体"/>
          <w:color w:val="auto"/>
          <w:highlight w:val="none"/>
          <w:u w:val="single"/>
          <w:lang w:val="en-US" w:eastAsia="zh-CN"/>
        </w:rPr>
        <w:t>15</w:t>
      </w:r>
      <w:r>
        <w:rPr>
          <w:rFonts w:hint="eastAsia" w:ascii="Calibri" w:hAnsi="宋体" w:cs="宋体"/>
          <w:color w:val="auto"/>
          <w:highlight w:val="none"/>
          <w:u w:val="single"/>
        </w:rPr>
        <w:t xml:space="preserve"> %且该单项清单造价超过合同总价</w:t>
      </w:r>
      <w:r>
        <w:rPr>
          <w:rFonts w:hint="eastAsia" w:ascii="Calibri" w:hAnsi="宋体" w:cs="宋体"/>
          <w:color w:val="auto"/>
          <w:highlight w:val="none"/>
          <w:u w:val="single"/>
          <w:lang w:val="en-US" w:eastAsia="zh-CN"/>
        </w:rPr>
        <w:t>1</w:t>
      </w:r>
      <w:r>
        <w:rPr>
          <w:rFonts w:hint="eastAsia" w:ascii="Calibri" w:hAnsi="宋体" w:cs="宋体"/>
          <w:color w:val="auto"/>
          <w:highlight w:val="none"/>
          <w:u w:val="single"/>
        </w:rPr>
        <w:t>%以上的，超过后增加部分工程量或减少后剩余部分工程量的综合单价按以下方法调整：</w:t>
      </w:r>
      <w:r>
        <w:rPr>
          <w:b/>
          <w:bCs/>
          <w:color w:val="auto"/>
          <w:szCs w:val="21"/>
          <w:highlight w:val="none"/>
        </w:rPr>
        <w:t>有定额的套定额计算，执行本采购文件工程计价参考依据，</w:t>
      </w:r>
      <w:r>
        <w:rPr>
          <w:b/>
          <w:bCs/>
          <w:color w:val="auto"/>
          <w:szCs w:val="21"/>
          <w:highlight w:val="none"/>
          <w:u w:val="single"/>
        </w:rPr>
        <w:t>并乘以下浮系数（成交价/控制价）结算，</w:t>
      </w:r>
      <w:r>
        <w:rPr>
          <w:b/>
          <w:bCs/>
          <w:color w:val="auto"/>
          <w:szCs w:val="21"/>
          <w:highlight w:val="none"/>
        </w:rPr>
        <w:t>其中材料价格有信息价的按施工期间信息价的</w:t>
      </w:r>
      <w:r>
        <w:rPr>
          <w:rFonts w:hint="eastAsia"/>
          <w:b/>
          <w:bCs/>
          <w:color w:val="auto"/>
          <w:szCs w:val="21"/>
          <w:highlight w:val="none"/>
          <w:lang w:eastAsia="zh-CN"/>
        </w:rPr>
        <w:t>算术平均</w:t>
      </w:r>
      <w:r>
        <w:rPr>
          <w:b/>
          <w:bCs/>
          <w:color w:val="auto"/>
          <w:szCs w:val="21"/>
          <w:highlight w:val="none"/>
        </w:rPr>
        <w:t>价计取，无信息价的由发包人、监理单位及承包人根据市场价格协商议定</w:t>
      </w:r>
      <w:r>
        <w:rPr>
          <w:rFonts w:hint="eastAsia" w:ascii="Calibri" w:hAnsi="宋体" w:cs="宋体"/>
          <w:color w:val="auto"/>
          <w:highlight w:val="none"/>
          <w:u w:val="single"/>
        </w:rPr>
        <w:t>。</w:t>
      </w:r>
    </w:p>
    <w:p w14:paraId="54DA672D">
      <w:pPr>
        <w:pStyle w:val="3"/>
        <w:rPr>
          <w:color w:val="auto"/>
          <w:highlight w:val="none"/>
        </w:rPr>
      </w:pPr>
      <w:bookmarkStart w:id="229" w:name="_Toc351203634"/>
      <w:bookmarkStart w:id="230" w:name="_Toc1415467590"/>
      <w:bookmarkStart w:id="231" w:name="_Toc407135204"/>
      <w:bookmarkStart w:id="232" w:name="_Toc373227702"/>
      <w:bookmarkStart w:id="233" w:name="_Toc389065268"/>
      <w:bookmarkStart w:id="234" w:name="_Toc373478349"/>
      <w:bookmarkStart w:id="235" w:name="_Toc78449790"/>
      <w:bookmarkStart w:id="236" w:name="_Toc143780453"/>
      <w:r>
        <w:rPr>
          <w:color w:val="auto"/>
          <w:highlight w:val="none"/>
        </w:rPr>
        <w:t>2</w:t>
      </w:r>
      <w:bookmarkStart w:id="237" w:name="_Toc296944496"/>
      <w:bookmarkStart w:id="238" w:name="_Toc296891197"/>
      <w:bookmarkStart w:id="239" w:name="_Toc296890985"/>
      <w:bookmarkStart w:id="240" w:name="_Toc296346658"/>
      <w:bookmarkStart w:id="241" w:name="_Toc297120457"/>
      <w:bookmarkStart w:id="242" w:name="_Toc292559362"/>
      <w:bookmarkStart w:id="243" w:name="_Toc296503157"/>
      <w:bookmarkStart w:id="244" w:name="_Toc292559867"/>
      <w:bookmarkStart w:id="245" w:name="_Toc296347156"/>
      <w:bookmarkStart w:id="246" w:name="_Toc297048343"/>
      <w:r>
        <w:rPr>
          <w:color w:val="auto"/>
          <w:highlight w:val="none"/>
        </w:rPr>
        <w:t xml:space="preserve">. </w:t>
      </w:r>
      <w:r>
        <w:rPr>
          <w:rFonts w:hint="eastAsia" w:hAnsi="宋体" w:cs="黑体"/>
          <w:color w:val="auto"/>
          <w:highlight w:val="none"/>
        </w:rPr>
        <w:t>发包人</w:t>
      </w:r>
      <w:bookmarkEnd w:id="229"/>
      <w:bookmarkEnd w:id="230"/>
      <w:bookmarkEnd w:id="231"/>
      <w:bookmarkEnd w:id="232"/>
      <w:bookmarkEnd w:id="233"/>
      <w:bookmarkEnd w:id="234"/>
      <w:bookmarkEnd w:id="235"/>
      <w:bookmarkEnd w:id="236"/>
    </w:p>
    <w:bookmarkEnd w:id="237"/>
    <w:bookmarkEnd w:id="238"/>
    <w:bookmarkEnd w:id="239"/>
    <w:bookmarkEnd w:id="240"/>
    <w:bookmarkEnd w:id="241"/>
    <w:bookmarkEnd w:id="242"/>
    <w:bookmarkEnd w:id="243"/>
    <w:bookmarkEnd w:id="244"/>
    <w:bookmarkEnd w:id="245"/>
    <w:bookmarkEnd w:id="246"/>
    <w:p w14:paraId="169CF66D">
      <w:pPr>
        <w:pStyle w:val="4"/>
        <w:rPr>
          <w:color w:val="auto"/>
          <w:highlight w:val="none"/>
        </w:rPr>
      </w:pPr>
      <w:bookmarkStart w:id="247" w:name="_Toc78449791"/>
      <w:bookmarkStart w:id="248" w:name="_Toc407135205"/>
      <w:bookmarkStart w:id="249" w:name="_Toc389065269"/>
      <w:bookmarkStart w:id="250" w:name="_Toc373478350"/>
      <w:bookmarkStart w:id="251" w:name="_Toc373227703"/>
      <w:bookmarkStart w:id="252" w:name="_Toc971240048"/>
      <w:bookmarkStart w:id="253" w:name="_Toc547644210"/>
      <w:r>
        <w:rPr>
          <w:color w:val="auto"/>
          <w:highlight w:val="none"/>
        </w:rPr>
        <w:t xml:space="preserve">2.2 </w:t>
      </w:r>
      <w:r>
        <w:rPr>
          <w:rFonts w:hint="eastAsia" w:hAnsi="宋体" w:cs="黑体"/>
          <w:color w:val="auto"/>
          <w:highlight w:val="none"/>
        </w:rPr>
        <w:t>发包人代表</w:t>
      </w:r>
      <w:bookmarkEnd w:id="247"/>
      <w:bookmarkEnd w:id="248"/>
      <w:bookmarkEnd w:id="249"/>
      <w:bookmarkEnd w:id="250"/>
      <w:bookmarkEnd w:id="251"/>
      <w:bookmarkEnd w:id="252"/>
      <w:bookmarkEnd w:id="253"/>
    </w:p>
    <w:p w14:paraId="74DB887B">
      <w:pPr>
        <w:spacing w:line="360" w:lineRule="auto"/>
        <w:ind w:firstLine="420" w:firstLineChars="200"/>
        <w:rPr>
          <w:color w:val="auto"/>
          <w:highlight w:val="none"/>
        </w:rPr>
      </w:pPr>
      <w:r>
        <w:rPr>
          <w:rFonts w:hint="eastAsia" w:hAnsi="宋体" w:cs="宋体"/>
          <w:color w:val="auto"/>
          <w:highlight w:val="none"/>
        </w:rPr>
        <w:t>发包人代表：</w:t>
      </w:r>
    </w:p>
    <w:p w14:paraId="4FC46DCC">
      <w:pPr>
        <w:spacing w:line="360" w:lineRule="auto"/>
        <w:ind w:firstLine="420" w:firstLineChars="200"/>
        <w:rPr>
          <w:color w:val="auto"/>
          <w:highlight w:val="none"/>
        </w:rPr>
      </w:pPr>
      <w:r>
        <w:rPr>
          <w:rFonts w:hAnsi="宋体"/>
          <w:color w:val="auto"/>
          <w:highlight w:val="none"/>
        </w:rPr>
        <w:t>姓</w:t>
      </w:r>
      <w:r>
        <w:rPr>
          <w:color w:val="auto"/>
          <w:highlight w:val="none"/>
        </w:rPr>
        <w:t xml:space="preserve">    </w:t>
      </w:r>
      <w:r>
        <w:rPr>
          <w:rFonts w:hAnsi="宋体"/>
          <w:color w:val="auto"/>
          <w:highlight w:val="none"/>
        </w:rPr>
        <w:t>名：</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1E52D2E9">
      <w:pPr>
        <w:spacing w:line="360" w:lineRule="auto"/>
        <w:ind w:firstLine="420" w:firstLineChars="200"/>
        <w:rPr>
          <w:color w:val="auto"/>
          <w:highlight w:val="none"/>
        </w:rPr>
      </w:pPr>
      <w:r>
        <w:rPr>
          <w:rFonts w:hAnsi="宋体"/>
          <w:color w:val="auto"/>
          <w:highlight w:val="none"/>
        </w:rPr>
        <w:t>身份证号：</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0311572D">
      <w:pPr>
        <w:spacing w:line="360" w:lineRule="auto"/>
        <w:ind w:firstLine="420" w:firstLineChars="200"/>
        <w:rPr>
          <w:color w:val="auto"/>
          <w:highlight w:val="none"/>
        </w:rPr>
      </w:pPr>
      <w:r>
        <w:rPr>
          <w:rFonts w:hAnsi="宋体"/>
          <w:color w:val="auto"/>
          <w:highlight w:val="none"/>
        </w:rPr>
        <w:t>职</w:t>
      </w:r>
      <w:r>
        <w:rPr>
          <w:color w:val="auto"/>
          <w:highlight w:val="none"/>
        </w:rPr>
        <w:t xml:space="preserve">    </w:t>
      </w:r>
      <w:r>
        <w:rPr>
          <w:rFonts w:hAnsi="宋体"/>
          <w:color w:val="auto"/>
          <w:highlight w:val="none"/>
        </w:rPr>
        <w:t>务：</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12FC7A07">
      <w:pPr>
        <w:spacing w:line="360" w:lineRule="auto"/>
        <w:ind w:firstLine="420" w:firstLineChars="200"/>
        <w:rPr>
          <w:color w:val="auto"/>
          <w:highlight w:val="none"/>
        </w:rPr>
      </w:pPr>
      <w:r>
        <w:rPr>
          <w:rFonts w:hAnsi="宋体"/>
          <w:color w:val="auto"/>
          <w:highlight w:val="none"/>
        </w:rPr>
        <w:t>联系电话：</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51A36988">
      <w:pPr>
        <w:spacing w:line="360" w:lineRule="auto"/>
        <w:ind w:firstLine="420" w:firstLineChars="200"/>
        <w:rPr>
          <w:color w:val="auto"/>
          <w:highlight w:val="none"/>
        </w:rPr>
      </w:pPr>
      <w:r>
        <w:rPr>
          <w:rFonts w:hAnsi="宋体"/>
          <w:color w:val="auto"/>
          <w:highlight w:val="none"/>
        </w:rPr>
        <w:t>电子信箱：</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0BAFBB81">
      <w:pPr>
        <w:spacing w:line="360" w:lineRule="auto"/>
        <w:ind w:firstLine="420" w:firstLineChars="200"/>
        <w:rPr>
          <w:color w:val="auto"/>
          <w:highlight w:val="none"/>
        </w:rPr>
      </w:pPr>
      <w:r>
        <w:rPr>
          <w:rFonts w:hAnsi="宋体"/>
          <w:color w:val="auto"/>
          <w:highlight w:val="none"/>
        </w:rPr>
        <w:t>通信地址：</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1819A2C4">
      <w:pPr>
        <w:spacing w:line="360" w:lineRule="auto"/>
        <w:ind w:firstLine="420" w:firstLineChars="200"/>
        <w:rPr>
          <w:color w:val="auto"/>
          <w:highlight w:val="none"/>
          <w:u w:val="single"/>
        </w:rPr>
      </w:pPr>
      <w:r>
        <w:rPr>
          <w:rFonts w:hint="eastAsia" w:hAnsi="宋体" w:cs="宋体"/>
          <w:color w:val="auto"/>
          <w:highlight w:val="none"/>
        </w:rPr>
        <w:t>发包人对发包人代表的授权范围如下：</w:t>
      </w:r>
      <w:r>
        <w:rPr>
          <w:rFonts w:hint="eastAsia" w:hAnsi="宋体"/>
          <w:color w:val="auto"/>
          <w:szCs w:val="21"/>
          <w:highlight w:val="none"/>
          <w:u w:val="single"/>
        </w:rPr>
        <w:t>代表发包人与监理工程师协调与本工程有关的事宜，并行使合同约定的发包人权利，履行合同约定发包人的职责</w:t>
      </w:r>
      <w:r>
        <w:rPr>
          <w:rFonts w:hAnsi="宋体"/>
          <w:color w:val="auto"/>
          <w:szCs w:val="21"/>
          <w:highlight w:val="none"/>
          <w:u w:val="single"/>
        </w:rPr>
        <w:t>。</w:t>
      </w:r>
      <w:r>
        <w:rPr>
          <w:rFonts w:hint="eastAsia" w:hAnsi="宋体"/>
          <w:color w:val="auto"/>
          <w:szCs w:val="21"/>
          <w:highlight w:val="none"/>
          <w:u w:val="single"/>
        </w:rPr>
        <w:t>督促指导监理工程师行使职权，协调施工现场各方面的关系，协调工程质量，进度和安全文明施工中存在的问题，解决有关设计和技术签证，办理、签认现场经济技术签证，审核工程进度报表</w:t>
      </w:r>
      <w:r>
        <w:rPr>
          <w:rFonts w:hint="eastAsia" w:hAnsi="宋体" w:cs="宋体"/>
          <w:color w:val="auto"/>
          <w:highlight w:val="none"/>
        </w:rPr>
        <w:t>。</w:t>
      </w:r>
    </w:p>
    <w:p w14:paraId="0D44A5D7">
      <w:pPr>
        <w:pStyle w:val="4"/>
        <w:rPr>
          <w:color w:val="auto"/>
          <w:highlight w:val="none"/>
        </w:rPr>
      </w:pPr>
      <w:bookmarkStart w:id="254" w:name="_Toc2077499244"/>
      <w:bookmarkStart w:id="255" w:name="_Toc389065270"/>
      <w:bookmarkStart w:id="256" w:name="_Toc373478351"/>
      <w:bookmarkStart w:id="257" w:name="_Toc78449792"/>
      <w:bookmarkStart w:id="258" w:name="_Toc373227704"/>
      <w:bookmarkStart w:id="259" w:name="_Toc407135206"/>
      <w:bookmarkStart w:id="260" w:name="_Toc2066513957"/>
      <w:r>
        <w:rPr>
          <w:color w:val="auto"/>
          <w:highlight w:val="none"/>
        </w:rPr>
        <w:t xml:space="preserve">2.4 </w:t>
      </w:r>
      <w:r>
        <w:rPr>
          <w:rFonts w:hint="eastAsia" w:cs="黑体"/>
          <w:color w:val="auto"/>
          <w:highlight w:val="none"/>
        </w:rPr>
        <w:t>施工现场、施工条件和基础资料的提供</w:t>
      </w:r>
      <w:bookmarkEnd w:id="254"/>
      <w:bookmarkEnd w:id="255"/>
      <w:bookmarkEnd w:id="256"/>
      <w:bookmarkEnd w:id="257"/>
      <w:bookmarkEnd w:id="258"/>
      <w:bookmarkEnd w:id="259"/>
      <w:bookmarkEnd w:id="260"/>
    </w:p>
    <w:p w14:paraId="5A1833CB">
      <w:pPr>
        <w:spacing w:line="360" w:lineRule="auto"/>
        <w:ind w:firstLine="420" w:firstLineChars="200"/>
        <w:rPr>
          <w:color w:val="auto"/>
          <w:szCs w:val="21"/>
          <w:highlight w:val="none"/>
        </w:rPr>
      </w:pPr>
      <w:r>
        <w:rPr>
          <w:color w:val="auto"/>
          <w:szCs w:val="21"/>
          <w:highlight w:val="none"/>
        </w:rPr>
        <w:t xml:space="preserve">2.4.1 </w:t>
      </w:r>
      <w:r>
        <w:rPr>
          <w:rFonts w:hAnsi="宋体"/>
          <w:color w:val="auto"/>
          <w:szCs w:val="21"/>
          <w:highlight w:val="none"/>
        </w:rPr>
        <w:t>提供施工现场</w:t>
      </w:r>
    </w:p>
    <w:p w14:paraId="73C8257D">
      <w:pPr>
        <w:spacing w:line="360" w:lineRule="auto"/>
        <w:ind w:firstLine="420" w:firstLineChars="200"/>
        <w:jc w:val="left"/>
        <w:rPr>
          <w:color w:val="auto"/>
          <w:szCs w:val="21"/>
          <w:highlight w:val="none"/>
        </w:rPr>
      </w:pPr>
      <w:r>
        <w:rPr>
          <w:rFonts w:hAnsi="宋体"/>
          <w:color w:val="auto"/>
          <w:szCs w:val="21"/>
          <w:highlight w:val="none"/>
        </w:rPr>
        <w:t>关于发包人移交施工现场的期限要求：</w:t>
      </w:r>
      <w:r>
        <w:rPr>
          <w:rFonts w:hint="eastAsia" w:hAnsi="宋体"/>
          <w:color w:val="auto"/>
          <w:szCs w:val="21"/>
          <w:highlight w:val="none"/>
          <w:u w:val="single"/>
        </w:rPr>
        <w:t>开工前7天，满足工程进展要求。施工场地内的道路由承包人自行完成，施工场地内的道路及与市政道路接口路段的日常清洁与维护由承包人承担，费用由承包人承担</w:t>
      </w:r>
      <w:r>
        <w:rPr>
          <w:rFonts w:hAnsi="宋体"/>
          <w:color w:val="auto"/>
          <w:szCs w:val="21"/>
          <w:highlight w:val="none"/>
        </w:rPr>
        <w:t>。</w:t>
      </w:r>
    </w:p>
    <w:p w14:paraId="201DEB45">
      <w:pPr>
        <w:spacing w:line="360" w:lineRule="auto"/>
        <w:ind w:firstLine="420" w:firstLineChars="200"/>
        <w:rPr>
          <w:color w:val="auto"/>
          <w:szCs w:val="21"/>
          <w:highlight w:val="none"/>
        </w:rPr>
      </w:pPr>
      <w:r>
        <w:rPr>
          <w:color w:val="auto"/>
          <w:szCs w:val="21"/>
          <w:highlight w:val="none"/>
        </w:rPr>
        <w:t xml:space="preserve">2.4.2 </w:t>
      </w:r>
      <w:r>
        <w:rPr>
          <w:rFonts w:hAnsi="宋体"/>
          <w:color w:val="auto"/>
          <w:szCs w:val="21"/>
          <w:highlight w:val="none"/>
        </w:rPr>
        <w:t>提供施工条件</w:t>
      </w:r>
    </w:p>
    <w:p w14:paraId="1030556C">
      <w:pPr>
        <w:spacing w:line="360" w:lineRule="auto"/>
        <w:ind w:firstLine="420" w:firstLineChars="200"/>
        <w:rPr>
          <w:rFonts w:hAnsi="宋体"/>
          <w:color w:val="auto"/>
          <w:szCs w:val="21"/>
          <w:highlight w:val="none"/>
        </w:rPr>
      </w:pPr>
      <w:r>
        <w:rPr>
          <w:rFonts w:hAnsi="宋体"/>
          <w:color w:val="auto"/>
          <w:szCs w:val="21"/>
          <w:highlight w:val="none"/>
        </w:rPr>
        <w:t>关于发包人应负责提供施工所需要的条件，包括：</w:t>
      </w:r>
      <w:r>
        <w:rPr>
          <w:rFonts w:hint="eastAsia" w:ascii="宋体" w:hAnsi="宋体"/>
          <w:color w:val="auto"/>
          <w:szCs w:val="21"/>
          <w:highlight w:val="none"/>
          <w:u w:val="single"/>
        </w:rPr>
        <w:t>施工所需电接入点和水接入点由发包人确定，由承包人负责接至施工现场并安装计量表，根据水电收费部门核定的费用、支付时间向发包人支付。红线范围内的管道/管线、计量设备由承包人自行解决，电讯线路的开通由承包人自行解决并承担费用；承包人使用的水、电、通讯费用由承包人负责。若供电部门的原因造成停电，承包人必须自行解决施工用电，费用由承包人负责。发包人在开工前负责办理好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发包人未能在约定期</w:t>
      </w:r>
      <w:r>
        <w:rPr>
          <w:rFonts w:hint="eastAsia" w:ascii="宋体" w:hAnsi="宋体"/>
          <w:color w:val="auto"/>
          <w:szCs w:val="21"/>
          <w:highlight w:val="none"/>
          <w:u w:val="single"/>
          <w:lang w:eastAsia="zh-CN"/>
        </w:rPr>
        <w:t>限内</w:t>
      </w:r>
      <w:r>
        <w:rPr>
          <w:rFonts w:hint="eastAsia" w:ascii="宋体" w:hAnsi="宋体"/>
          <w:color w:val="auto"/>
          <w:szCs w:val="21"/>
          <w:highlight w:val="none"/>
          <w:u w:val="single"/>
        </w:rPr>
        <w:t>办理施工所需证件要求承包人先行进场施工的，由此导致承包人遭受行政处罚及其他经济损失等不良后果，由发包人承担。开工前7天内由发包人组织承包人、设计、勘察和监理单位进行图纸会审和设计交底</w:t>
      </w:r>
      <w:r>
        <w:rPr>
          <w:rFonts w:hAnsi="宋体"/>
          <w:color w:val="auto"/>
          <w:szCs w:val="21"/>
          <w:highlight w:val="none"/>
        </w:rPr>
        <w:t>。</w:t>
      </w:r>
    </w:p>
    <w:p w14:paraId="447F0028">
      <w:pPr>
        <w:spacing w:line="360" w:lineRule="auto"/>
        <w:ind w:firstLine="420" w:firstLineChars="200"/>
        <w:rPr>
          <w:color w:val="auto"/>
          <w:szCs w:val="21"/>
          <w:highlight w:val="none"/>
          <w:u w:val="single"/>
        </w:rPr>
      </w:pPr>
      <w:r>
        <w:rPr>
          <w:rFonts w:hint="eastAsia"/>
          <w:color w:val="auto"/>
          <w:szCs w:val="21"/>
          <w:highlight w:val="none"/>
        </w:rPr>
        <w:t>工程地质和地下管线资料的提供时间：</w:t>
      </w:r>
      <w:r>
        <w:rPr>
          <w:rFonts w:hint="eastAsia"/>
          <w:color w:val="auto"/>
          <w:szCs w:val="21"/>
          <w:highlight w:val="none"/>
          <w:u w:val="single"/>
        </w:rPr>
        <w:t>由发包人在开工前7天提供。</w:t>
      </w:r>
    </w:p>
    <w:p w14:paraId="286D82BB">
      <w:pPr>
        <w:spacing w:line="360" w:lineRule="auto"/>
        <w:ind w:firstLine="420" w:firstLineChars="200"/>
        <w:rPr>
          <w:color w:val="auto"/>
          <w:highlight w:val="none"/>
          <w:u w:val="single"/>
        </w:rPr>
      </w:pPr>
      <w:r>
        <w:rPr>
          <w:rFonts w:hint="eastAsia"/>
          <w:color w:val="auto"/>
          <w:szCs w:val="21"/>
          <w:highlight w:val="none"/>
        </w:rPr>
        <w:t>水准点与座标控制点交验要求：</w:t>
      </w:r>
      <w:r>
        <w:rPr>
          <w:rFonts w:hint="eastAsia"/>
          <w:color w:val="auto"/>
          <w:szCs w:val="21"/>
          <w:highlight w:val="none"/>
          <w:u w:val="single"/>
        </w:rPr>
        <w:t>于开工前3日内现场交验，双方做好签认工作。</w:t>
      </w:r>
    </w:p>
    <w:p w14:paraId="1B401F45">
      <w:pPr>
        <w:pStyle w:val="4"/>
        <w:rPr>
          <w:color w:val="auto"/>
          <w:highlight w:val="none"/>
        </w:rPr>
      </w:pPr>
      <w:bookmarkStart w:id="261" w:name="_Toc389065271"/>
      <w:bookmarkStart w:id="262" w:name="_Toc373227705"/>
      <w:bookmarkStart w:id="263" w:name="_Toc407135207"/>
      <w:bookmarkStart w:id="264" w:name="_Toc1238195908"/>
      <w:bookmarkStart w:id="265" w:name="_Toc373478352"/>
      <w:bookmarkStart w:id="266" w:name="_Toc672429943"/>
      <w:bookmarkStart w:id="267" w:name="_Toc78449793"/>
      <w:r>
        <w:rPr>
          <w:color w:val="auto"/>
          <w:highlight w:val="none"/>
        </w:rPr>
        <w:t xml:space="preserve">2.5 </w:t>
      </w:r>
      <w:r>
        <w:rPr>
          <w:rFonts w:hint="eastAsia" w:cs="黑体"/>
          <w:color w:val="auto"/>
          <w:highlight w:val="none"/>
        </w:rPr>
        <w:t>资金来源证明及支付担保</w:t>
      </w:r>
      <w:bookmarkEnd w:id="261"/>
      <w:bookmarkEnd w:id="262"/>
      <w:bookmarkEnd w:id="263"/>
      <w:bookmarkEnd w:id="264"/>
      <w:bookmarkEnd w:id="265"/>
      <w:bookmarkEnd w:id="266"/>
      <w:bookmarkEnd w:id="267"/>
    </w:p>
    <w:p w14:paraId="0B691D1B">
      <w:pPr>
        <w:spacing w:line="360" w:lineRule="auto"/>
        <w:ind w:firstLine="420" w:firstLineChars="200"/>
        <w:rPr>
          <w:color w:val="auto"/>
          <w:szCs w:val="21"/>
          <w:highlight w:val="none"/>
        </w:rPr>
      </w:pPr>
      <w:r>
        <w:rPr>
          <w:rFonts w:hint="eastAsia" w:hAnsi="宋体" w:cs="宋体"/>
          <w:color w:val="auto"/>
          <w:szCs w:val="21"/>
          <w:highlight w:val="none"/>
        </w:rPr>
        <w:t>发包人提供资金来源证明的期限要求：</w:t>
      </w:r>
      <w:r>
        <w:rPr>
          <w:rFonts w:hint="eastAsia"/>
          <w:color w:val="auto"/>
          <w:szCs w:val="21"/>
          <w:highlight w:val="none"/>
          <w:u w:val="single"/>
        </w:rPr>
        <w:t>/</w:t>
      </w:r>
      <w:r>
        <w:rPr>
          <w:rFonts w:hint="eastAsia" w:hAnsi="宋体" w:cs="宋体"/>
          <w:color w:val="auto"/>
          <w:szCs w:val="21"/>
          <w:highlight w:val="none"/>
        </w:rPr>
        <w:t>。</w:t>
      </w:r>
    </w:p>
    <w:p w14:paraId="637317B1">
      <w:pPr>
        <w:spacing w:line="360" w:lineRule="auto"/>
        <w:ind w:firstLine="420" w:firstLineChars="200"/>
        <w:rPr>
          <w:color w:val="auto"/>
          <w:highlight w:val="none"/>
        </w:rPr>
      </w:pPr>
      <w:r>
        <w:rPr>
          <w:rFonts w:hint="eastAsia" w:hAnsi="宋体" w:cs="宋体"/>
          <w:color w:val="auto"/>
          <w:szCs w:val="21"/>
          <w:highlight w:val="none"/>
        </w:rPr>
        <w:t>发包人是否提供支付担保：无。</w:t>
      </w:r>
      <w:r>
        <w:rPr>
          <w:rFonts w:hint="eastAsia" w:ascii="Times New Roman" w:hAnsi="宋体" w:eastAsia="宋体" w:cs="宋体"/>
          <w:color w:val="auto"/>
          <w:highlight w:val="none"/>
        </w:rPr>
        <w:t>【</w:t>
      </w:r>
      <w:r>
        <w:rPr>
          <w:rFonts w:hint="eastAsia" w:ascii="Times New Roman" w:hAnsi="宋体" w:eastAsia="宋体" w:cs="宋体"/>
          <w:i w:val="0"/>
          <w:caps w:val="0"/>
          <w:color w:val="auto"/>
          <w:spacing w:val="0"/>
          <w:sz w:val="21"/>
          <w:szCs w:val="21"/>
          <w:highlight w:val="none"/>
          <w:lang w:eastAsia="zh-CN"/>
        </w:rPr>
        <w:t>发包</w:t>
      </w:r>
      <w:r>
        <w:rPr>
          <w:rFonts w:hint="eastAsia" w:ascii="Times New Roman" w:hAnsi="宋体" w:eastAsia="宋体" w:cs="宋体"/>
          <w:i w:val="0"/>
          <w:caps w:val="0"/>
          <w:color w:val="auto"/>
          <w:spacing w:val="0"/>
          <w:sz w:val="21"/>
          <w:szCs w:val="21"/>
          <w:highlight w:val="none"/>
        </w:rPr>
        <w:t>人要求</w:t>
      </w:r>
      <w:r>
        <w:rPr>
          <w:rFonts w:hint="eastAsia" w:ascii="Times New Roman" w:hAnsi="宋体" w:eastAsia="宋体" w:cs="宋体"/>
          <w:i w:val="0"/>
          <w:caps w:val="0"/>
          <w:color w:val="auto"/>
          <w:spacing w:val="0"/>
          <w:sz w:val="21"/>
          <w:szCs w:val="21"/>
          <w:highlight w:val="none"/>
          <w:lang w:eastAsia="zh-CN"/>
        </w:rPr>
        <w:t>承包</w:t>
      </w:r>
      <w:r>
        <w:rPr>
          <w:rFonts w:hint="eastAsia" w:ascii="Times New Roman" w:hAnsi="宋体" w:eastAsia="宋体" w:cs="宋体"/>
          <w:i w:val="0"/>
          <w:caps w:val="0"/>
          <w:color w:val="auto"/>
          <w:spacing w:val="0"/>
          <w:sz w:val="21"/>
          <w:szCs w:val="21"/>
          <w:highlight w:val="none"/>
        </w:rPr>
        <w:t>人提供履约担保的，应当同时向</w:t>
      </w:r>
      <w:r>
        <w:rPr>
          <w:rFonts w:hint="eastAsia" w:ascii="Times New Roman" w:hAnsi="宋体" w:eastAsia="宋体" w:cs="宋体"/>
          <w:i w:val="0"/>
          <w:caps w:val="0"/>
          <w:color w:val="auto"/>
          <w:spacing w:val="0"/>
          <w:sz w:val="21"/>
          <w:szCs w:val="21"/>
          <w:highlight w:val="none"/>
          <w:lang w:eastAsia="zh-CN"/>
        </w:rPr>
        <w:t>承包</w:t>
      </w:r>
      <w:r>
        <w:rPr>
          <w:rFonts w:hint="eastAsia" w:ascii="Times New Roman" w:hAnsi="宋体" w:eastAsia="宋体" w:cs="宋体"/>
          <w:i w:val="0"/>
          <w:caps w:val="0"/>
          <w:color w:val="auto"/>
          <w:spacing w:val="0"/>
          <w:sz w:val="21"/>
          <w:szCs w:val="21"/>
          <w:highlight w:val="none"/>
        </w:rPr>
        <w:t>人提供工程款支付担保。工程款支付担保可以全额担保，也可以分阶段担保。分阶段担保的，除保修金以外的全部款项，完成一个阶段清算后再进入下一阶段，有效期截至工程竣工结算款支付完毕。</w:t>
      </w:r>
      <w:r>
        <w:rPr>
          <w:rFonts w:hint="eastAsia" w:ascii="Times New Roman" w:hAnsi="宋体" w:eastAsia="宋体" w:cs="宋体"/>
          <w:i w:val="0"/>
          <w:caps w:val="0"/>
          <w:color w:val="auto"/>
          <w:spacing w:val="0"/>
          <w:sz w:val="21"/>
          <w:szCs w:val="21"/>
          <w:highlight w:val="none"/>
          <w:lang w:eastAsia="zh-CN"/>
        </w:rPr>
        <w:t>发包</w:t>
      </w:r>
      <w:r>
        <w:rPr>
          <w:rFonts w:hint="eastAsia" w:ascii="Times New Roman" w:hAnsi="宋体" w:eastAsia="宋体" w:cs="宋体"/>
          <w:i w:val="0"/>
          <w:caps w:val="0"/>
          <w:color w:val="auto"/>
          <w:spacing w:val="0"/>
          <w:sz w:val="21"/>
          <w:szCs w:val="21"/>
          <w:highlight w:val="none"/>
        </w:rPr>
        <w:t>人未按合同约定及时支付工程款的，工程担保保证人需承担担保责任。对政府投资项目，由建设单位提供落实财政资金来源的证明文件</w:t>
      </w:r>
      <w:r>
        <w:rPr>
          <w:rFonts w:hint="eastAsia" w:hAnsi="宋体" w:cs="宋体"/>
          <w:i w:val="0"/>
          <w:caps w:val="0"/>
          <w:color w:val="auto"/>
          <w:spacing w:val="0"/>
          <w:sz w:val="21"/>
          <w:szCs w:val="21"/>
          <w:highlight w:val="none"/>
          <w:lang w:eastAsia="zh-CN"/>
        </w:rPr>
        <w:t>】</w:t>
      </w:r>
    </w:p>
    <w:p w14:paraId="762160D6">
      <w:pPr>
        <w:spacing w:line="360" w:lineRule="auto"/>
        <w:ind w:firstLine="420" w:firstLineChars="200"/>
        <w:rPr>
          <w:rFonts w:hint="eastAsia" w:hAnsi="宋体" w:cs="宋体"/>
          <w:color w:val="auto"/>
          <w:highlight w:val="none"/>
          <w:lang w:val="en" w:eastAsia="zh-CN"/>
        </w:rPr>
      </w:pPr>
      <w:r>
        <w:rPr>
          <w:rFonts w:hint="eastAsia" w:hAnsi="宋体" w:cs="宋体"/>
          <w:color w:val="auto"/>
          <w:highlight w:val="none"/>
        </w:rPr>
        <w:t>发包人提供支付担保的形式：</w:t>
      </w:r>
      <w:r>
        <w:rPr>
          <w:rFonts w:hint="eastAsia"/>
          <w:color w:val="auto"/>
          <w:highlight w:val="none"/>
          <w:u w:val="none"/>
          <w:lang w:eastAsia="zh-CN"/>
        </w:rPr>
        <w:t>可以是</w:t>
      </w:r>
      <w:r>
        <w:rPr>
          <w:rFonts w:hint="eastAsia" w:hAnsi="宋体" w:cs="宋体"/>
          <w:color w:val="auto"/>
          <w:highlight w:val="none"/>
        </w:rPr>
        <w:t>银行转账、电汇或网上支付、保函（银行保函、电子</w:t>
      </w:r>
      <w:r>
        <w:rPr>
          <w:rFonts w:hAnsi="宋体" w:cs="宋体"/>
          <w:color w:val="auto"/>
          <w:highlight w:val="none"/>
        </w:rPr>
        <w:t>保函</w:t>
      </w:r>
      <w:r>
        <w:rPr>
          <w:rFonts w:hint="eastAsia" w:hAnsi="宋体" w:cs="宋体"/>
          <w:color w:val="auto"/>
          <w:highlight w:val="none"/>
        </w:rPr>
        <w:t>、保证保险保函、工程担保保函）</w:t>
      </w:r>
      <w:r>
        <w:rPr>
          <w:rFonts w:hint="eastAsia" w:hAnsi="宋体"/>
          <w:color w:val="auto"/>
          <w:highlight w:val="none"/>
        </w:rPr>
        <w:t>等</w:t>
      </w:r>
      <w:r>
        <w:rPr>
          <w:rFonts w:hint="eastAsia" w:hAnsi="宋体" w:cs="宋体"/>
          <w:color w:val="auto"/>
          <w:highlight w:val="none"/>
        </w:rPr>
        <w:t>形</w:t>
      </w:r>
      <w:r>
        <w:rPr>
          <w:rFonts w:hint="eastAsia" w:hAnsi="宋体"/>
          <w:color w:val="auto"/>
          <w:highlight w:val="none"/>
        </w:rPr>
        <w:t>式</w:t>
      </w:r>
      <w:r>
        <w:rPr>
          <w:rFonts w:hint="eastAsia" w:hAnsi="宋体" w:cs="宋体"/>
          <w:color w:val="auto"/>
          <w:highlight w:val="none"/>
        </w:rPr>
        <w:t>。</w:t>
      </w:r>
      <w:r>
        <w:rPr>
          <w:rFonts w:hint="eastAsia" w:hAnsi="宋体" w:cs="宋体"/>
          <w:color w:val="auto"/>
          <w:highlight w:val="none"/>
          <w:lang w:eastAsia="zh-CN"/>
        </w:rPr>
        <w:t>工程担保保证人应将出具的保函相关信息录入“广西建筑市场监管云”平台（http://gxjzsc.caihcloud.com），以实现保函查询及验真功能</w:t>
      </w:r>
      <w:r>
        <w:rPr>
          <w:rFonts w:hint="eastAsia" w:hAnsi="宋体" w:cs="宋体"/>
          <w:color w:val="auto"/>
          <w:highlight w:val="none"/>
          <w:lang w:val="en" w:eastAsia="zh-CN"/>
        </w:rPr>
        <w:t>。</w:t>
      </w:r>
    </w:p>
    <w:p w14:paraId="23AD5DC9">
      <w:pPr>
        <w:spacing w:line="360" w:lineRule="auto"/>
        <w:ind w:firstLine="420" w:firstLineChars="200"/>
        <w:rPr>
          <w:color w:val="auto"/>
          <w:highlight w:val="none"/>
          <w:u w:val="single"/>
        </w:rPr>
      </w:pPr>
      <w:r>
        <w:rPr>
          <w:rFonts w:hint="eastAsia" w:hAnsi="宋体" w:cs="宋体"/>
          <w:color w:val="auto"/>
          <w:highlight w:val="none"/>
        </w:rPr>
        <w:t>发包人提供的支付担保格式见合同附件</w:t>
      </w:r>
      <w:r>
        <w:rPr>
          <w:rFonts w:hint="eastAsia" w:hAnsi="宋体"/>
          <w:color w:val="auto"/>
          <w:highlight w:val="none"/>
        </w:rPr>
        <w:t>9</w:t>
      </w:r>
      <w:r>
        <w:rPr>
          <w:rFonts w:hint="eastAsia" w:hAnsi="宋体" w:cs="宋体"/>
          <w:color w:val="auto"/>
          <w:highlight w:val="none"/>
        </w:rPr>
        <w:t>。</w:t>
      </w:r>
    </w:p>
    <w:p w14:paraId="2142CDBA">
      <w:pPr>
        <w:pStyle w:val="3"/>
        <w:rPr>
          <w:color w:val="auto"/>
          <w:highlight w:val="none"/>
        </w:rPr>
      </w:pPr>
      <w:bookmarkStart w:id="268" w:name="_Toc407135208"/>
      <w:bookmarkStart w:id="269" w:name="_Toc389065272"/>
      <w:bookmarkStart w:id="270" w:name="_Toc351203635"/>
      <w:bookmarkStart w:id="271" w:name="_Toc1181400362"/>
      <w:bookmarkStart w:id="272" w:name="_Toc373227706"/>
      <w:bookmarkStart w:id="273" w:name="_Toc78449794"/>
      <w:bookmarkStart w:id="274" w:name="_Toc729657770"/>
      <w:bookmarkStart w:id="275" w:name="_Toc373478353"/>
      <w:r>
        <w:rPr>
          <w:color w:val="auto"/>
          <w:highlight w:val="none"/>
        </w:rPr>
        <w:t>3</w:t>
      </w:r>
      <w:bookmarkStart w:id="276" w:name="_Toc296346659"/>
      <w:bookmarkStart w:id="277" w:name="_Toc296891198"/>
      <w:bookmarkStart w:id="278" w:name="_Toc296503158"/>
      <w:bookmarkStart w:id="279" w:name="_Toc297120458"/>
      <w:bookmarkStart w:id="280" w:name="_Toc297048344"/>
      <w:bookmarkStart w:id="281" w:name="_Toc296890986"/>
      <w:bookmarkStart w:id="282" w:name="_Toc296347157"/>
      <w:bookmarkStart w:id="283" w:name="_Toc292559868"/>
      <w:bookmarkStart w:id="284" w:name="_Toc296944497"/>
      <w:bookmarkStart w:id="285" w:name="_Toc292559363"/>
      <w:r>
        <w:rPr>
          <w:color w:val="auto"/>
          <w:highlight w:val="none"/>
        </w:rPr>
        <w:t xml:space="preserve">. </w:t>
      </w:r>
      <w:r>
        <w:rPr>
          <w:rFonts w:hint="eastAsia" w:hAnsi="宋体" w:cs="黑体"/>
          <w:color w:val="auto"/>
          <w:highlight w:val="none"/>
        </w:rPr>
        <w:t>承包人</w:t>
      </w:r>
      <w:bookmarkEnd w:id="268"/>
      <w:bookmarkEnd w:id="269"/>
      <w:bookmarkEnd w:id="270"/>
      <w:bookmarkEnd w:id="271"/>
      <w:bookmarkEnd w:id="272"/>
      <w:bookmarkEnd w:id="273"/>
      <w:bookmarkEnd w:id="274"/>
      <w:bookmarkEnd w:id="275"/>
    </w:p>
    <w:bookmarkEnd w:id="276"/>
    <w:bookmarkEnd w:id="277"/>
    <w:bookmarkEnd w:id="278"/>
    <w:bookmarkEnd w:id="279"/>
    <w:bookmarkEnd w:id="280"/>
    <w:bookmarkEnd w:id="281"/>
    <w:bookmarkEnd w:id="282"/>
    <w:bookmarkEnd w:id="283"/>
    <w:bookmarkEnd w:id="284"/>
    <w:bookmarkEnd w:id="285"/>
    <w:p w14:paraId="4CC3D000">
      <w:pPr>
        <w:pStyle w:val="4"/>
        <w:rPr>
          <w:color w:val="auto"/>
          <w:highlight w:val="none"/>
        </w:rPr>
      </w:pPr>
      <w:bookmarkStart w:id="286" w:name="_Toc389065273"/>
      <w:bookmarkStart w:id="287" w:name="_Toc1642190822"/>
      <w:bookmarkStart w:id="288" w:name="_Toc962678435"/>
      <w:bookmarkStart w:id="289" w:name="_Toc373227707"/>
      <w:bookmarkStart w:id="290" w:name="_Toc373478354"/>
      <w:bookmarkStart w:id="291" w:name="_Toc78449795"/>
      <w:bookmarkStart w:id="292" w:name="_Toc407135209"/>
      <w:r>
        <w:rPr>
          <w:color w:val="auto"/>
          <w:highlight w:val="none"/>
        </w:rPr>
        <w:t xml:space="preserve">3.1 </w:t>
      </w:r>
      <w:r>
        <w:rPr>
          <w:rFonts w:hint="eastAsia" w:cs="黑体"/>
          <w:color w:val="auto"/>
          <w:highlight w:val="none"/>
        </w:rPr>
        <w:t>承包人的一般义务</w:t>
      </w:r>
      <w:bookmarkEnd w:id="286"/>
      <w:bookmarkEnd w:id="287"/>
      <w:bookmarkEnd w:id="288"/>
      <w:bookmarkEnd w:id="289"/>
      <w:bookmarkEnd w:id="290"/>
      <w:bookmarkEnd w:id="291"/>
      <w:bookmarkEnd w:id="292"/>
    </w:p>
    <w:p w14:paraId="43966E48">
      <w:pPr>
        <w:keepNext/>
        <w:keepLines/>
        <w:spacing w:line="360" w:lineRule="auto"/>
        <w:outlineLvl w:val="2"/>
        <w:rPr>
          <w:rFonts w:eastAsia="黑体"/>
          <w:b/>
          <w:bCs/>
          <w:color w:val="auto"/>
          <w:sz w:val="32"/>
          <w:szCs w:val="32"/>
          <w:highlight w:val="none"/>
          <w:lang w:val="zh-CN"/>
        </w:rPr>
      </w:pPr>
      <w:r>
        <w:rPr>
          <w:rFonts w:eastAsia="黑体"/>
          <w:b/>
          <w:bCs/>
          <w:color w:val="auto"/>
          <w:sz w:val="32"/>
          <w:szCs w:val="32"/>
          <w:highlight w:val="none"/>
          <w:lang w:val="zh-CN"/>
        </w:rPr>
        <w:t xml:space="preserve"> </w:t>
      </w:r>
      <w:r>
        <w:rPr>
          <w:rFonts w:hint="eastAsia" w:eastAsia="黑体" w:cs="黑体"/>
          <w:b/>
          <w:bCs/>
          <w:color w:val="auto"/>
          <w:sz w:val="32"/>
          <w:szCs w:val="32"/>
          <w:highlight w:val="none"/>
          <w:lang w:val="zh-CN"/>
        </w:rPr>
        <w:t>承包人的一般义务</w:t>
      </w:r>
    </w:p>
    <w:p w14:paraId="5EC8AD07">
      <w:pPr>
        <w:spacing w:line="360" w:lineRule="auto"/>
        <w:ind w:firstLine="420" w:firstLineChars="200"/>
        <w:jc w:val="left"/>
        <w:rPr>
          <w:rFonts w:hAnsi="宋体"/>
          <w:color w:val="auto"/>
          <w:szCs w:val="21"/>
          <w:highlight w:val="none"/>
        </w:rPr>
      </w:pPr>
      <w:r>
        <w:rPr>
          <w:rFonts w:hint="eastAsia" w:hAnsi="宋体" w:cs="宋体"/>
          <w:color w:val="auto"/>
          <w:kern w:val="0"/>
          <w:szCs w:val="21"/>
          <w:highlight w:val="none"/>
        </w:rPr>
        <w:t>（</w:t>
      </w:r>
      <w:r>
        <w:rPr>
          <w:color w:val="auto"/>
          <w:kern w:val="0"/>
          <w:szCs w:val="21"/>
          <w:highlight w:val="none"/>
        </w:rPr>
        <w:t>9</w:t>
      </w:r>
      <w:r>
        <w:rPr>
          <w:rFonts w:hint="eastAsia" w:hAnsi="宋体" w:cs="宋体"/>
          <w:color w:val="auto"/>
          <w:kern w:val="0"/>
          <w:szCs w:val="21"/>
          <w:highlight w:val="none"/>
        </w:rPr>
        <w:t>）</w:t>
      </w:r>
      <w:r>
        <w:rPr>
          <w:rFonts w:hint="eastAsia" w:hAnsi="宋体" w:cs="宋体"/>
          <w:color w:val="auto"/>
          <w:szCs w:val="21"/>
          <w:highlight w:val="none"/>
        </w:rPr>
        <w:t>承包人提交的竣工资料的内容：</w:t>
      </w:r>
    </w:p>
    <w:p w14:paraId="7E17B36B">
      <w:pPr>
        <w:spacing w:line="360" w:lineRule="auto"/>
        <w:ind w:firstLine="420" w:firstLineChars="200"/>
        <w:jc w:val="left"/>
        <w:rPr>
          <w:color w:val="auto"/>
          <w:szCs w:val="21"/>
          <w:highlight w:val="none"/>
          <w:u w:val="single"/>
        </w:rPr>
      </w:pPr>
      <w:r>
        <w:rPr>
          <w:rFonts w:hint="eastAsia" w:hAnsi="宋体"/>
          <w:color w:val="auto"/>
          <w:szCs w:val="21"/>
          <w:highlight w:val="none"/>
          <w:u w:val="single"/>
        </w:rPr>
        <w:t>按国家规范工程竣工验收有关规定，向发包人提供完整的（含现场隐蔽工程照片、录像）竣工资料一式陆套及竣工验收报告</w:t>
      </w:r>
      <w:r>
        <w:rPr>
          <w:rFonts w:hAnsi="宋体"/>
          <w:color w:val="auto"/>
          <w:szCs w:val="21"/>
          <w:highlight w:val="none"/>
        </w:rPr>
        <w:t>。</w:t>
      </w:r>
    </w:p>
    <w:p w14:paraId="71F5731B">
      <w:pPr>
        <w:spacing w:line="360" w:lineRule="auto"/>
        <w:ind w:firstLine="420" w:firstLineChars="200"/>
        <w:jc w:val="left"/>
        <w:rPr>
          <w:color w:val="auto"/>
          <w:szCs w:val="21"/>
          <w:highlight w:val="none"/>
        </w:rPr>
      </w:pPr>
      <w:r>
        <w:rPr>
          <w:rFonts w:hAnsi="宋体"/>
          <w:color w:val="auto"/>
          <w:szCs w:val="21"/>
          <w:highlight w:val="none"/>
        </w:rPr>
        <w:t>承包人需要提交的竣工资料套数：</w:t>
      </w:r>
      <w:r>
        <w:rPr>
          <w:rFonts w:hint="eastAsia" w:hAnsi="宋体"/>
          <w:color w:val="auto"/>
          <w:szCs w:val="21"/>
          <w:highlight w:val="none"/>
          <w:u w:val="single"/>
        </w:rPr>
        <w:t>一式陆套</w:t>
      </w:r>
      <w:r>
        <w:rPr>
          <w:rFonts w:hAnsi="宋体"/>
          <w:color w:val="auto"/>
          <w:szCs w:val="21"/>
          <w:highlight w:val="none"/>
        </w:rPr>
        <w:t>。</w:t>
      </w:r>
    </w:p>
    <w:p w14:paraId="708BA34B">
      <w:pPr>
        <w:spacing w:line="360" w:lineRule="auto"/>
        <w:ind w:left="424" w:leftChars="202"/>
        <w:jc w:val="left"/>
        <w:rPr>
          <w:color w:val="auto"/>
          <w:szCs w:val="21"/>
          <w:highlight w:val="none"/>
        </w:rPr>
      </w:pPr>
      <w:r>
        <w:rPr>
          <w:rFonts w:hAnsi="宋体"/>
          <w:color w:val="auto"/>
          <w:szCs w:val="21"/>
          <w:highlight w:val="none"/>
        </w:rPr>
        <w:t>承包人提交的竣工资料的费用承担：</w:t>
      </w:r>
      <w:r>
        <w:rPr>
          <w:rFonts w:hint="eastAsia"/>
          <w:color w:val="auto"/>
          <w:szCs w:val="21"/>
          <w:highlight w:val="none"/>
          <w:u w:val="single"/>
        </w:rPr>
        <w:t>费用由承包人承担</w:t>
      </w:r>
      <w:r>
        <w:rPr>
          <w:rFonts w:hAnsi="宋体"/>
          <w:color w:val="auto"/>
          <w:szCs w:val="21"/>
          <w:highlight w:val="none"/>
        </w:rPr>
        <w:t>。</w:t>
      </w:r>
    </w:p>
    <w:p w14:paraId="20BEA799">
      <w:pPr>
        <w:spacing w:line="360" w:lineRule="auto"/>
        <w:ind w:left="424" w:leftChars="202"/>
        <w:jc w:val="left"/>
        <w:rPr>
          <w:color w:val="auto"/>
          <w:szCs w:val="21"/>
          <w:highlight w:val="none"/>
        </w:rPr>
      </w:pPr>
      <w:r>
        <w:rPr>
          <w:rFonts w:hAnsi="宋体"/>
          <w:color w:val="auto"/>
          <w:szCs w:val="21"/>
          <w:highlight w:val="none"/>
        </w:rPr>
        <w:t>承包人提交的竣工资料移交时间：</w:t>
      </w:r>
      <w:r>
        <w:rPr>
          <w:rFonts w:hint="eastAsia"/>
          <w:color w:val="auto"/>
          <w:szCs w:val="21"/>
          <w:highlight w:val="none"/>
          <w:u w:val="single"/>
        </w:rPr>
        <w:t>竣工验收整改完成后15日内</w:t>
      </w:r>
      <w:r>
        <w:rPr>
          <w:rFonts w:hAnsi="宋体"/>
          <w:color w:val="auto"/>
          <w:szCs w:val="21"/>
          <w:highlight w:val="none"/>
        </w:rPr>
        <w:t>。</w:t>
      </w:r>
    </w:p>
    <w:p w14:paraId="546708DE">
      <w:pPr>
        <w:spacing w:line="360" w:lineRule="auto"/>
        <w:ind w:firstLine="420" w:firstLineChars="200"/>
        <w:jc w:val="left"/>
        <w:rPr>
          <w:color w:val="auto"/>
          <w:szCs w:val="22"/>
          <w:highlight w:val="none"/>
        </w:rPr>
      </w:pPr>
      <w:r>
        <w:rPr>
          <w:rFonts w:hAnsi="宋体"/>
          <w:color w:val="auto"/>
          <w:szCs w:val="21"/>
          <w:highlight w:val="none"/>
        </w:rPr>
        <w:t>承包人提交的竣工资料形式要求：</w:t>
      </w:r>
      <w:r>
        <w:rPr>
          <w:rFonts w:hint="eastAsia"/>
          <w:color w:val="auto"/>
          <w:szCs w:val="21"/>
          <w:highlight w:val="none"/>
          <w:u w:val="single"/>
        </w:rPr>
        <w:t>按南宁市建设行政主管部门和城市建设档案管理机构的相关要求，</w:t>
      </w:r>
      <w:r>
        <w:rPr>
          <w:rFonts w:hint="eastAsia" w:ascii="宋体" w:hAnsi="宋体"/>
          <w:color w:val="auto"/>
          <w:highlight w:val="none"/>
          <w:u w:val="single"/>
        </w:rPr>
        <w:t>纸质及电子文档并装订成册</w:t>
      </w:r>
      <w:r>
        <w:rPr>
          <w:rFonts w:hint="eastAsia" w:ascii="宋体" w:hAnsi="宋体"/>
          <w:color w:val="auto"/>
          <w:highlight w:val="none"/>
        </w:rPr>
        <w:t>。</w:t>
      </w:r>
    </w:p>
    <w:p w14:paraId="28EE94D0">
      <w:pPr>
        <w:numPr>
          <w:ilvl w:val="0"/>
          <w:numId w:val="3"/>
        </w:numPr>
        <w:spacing w:line="360" w:lineRule="auto"/>
        <w:ind w:firstLine="420" w:firstLineChars="200"/>
        <w:rPr>
          <w:rFonts w:hAnsi="宋体" w:cs="宋体"/>
          <w:color w:val="auto"/>
          <w:kern w:val="0"/>
          <w:szCs w:val="21"/>
          <w:highlight w:val="none"/>
        </w:rPr>
      </w:pPr>
      <w:r>
        <w:rPr>
          <w:rFonts w:hint="eastAsia" w:hAnsi="宋体" w:cs="宋体"/>
          <w:color w:val="auto"/>
          <w:kern w:val="0"/>
          <w:szCs w:val="21"/>
          <w:highlight w:val="none"/>
        </w:rPr>
        <w:t>承包人应履行的其他义务：</w:t>
      </w:r>
    </w:p>
    <w:p w14:paraId="36D06D1E">
      <w:pPr>
        <w:spacing w:line="360" w:lineRule="auto"/>
        <w:ind w:firstLine="420" w:firstLineChars="200"/>
        <w:rPr>
          <w:color w:val="auto"/>
          <w:kern w:val="0"/>
          <w:szCs w:val="21"/>
          <w:highlight w:val="none"/>
          <w:u w:val="single"/>
        </w:rPr>
      </w:pPr>
      <w:r>
        <w:rPr>
          <w:rFonts w:hint="eastAsia" w:hAnsi="宋体" w:cs="宋体"/>
          <w:color w:val="auto"/>
          <w:kern w:val="0"/>
          <w:szCs w:val="21"/>
          <w:highlight w:val="none"/>
        </w:rPr>
        <w:t>1）</w:t>
      </w:r>
      <w:r>
        <w:rPr>
          <w:rFonts w:hint="eastAsia" w:hAnsi="宋体" w:cs="宋体"/>
          <w:color w:val="auto"/>
          <w:kern w:val="0"/>
          <w:szCs w:val="21"/>
          <w:highlight w:val="none"/>
          <w:u w:val="single"/>
        </w:rPr>
        <w:t>对开工的项目，须组建项目工会。</w:t>
      </w:r>
    </w:p>
    <w:p w14:paraId="3E7A57E2">
      <w:pPr>
        <w:spacing w:line="360" w:lineRule="auto"/>
        <w:ind w:firstLine="422" w:firstLineChars="200"/>
        <w:rPr>
          <w:rFonts w:ascii="宋体" w:hAnsi="宋体"/>
          <w:b/>
          <w:bCs/>
          <w:color w:val="auto"/>
          <w:kern w:val="0"/>
          <w:szCs w:val="21"/>
          <w:highlight w:val="none"/>
          <w:u w:val="single"/>
        </w:rPr>
      </w:pPr>
      <w:r>
        <w:rPr>
          <w:rFonts w:hint="eastAsia" w:ascii="宋体" w:hAnsi="宋体"/>
          <w:b/>
          <w:bCs/>
          <w:color w:val="auto"/>
          <w:kern w:val="0"/>
          <w:szCs w:val="21"/>
          <w:highlight w:val="none"/>
        </w:rPr>
        <w:t>2）施工场地周围地下管线和邻近建筑物、构筑物（含文物保护建筑）、古树名木的保护要求及费用承担：</w:t>
      </w:r>
      <w:r>
        <w:rPr>
          <w:rFonts w:hint="eastAsia" w:ascii="宋体" w:hAnsi="宋体"/>
          <w:b/>
          <w:bCs/>
          <w:color w:val="auto"/>
          <w:kern w:val="0"/>
          <w:szCs w:val="21"/>
          <w:highlight w:val="none"/>
          <w:u w:val="single"/>
        </w:rPr>
        <w:t>承包人施工时应探明并负责保护且承包费用，施工时如属承包人自身原因损坏地下管线、邻近建筑物、构筑物，所发生费用由承包人承担。</w:t>
      </w:r>
    </w:p>
    <w:p w14:paraId="7D65FB6B">
      <w:pPr>
        <w:spacing w:line="360" w:lineRule="auto"/>
        <w:ind w:firstLine="422" w:firstLineChars="200"/>
        <w:rPr>
          <w:rFonts w:ascii="宋体" w:hAnsi="宋体"/>
          <w:b/>
          <w:bCs/>
          <w:color w:val="auto"/>
          <w:szCs w:val="21"/>
          <w:highlight w:val="none"/>
        </w:rPr>
      </w:pPr>
      <w:r>
        <w:rPr>
          <w:rFonts w:hint="eastAsia" w:ascii="宋体" w:hAnsi="宋体"/>
          <w:b/>
          <w:bCs/>
          <w:color w:val="auto"/>
          <w:kern w:val="0"/>
          <w:szCs w:val="21"/>
          <w:highlight w:val="none"/>
        </w:rPr>
        <w:t>3）</w:t>
      </w:r>
      <w:r>
        <w:rPr>
          <w:rFonts w:hint="eastAsia" w:ascii="宋体" w:hAnsi="宋体"/>
          <w:b/>
          <w:bCs/>
          <w:color w:val="auto"/>
          <w:szCs w:val="21"/>
          <w:highlight w:val="none"/>
        </w:rPr>
        <w:t>取土场及弃土场由承包人自行解决，但不得违反相关管理规定，并承担相关费用。</w:t>
      </w:r>
    </w:p>
    <w:p w14:paraId="0976F2C0">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4）承包人的临时占地（含项目部驻地等）租用费（含拆迁补偿）、临时用地的环保、恢复及所有临时性占地的青苗补偿及地面附着物发生的费用均由承包人负责。</w:t>
      </w:r>
    </w:p>
    <w:p w14:paraId="62539BB6">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5）承包人应按监理人的指示负责拆除、清理已征用土地上的零星拆迁垃圾、杂物以及场地中的树根等并承担相关费用。</w:t>
      </w:r>
    </w:p>
    <w:p w14:paraId="779FE878">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6）各合同承包人应允许本工程其他承包人在本合同承包人施工场地上架设施工用电线路，线路走向由监理人会同各有关合同承包人共同协商确定。</w:t>
      </w:r>
    </w:p>
    <w:p w14:paraId="0DEA95DF">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7）承包人应充分理解有一些设施（如施工道路）将会由一个以上的承包人使用，如果在使用过程中发生干扰时，应立即通知监理人并服从监理人的决定。</w:t>
      </w:r>
    </w:p>
    <w:p w14:paraId="5B3F2DE0">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8）凡属于需要承包人交付给其他承包人的工作面以及与其他承包人交叉作业的工作面，承包人必须服从发包人的决定，按规定的完工日期完成并将清理好的工作面移交给发包人。</w:t>
      </w:r>
    </w:p>
    <w:p w14:paraId="013C833F">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9）承包人应为发包人现场代表对施工现场的检查监督提供必要的配合，并对这种配合对施工的影响应有充分的考虑。</w:t>
      </w:r>
    </w:p>
    <w:p w14:paraId="18ED7AA7">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10）配合发包人</w:t>
      </w:r>
      <w:r>
        <w:rPr>
          <w:rFonts w:hint="eastAsia" w:ascii="宋体" w:hAnsi="宋体"/>
          <w:color w:val="auto"/>
          <w:szCs w:val="21"/>
          <w:highlight w:val="none"/>
          <w:lang w:eastAsia="zh-CN"/>
        </w:rPr>
        <w:t>做好</w:t>
      </w:r>
      <w:r>
        <w:rPr>
          <w:rFonts w:hint="eastAsia" w:ascii="宋体" w:hAnsi="宋体"/>
          <w:color w:val="auto"/>
          <w:szCs w:val="21"/>
          <w:highlight w:val="none"/>
        </w:rPr>
        <w:t>安全文明宣传、领导检查宣传等工作，相关费用由承包人承担。</w:t>
      </w:r>
    </w:p>
    <w:p w14:paraId="12E63C6C">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11）承包人须自行承担本工程水电报装（含变压器、设备、电等）、使用、维护、拆除、恢复等工作，并负责相关费用。</w:t>
      </w:r>
    </w:p>
    <w:p w14:paraId="4C93E34F">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12）对上述2）～11）项工作，费用已包括在有关单价和总价中，发包人不再另行支付由此所发生的一切费用。</w:t>
      </w:r>
    </w:p>
    <w:p w14:paraId="20188E82">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13）经过城市道路的施工车辆，必须按交警、城管、环保、环卫等部门规定通行。施工车辆的营运手续办理、清洗等一切费用由承包人承担。由于车辆带泥或洒漏造成的道路、环境等污染，其责任和费用均由承包人承担。</w:t>
      </w:r>
    </w:p>
    <w:p w14:paraId="62F0168B">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14）土料场由承包人自行解决。</w:t>
      </w:r>
    </w:p>
    <w:p w14:paraId="76C3C769">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15）承包人应负责施工场内交通管制和协调通行工作。连接施工场内外道路出口处须设洗车场，对从施工场地进入市区道路的所有车辆进行清洗，并派专人在出口处负责看守，严禁与工程施工无关的人员及车辆进出施工场地，所发生的费用由承包人承担。如承包人违反以上有关规定，由此所造成的一切后果由承包人负责。</w:t>
      </w:r>
    </w:p>
    <w:p w14:paraId="4953EFE2">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16）承包人修建的临时道路和交通设施，应免费提供给发包人、监理人和其他合同段的承包人使用。</w:t>
      </w:r>
    </w:p>
    <w:p w14:paraId="72B1A09E">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17）承包人在施工期间应协调好与邻近相关单位（含居民、农民）的关系，应避免发生矛盾与冲突，否则，由此造成的一切后果由承包人承担。</w:t>
      </w:r>
    </w:p>
    <w:p w14:paraId="25880B99">
      <w:pPr>
        <w:spacing w:line="360" w:lineRule="auto"/>
        <w:ind w:firstLine="420" w:firstLineChars="200"/>
        <w:jc w:val="left"/>
        <w:rPr>
          <w:rFonts w:ascii="宋体" w:hAnsi="宋体"/>
          <w:bCs/>
          <w:color w:val="auto"/>
          <w:kern w:val="0"/>
          <w:szCs w:val="21"/>
          <w:highlight w:val="none"/>
        </w:rPr>
      </w:pPr>
      <w:r>
        <w:rPr>
          <w:rFonts w:hint="eastAsia" w:ascii="宋体" w:hAnsi="宋体"/>
          <w:color w:val="auto"/>
          <w:szCs w:val="21"/>
          <w:highlight w:val="none"/>
        </w:rPr>
        <w:t>18）由</w:t>
      </w:r>
      <w:r>
        <w:rPr>
          <w:rFonts w:hint="eastAsia" w:ascii="宋体" w:hAnsi="宋体"/>
          <w:bCs/>
          <w:color w:val="auto"/>
          <w:kern w:val="0"/>
          <w:szCs w:val="21"/>
          <w:highlight w:val="none"/>
        </w:rPr>
        <w:t>承包人按国家和自治区有关征收、管理和使用新型墙体材料专项基金、散装水泥专项基金的有关规定向管理部门缴纳新型墙体材料专项基金、散装水泥专项基金。</w:t>
      </w:r>
    </w:p>
    <w:p w14:paraId="27804C91">
      <w:pPr>
        <w:spacing w:line="360" w:lineRule="auto"/>
        <w:ind w:firstLine="420" w:firstLineChars="200"/>
        <w:jc w:val="left"/>
        <w:rPr>
          <w:rFonts w:ascii="宋体" w:hAnsi="宋体"/>
          <w:color w:val="auto"/>
          <w:szCs w:val="21"/>
          <w:highlight w:val="none"/>
        </w:rPr>
      </w:pPr>
      <w:r>
        <w:rPr>
          <w:rFonts w:hint="eastAsia" w:ascii="宋体" w:hAnsi="宋体"/>
          <w:bCs/>
          <w:color w:val="auto"/>
          <w:kern w:val="0"/>
          <w:szCs w:val="21"/>
          <w:highlight w:val="none"/>
          <w:lang w:eastAsia="zh-CN"/>
        </w:rPr>
        <w:t>19）</w:t>
      </w:r>
      <w:r>
        <w:rPr>
          <w:rFonts w:hint="eastAsia" w:ascii="宋体" w:hAnsi="宋体"/>
          <w:bCs/>
          <w:color w:val="auto"/>
          <w:kern w:val="0"/>
          <w:szCs w:val="21"/>
          <w:highlight w:val="none"/>
        </w:rPr>
        <w:t xml:space="preserve"> </w:t>
      </w:r>
      <w:r>
        <w:rPr>
          <w:rFonts w:hint="eastAsia" w:ascii="宋体" w:hAnsi="宋体" w:cs="Arial"/>
          <w:color w:val="auto"/>
          <w:szCs w:val="21"/>
          <w:highlight w:val="none"/>
        </w:rPr>
        <w:t>积极协助与配合第三方审计机构开展跟踪审计工作，保障审计工作顺利进行。</w:t>
      </w:r>
    </w:p>
    <w:p w14:paraId="7D865068">
      <w:pPr>
        <w:spacing w:line="360" w:lineRule="auto"/>
        <w:ind w:firstLine="420" w:firstLineChars="200"/>
        <w:rPr>
          <w:color w:val="auto"/>
          <w:kern w:val="0"/>
          <w:highlight w:val="none"/>
        </w:rPr>
      </w:pPr>
      <w:r>
        <w:rPr>
          <w:rFonts w:hint="eastAsia" w:hAnsi="宋体"/>
          <w:color w:val="auto"/>
          <w:kern w:val="0"/>
          <w:szCs w:val="21"/>
          <w:highlight w:val="none"/>
        </w:rPr>
        <w:t>20）按照《中华人民共和国工会法</w:t>
      </w:r>
      <w:r>
        <w:rPr>
          <w:rFonts w:hint="eastAsia" w:hAnsi="宋体"/>
          <w:color w:val="auto"/>
          <w:kern w:val="0"/>
          <w:szCs w:val="21"/>
          <w:highlight w:val="none"/>
          <w:lang w:eastAsia="zh-CN"/>
        </w:rPr>
        <w:t>》《</w:t>
      </w:r>
      <w:r>
        <w:rPr>
          <w:rFonts w:hint="eastAsia" w:hAnsi="宋体"/>
          <w:color w:val="auto"/>
          <w:kern w:val="0"/>
          <w:szCs w:val="21"/>
          <w:highlight w:val="none"/>
        </w:rPr>
        <w:t>国务院关于进一步做好为农民工服务工作的意见》（国发〔2014〕40号）、《中华全国总工会关于深入贯彻落实</w:t>
      </w:r>
      <w:r>
        <w:rPr>
          <w:rFonts w:hint="eastAsia" w:hAnsi="宋体"/>
          <w:color w:val="auto"/>
          <w:kern w:val="0"/>
          <w:szCs w:val="21"/>
          <w:highlight w:val="none"/>
          <w:lang w:eastAsia="zh-CN"/>
        </w:rPr>
        <w:t>〈</w:t>
      </w:r>
      <w:r>
        <w:rPr>
          <w:rFonts w:hint="eastAsia" w:hAnsi="宋体"/>
          <w:color w:val="auto"/>
          <w:kern w:val="0"/>
          <w:szCs w:val="21"/>
          <w:highlight w:val="none"/>
        </w:rPr>
        <w:t>国务院关于进一步做好为农民工服务工作的意见</w:t>
      </w:r>
      <w:r>
        <w:rPr>
          <w:rFonts w:hint="eastAsia" w:hAnsi="宋体"/>
          <w:color w:val="auto"/>
          <w:kern w:val="0"/>
          <w:szCs w:val="21"/>
          <w:highlight w:val="none"/>
          <w:lang w:eastAsia="zh-CN"/>
        </w:rPr>
        <w:t>〉</w:t>
      </w:r>
      <w:r>
        <w:rPr>
          <w:rFonts w:hint="eastAsia" w:hAnsi="宋体"/>
          <w:color w:val="auto"/>
          <w:kern w:val="0"/>
          <w:szCs w:val="21"/>
          <w:highlight w:val="none"/>
        </w:rPr>
        <w:t>的实施意见》（总工发〔2015〕14号）有关要求，深入开展“农民工入会集中行动”。</w:t>
      </w:r>
    </w:p>
    <w:p w14:paraId="69EC0D21">
      <w:pPr>
        <w:pStyle w:val="4"/>
        <w:rPr>
          <w:color w:val="auto"/>
          <w:highlight w:val="none"/>
        </w:rPr>
      </w:pPr>
      <w:bookmarkStart w:id="293" w:name="_Toc78449796"/>
      <w:bookmarkStart w:id="294" w:name="_Toc407135210"/>
      <w:bookmarkStart w:id="295" w:name="_Toc373478355"/>
      <w:bookmarkStart w:id="296" w:name="_Toc373227708"/>
      <w:bookmarkStart w:id="297" w:name="_Toc501741485"/>
      <w:bookmarkStart w:id="298" w:name="_Toc389065274"/>
      <w:bookmarkStart w:id="299" w:name="_Toc1659520837"/>
      <w:r>
        <w:rPr>
          <w:color w:val="auto"/>
          <w:highlight w:val="none"/>
        </w:rPr>
        <w:t xml:space="preserve">3.2 </w:t>
      </w:r>
      <w:r>
        <w:rPr>
          <w:rFonts w:hint="eastAsia" w:hAnsi="宋体" w:cs="黑体"/>
          <w:color w:val="auto"/>
          <w:highlight w:val="none"/>
        </w:rPr>
        <w:t>项目经理</w:t>
      </w:r>
      <w:bookmarkEnd w:id="293"/>
      <w:bookmarkEnd w:id="294"/>
      <w:bookmarkEnd w:id="295"/>
      <w:bookmarkEnd w:id="296"/>
      <w:bookmarkEnd w:id="297"/>
      <w:bookmarkEnd w:id="298"/>
      <w:bookmarkEnd w:id="299"/>
    </w:p>
    <w:p w14:paraId="0878851F">
      <w:pPr>
        <w:spacing w:line="360" w:lineRule="auto"/>
        <w:ind w:firstLine="420" w:firstLineChars="200"/>
        <w:rPr>
          <w:color w:val="auto"/>
          <w:highlight w:val="none"/>
        </w:rPr>
      </w:pPr>
      <w:r>
        <w:rPr>
          <w:color w:val="auto"/>
          <w:kern w:val="0"/>
          <w:highlight w:val="none"/>
        </w:rPr>
        <w:t xml:space="preserve">3.2.1 </w:t>
      </w:r>
      <w:r>
        <w:rPr>
          <w:rFonts w:hint="eastAsia" w:hAnsi="宋体" w:cs="宋体"/>
          <w:color w:val="auto"/>
          <w:highlight w:val="none"/>
        </w:rPr>
        <w:t>项目经理：</w:t>
      </w:r>
    </w:p>
    <w:p w14:paraId="3E654938">
      <w:pPr>
        <w:spacing w:line="360" w:lineRule="auto"/>
        <w:ind w:firstLine="420" w:firstLineChars="200"/>
        <w:rPr>
          <w:color w:val="auto"/>
          <w:highlight w:val="none"/>
        </w:rPr>
      </w:pPr>
      <w:r>
        <w:rPr>
          <w:rFonts w:hAnsi="宋体"/>
          <w:color w:val="auto"/>
          <w:highlight w:val="none"/>
        </w:rPr>
        <w:t>姓</w:t>
      </w:r>
      <w:r>
        <w:rPr>
          <w:color w:val="auto"/>
          <w:highlight w:val="none"/>
        </w:rPr>
        <w:t xml:space="preserve">    </w:t>
      </w:r>
      <w:r>
        <w:rPr>
          <w:rFonts w:hAnsi="宋体"/>
          <w:color w:val="auto"/>
          <w:highlight w:val="none"/>
        </w:rPr>
        <w:t>名：</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1438FF5B">
      <w:pPr>
        <w:spacing w:line="360" w:lineRule="auto"/>
        <w:ind w:firstLine="420" w:firstLineChars="200"/>
        <w:rPr>
          <w:color w:val="auto"/>
          <w:highlight w:val="none"/>
        </w:rPr>
      </w:pPr>
      <w:r>
        <w:rPr>
          <w:rFonts w:hAnsi="宋体"/>
          <w:color w:val="auto"/>
          <w:highlight w:val="none"/>
        </w:rPr>
        <w:t>身份证号：</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0219C951">
      <w:pPr>
        <w:spacing w:line="360" w:lineRule="auto"/>
        <w:ind w:firstLine="420" w:firstLineChars="200"/>
        <w:rPr>
          <w:color w:val="auto"/>
          <w:highlight w:val="none"/>
        </w:rPr>
      </w:pPr>
      <w:r>
        <w:rPr>
          <w:rFonts w:hAnsi="宋体"/>
          <w:color w:val="auto"/>
          <w:highlight w:val="none"/>
        </w:rPr>
        <w:t>建造师执业资格等级：</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0CD807F2">
      <w:pPr>
        <w:spacing w:line="360" w:lineRule="auto"/>
        <w:ind w:firstLine="420" w:firstLineChars="200"/>
        <w:rPr>
          <w:color w:val="auto"/>
          <w:highlight w:val="none"/>
        </w:rPr>
      </w:pPr>
      <w:r>
        <w:rPr>
          <w:rFonts w:hAnsi="宋体"/>
          <w:color w:val="auto"/>
          <w:highlight w:val="none"/>
        </w:rPr>
        <w:t>建造师注册证书号：</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13A9F725">
      <w:pPr>
        <w:spacing w:line="360" w:lineRule="auto"/>
        <w:ind w:firstLine="420" w:firstLineChars="200"/>
        <w:rPr>
          <w:rFonts w:hAnsi="宋体"/>
          <w:color w:val="auto"/>
          <w:highlight w:val="none"/>
        </w:rPr>
      </w:pPr>
      <w:r>
        <w:rPr>
          <w:rFonts w:hAnsi="宋体"/>
          <w:color w:val="auto"/>
          <w:highlight w:val="none"/>
        </w:rPr>
        <w:t>安全生产考核合格证书号：</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0F5153BF">
      <w:pPr>
        <w:spacing w:line="360" w:lineRule="auto"/>
        <w:ind w:firstLine="420" w:firstLineChars="200"/>
        <w:rPr>
          <w:color w:val="auto"/>
          <w:highlight w:val="none"/>
        </w:rPr>
      </w:pPr>
      <w:r>
        <w:rPr>
          <w:rFonts w:hAnsi="宋体"/>
          <w:color w:val="auto"/>
          <w:highlight w:val="none"/>
        </w:rPr>
        <w:t>联系电话：</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6F910CDE">
      <w:pPr>
        <w:spacing w:line="360" w:lineRule="auto"/>
        <w:ind w:firstLine="420" w:firstLineChars="200"/>
        <w:rPr>
          <w:color w:val="auto"/>
          <w:highlight w:val="none"/>
        </w:rPr>
      </w:pPr>
      <w:r>
        <w:rPr>
          <w:rFonts w:hAnsi="宋体"/>
          <w:color w:val="auto"/>
          <w:highlight w:val="none"/>
        </w:rPr>
        <w:t>电子信箱：</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0FF48045">
      <w:pPr>
        <w:spacing w:line="360" w:lineRule="auto"/>
        <w:ind w:firstLine="420" w:firstLineChars="200"/>
        <w:rPr>
          <w:rFonts w:hint="eastAsia" w:hAnsi="宋体"/>
          <w:color w:val="auto"/>
          <w:highlight w:val="none"/>
        </w:rPr>
      </w:pPr>
      <w:r>
        <w:rPr>
          <w:rFonts w:hAnsi="宋体"/>
          <w:color w:val="auto"/>
          <w:highlight w:val="none"/>
        </w:rPr>
        <w:t>通信地址：</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6FC52AF7">
      <w:pPr>
        <w:spacing w:line="360" w:lineRule="auto"/>
        <w:ind w:firstLine="420" w:firstLineChars="200"/>
        <w:rPr>
          <w:color w:val="auto"/>
          <w:szCs w:val="21"/>
          <w:highlight w:val="none"/>
        </w:rPr>
      </w:pPr>
      <w:r>
        <w:rPr>
          <w:rFonts w:hint="eastAsia" w:hAnsi="宋体" w:cs="宋体"/>
          <w:color w:val="auto"/>
          <w:highlight w:val="none"/>
        </w:rPr>
        <w:t>承包人对项目经理的授权范围如下：</w:t>
      </w:r>
      <w:r>
        <w:rPr>
          <w:color w:val="auto"/>
          <w:highlight w:val="none"/>
        </w:rPr>
        <w:t xml:space="preserve">  </w:t>
      </w:r>
      <w:r>
        <w:rPr>
          <w:color w:val="auto"/>
          <w:szCs w:val="21"/>
          <w:highlight w:val="none"/>
          <w:u w:val="single"/>
        </w:rPr>
        <w:t>项目经理仅限于工程的现场施工管理，但未经承包人盖章同意，不得以承包人名义向外采购材料设备、租用建筑周转材料、雇用劳动力、签订分包合同等从事一切为承包人设立义务或责任的行为</w:t>
      </w:r>
      <w:r>
        <w:rPr>
          <w:rFonts w:hint="eastAsia" w:hAnsi="宋体" w:cs="宋体"/>
          <w:color w:val="auto"/>
          <w:szCs w:val="21"/>
          <w:highlight w:val="none"/>
        </w:rPr>
        <w:t>。</w:t>
      </w:r>
    </w:p>
    <w:p w14:paraId="357A0855">
      <w:pPr>
        <w:spacing w:line="360" w:lineRule="auto"/>
        <w:ind w:firstLine="420" w:firstLineChars="200"/>
        <w:jc w:val="left"/>
        <w:rPr>
          <w:color w:val="auto"/>
          <w:kern w:val="0"/>
          <w:szCs w:val="21"/>
          <w:highlight w:val="none"/>
        </w:rPr>
      </w:pPr>
      <w:r>
        <w:rPr>
          <w:rFonts w:hint="eastAsia" w:hAnsi="宋体" w:cs="宋体"/>
          <w:color w:val="auto"/>
          <w:kern w:val="0"/>
          <w:szCs w:val="21"/>
          <w:highlight w:val="none"/>
        </w:rPr>
        <w:t>关于项目经理每月在施工现场的时间要求：</w:t>
      </w:r>
      <w:r>
        <w:rPr>
          <w:rFonts w:hint="eastAsia" w:ascii="宋体" w:hAnsi="宋体"/>
          <w:color w:val="auto"/>
          <w:kern w:val="0"/>
          <w:szCs w:val="21"/>
          <w:highlight w:val="none"/>
        </w:rPr>
        <w:t>发</w:t>
      </w:r>
      <w:r>
        <w:rPr>
          <w:rFonts w:hint="eastAsia" w:ascii="宋体" w:hAnsi="宋体"/>
          <w:color w:val="auto"/>
          <w:szCs w:val="21"/>
          <w:highlight w:val="none"/>
          <w:u w:val="single"/>
        </w:rPr>
        <w:t>包人对项目经理、项目总工、质量员、安全员等主要管理人员进行考勤，以上人员每月出勤必须在21天以上，每缺勤一日，应向发包人支付违约金</w:t>
      </w:r>
      <w:r>
        <w:rPr>
          <w:rFonts w:hint="eastAsia" w:ascii="宋体" w:hAnsi="宋体"/>
          <w:b/>
          <w:bCs/>
          <w:color w:val="auto"/>
          <w:szCs w:val="21"/>
          <w:highlight w:val="none"/>
          <w:u w:val="single"/>
        </w:rPr>
        <w:t>1000元/人</w:t>
      </w:r>
      <w:r>
        <w:rPr>
          <w:rFonts w:hint="eastAsia" w:ascii="宋体" w:hAnsi="宋体"/>
          <w:b/>
          <w:bCs/>
          <w:color w:val="auto"/>
          <w:szCs w:val="21"/>
          <w:highlight w:val="none"/>
          <w:u w:val="single"/>
          <w:lang w:eastAsia="zh-CN"/>
        </w:rPr>
        <w:t>（</w:t>
      </w:r>
      <w:r>
        <w:rPr>
          <w:rFonts w:hint="eastAsia" w:ascii="宋体" w:hAnsi="宋体"/>
          <w:b/>
          <w:bCs/>
          <w:color w:val="auto"/>
          <w:szCs w:val="21"/>
          <w:highlight w:val="none"/>
          <w:u w:val="single"/>
        </w:rPr>
        <w:t>人民币</w:t>
      </w:r>
      <w:r>
        <w:rPr>
          <w:rFonts w:hint="eastAsia" w:ascii="宋体" w:hAnsi="宋体"/>
          <w:b/>
          <w:bCs/>
          <w:color w:val="auto"/>
          <w:szCs w:val="21"/>
          <w:highlight w:val="none"/>
          <w:u w:val="single"/>
          <w:lang w:eastAsia="zh-CN"/>
        </w:rPr>
        <w:t>）</w:t>
      </w:r>
      <w:r>
        <w:rPr>
          <w:rFonts w:hint="eastAsia" w:hAnsi="宋体" w:cs="宋体"/>
          <w:color w:val="auto"/>
          <w:szCs w:val="21"/>
          <w:highlight w:val="none"/>
        </w:rPr>
        <w:t>。</w:t>
      </w:r>
    </w:p>
    <w:p w14:paraId="7DAE9267">
      <w:pPr>
        <w:spacing w:line="360" w:lineRule="auto"/>
        <w:ind w:firstLine="420" w:firstLineChars="200"/>
        <w:rPr>
          <w:color w:val="auto"/>
          <w:kern w:val="0"/>
          <w:szCs w:val="21"/>
          <w:highlight w:val="none"/>
        </w:rPr>
      </w:pPr>
      <w:r>
        <w:rPr>
          <w:rFonts w:hint="eastAsia" w:hAnsi="宋体" w:cs="宋体"/>
          <w:color w:val="auto"/>
          <w:kern w:val="0"/>
          <w:szCs w:val="21"/>
          <w:highlight w:val="none"/>
        </w:rPr>
        <w:t>承包人未提交劳动合同，以及没有为项目经理缴纳社会保险证明的违约责任：</w:t>
      </w:r>
      <w:r>
        <w:rPr>
          <w:rFonts w:hint="eastAsia" w:hAnsi="宋体"/>
          <w:color w:val="auto"/>
          <w:szCs w:val="21"/>
          <w:highlight w:val="none"/>
          <w:u w:val="single"/>
        </w:rPr>
        <w:t>视为承包人未能按照合同要求委派合格的项目经理并承担相应的违约责任</w:t>
      </w:r>
      <w:r>
        <w:rPr>
          <w:rFonts w:hint="eastAsia" w:hAnsi="宋体" w:cs="宋体"/>
          <w:color w:val="auto"/>
          <w:szCs w:val="21"/>
          <w:highlight w:val="none"/>
        </w:rPr>
        <w:t>。</w:t>
      </w:r>
    </w:p>
    <w:p w14:paraId="41375939">
      <w:pPr>
        <w:spacing w:line="360" w:lineRule="auto"/>
        <w:ind w:firstLine="420" w:firstLineChars="200"/>
        <w:rPr>
          <w:color w:val="auto"/>
          <w:szCs w:val="21"/>
          <w:highlight w:val="none"/>
          <w:u w:val="single"/>
        </w:rPr>
      </w:pPr>
      <w:r>
        <w:rPr>
          <w:rFonts w:hint="eastAsia" w:hAnsi="宋体" w:cs="宋体"/>
          <w:color w:val="auto"/>
          <w:kern w:val="0"/>
          <w:szCs w:val="21"/>
          <w:highlight w:val="none"/>
        </w:rPr>
        <w:t>项目经理未经批准，擅自离开施工现场的违约责任：</w:t>
      </w:r>
      <w:r>
        <w:rPr>
          <w:rFonts w:hint="eastAsia" w:hAnsi="宋体" w:cs="宋体"/>
          <w:color w:val="auto"/>
          <w:szCs w:val="21"/>
          <w:highlight w:val="none"/>
          <w:u w:val="single"/>
        </w:rPr>
        <w:t>项目经理每月在岗带班时间不得少于当月施工时间的</w:t>
      </w:r>
      <w:r>
        <w:rPr>
          <w:rFonts w:hAnsi="宋体"/>
          <w:color w:val="auto"/>
          <w:szCs w:val="21"/>
          <w:highlight w:val="none"/>
          <w:u w:val="single"/>
        </w:rPr>
        <w:t>80%</w:t>
      </w:r>
      <w:r>
        <w:rPr>
          <w:rFonts w:hint="eastAsia" w:hAnsi="宋体" w:cs="宋体"/>
          <w:color w:val="auto"/>
          <w:szCs w:val="21"/>
          <w:highlight w:val="none"/>
          <w:u w:val="single"/>
        </w:rPr>
        <w:t>。未经发包人同意或正当理由，项目经理每月在岗带班时间少于当月施工时间</w:t>
      </w:r>
      <w:r>
        <w:rPr>
          <w:rFonts w:hAnsi="宋体"/>
          <w:color w:val="auto"/>
          <w:szCs w:val="21"/>
          <w:highlight w:val="none"/>
          <w:u w:val="single"/>
        </w:rPr>
        <w:t>80%</w:t>
      </w:r>
      <w:r>
        <w:rPr>
          <w:rFonts w:hint="eastAsia" w:hAnsi="宋体" w:cs="宋体"/>
          <w:color w:val="auto"/>
          <w:szCs w:val="21"/>
          <w:highlight w:val="none"/>
          <w:u w:val="single"/>
        </w:rPr>
        <w:t>的，少在岗带班一天，发包人有权处违约金</w:t>
      </w:r>
      <w:r>
        <w:rPr>
          <w:rFonts w:hint="eastAsia"/>
          <w:color w:val="auto"/>
          <w:szCs w:val="21"/>
          <w:highlight w:val="none"/>
          <w:u w:val="single"/>
        </w:rPr>
        <w:t>1000</w:t>
      </w:r>
      <w:r>
        <w:rPr>
          <w:rFonts w:hint="eastAsia" w:hAnsi="宋体" w:cs="宋体"/>
          <w:color w:val="auto"/>
          <w:szCs w:val="21"/>
          <w:highlight w:val="none"/>
          <w:u w:val="single"/>
        </w:rPr>
        <w:t>元</w:t>
      </w:r>
      <w:r>
        <w:rPr>
          <w:color w:val="auto"/>
          <w:szCs w:val="21"/>
          <w:highlight w:val="none"/>
          <w:u w:val="single"/>
        </w:rPr>
        <w:t>/</w:t>
      </w:r>
      <w:r>
        <w:rPr>
          <w:rFonts w:hint="eastAsia" w:cs="宋体"/>
          <w:color w:val="auto"/>
          <w:szCs w:val="21"/>
          <w:highlight w:val="none"/>
          <w:u w:val="single"/>
        </w:rPr>
        <w:t>日（</w:t>
      </w:r>
      <w:r>
        <w:rPr>
          <w:rFonts w:hint="eastAsia" w:hAnsi="宋体" w:cs="宋体"/>
          <w:color w:val="auto"/>
          <w:szCs w:val="21"/>
          <w:highlight w:val="none"/>
          <w:u w:val="single"/>
        </w:rPr>
        <w:t>人民币</w:t>
      </w:r>
      <w:r>
        <w:rPr>
          <w:rFonts w:hint="eastAsia" w:cs="宋体"/>
          <w:color w:val="auto"/>
          <w:szCs w:val="21"/>
          <w:highlight w:val="none"/>
          <w:u w:val="single"/>
        </w:rPr>
        <w:t>）</w:t>
      </w:r>
      <w:r>
        <w:rPr>
          <w:rFonts w:hint="eastAsia" w:hAnsi="宋体" w:cs="宋体"/>
          <w:color w:val="auto"/>
          <w:szCs w:val="21"/>
          <w:highlight w:val="none"/>
        </w:rPr>
        <w:t>。</w:t>
      </w:r>
    </w:p>
    <w:p w14:paraId="69E15B1B">
      <w:pPr>
        <w:adjustRightInd w:val="0"/>
        <w:snapToGrid w:val="0"/>
        <w:spacing w:line="460" w:lineRule="exact"/>
        <w:ind w:firstLine="420" w:firstLineChars="200"/>
        <w:jc w:val="left"/>
        <w:rPr>
          <w:color w:val="auto"/>
          <w:szCs w:val="21"/>
          <w:highlight w:val="none"/>
        </w:rPr>
      </w:pPr>
      <w:r>
        <w:rPr>
          <w:color w:val="auto"/>
          <w:szCs w:val="21"/>
          <w:highlight w:val="none"/>
        </w:rPr>
        <w:t xml:space="preserve">3.2.3 </w:t>
      </w:r>
      <w:r>
        <w:rPr>
          <w:rFonts w:hint="eastAsia" w:hAnsi="宋体" w:cs="宋体"/>
          <w:color w:val="auto"/>
          <w:szCs w:val="21"/>
          <w:highlight w:val="none"/>
        </w:rPr>
        <w:t>承包人擅自更换项目经理的违约责任：</w:t>
      </w:r>
      <w:r>
        <w:rPr>
          <w:rFonts w:hint="eastAsia" w:hAnsi="宋体" w:cs="宋体"/>
          <w:color w:val="auto"/>
          <w:szCs w:val="21"/>
          <w:highlight w:val="none"/>
          <w:u w:val="single"/>
        </w:rPr>
        <w:t>承包人项目经理必须与承包人磋商时所承诺的人员一致，并在（开工日期）前到</w:t>
      </w:r>
      <w:r>
        <w:rPr>
          <w:color w:val="auto"/>
          <w:szCs w:val="21"/>
          <w:highlight w:val="none"/>
        </w:rPr>
        <w:t>任。在监理人向承包人颁发</w:t>
      </w:r>
      <w:r>
        <w:rPr>
          <w:color w:val="auto"/>
          <w:szCs w:val="21"/>
          <w:highlight w:val="none"/>
          <w:u w:val="single"/>
        </w:rPr>
        <w:t>（竣工证明材料名称）</w:t>
      </w:r>
      <w:r>
        <w:rPr>
          <w:color w:val="auto"/>
          <w:szCs w:val="21"/>
          <w:highlight w:val="none"/>
        </w:rPr>
        <w:t>前，项目经理不得同时兼任其他任何项目的项目经理（符合《广西壮族自治区建筑市场诚信卡管理暂行办法》第十六条第一款及桂建管﹝2016﹞70号、桂建管〔2019〕26号和桂建管〔2020〕11号文除外）</w:t>
      </w:r>
      <w:r>
        <w:rPr>
          <w:rFonts w:hint="eastAsia" w:hAnsi="宋体" w:cs="宋体"/>
          <w:color w:val="auto"/>
          <w:kern w:val="0"/>
          <w:szCs w:val="21"/>
          <w:highlight w:val="none"/>
          <w:u w:val="single"/>
        </w:rPr>
        <w:t>及</w:t>
      </w:r>
      <w:r>
        <w:rPr>
          <w:rFonts w:hint="eastAsia" w:ascii="宋体" w:hAnsi="宋体"/>
          <w:b/>
          <w:bCs/>
          <w:color w:val="auto"/>
          <w:szCs w:val="21"/>
          <w:highlight w:val="none"/>
          <w:u w:val="single"/>
        </w:rPr>
        <w:t>除非是拟派项目经理出现以下情形：①因自身原因导致工程质量出现重大质量、安全事故；②有违法、违纪、被暂定或吊销项目经理资格证的；③发包人同意更换的；④严重疾病需要休养，时间超过工期一半以上，由区级医院出具病重说明的。否则，承包人不得以项目经理离职、岗位调动等理由更换项目经理，</w:t>
      </w:r>
      <w:r>
        <w:rPr>
          <w:color w:val="auto"/>
          <w:szCs w:val="21"/>
          <w:highlight w:val="none"/>
        </w:rPr>
        <w:t>未经发包人书面同意，承包人擅自更换项目经理的视为违约，违约金处</w:t>
      </w:r>
      <w:r>
        <w:rPr>
          <w:rFonts w:hint="eastAsia" w:ascii="宋体" w:hAnsi="宋体"/>
          <w:b/>
          <w:bCs/>
          <w:color w:val="auto"/>
          <w:szCs w:val="21"/>
          <w:highlight w:val="none"/>
          <w:u w:val="single"/>
        </w:rPr>
        <w:t>10000</w:t>
      </w:r>
      <w:r>
        <w:rPr>
          <w:color w:val="auto"/>
          <w:szCs w:val="21"/>
          <w:highlight w:val="none"/>
        </w:rPr>
        <w:t>元/人•次（人民币）。</w:t>
      </w:r>
    </w:p>
    <w:p w14:paraId="1916AAB5">
      <w:pPr>
        <w:spacing w:line="360" w:lineRule="auto"/>
        <w:ind w:firstLine="420" w:firstLineChars="200"/>
        <w:rPr>
          <w:color w:val="auto"/>
          <w:highlight w:val="none"/>
        </w:rPr>
      </w:pPr>
      <w:r>
        <w:rPr>
          <w:color w:val="auto"/>
          <w:szCs w:val="21"/>
          <w:highlight w:val="none"/>
        </w:rPr>
        <w:t xml:space="preserve">3.2.4 </w:t>
      </w:r>
      <w:r>
        <w:rPr>
          <w:rFonts w:hint="eastAsia" w:hAnsi="宋体" w:cs="宋体"/>
          <w:color w:val="auto"/>
          <w:szCs w:val="21"/>
          <w:highlight w:val="none"/>
        </w:rPr>
        <w:t>承包人无正当理由拒绝更换项目经理的违约责任：</w:t>
      </w:r>
      <w:r>
        <w:rPr>
          <w:rFonts w:hint="eastAsia" w:hAnsi="宋体" w:cs="宋体"/>
          <w:color w:val="auto"/>
          <w:szCs w:val="21"/>
          <w:highlight w:val="none"/>
          <w:u w:val="single"/>
        </w:rPr>
        <w:t>因承包人项目经理不称职，发包人要求调换而未及时调换的，视为承包人违约，必须向发包人交纳处罚金</w:t>
      </w:r>
      <w:r>
        <w:rPr>
          <w:rFonts w:hint="eastAsia"/>
          <w:color w:val="auto"/>
          <w:szCs w:val="21"/>
          <w:highlight w:val="none"/>
          <w:u w:val="single"/>
        </w:rPr>
        <w:t>2000</w:t>
      </w:r>
      <w:r>
        <w:rPr>
          <w:rFonts w:hint="eastAsia" w:hAnsi="宋体" w:cs="宋体"/>
          <w:color w:val="auto"/>
          <w:szCs w:val="21"/>
          <w:highlight w:val="none"/>
          <w:u w:val="single"/>
        </w:rPr>
        <w:t>元</w:t>
      </w:r>
      <w:r>
        <w:rPr>
          <w:color w:val="auto"/>
          <w:szCs w:val="21"/>
          <w:highlight w:val="none"/>
          <w:u w:val="single"/>
        </w:rPr>
        <w:t>/</w:t>
      </w:r>
      <w:r>
        <w:rPr>
          <w:rFonts w:hint="eastAsia" w:hAnsi="宋体" w:cs="宋体"/>
          <w:color w:val="auto"/>
          <w:szCs w:val="21"/>
          <w:highlight w:val="none"/>
          <w:u w:val="single"/>
        </w:rPr>
        <w:t>人</w:t>
      </w:r>
      <w:r>
        <w:rPr>
          <w:color w:val="auto"/>
          <w:szCs w:val="21"/>
          <w:highlight w:val="none"/>
          <w:u w:val="single"/>
        </w:rPr>
        <w:t>•</w:t>
      </w:r>
      <w:r>
        <w:rPr>
          <w:rFonts w:hint="eastAsia" w:hAnsi="宋体" w:cs="宋体"/>
          <w:color w:val="auto"/>
          <w:szCs w:val="21"/>
          <w:highlight w:val="none"/>
          <w:u w:val="single"/>
        </w:rPr>
        <w:t>次</w:t>
      </w:r>
      <w:r>
        <w:rPr>
          <w:rFonts w:hint="eastAsia" w:cs="宋体"/>
          <w:color w:val="auto"/>
          <w:szCs w:val="21"/>
          <w:highlight w:val="none"/>
          <w:u w:val="single"/>
        </w:rPr>
        <w:t>（</w:t>
      </w:r>
      <w:r>
        <w:rPr>
          <w:rFonts w:hint="eastAsia" w:hAnsi="宋体" w:cs="宋体"/>
          <w:color w:val="auto"/>
          <w:szCs w:val="21"/>
          <w:highlight w:val="none"/>
          <w:u w:val="single"/>
        </w:rPr>
        <w:t>人民币</w:t>
      </w:r>
      <w:r>
        <w:rPr>
          <w:rFonts w:hint="eastAsia" w:cs="宋体"/>
          <w:color w:val="auto"/>
          <w:szCs w:val="21"/>
          <w:highlight w:val="none"/>
          <w:u w:val="single"/>
        </w:rPr>
        <w:t>）</w:t>
      </w:r>
      <w:r>
        <w:rPr>
          <w:rFonts w:hint="eastAsia" w:hAnsi="宋体" w:cs="宋体"/>
          <w:color w:val="auto"/>
          <w:szCs w:val="21"/>
          <w:highlight w:val="none"/>
        </w:rPr>
        <w:t>。</w:t>
      </w:r>
    </w:p>
    <w:p w14:paraId="33EE9EE6">
      <w:pPr>
        <w:keepNext/>
        <w:keepLines/>
        <w:spacing w:line="360" w:lineRule="auto"/>
        <w:outlineLvl w:val="2"/>
        <w:rPr>
          <w:rFonts w:eastAsia="黑体"/>
          <w:b/>
          <w:bCs/>
          <w:color w:val="auto"/>
          <w:sz w:val="32"/>
          <w:szCs w:val="32"/>
          <w:highlight w:val="none"/>
          <w:lang w:val="zh-CN"/>
        </w:rPr>
      </w:pPr>
      <w:bookmarkStart w:id="300" w:name="_Toc185869633"/>
      <w:bookmarkStart w:id="301" w:name="_Toc1641633295"/>
      <w:bookmarkStart w:id="302" w:name="_Toc450749207"/>
      <w:bookmarkStart w:id="303" w:name="_Toc389065307"/>
      <w:bookmarkStart w:id="304" w:name="_Toc78449830"/>
      <w:bookmarkStart w:id="305" w:name="_Toc373478388"/>
      <w:bookmarkStart w:id="306" w:name="_Toc407135244"/>
      <w:bookmarkStart w:id="307" w:name="_Toc373227741"/>
      <w:bookmarkStart w:id="308" w:name="_Toc296944533"/>
      <w:bookmarkStart w:id="309" w:name="_Toc297216200"/>
      <w:bookmarkStart w:id="310" w:name="_Toc297123541"/>
      <w:bookmarkStart w:id="311" w:name="_Toc296891234"/>
      <w:bookmarkStart w:id="312" w:name="_Toc292559904"/>
      <w:bookmarkStart w:id="313" w:name="_Toc312678026"/>
      <w:bookmarkStart w:id="314" w:name="_Toc300934990"/>
      <w:bookmarkStart w:id="315" w:name="_Toc296346695"/>
      <w:bookmarkStart w:id="316" w:name="_Toc292559399"/>
      <w:bookmarkStart w:id="317" w:name="_Toc303539147"/>
      <w:bookmarkStart w:id="318" w:name="_Toc297048380"/>
      <w:bookmarkStart w:id="319" w:name="_Toc296891022"/>
      <w:bookmarkStart w:id="320" w:name="_Toc304295567"/>
      <w:bookmarkStart w:id="321" w:name="_Toc296503194"/>
      <w:bookmarkStart w:id="322" w:name="_Toc296347193"/>
      <w:bookmarkStart w:id="323" w:name="_Toc297120494"/>
      <w:bookmarkStart w:id="324" w:name="_Toc312677500"/>
      <w:bookmarkStart w:id="325" w:name="_Toc267251441"/>
      <w:bookmarkStart w:id="326" w:name="_Toc267251435"/>
      <w:bookmarkStart w:id="327" w:name="_Toc267251437"/>
      <w:bookmarkStart w:id="328" w:name="_Toc267251433"/>
      <w:bookmarkStart w:id="329" w:name="_Toc267251440"/>
      <w:bookmarkStart w:id="330" w:name="_Toc267251439"/>
      <w:bookmarkStart w:id="331" w:name="_Toc267251442"/>
      <w:r>
        <w:rPr>
          <w:rFonts w:eastAsia="黑体"/>
          <w:b/>
          <w:bCs/>
          <w:color w:val="auto"/>
          <w:sz w:val="32"/>
          <w:szCs w:val="32"/>
          <w:highlight w:val="none"/>
          <w:lang w:val="zh-CN"/>
        </w:rPr>
        <w:t xml:space="preserve">3.3 </w:t>
      </w:r>
      <w:r>
        <w:rPr>
          <w:rFonts w:hint="eastAsia" w:hAnsi="宋体" w:eastAsia="黑体" w:cs="黑体"/>
          <w:b/>
          <w:bCs/>
          <w:color w:val="auto"/>
          <w:sz w:val="32"/>
          <w:szCs w:val="32"/>
          <w:highlight w:val="none"/>
          <w:lang w:val="zh-CN"/>
        </w:rPr>
        <w:t>承包人人员</w:t>
      </w:r>
      <w:bookmarkEnd w:id="300"/>
    </w:p>
    <w:p w14:paraId="6B0EF9F5">
      <w:pPr>
        <w:spacing w:line="360" w:lineRule="auto"/>
        <w:ind w:firstLine="420" w:firstLineChars="200"/>
        <w:rPr>
          <w:rFonts w:hAnsi="宋体"/>
          <w:color w:val="auto"/>
          <w:szCs w:val="21"/>
          <w:highlight w:val="none"/>
        </w:rPr>
      </w:pPr>
      <w:r>
        <w:rPr>
          <w:color w:val="auto"/>
          <w:szCs w:val="21"/>
          <w:highlight w:val="none"/>
        </w:rPr>
        <w:t xml:space="preserve">3.3.1 </w:t>
      </w:r>
      <w:r>
        <w:rPr>
          <w:rFonts w:hint="eastAsia" w:hAnsi="宋体" w:cs="宋体"/>
          <w:color w:val="auto"/>
          <w:szCs w:val="21"/>
          <w:highlight w:val="none"/>
        </w:rPr>
        <w:t>承包人提交项目管理机构及施工现场管理人员安排报告（格式见合同附件</w:t>
      </w:r>
      <w:r>
        <w:rPr>
          <w:rFonts w:hint="eastAsia" w:hAnsi="宋体"/>
          <w:color w:val="auto"/>
          <w:szCs w:val="21"/>
          <w:highlight w:val="none"/>
        </w:rPr>
        <w:t>5</w:t>
      </w:r>
      <w:r>
        <w:rPr>
          <w:rFonts w:hint="eastAsia" w:hAnsi="宋体" w:cs="宋体"/>
          <w:color w:val="auto"/>
          <w:szCs w:val="21"/>
          <w:highlight w:val="none"/>
        </w:rPr>
        <w:t>）的期限：</w:t>
      </w:r>
    </w:p>
    <w:p w14:paraId="409BD3A5">
      <w:pPr>
        <w:spacing w:line="360" w:lineRule="auto"/>
        <w:rPr>
          <w:color w:val="auto"/>
          <w:szCs w:val="21"/>
          <w:highlight w:val="none"/>
        </w:rPr>
      </w:pPr>
      <w:r>
        <w:rPr>
          <w:rFonts w:hint="eastAsia" w:ascii="宋体" w:hAnsi="宋体"/>
          <w:color w:val="auto"/>
          <w:szCs w:val="21"/>
          <w:highlight w:val="none"/>
          <w:u w:val="single"/>
        </w:rPr>
        <w:t>监理工程师下发开工令且工程开工前7天内</w:t>
      </w:r>
      <w:r>
        <w:rPr>
          <w:rFonts w:hint="eastAsia" w:hAnsi="宋体" w:cs="宋体"/>
          <w:color w:val="auto"/>
          <w:szCs w:val="21"/>
          <w:highlight w:val="none"/>
        </w:rPr>
        <w:t>。</w:t>
      </w:r>
    </w:p>
    <w:p w14:paraId="6603F2BB">
      <w:pPr>
        <w:spacing w:line="360" w:lineRule="auto"/>
        <w:ind w:firstLine="420" w:firstLineChars="200"/>
        <w:rPr>
          <w:color w:val="auto"/>
          <w:szCs w:val="21"/>
          <w:highlight w:val="none"/>
        </w:rPr>
      </w:pPr>
      <w:r>
        <w:rPr>
          <w:color w:val="auto"/>
          <w:szCs w:val="21"/>
          <w:highlight w:val="none"/>
        </w:rPr>
        <w:t xml:space="preserve">3.3.3 </w:t>
      </w:r>
      <w:r>
        <w:rPr>
          <w:rFonts w:hint="eastAsia" w:hAnsi="宋体" w:cs="宋体"/>
          <w:color w:val="auto"/>
          <w:szCs w:val="21"/>
          <w:highlight w:val="none"/>
        </w:rPr>
        <w:t>承包人无正当理由拒绝撤换主要施工管理人员的违约责任：</w:t>
      </w:r>
      <w:r>
        <w:rPr>
          <w:rFonts w:hAnsi="宋体"/>
          <w:color w:val="auto"/>
          <w:szCs w:val="21"/>
          <w:highlight w:val="none"/>
          <w:u w:val="single"/>
        </w:rPr>
        <w:t>因承包人主要施工管理人员不称职，发包人要求调换而无正当理由拒绝撤换或未及时调换的，视为承包人违约，必须向发包人交纳处罚金，处罚标准：技术负责人</w:t>
      </w:r>
      <w:r>
        <w:rPr>
          <w:rFonts w:hint="eastAsia"/>
          <w:color w:val="auto"/>
          <w:szCs w:val="21"/>
          <w:highlight w:val="none"/>
          <w:u w:val="single"/>
        </w:rPr>
        <w:t>500</w:t>
      </w:r>
      <w:r>
        <w:rPr>
          <w:rFonts w:hAnsi="宋体"/>
          <w:color w:val="auto"/>
          <w:szCs w:val="21"/>
          <w:highlight w:val="none"/>
          <w:u w:val="single"/>
        </w:rPr>
        <w:t>元</w:t>
      </w:r>
      <w:r>
        <w:rPr>
          <w:color w:val="auto"/>
          <w:szCs w:val="21"/>
          <w:highlight w:val="none"/>
          <w:u w:val="single"/>
        </w:rPr>
        <w:t>/</w:t>
      </w:r>
      <w:r>
        <w:rPr>
          <w:rFonts w:hAnsi="宋体"/>
          <w:color w:val="auto"/>
          <w:szCs w:val="21"/>
          <w:highlight w:val="none"/>
          <w:u w:val="single"/>
        </w:rPr>
        <w:t>人</w:t>
      </w:r>
      <w:r>
        <w:rPr>
          <w:color w:val="auto"/>
          <w:szCs w:val="21"/>
          <w:highlight w:val="none"/>
          <w:u w:val="single"/>
        </w:rPr>
        <w:t>•</w:t>
      </w:r>
      <w:r>
        <w:rPr>
          <w:rFonts w:hAnsi="宋体"/>
          <w:color w:val="auto"/>
          <w:szCs w:val="21"/>
          <w:highlight w:val="none"/>
          <w:u w:val="single"/>
        </w:rPr>
        <w:t>次</w:t>
      </w:r>
      <w:r>
        <w:rPr>
          <w:rFonts w:hint="eastAsia"/>
          <w:color w:val="auto"/>
          <w:szCs w:val="21"/>
          <w:highlight w:val="none"/>
          <w:u w:val="single"/>
        </w:rPr>
        <w:t>（</w:t>
      </w:r>
      <w:r>
        <w:rPr>
          <w:rFonts w:hAnsi="宋体"/>
          <w:color w:val="auto"/>
          <w:szCs w:val="21"/>
          <w:highlight w:val="none"/>
          <w:u w:val="single"/>
        </w:rPr>
        <w:t>人民币</w:t>
      </w:r>
      <w:r>
        <w:rPr>
          <w:rFonts w:hint="eastAsia"/>
          <w:color w:val="auto"/>
          <w:szCs w:val="21"/>
          <w:highlight w:val="none"/>
          <w:u w:val="single"/>
        </w:rPr>
        <w:t>）</w:t>
      </w:r>
      <w:r>
        <w:rPr>
          <w:rFonts w:hAnsi="宋体"/>
          <w:color w:val="auto"/>
          <w:szCs w:val="21"/>
          <w:highlight w:val="none"/>
          <w:u w:val="single"/>
        </w:rPr>
        <w:t>；专业工程师</w:t>
      </w:r>
      <w:r>
        <w:rPr>
          <w:rFonts w:hint="eastAsia" w:hAnsi="宋体"/>
          <w:color w:val="auto"/>
          <w:szCs w:val="21"/>
          <w:highlight w:val="none"/>
          <w:u w:val="single"/>
        </w:rPr>
        <w:t>3</w:t>
      </w:r>
      <w:r>
        <w:rPr>
          <w:rFonts w:hint="eastAsia"/>
          <w:color w:val="auto"/>
          <w:szCs w:val="21"/>
          <w:highlight w:val="none"/>
          <w:u w:val="single"/>
        </w:rPr>
        <w:t>00</w:t>
      </w:r>
      <w:r>
        <w:rPr>
          <w:rFonts w:hAnsi="宋体"/>
          <w:color w:val="auto"/>
          <w:szCs w:val="21"/>
          <w:highlight w:val="none"/>
          <w:u w:val="single"/>
        </w:rPr>
        <w:t>元</w:t>
      </w:r>
      <w:r>
        <w:rPr>
          <w:color w:val="auto"/>
          <w:szCs w:val="21"/>
          <w:highlight w:val="none"/>
          <w:u w:val="single"/>
        </w:rPr>
        <w:t>/</w:t>
      </w:r>
      <w:r>
        <w:rPr>
          <w:rFonts w:hAnsi="宋体"/>
          <w:color w:val="auto"/>
          <w:szCs w:val="21"/>
          <w:highlight w:val="none"/>
          <w:u w:val="single"/>
        </w:rPr>
        <w:t>人</w:t>
      </w:r>
      <w:r>
        <w:rPr>
          <w:color w:val="auto"/>
          <w:szCs w:val="21"/>
          <w:highlight w:val="none"/>
          <w:u w:val="single"/>
        </w:rPr>
        <w:t>•</w:t>
      </w:r>
      <w:r>
        <w:rPr>
          <w:rFonts w:hAnsi="宋体"/>
          <w:color w:val="auto"/>
          <w:szCs w:val="21"/>
          <w:highlight w:val="none"/>
          <w:u w:val="single"/>
        </w:rPr>
        <w:t>次</w:t>
      </w:r>
      <w:r>
        <w:rPr>
          <w:rFonts w:hint="eastAsia"/>
          <w:color w:val="auto"/>
          <w:szCs w:val="21"/>
          <w:highlight w:val="none"/>
          <w:u w:val="single"/>
        </w:rPr>
        <w:t>（</w:t>
      </w:r>
      <w:r>
        <w:rPr>
          <w:rFonts w:hAnsi="宋体"/>
          <w:color w:val="auto"/>
          <w:szCs w:val="21"/>
          <w:highlight w:val="none"/>
          <w:u w:val="single"/>
        </w:rPr>
        <w:t>人民币</w:t>
      </w:r>
      <w:r>
        <w:rPr>
          <w:rFonts w:hint="eastAsia"/>
          <w:color w:val="auto"/>
          <w:szCs w:val="21"/>
          <w:highlight w:val="none"/>
          <w:u w:val="single"/>
        </w:rPr>
        <w:t>）</w:t>
      </w:r>
      <w:r>
        <w:rPr>
          <w:rFonts w:hint="eastAsia" w:hAnsi="宋体" w:cs="宋体"/>
          <w:color w:val="auto"/>
          <w:szCs w:val="21"/>
          <w:highlight w:val="none"/>
        </w:rPr>
        <w:t>。</w:t>
      </w:r>
    </w:p>
    <w:p w14:paraId="0EFFCDAE">
      <w:pPr>
        <w:spacing w:line="360" w:lineRule="auto"/>
        <w:ind w:firstLine="420" w:firstLineChars="200"/>
        <w:rPr>
          <w:color w:val="auto"/>
          <w:szCs w:val="21"/>
          <w:highlight w:val="none"/>
          <w:u w:val="single"/>
        </w:rPr>
      </w:pPr>
      <w:r>
        <w:rPr>
          <w:color w:val="auto"/>
          <w:szCs w:val="21"/>
          <w:highlight w:val="none"/>
        </w:rPr>
        <w:t xml:space="preserve">3.3.4 </w:t>
      </w:r>
      <w:r>
        <w:rPr>
          <w:rFonts w:hint="eastAsia" w:hAnsi="宋体" w:cs="宋体"/>
          <w:color w:val="auto"/>
          <w:szCs w:val="21"/>
          <w:highlight w:val="none"/>
        </w:rPr>
        <w:t>承包人主要施工管理人员离开施工现场的批准要求</w:t>
      </w:r>
      <w:r>
        <w:rPr>
          <w:rFonts w:hint="eastAsia" w:hAnsi="宋体" w:cs="宋体"/>
          <w:color w:val="auto"/>
          <w:szCs w:val="21"/>
          <w:highlight w:val="none"/>
          <w:lang w:eastAsia="zh-CN"/>
        </w:rPr>
        <w:t>：</w:t>
      </w:r>
      <w:r>
        <w:rPr>
          <w:rFonts w:hint="eastAsia" w:ascii="宋体" w:hAnsi="宋体"/>
          <w:color w:val="auto"/>
          <w:szCs w:val="21"/>
          <w:highlight w:val="none"/>
          <w:u w:val="single"/>
        </w:rPr>
        <w:t>向发包人提出申请，并提供相关证明材料，</w:t>
      </w:r>
      <w:r>
        <w:rPr>
          <w:rFonts w:hint="eastAsia" w:hAnsi="宋体"/>
          <w:color w:val="auto"/>
          <w:szCs w:val="21"/>
          <w:highlight w:val="none"/>
          <w:u w:val="single"/>
        </w:rPr>
        <w:t>须经监理单位和现场发包负责人同意后离开</w:t>
      </w:r>
      <w:r>
        <w:rPr>
          <w:rFonts w:hint="eastAsia" w:hAnsi="宋体" w:cs="宋体"/>
          <w:color w:val="auto"/>
          <w:szCs w:val="21"/>
          <w:highlight w:val="none"/>
        </w:rPr>
        <w:t>。</w:t>
      </w:r>
    </w:p>
    <w:p w14:paraId="133BF345">
      <w:pPr>
        <w:spacing w:line="360" w:lineRule="auto"/>
        <w:ind w:firstLine="420" w:firstLineChars="200"/>
        <w:rPr>
          <w:color w:val="auto"/>
          <w:szCs w:val="21"/>
          <w:highlight w:val="none"/>
        </w:rPr>
      </w:pPr>
      <w:r>
        <w:rPr>
          <w:color w:val="auto"/>
          <w:szCs w:val="21"/>
          <w:highlight w:val="none"/>
        </w:rPr>
        <w:t xml:space="preserve">3.3.5 </w:t>
      </w:r>
      <w:r>
        <w:rPr>
          <w:rFonts w:hint="eastAsia" w:hAnsi="宋体" w:cs="宋体"/>
          <w:color w:val="auto"/>
          <w:szCs w:val="21"/>
          <w:highlight w:val="none"/>
        </w:rPr>
        <w:t>承包人擅自更换主要施工管理人员的违约责任：</w:t>
      </w:r>
      <w:r>
        <w:rPr>
          <w:rFonts w:hint="eastAsia" w:hAnsi="宋体" w:cs="宋体"/>
          <w:color w:val="auto"/>
          <w:szCs w:val="21"/>
          <w:highlight w:val="none"/>
          <w:lang w:eastAsia="zh-CN"/>
        </w:rPr>
        <w:t>项</w:t>
      </w:r>
      <w:r>
        <w:rPr>
          <w:rFonts w:hint="eastAsia" w:hAnsi="宋体"/>
          <w:color w:val="auto"/>
          <w:szCs w:val="21"/>
          <w:highlight w:val="none"/>
          <w:u w:val="single"/>
        </w:rPr>
        <w:t>目</w:t>
      </w:r>
      <w:r>
        <w:rPr>
          <w:rFonts w:hAnsi="宋体"/>
          <w:color w:val="auto"/>
          <w:szCs w:val="21"/>
          <w:highlight w:val="none"/>
          <w:u w:val="single"/>
        </w:rPr>
        <w:t>技术负责人、</w:t>
      </w:r>
      <w:r>
        <w:rPr>
          <w:rFonts w:hint="eastAsia" w:hAnsi="宋体"/>
          <w:color w:val="auto"/>
          <w:szCs w:val="21"/>
          <w:highlight w:val="none"/>
          <w:u w:val="single"/>
        </w:rPr>
        <w:t>专职安全员及其承诺的</w:t>
      </w:r>
      <w:r>
        <w:rPr>
          <w:rFonts w:hint="eastAsia" w:hAnsi="宋体"/>
          <w:color w:val="auto"/>
          <w:szCs w:val="21"/>
          <w:highlight w:val="none"/>
          <w:u w:val="single"/>
          <w:lang w:eastAsia="zh-CN"/>
        </w:rPr>
        <w:t>其他</w:t>
      </w:r>
      <w:r>
        <w:rPr>
          <w:rFonts w:hint="eastAsia" w:hAnsi="宋体"/>
          <w:color w:val="auto"/>
          <w:szCs w:val="21"/>
          <w:highlight w:val="none"/>
          <w:u w:val="single"/>
        </w:rPr>
        <w:t>在场管理人员</w:t>
      </w:r>
      <w:r>
        <w:rPr>
          <w:rFonts w:hAnsi="宋体"/>
          <w:color w:val="auto"/>
          <w:szCs w:val="21"/>
          <w:highlight w:val="none"/>
          <w:u w:val="single"/>
        </w:rPr>
        <w:t>未经发包人书面同意不准擅自更换，擅自更换</w:t>
      </w:r>
      <w:r>
        <w:rPr>
          <w:rFonts w:hint="eastAsia" w:hAnsi="宋体"/>
          <w:color w:val="auto"/>
          <w:szCs w:val="21"/>
          <w:highlight w:val="none"/>
          <w:u w:val="single"/>
        </w:rPr>
        <w:t>项目</w:t>
      </w:r>
      <w:r>
        <w:rPr>
          <w:rFonts w:hAnsi="宋体"/>
          <w:color w:val="auto"/>
          <w:szCs w:val="21"/>
          <w:highlight w:val="none"/>
          <w:u w:val="single"/>
        </w:rPr>
        <w:t>技术负责人处</w:t>
      </w:r>
      <w:r>
        <w:rPr>
          <w:rFonts w:hint="eastAsia"/>
          <w:color w:val="auto"/>
          <w:szCs w:val="21"/>
          <w:highlight w:val="none"/>
          <w:u w:val="single"/>
        </w:rPr>
        <w:t>500</w:t>
      </w:r>
      <w:r>
        <w:rPr>
          <w:rFonts w:hAnsi="宋体"/>
          <w:color w:val="auto"/>
          <w:szCs w:val="21"/>
          <w:highlight w:val="none"/>
          <w:u w:val="single"/>
        </w:rPr>
        <w:t>元</w:t>
      </w:r>
      <w:r>
        <w:rPr>
          <w:color w:val="auto"/>
          <w:szCs w:val="21"/>
          <w:highlight w:val="none"/>
          <w:u w:val="single"/>
        </w:rPr>
        <w:t>/</w:t>
      </w:r>
      <w:r>
        <w:rPr>
          <w:rFonts w:hAnsi="宋体"/>
          <w:color w:val="auto"/>
          <w:szCs w:val="21"/>
          <w:highlight w:val="none"/>
          <w:u w:val="single"/>
        </w:rPr>
        <w:t>人</w:t>
      </w:r>
      <w:r>
        <w:rPr>
          <w:color w:val="auto"/>
          <w:szCs w:val="21"/>
          <w:highlight w:val="none"/>
          <w:u w:val="single"/>
        </w:rPr>
        <w:t>•</w:t>
      </w:r>
      <w:r>
        <w:rPr>
          <w:rFonts w:hAnsi="宋体"/>
          <w:color w:val="auto"/>
          <w:szCs w:val="21"/>
          <w:highlight w:val="none"/>
          <w:u w:val="single"/>
        </w:rPr>
        <w:t>次</w:t>
      </w:r>
      <w:r>
        <w:rPr>
          <w:rFonts w:hint="eastAsia"/>
          <w:color w:val="auto"/>
          <w:szCs w:val="21"/>
          <w:highlight w:val="none"/>
          <w:u w:val="single"/>
        </w:rPr>
        <w:t>（</w:t>
      </w:r>
      <w:r>
        <w:rPr>
          <w:rFonts w:hAnsi="宋体"/>
          <w:color w:val="auto"/>
          <w:szCs w:val="21"/>
          <w:highlight w:val="none"/>
          <w:u w:val="single"/>
        </w:rPr>
        <w:t>人民币</w:t>
      </w:r>
      <w:r>
        <w:rPr>
          <w:rFonts w:hint="eastAsia"/>
          <w:color w:val="auto"/>
          <w:szCs w:val="21"/>
          <w:highlight w:val="none"/>
          <w:u w:val="single"/>
        </w:rPr>
        <w:t>）</w:t>
      </w:r>
      <w:r>
        <w:rPr>
          <w:rFonts w:hAnsi="宋体"/>
          <w:color w:val="auto"/>
          <w:szCs w:val="21"/>
          <w:highlight w:val="none"/>
          <w:u w:val="single"/>
        </w:rPr>
        <w:t>违约金；擅自更换</w:t>
      </w:r>
      <w:r>
        <w:rPr>
          <w:rFonts w:hint="eastAsia" w:hAnsi="宋体"/>
          <w:color w:val="auto"/>
          <w:szCs w:val="21"/>
          <w:highlight w:val="none"/>
          <w:u w:val="single"/>
        </w:rPr>
        <w:t>专职安全员</w:t>
      </w:r>
      <w:r>
        <w:rPr>
          <w:rFonts w:hAnsi="宋体"/>
          <w:color w:val="auto"/>
          <w:szCs w:val="21"/>
          <w:highlight w:val="none"/>
          <w:u w:val="single"/>
        </w:rPr>
        <w:t>处</w:t>
      </w:r>
      <w:r>
        <w:rPr>
          <w:rFonts w:hint="eastAsia"/>
          <w:color w:val="auto"/>
          <w:szCs w:val="21"/>
          <w:highlight w:val="none"/>
          <w:u w:val="single"/>
        </w:rPr>
        <w:t>500</w:t>
      </w:r>
      <w:r>
        <w:rPr>
          <w:rFonts w:hAnsi="宋体"/>
          <w:color w:val="auto"/>
          <w:szCs w:val="21"/>
          <w:highlight w:val="none"/>
          <w:u w:val="single"/>
        </w:rPr>
        <w:t>元</w:t>
      </w:r>
      <w:r>
        <w:rPr>
          <w:color w:val="auto"/>
          <w:szCs w:val="21"/>
          <w:highlight w:val="none"/>
          <w:u w:val="single"/>
        </w:rPr>
        <w:t>/</w:t>
      </w:r>
      <w:r>
        <w:rPr>
          <w:rFonts w:hAnsi="宋体"/>
          <w:color w:val="auto"/>
          <w:szCs w:val="21"/>
          <w:highlight w:val="none"/>
          <w:u w:val="single"/>
        </w:rPr>
        <w:t>人</w:t>
      </w:r>
      <w:r>
        <w:rPr>
          <w:color w:val="auto"/>
          <w:szCs w:val="21"/>
          <w:highlight w:val="none"/>
          <w:u w:val="single"/>
        </w:rPr>
        <w:t>•</w:t>
      </w:r>
      <w:r>
        <w:rPr>
          <w:rFonts w:hAnsi="宋体"/>
          <w:color w:val="auto"/>
          <w:szCs w:val="21"/>
          <w:highlight w:val="none"/>
          <w:u w:val="single"/>
        </w:rPr>
        <w:t>次</w:t>
      </w:r>
      <w:r>
        <w:rPr>
          <w:rFonts w:hint="eastAsia"/>
          <w:color w:val="auto"/>
          <w:szCs w:val="21"/>
          <w:highlight w:val="none"/>
          <w:u w:val="single"/>
        </w:rPr>
        <w:t>（</w:t>
      </w:r>
      <w:r>
        <w:rPr>
          <w:rFonts w:hAnsi="宋体"/>
          <w:color w:val="auto"/>
          <w:szCs w:val="21"/>
          <w:highlight w:val="none"/>
          <w:u w:val="single"/>
        </w:rPr>
        <w:t>人民币</w:t>
      </w:r>
      <w:r>
        <w:rPr>
          <w:rFonts w:hint="eastAsia"/>
          <w:color w:val="auto"/>
          <w:szCs w:val="21"/>
          <w:highlight w:val="none"/>
          <w:u w:val="single"/>
        </w:rPr>
        <w:t>）</w:t>
      </w:r>
      <w:r>
        <w:rPr>
          <w:rFonts w:hAnsi="宋体"/>
          <w:color w:val="auto"/>
          <w:szCs w:val="21"/>
          <w:highlight w:val="none"/>
          <w:u w:val="single"/>
        </w:rPr>
        <w:t>违约金</w:t>
      </w:r>
      <w:r>
        <w:rPr>
          <w:rFonts w:hint="eastAsia" w:hAnsi="宋体"/>
          <w:color w:val="auto"/>
          <w:szCs w:val="21"/>
          <w:highlight w:val="none"/>
          <w:u w:val="single"/>
        </w:rPr>
        <w:t>；</w:t>
      </w:r>
      <w:r>
        <w:rPr>
          <w:rFonts w:hAnsi="宋体"/>
          <w:color w:val="auto"/>
          <w:szCs w:val="21"/>
          <w:highlight w:val="none"/>
          <w:u w:val="single"/>
        </w:rPr>
        <w:t>擅自更换</w:t>
      </w:r>
      <w:r>
        <w:rPr>
          <w:rFonts w:hint="eastAsia" w:hAnsi="宋体"/>
          <w:color w:val="auto"/>
          <w:szCs w:val="21"/>
          <w:highlight w:val="none"/>
          <w:u w:val="single"/>
          <w:lang w:eastAsia="zh-CN"/>
        </w:rPr>
        <w:t>其他</w:t>
      </w:r>
      <w:r>
        <w:rPr>
          <w:rFonts w:hint="eastAsia" w:hAnsi="宋体"/>
          <w:color w:val="auto"/>
          <w:szCs w:val="21"/>
          <w:highlight w:val="none"/>
          <w:u w:val="single"/>
        </w:rPr>
        <w:t>在场管理人员</w:t>
      </w:r>
      <w:r>
        <w:rPr>
          <w:rFonts w:hAnsi="宋体"/>
          <w:color w:val="auto"/>
          <w:szCs w:val="21"/>
          <w:highlight w:val="none"/>
          <w:u w:val="single"/>
        </w:rPr>
        <w:t>处</w:t>
      </w:r>
      <w:r>
        <w:rPr>
          <w:rFonts w:hint="eastAsia"/>
          <w:color w:val="auto"/>
          <w:szCs w:val="21"/>
          <w:highlight w:val="none"/>
          <w:u w:val="single"/>
        </w:rPr>
        <w:t>500</w:t>
      </w:r>
      <w:r>
        <w:rPr>
          <w:rFonts w:hAnsi="宋体"/>
          <w:color w:val="auto"/>
          <w:szCs w:val="21"/>
          <w:highlight w:val="none"/>
          <w:u w:val="single"/>
        </w:rPr>
        <w:t>元</w:t>
      </w:r>
      <w:r>
        <w:rPr>
          <w:color w:val="auto"/>
          <w:szCs w:val="21"/>
          <w:highlight w:val="none"/>
          <w:u w:val="single"/>
        </w:rPr>
        <w:t>/</w:t>
      </w:r>
      <w:r>
        <w:rPr>
          <w:rFonts w:hAnsi="宋体"/>
          <w:color w:val="auto"/>
          <w:szCs w:val="21"/>
          <w:highlight w:val="none"/>
          <w:u w:val="single"/>
        </w:rPr>
        <w:t>人</w:t>
      </w:r>
      <w:r>
        <w:rPr>
          <w:color w:val="auto"/>
          <w:szCs w:val="21"/>
          <w:highlight w:val="none"/>
          <w:u w:val="single"/>
        </w:rPr>
        <w:t>•</w:t>
      </w:r>
      <w:r>
        <w:rPr>
          <w:rFonts w:hAnsi="宋体"/>
          <w:color w:val="auto"/>
          <w:szCs w:val="21"/>
          <w:highlight w:val="none"/>
          <w:u w:val="single"/>
        </w:rPr>
        <w:t>次</w:t>
      </w:r>
      <w:r>
        <w:rPr>
          <w:rFonts w:hint="eastAsia"/>
          <w:color w:val="auto"/>
          <w:szCs w:val="21"/>
          <w:highlight w:val="none"/>
          <w:u w:val="single"/>
        </w:rPr>
        <w:t>（</w:t>
      </w:r>
      <w:r>
        <w:rPr>
          <w:rFonts w:hAnsi="宋体"/>
          <w:color w:val="auto"/>
          <w:szCs w:val="21"/>
          <w:highlight w:val="none"/>
          <w:u w:val="single"/>
        </w:rPr>
        <w:t>人民币</w:t>
      </w:r>
      <w:r>
        <w:rPr>
          <w:rFonts w:hint="eastAsia"/>
          <w:color w:val="auto"/>
          <w:szCs w:val="21"/>
          <w:highlight w:val="none"/>
          <w:u w:val="single"/>
        </w:rPr>
        <w:t>）</w:t>
      </w:r>
      <w:r>
        <w:rPr>
          <w:rFonts w:hAnsi="宋体"/>
          <w:color w:val="auto"/>
          <w:szCs w:val="21"/>
          <w:highlight w:val="none"/>
          <w:u w:val="single"/>
        </w:rPr>
        <w:t>违约金</w:t>
      </w:r>
      <w:r>
        <w:rPr>
          <w:rFonts w:hint="eastAsia" w:hAnsi="宋体" w:cs="宋体"/>
          <w:color w:val="auto"/>
          <w:szCs w:val="21"/>
          <w:highlight w:val="none"/>
        </w:rPr>
        <w:t>。</w:t>
      </w:r>
    </w:p>
    <w:p w14:paraId="10B1D1F7">
      <w:pPr>
        <w:spacing w:line="360" w:lineRule="auto"/>
        <w:ind w:firstLine="420" w:firstLineChars="200"/>
        <w:rPr>
          <w:rFonts w:hAnsi="宋体" w:cs="宋体"/>
          <w:color w:val="auto"/>
          <w:szCs w:val="21"/>
          <w:highlight w:val="none"/>
        </w:rPr>
      </w:pPr>
      <w:r>
        <w:rPr>
          <w:rFonts w:hint="eastAsia" w:hAnsi="宋体" w:cs="宋体"/>
          <w:color w:val="auto"/>
          <w:szCs w:val="21"/>
          <w:highlight w:val="none"/>
        </w:rPr>
        <w:t>承包人主要施工管理人员擅自离开施工现场的违约责任：</w:t>
      </w:r>
      <w:r>
        <w:rPr>
          <w:rFonts w:hAnsi="宋体"/>
          <w:color w:val="auto"/>
          <w:szCs w:val="21"/>
          <w:highlight w:val="none"/>
          <w:u w:val="single"/>
        </w:rPr>
        <w:t>未经发包人同意，</w:t>
      </w:r>
      <w:r>
        <w:rPr>
          <w:rFonts w:hint="eastAsia" w:hAnsi="宋体"/>
          <w:color w:val="auto"/>
          <w:szCs w:val="21"/>
          <w:highlight w:val="none"/>
          <w:u w:val="single"/>
        </w:rPr>
        <w:t>项目</w:t>
      </w:r>
      <w:r>
        <w:rPr>
          <w:rFonts w:hAnsi="宋体"/>
          <w:color w:val="auto"/>
          <w:szCs w:val="21"/>
          <w:highlight w:val="none"/>
          <w:u w:val="single"/>
        </w:rPr>
        <w:t>技术负责人擅自离岗</w:t>
      </w:r>
      <w:r>
        <w:rPr>
          <w:rFonts w:hint="eastAsia" w:ascii="宋体" w:hAnsi="宋体"/>
          <w:b/>
          <w:bCs/>
          <w:color w:val="auto"/>
          <w:szCs w:val="21"/>
          <w:highlight w:val="none"/>
          <w:u w:val="single"/>
        </w:rPr>
        <w:t>（每个月连续缺勤7天，累计15天视为擅自离岗）</w:t>
      </w:r>
      <w:r>
        <w:rPr>
          <w:rFonts w:hAnsi="宋体"/>
          <w:color w:val="auto"/>
          <w:szCs w:val="21"/>
          <w:highlight w:val="none"/>
          <w:u w:val="single"/>
        </w:rPr>
        <w:t>的，视为承包人违约，发包人有权处违约金</w:t>
      </w:r>
      <w:r>
        <w:rPr>
          <w:rFonts w:hint="eastAsia"/>
          <w:color w:val="auto"/>
          <w:szCs w:val="21"/>
          <w:highlight w:val="none"/>
          <w:u w:val="single"/>
        </w:rPr>
        <w:t>500</w:t>
      </w:r>
      <w:r>
        <w:rPr>
          <w:rFonts w:hAnsi="宋体"/>
          <w:color w:val="auto"/>
          <w:szCs w:val="21"/>
          <w:highlight w:val="none"/>
          <w:u w:val="single"/>
        </w:rPr>
        <w:t>元</w:t>
      </w:r>
      <w:r>
        <w:rPr>
          <w:color w:val="auto"/>
          <w:szCs w:val="21"/>
          <w:highlight w:val="none"/>
          <w:u w:val="single"/>
        </w:rPr>
        <w:t>/</w:t>
      </w:r>
      <w:r>
        <w:rPr>
          <w:rFonts w:hAnsi="宋体"/>
          <w:color w:val="auto"/>
          <w:szCs w:val="21"/>
          <w:highlight w:val="none"/>
          <w:u w:val="single"/>
        </w:rPr>
        <w:t>人</w:t>
      </w:r>
      <w:r>
        <w:rPr>
          <w:color w:val="auto"/>
          <w:szCs w:val="21"/>
          <w:highlight w:val="none"/>
          <w:u w:val="single"/>
        </w:rPr>
        <w:t>•</w:t>
      </w:r>
      <w:r>
        <w:rPr>
          <w:rFonts w:hAnsi="宋体"/>
          <w:color w:val="auto"/>
          <w:szCs w:val="21"/>
          <w:highlight w:val="none"/>
          <w:u w:val="single"/>
        </w:rPr>
        <w:t>次</w:t>
      </w:r>
      <w:r>
        <w:rPr>
          <w:rFonts w:hint="eastAsia"/>
          <w:color w:val="auto"/>
          <w:szCs w:val="21"/>
          <w:highlight w:val="none"/>
          <w:u w:val="single"/>
        </w:rPr>
        <w:t>（</w:t>
      </w:r>
      <w:r>
        <w:rPr>
          <w:rFonts w:hAnsi="宋体"/>
          <w:color w:val="auto"/>
          <w:szCs w:val="21"/>
          <w:highlight w:val="none"/>
          <w:u w:val="single"/>
        </w:rPr>
        <w:t>人民币</w:t>
      </w:r>
      <w:r>
        <w:rPr>
          <w:rFonts w:hint="eastAsia"/>
          <w:color w:val="auto"/>
          <w:szCs w:val="21"/>
          <w:highlight w:val="none"/>
          <w:u w:val="single"/>
        </w:rPr>
        <w:t>）</w:t>
      </w:r>
      <w:r>
        <w:rPr>
          <w:rFonts w:hAnsi="宋体"/>
          <w:color w:val="auto"/>
          <w:szCs w:val="21"/>
          <w:highlight w:val="none"/>
          <w:u w:val="single"/>
        </w:rPr>
        <w:t>；未经发包人同意，</w:t>
      </w:r>
      <w:r>
        <w:rPr>
          <w:rFonts w:hint="eastAsia" w:hAnsi="宋体"/>
          <w:color w:val="auto"/>
          <w:szCs w:val="21"/>
          <w:highlight w:val="none"/>
          <w:u w:val="single"/>
        </w:rPr>
        <w:t>专职安全员</w:t>
      </w:r>
      <w:r>
        <w:rPr>
          <w:rFonts w:hAnsi="宋体"/>
          <w:color w:val="auto"/>
          <w:szCs w:val="21"/>
          <w:highlight w:val="none"/>
          <w:u w:val="single"/>
        </w:rPr>
        <w:t>擅自离岗</w:t>
      </w:r>
      <w:r>
        <w:rPr>
          <w:rFonts w:hint="eastAsia" w:ascii="宋体" w:hAnsi="宋体"/>
          <w:b/>
          <w:bCs/>
          <w:color w:val="auto"/>
          <w:szCs w:val="21"/>
          <w:highlight w:val="none"/>
          <w:u w:val="single"/>
        </w:rPr>
        <w:t>（每个月连续缺勤7天，累计15天视为擅自离岗）</w:t>
      </w:r>
      <w:r>
        <w:rPr>
          <w:rFonts w:hint="eastAsia" w:hAnsi="宋体" w:cs="宋体"/>
          <w:color w:val="auto"/>
          <w:szCs w:val="21"/>
          <w:highlight w:val="none"/>
          <w:u w:val="single"/>
        </w:rPr>
        <w:t>的，视为承包人违约，发包人有权处违约金</w:t>
      </w:r>
      <w:r>
        <w:rPr>
          <w:rFonts w:hint="eastAsia"/>
          <w:color w:val="auto"/>
          <w:szCs w:val="21"/>
          <w:highlight w:val="none"/>
          <w:u w:val="single"/>
        </w:rPr>
        <w:t>500</w:t>
      </w:r>
      <w:r>
        <w:rPr>
          <w:rFonts w:hint="eastAsia" w:hAnsi="宋体" w:cs="宋体"/>
          <w:color w:val="auto"/>
          <w:szCs w:val="21"/>
          <w:highlight w:val="none"/>
          <w:u w:val="single"/>
        </w:rPr>
        <w:t>元</w:t>
      </w:r>
      <w:r>
        <w:rPr>
          <w:color w:val="auto"/>
          <w:szCs w:val="21"/>
          <w:highlight w:val="none"/>
          <w:u w:val="single"/>
        </w:rPr>
        <w:t>/</w:t>
      </w:r>
      <w:r>
        <w:rPr>
          <w:rFonts w:hint="eastAsia" w:hAnsi="宋体" w:cs="宋体"/>
          <w:color w:val="auto"/>
          <w:szCs w:val="21"/>
          <w:highlight w:val="none"/>
          <w:u w:val="single"/>
        </w:rPr>
        <w:t>人</w:t>
      </w:r>
      <w:r>
        <w:rPr>
          <w:color w:val="auto"/>
          <w:szCs w:val="21"/>
          <w:highlight w:val="none"/>
          <w:u w:val="single"/>
        </w:rPr>
        <w:t>•</w:t>
      </w:r>
      <w:r>
        <w:rPr>
          <w:rFonts w:hint="eastAsia" w:hAnsi="宋体" w:cs="宋体"/>
          <w:color w:val="auto"/>
          <w:szCs w:val="21"/>
          <w:highlight w:val="none"/>
          <w:u w:val="single"/>
        </w:rPr>
        <w:t>次</w:t>
      </w:r>
      <w:r>
        <w:rPr>
          <w:rFonts w:hint="eastAsia" w:cs="宋体"/>
          <w:color w:val="auto"/>
          <w:szCs w:val="21"/>
          <w:highlight w:val="none"/>
          <w:u w:val="single"/>
        </w:rPr>
        <w:t>（</w:t>
      </w:r>
      <w:r>
        <w:rPr>
          <w:rFonts w:hint="eastAsia" w:hAnsi="宋体" w:cs="宋体"/>
          <w:color w:val="auto"/>
          <w:szCs w:val="21"/>
          <w:highlight w:val="none"/>
          <w:u w:val="single"/>
        </w:rPr>
        <w:t>人民币</w:t>
      </w:r>
      <w:r>
        <w:rPr>
          <w:rFonts w:hint="eastAsia" w:cs="宋体"/>
          <w:color w:val="auto"/>
          <w:szCs w:val="21"/>
          <w:highlight w:val="none"/>
          <w:u w:val="single"/>
        </w:rPr>
        <w:t>）</w:t>
      </w:r>
      <w:r>
        <w:rPr>
          <w:rFonts w:hint="eastAsia" w:hAnsi="宋体" w:cs="宋体"/>
          <w:color w:val="auto"/>
          <w:szCs w:val="21"/>
          <w:highlight w:val="none"/>
          <w:u w:val="single"/>
        </w:rPr>
        <w:t>；</w:t>
      </w:r>
      <w:r>
        <w:rPr>
          <w:rFonts w:hint="eastAsia" w:hAnsi="宋体" w:cs="宋体"/>
          <w:color w:val="auto"/>
          <w:szCs w:val="21"/>
          <w:highlight w:val="none"/>
          <w:u w:val="single"/>
          <w:lang w:eastAsia="zh-CN"/>
        </w:rPr>
        <w:t>其他</w:t>
      </w:r>
      <w:r>
        <w:rPr>
          <w:rFonts w:hint="eastAsia" w:hAnsi="宋体" w:cs="宋体"/>
          <w:color w:val="auto"/>
          <w:szCs w:val="21"/>
          <w:highlight w:val="none"/>
          <w:u w:val="single"/>
        </w:rPr>
        <w:t>在场管理人员擅自离岗</w:t>
      </w:r>
      <w:r>
        <w:rPr>
          <w:rFonts w:hint="eastAsia" w:ascii="宋体" w:hAnsi="宋体"/>
          <w:b/>
          <w:bCs/>
          <w:color w:val="auto"/>
          <w:szCs w:val="21"/>
          <w:highlight w:val="none"/>
          <w:u w:val="single"/>
        </w:rPr>
        <w:t>（每个月连续缺勤7天，累计15天视为擅自离岗）</w:t>
      </w:r>
      <w:r>
        <w:rPr>
          <w:rFonts w:hint="eastAsia" w:hAnsi="宋体" w:cs="宋体"/>
          <w:color w:val="auto"/>
          <w:szCs w:val="21"/>
          <w:highlight w:val="none"/>
          <w:u w:val="single"/>
        </w:rPr>
        <w:t>的，视为承包人违约，发包人有权处违约金500元</w:t>
      </w:r>
      <w:r>
        <w:rPr>
          <w:color w:val="auto"/>
          <w:szCs w:val="21"/>
          <w:highlight w:val="none"/>
          <w:u w:val="single"/>
        </w:rPr>
        <w:t>/</w:t>
      </w:r>
      <w:r>
        <w:rPr>
          <w:rFonts w:hint="eastAsia" w:hAnsi="宋体" w:cs="宋体"/>
          <w:color w:val="auto"/>
          <w:szCs w:val="21"/>
          <w:highlight w:val="none"/>
          <w:u w:val="single"/>
        </w:rPr>
        <w:t>人</w:t>
      </w:r>
      <w:r>
        <w:rPr>
          <w:color w:val="auto"/>
          <w:szCs w:val="21"/>
          <w:highlight w:val="none"/>
          <w:u w:val="single"/>
        </w:rPr>
        <w:t>•</w:t>
      </w:r>
      <w:r>
        <w:rPr>
          <w:rFonts w:hint="eastAsia" w:hAnsi="宋体" w:cs="宋体"/>
          <w:color w:val="auto"/>
          <w:szCs w:val="21"/>
          <w:highlight w:val="none"/>
          <w:u w:val="single"/>
        </w:rPr>
        <w:t>次</w:t>
      </w:r>
      <w:r>
        <w:rPr>
          <w:rFonts w:hint="eastAsia" w:cs="宋体"/>
          <w:color w:val="auto"/>
          <w:szCs w:val="21"/>
          <w:highlight w:val="none"/>
          <w:u w:val="single"/>
        </w:rPr>
        <w:t>（</w:t>
      </w:r>
      <w:r>
        <w:rPr>
          <w:rFonts w:hint="eastAsia" w:hAnsi="宋体" w:cs="宋体"/>
          <w:color w:val="auto"/>
          <w:szCs w:val="21"/>
          <w:highlight w:val="none"/>
          <w:u w:val="single"/>
        </w:rPr>
        <w:t>人民币</w:t>
      </w:r>
      <w:r>
        <w:rPr>
          <w:rFonts w:hint="eastAsia" w:cs="宋体"/>
          <w:color w:val="auto"/>
          <w:szCs w:val="21"/>
          <w:highlight w:val="none"/>
          <w:u w:val="single"/>
        </w:rPr>
        <w:t>）</w:t>
      </w:r>
      <w:r>
        <w:rPr>
          <w:rFonts w:hint="eastAsia" w:hAnsi="宋体" w:cs="宋体"/>
          <w:color w:val="auto"/>
          <w:szCs w:val="21"/>
          <w:highlight w:val="none"/>
        </w:rPr>
        <w:t>。</w:t>
      </w:r>
    </w:p>
    <w:p w14:paraId="3DE3A2B1">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3.3.6工程例会要求：承包人项目经理、项目技术负责人、水电负责人、质量员、安全员必须参加由监理人主持的每周工程例会，因故不能参加的应提前4小时向监理或项目总监提出书面申请并在获得总监批准后方可缺席（最多只能1人缺席），否则承包人须向发包人支付违约金 500元/人•次</w:t>
      </w:r>
      <w:r>
        <w:rPr>
          <w:rFonts w:hint="eastAsia" w:ascii="宋体" w:hAnsi="宋体"/>
          <w:b/>
          <w:bCs/>
          <w:color w:val="auto"/>
          <w:szCs w:val="21"/>
          <w:highlight w:val="none"/>
          <w:lang w:eastAsia="zh-CN"/>
        </w:rPr>
        <w:t>，</w:t>
      </w:r>
      <w:r>
        <w:rPr>
          <w:rFonts w:hint="eastAsia" w:ascii="宋体" w:hAnsi="宋体"/>
          <w:b/>
          <w:bCs/>
          <w:color w:val="auto"/>
          <w:szCs w:val="21"/>
          <w:highlight w:val="none"/>
        </w:rPr>
        <w:t>迟到的承包人须向发包人支付违约金 200元/人•次。</w:t>
      </w:r>
    </w:p>
    <w:p w14:paraId="6BCE7D24">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3.3.7对承包人工作人员的要求：对于下列承包人工作人员，发包人有权要求及时更换，承包人在收到书面通知后必须在24小时内将其调离本工程范围，否则承包人支付违约金 1000元/人•次；同时，承包人应在48 小时内用发包人批准的合格的人员代替上述调离的人员。</w:t>
      </w:r>
    </w:p>
    <w:p w14:paraId="2E39CFC4">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（1）分部分项工程经两次验收仍不能满足要求的主要责任者（指施工员、班组长、质量员、工长）；</w:t>
      </w:r>
    </w:p>
    <w:p w14:paraId="244A8B2D">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（2）专业水平达不到岗位要求、工作责任心不强的施工人员；</w:t>
      </w:r>
    </w:p>
    <w:p w14:paraId="417B465C">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（3）不能积极配合监理和发包人的管理的工作人员；</w:t>
      </w:r>
    </w:p>
    <w:p w14:paraId="330EC605">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（4）违反发包人或承包人工地现场管理规定者；</w:t>
      </w:r>
    </w:p>
    <w:p w14:paraId="52CECEC8">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（5）高空抛弃建筑垃圾者及随地大小便者；</w:t>
      </w:r>
    </w:p>
    <w:p w14:paraId="40EC9E13">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（6）无证上岗者；</w:t>
      </w:r>
    </w:p>
    <w:p w14:paraId="6A8BCC81">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（7）与响应文件及本合同规定名册不符者；</w:t>
      </w:r>
    </w:p>
    <w:p w14:paraId="4E2346BA">
      <w:pPr>
        <w:spacing w:line="360" w:lineRule="auto"/>
        <w:ind w:firstLine="422" w:firstLineChars="200"/>
        <w:rPr>
          <w:rFonts w:hAnsi="宋体" w:cs="宋体"/>
          <w:color w:val="auto"/>
          <w:szCs w:val="21"/>
          <w:highlight w:val="none"/>
        </w:rPr>
      </w:pPr>
      <w:r>
        <w:rPr>
          <w:rFonts w:hint="eastAsia" w:ascii="宋体" w:hAnsi="宋体"/>
          <w:b/>
          <w:bCs/>
          <w:color w:val="auto"/>
          <w:szCs w:val="21"/>
          <w:highlight w:val="none"/>
        </w:rPr>
        <w:t>（8）与本工程施工无关及对本工程产生不良影响的其他人员。</w:t>
      </w:r>
    </w:p>
    <w:p w14:paraId="785A86E9">
      <w:pPr>
        <w:keepNext/>
        <w:keepLines/>
        <w:spacing w:line="360" w:lineRule="auto"/>
        <w:outlineLvl w:val="2"/>
        <w:rPr>
          <w:rFonts w:eastAsia="黑体"/>
          <w:b/>
          <w:bCs/>
          <w:color w:val="auto"/>
          <w:sz w:val="32"/>
          <w:szCs w:val="32"/>
          <w:highlight w:val="none"/>
          <w:lang w:val="zh-CN"/>
        </w:rPr>
      </w:pPr>
      <w:bookmarkStart w:id="332" w:name="_Toc185869634"/>
      <w:r>
        <w:rPr>
          <w:rFonts w:eastAsia="黑体"/>
          <w:b/>
          <w:bCs/>
          <w:color w:val="auto"/>
          <w:sz w:val="32"/>
          <w:szCs w:val="32"/>
          <w:highlight w:val="none"/>
          <w:lang w:val="zh-CN"/>
        </w:rPr>
        <w:t xml:space="preserve">3.5 </w:t>
      </w:r>
      <w:r>
        <w:rPr>
          <w:rFonts w:hint="eastAsia" w:hAnsi="宋体" w:eastAsia="黑体" w:cs="黑体"/>
          <w:b/>
          <w:bCs/>
          <w:color w:val="auto"/>
          <w:sz w:val="32"/>
          <w:szCs w:val="32"/>
          <w:highlight w:val="none"/>
          <w:lang w:val="zh-CN"/>
        </w:rPr>
        <w:t>分包</w:t>
      </w:r>
      <w:bookmarkEnd w:id="332"/>
    </w:p>
    <w:p w14:paraId="1BFDFD9A">
      <w:pPr>
        <w:spacing w:line="360" w:lineRule="auto"/>
        <w:ind w:firstLine="420" w:firstLineChars="200"/>
        <w:rPr>
          <w:color w:val="auto"/>
          <w:szCs w:val="21"/>
          <w:highlight w:val="none"/>
        </w:rPr>
      </w:pPr>
      <w:r>
        <w:rPr>
          <w:color w:val="auto"/>
          <w:szCs w:val="21"/>
          <w:highlight w:val="none"/>
        </w:rPr>
        <w:t xml:space="preserve">3.5.1 </w:t>
      </w:r>
      <w:r>
        <w:rPr>
          <w:rFonts w:hAnsi="宋体"/>
          <w:color w:val="auto"/>
          <w:szCs w:val="21"/>
          <w:highlight w:val="none"/>
        </w:rPr>
        <w:t>分包的一般约定</w:t>
      </w:r>
    </w:p>
    <w:p w14:paraId="3E7EB0DD">
      <w:pPr>
        <w:spacing w:line="360" w:lineRule="auto"/>
        <w:ind w:firstLine="420" w:firstLineChars="200"/>
        <w:jc w:val="left"/>
        <w:rPr>
          <w:color w:val="auto"/>
          <w:szCs w:val="21"/>
          <w:highlight w:val="none"/>
        </w:rPr>
      </w:pPr>
      <w:r>
        <w:rPr>
          <w:rFonts w:hAnsi="宋体"/>
          <w:color w:val="auto"/>
          <w:szCs w:val="21"/>
          <w:highlight w:val="none"/>
        </w:rPr>
        <w:t>禁止分包的工程包括：</w:t>
      </w:r>
      <w:r>
        <w:rPr>
          <w:rFonts w:hint="eastAsia" w:hAnsi="宋体"/>
          <w:color w:val="auto"/>
          <w:szCs w:val="21"/>
          <w:highlight w:val="none"/>
          <w:u w:val="single"/>
        </w:rPr>
        <w:t>按通用条款</w:t>
      </w:r>
      <w:r>
        <w:rPr>
          <w:rFonts w:hAnsi="宋体"/>
          <w:color w:val="auto"/>
          <w:szCs w:val="21"/>
          <w:highlight w:val="none"/>
        </w:rPr>
        <w:t>。</w:t>
      </w:r>
    </w:p>
    <w:p w14:paraId="39C77850">
      <w:pPr>
        <w:spacing w:line="360" w:lineRule="auto"/>
        <w:ind w:firstLine="420" w:firstLineChars="200"/>
        <w:jc w:val="left"/>
        <w:rPr>
          <w:rFonts w:hAnsi="宋体"/>
          <w:color w:val="auto"/>
          <w:szCs w:val="21"/>
          <w:highlight w:val="none"/>
        </w:rPr>
      </w:pPr>
      <w:r>
        <w:rPr>
          <w:rFonts w:hAnsi="宋体"/>
          <w:color w:val="auto"/>
          <w:szCs w:val="21"/>
          <w:highlight w:val="none"/>
        </w:rPr>
        <w:t>主体结构、关键性工作的范围：</w:t>
      </w:r>
      <w:r>
        <w:rPr>
          <w:rFonts w:hint="eastAsia" w:hAnsi="宋体"/>
          <w:color w:val="auto"/>
          <w:szCs w:val="21"/>
          <w:highlight w:val="none"/>
          <w:u w:val="single"/>
        </w:rPr>
        <w:t>项目工程量清单所列范围</w:t>
      </w:r>
      <w:r>
        <w:rPr>
          <w:rFonts w:hAnsi="宋体"/>
          <w:color w:val="auto"/>
          <w:szCs w:val="21"/>
          <w:highlight w:val="none"/>
        </w:rPr>
        <w:t>。</w:t>
      </w:r>
    </w:p>
    <w:p w14:paraId="5C68712B">
      <w:pPr>
        <w:spacing w:line="360" w:lineRule="auto"/>
        <w:ind w:firstLine="420" w:firstLineChars="200"/>
        <w:jc w:val="left"/>
        <w:rPr>
          <w:color w:val="auto"/>
          <w:szCs w:val="21"/>
          <w:highlight w:val="none"/>
        </w:rPr>
      </w:pPr>
      <w:r>
        <w:rPr>
          <w:color w:val="auto"/>
          <w:szCs w:val="21"/>
          <w:highlight w:val="none"/>
        </w:rPr>
        <w:t>3.5.2</w:t>
      </w:r>
      <w:r>
        <w:rPr>
          <w:rFonts w:hAnsi="宋体"/>
          <w:color w:val="auto"/>
          <w:szCs w:val="21"/>
          <w:highlight w:val="none"/>
        </w:rPr>
        <w:t>分包的确定</w:t>
      </w:r>
    </w:p>
    <w:p w14:paraId="3E772409">
      <w:pPr>
        <w:spacing w:line="360" w:lineRule="auto"/>
        <w:ind w:firstLine="420" w:firstLineChars="200"/>
        <w:rPr>
          <w:color w:val="auto"/>
          <w:szCs w:val="21"/>
          <w:highlight w:val="none"/>
          <w:u w:val="single"/>
        </w:rPr>
      </w:pPr>
      <w:r>
        <w:rPr>
          <w:rFonts w:hAnsi="宋体"/>
          <w:color w:val="auto"/>
          <w:szCs w:val="21"/>
          <w:highlight w:val="none"/>
        </w:rPr>
        <w:t>允许分包的专业工程包括：</w:t>
      </w:r>
      <w:r>
        <w:rPr>
          <w:rFonts w:hint="eastAsia" w:hAnsi="宋体"/>
          <w:color w:val="auto"/>
          <w:szCs w:val="21"/>
          <w:highlight w:val="none"/>
          <w:u w:val="single"/>
        </w:rPr>
        <w:t>无</w:t>
      </w:r>
      <w:r>
        <w:rPr>
          <w:rFonts w:hAnsi="宋体"/>
          <w:color w:val="auto"/>
          <w:szCs w:val="21"/>
          <w:highlight w:val="none"/>
        </w:rPr>
        <w:t>。</w:t>
      </w:r>
    </w:p>
    <w:p w14:paraId="708992D2">
      <w:pPr>
        <w:spacing w:line="360" w:lineRule="auto"/>
        <w:ind w:firstLine="420" w:firstLineChars="200"/>
        <w:rPr>
          <w:color w:val="auto"/>
          <w:szCs w:val="21"/>
          <w:highlight w:val="none"/>
        </w:rPr>
      </w:pPr>
      <w:r>
        <w:rPr>
          <w:rFonts w:hint="eastAsia" w:hAnsi="宋体" w:cs="宋体"/>
          <w:color w:val="auto"/>
          <w:szCs w:val="21"/>
          <w:highlight w:val="none"/>
        </w:rPr>
        <w:t>其他关于分包的约定：</w:t>
      </w:r>
    </w:p>
    <w:p w14:paraId="6FA69E44">
      <w:pPr>
        <w:spacing w:line="360" w:lineRule="auto"/>
        <w:ind w:firstLine="420" w:firstLineChars="200"/>
        <w:rPr>
          <w:color w:val="auto"/>
          <w:szCs w:val="21"/>
          <w:highlight w:val="none"/>
        </w:rPr>
      </w:pPr>
      <w:r>
        <w:rPr>
          <w:rFonts w:hint="eastAsia" w:cs="宋体"/>
          <w:color w:val="auto"/>
          <w:szCs w:val="21"/>
          <w:highlight w:val="none"/>
        </w:rPr>
        <w:t>（</w:t>
      </w:r>
      <w:r>
        <w:rPr>
          <w:color w:val="auto"/>
          <w:szCs w:val="21"/>
          <w:highlight w:val="none"/>
        </w:rPr>
        <w:t>1</w:t>
      </w:r>
      <w:r>
        <w:rPr>
          <w:rFonts w:hint="eastAsia" w:cs="宋体"/>
          <w:color w:val="auto"/>
          <w:szCs w:val="21"/>
          <w:highlight w:val="none"/>
        </w:rPr>
        <w:t>）</w:t>
      </w:r>
      <w:r>
        <w:rPr>
          <w:rFonts w:hint="eastAsia" w:hAnsi="宋体" w:cs="宋体"/>
          <w:color w:val="auto"/>
          <w:szCs w:val="21"/>
          <w:highlight w:val="none"/>
        </w:rPr>
        <w:t>除前款约定的分包内容外，经过发包人和监理人同意，承包人可以将其他非主体、非关键性工作分包给第三人，但分包人应当经过发包人和监理人审批。发包人和监理人有权拒绝承包人的分包请求和承包人选择的分包人。本项目分包人主要施工管理人员名单详见合同附件</w:t>
      </w:r>
      <w:r>
        <w:rPr>
          <w:rFonts w:hint="eastAsia" w:hAnsi="宋体"/>
          <w:color w:val="auto"/>
          <w:szCs w:val="21"/>
          <w:highlight w:val="none"/>
        </w:rPr>
        <w:t>6</w:t>
      </w:r>
      <w:r>
        <w:rPr>
          <w:rFonts w:hint="eastAsia" w:hAnsi="宋体" w:cs="宋体"/>
          <w:color w:val="auto"/>
          <w:szCs w:val="21"/>
          <w:highlight w:val="none"/>
        </w:rPr>
        <w:t>。</w:t>
      </w:r>
    </w:p>
    <w:p w14:paraId="296779D8">
      <w:pPr>
        <w:spacing w:line="360" w:lineRule="auto"/>
        <w:ind w:firstLine="420" w:firstLineChars="200"/>
        <w:rPr>
          <w:color w:val="auto"/>
          <w:szCs w:val="21"/>
          <w:highlight w:val="none"/>
          <w:u w:val="single"/>
        </w:rPr>
      </w:pPr>
      <w:r>
        <w:rPr>
          <w:rFonts w:hint="eastAsia" w:cs="宋体"/>
          <w:color w:val="auto"/>
          <w:szCs w:val="21"/>
          <w:highlight w:val="none"/>
        </w:rPr>
        <w:t>（</w:t>
      </w:r>
      <w:r>
        <w:rPr>
          <w:color w:val="auto"/>
          <w:szCs w:val="21"/>
          <w:highlight w:val="none"/>
        </w:rPr>
        <w:t>2</w:t>
      </w:r>
      <w:r>
        <w:rPr>
          <w:rFonts w:hint="eastAsia" w:cs="宋体"/>
          <w:color w:val="auto"/>
          <w:szCs w:val="21"/>
          <w:highlight w:val="none"/>
        </w:rPr>
        <w:t>）</w:t>
      </w:r>
      <w:r>
        <w:rPr>
          <w:rFonts w:hint="eastAsia" w:hAnsi="宋体" w:cs="宋体"/>
          <w:color w:val="auto"/>
          <w:szCs w:val="21"/>
          <w:highlight w:val="none"/>
        </w:rPr>
        <w:t>在相关分包合同签订并报送有关建设行政主管部门备案后</w:t>
      </w:r>
      <w:r>
        <w:rPr>
          <w:color w:val="auto"/>
          <w:szCs w:val="21"/>
          <w:highlight w:val="none"/>
        </w:rPr>
        <w:t>7</w:t>
      </w:r>
      <w:r>
        <w:rPr>
          <w:rFonts w:hint="eastAsia" w:hAnsi="宋体" w:cs="宋体"/>
          <w:color w:val="auto"/>
          <w:szCs w:val="21"/>
          <w:highlight w:val="none"/>
        </w:rPr>
        <w:t>天内，承包人应当将一份副本提交给监理人，承包人应保障分包工作不得再次分包。</w:t>
      </w:r>
    </w:p>
    <w:p w14:paraId="04FE7337">
      <w:pPr>
        <w:spacing w:line="360" w:lineRule="auto"/>
        <w:ind w:firstLine="420" w:firstLineChars="200"/>
        <w:rPr>
          <w:color w:val="auto"/>
          <w:szCs w:val="21"/>
          <w:highlight w:val="none"/>
        </w:rPr>
      </w:pPr>
      <w:r>
        <w:rPr>
          <w:rFonts w:hint="eastAsia" w:cs="宋体"/>
          <w:color w:val="auto"/>
          <w:szCs w:val="21"/>
          <w:highlight w:val="none"/>
        </w:rPr>
        <w:t>（</w:t>
      </w:r>
      <w:r>
        <w:rPr>
          <w:color w:val="auto"/>
          <w:szCs w:val="21"/>
          <w:highlight w:val="none"/>
        </w:rPr>
        <w:t>3</w:t>
      </w:r>
      <w:r>
        <w:rPr>
          <w:rFonts w:hint="eastAsia" w:cs="宋体"/>
          <w:color w:val="auto"/>
          <w:szCs w:val="21"/>
          <w:highlight w:val="none"/>
        </w:rPr>
        <w:t>）</w:t>
      </w:r>
      <w:r>
        <w:rPr>
          <w:rFonts w:hint="eastAsia" w:hAnsi="宋体" w:cs="宋体"/>
          <w:color w:val="auto"/>
          <w:szCs w:val="21"/>
          <w:highlight w:val="none"/>
        </w:rPr>
        <w:t>未经承包人和监理人审批同意的分包工程和分包人，承包人有权拒绝验收分包工程和支付相应款项，由此引起的发包人费用增加和</w:t>
      </w:r>
      <w:r>
        <w:rPr>
          <w:rFonts w:hint="eastAsia" w:hAnsi="宋体" w:cs="宋体"/>
          <w:color w:val="auto"/>
          <w:szCs w:val="21"/>
          <w:highlight w:val="none"/>
          <w:lang w:eastAsia="zh-CN"/>
        </w:rPr>
        <w:t>（</w:t>
      </w:r>
      <w:r>
        <w:rPr>
          <w:rFonts w:hint="eastAsia" w:hAnsi="宋体" w:cs="宋体"/>
          <w:color w:val="auto"/>
          <w:szCs w:val="21"/>
          <w:highlight w:val="none"/>
        </w:rPr>
        <w:t>或</w:t>
      </w:r>
      <w:r>
        <w:rPr>
          <w:rFonts w:hint="eastAsia" w:hAnsi="宋体" w:cs="宋体"/>
          <w:color w:val="auto"/>
          <w:szCs w:val="21"/>
          <w:highlight w:val="none"/>
          <w:lang w:eastAsia="zh-CN"/>
        </w:rPr>
        <w:t>）</w:t>
      </w:r>
      <w:r>
        <w:rPr>
          <w:rFonts w:hint="eastAsia" w:hAnsi="宋体" w:cs="宋体"/>
          <w:color w:val="auto"/>
          <w:szCs w:val="21"/>
          <w:highlight w:val="none"/>
        </w:rPr>
        <w:t>延误的工期由发包人承担。</w:t>
      </w:r>
    </w:p>
    <w:p w14:paraId="35303A6F">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4</w:t>
      </w:r>
      <w:r>
        <w:rPr>
          <w:rFonts w:hint="eastAsia"/>
          <w:color w:val="auto"/>
          <w:szCs w:val="21"/>
          <w:highlight w:val="none"/>
        </w:rPr>
        <w:t>）</w:t>
      </w:r>
      <w:r>
        <w:rPr>
          <w:rFonts w:hint="eastAsia" w:hAnsi="宋体"/>
          <w:color w:val="auto"/>
          <w:szCs w:val="21"/>
          <w:highlight w:val="none"/>
        </w:rPr>
        <w:t>承包人有以下情况之一者，发包人有权解除合同，并视情况扣除其履约保证金：</w:t>
      </w:r>
    </w:p>
    <w:p w14:paraId="1CE3796F">
      <w:pPr>
        <w:spacing w:line="360" w:lineRule="auto"/>
        <w:ind w:firstLine="441" w:firstLineChars="210"/>
        <w:rPr>
          <w:color w:val="auto"/>
          <w:szCs w:val="21"/>
          <w:highlight w:val="none"/>
        </w:rPr>
      </w:pPr>
      <w:r>
        <w:rPr>
          <w:rFonts w:hint="eastAsia" w:hAnsi="宋体"/>
          <w:color w:val="auto"/>
          <w:szCs w:val="21"/>
          <w:highlight w:val="none"/>
        </w:rPr>
        <w:t>①个人承包工程，包括本人单位及外单位人员承包，发包人不承认其个人拥有任何资质等级及营业许可资格。没收全部履约保证金。</w:t>
      </w:r>
    </w:p>
    <w:p w14:paraId="5A3D7FA2">
      <w:pPr>
        <w:spacing w:line="360" w:lineRule="auto"/>
        <w:ind w:firstLine="441" w:firstLineChars="210"/>
        <w:rPr>
          <w:color w:val="auto"/>
          <w:szCs w:val="21"/>
          <w:highlight w:val="none"/>
        </w:rPr>
      </w:pPr>
      <w:r>
        <w:rPr>
          <w:rFonts w:hint="eastAsia" w:hAnsi="宋体"/>
          <w:color w:val="auto"/>
          <w:szCs w:val="21"/>
          <w:highlight w:val="none"/>
        </w:rPr>
        <w:t>②几个人联合承包工程，就地组织暗分包队伍，不具备完成本工程的技术、机械能力，被发包人判定为没有能力履行的承包人。没收全部履约保证金。</w:t>
      </w:r>
    </w:p>
    <w:p w14:paraId="1D13F096">
      <w:pPr>
        <w:spacing w:line="360" w:lineRule="auto"/>
        <w:ind w:firstLine="441" w:firstLineChars="210"/>
        <w:rPr>
          <w:color w:val="auto"/>
          <w:szCs w:val="21"/>
          <w:highlight w:val="none"/>
        </w:rPr>
      </w:pPr>
      <w:r>
        <w:rPr>
          <w:rFonts w:hint="eastAsia" w:hAnsi="宋体"/>
          <w:color w:val="auto"/>
          <w:szCs w:val="21"/>
          <w:highlight w:val="none"/>
        </w:rPr>
        <w:t>③就地转包全部的工程，以谋取高额转让费、管理费的承包人。没收全部履约保证金。</w:t>
      </w:r>
    </w:p>
    <w:p w14:paraId="22440445">
      <w:pPr>
        <w:spacing w:line="360" w:lineRule="auto"/>
        <w:ind w:firstLine="420" w:firstLineChars="200"/>
        <w:rPr>
          <w:color w:val="auto"/>
          <w:szCs w:val="21"/>
          <w:highlight w:val="none"/>
          <w:u w:val="single"/>
        </w:rPr>
      </w:pPr>
      <w:r>
        <w:rPr>
          <w:rFonts w:hint="eastAsia" w:hAnsi="宋体" w:cs="宋体"/>
          <w:color w:val="auto"/>
          <w:szCs w:val="21"/>
          <w:highlight w:val="none"/>
        </w:rPr>
        <w:t>④承包人有部分分包现象（其中包括冒充承包人下属单位的</w:t>
      </w:r>
      <w:r>
        <w:rPr>
          <w:rFonts w:hint="eastAsia" w:hAnsi="宋体" w:cs="宋体"/>
          <w:color w:val="auto"/>
          <w:szCs w:val="21"/>
          <w:highlight w:val="none"/>
          <w:lang w:eastAsia="zh-CN"/>
        </w:rPr>
        <w:t>挂钩</w:t>
      </w:r>
      <w:r>
        <w:rPr>
          <w:rFonts w:hint="eastAsia" w:hAnsi="宋体" w:cs="宋体"/>
          <w:color w:val="auto"/>
          <w:szCs w:val="21"/>
          <w:highlight w:val="none"/>
        </w:rPr>
        <w:t>单位，凭口头协议参与施工的分包人及其他暗分包个体户），一经发现核实，发包人将采取驱逐该暗分包人措施。没收全部履约保证金。</w:t>
      </w:r>
    </w:p>
    <w:p w14:paraId="7A3E820F">
      <w:pPr>
        <w:spacing w:line="360" w:lineRule="auto"/>
        <w:ind w:firstLine="420" w:firstLineChars="200"/>
        <w:rPr>
          <w:color w:val="auto"/>
          <w:szCs w:val="21"/>
          <w:highlight w:val="none"/>
        </w:rPr>
      </w:pPr>
      <w:r>
        <w:rPr>
          <w:color w:val="auto"/>
          <w:szCs w:val="21"/>
          <w:highlight w:val="none"/>
        </w:rPr>
        <w:t xml:space="preserve">3.5.4 </w:t>
      </w:r>
      <w:r>
        <w:rPr>
          <w:rFonts w:hint="eastAsia" w:hAnsi="宋体" w:cs="宋体"/>
          <w:color w:val="auto"/>
          <w:szCs w:val="21"/>
          <w:highlight w:val="none"/>
        </w:rPr>
        <w:t>分包合同价款</w:t>
      </w:r>
    </w:p>
    <w:p w14:paraId="1BCE75FE">
      <w:pPr>
        <w:spacing w:line="360" w:lineRule="auto"/>
        <w:ind w:firstLine="420" w:firstLineChars="200"/>
        <w:rPr>
          <w:color w:val="auto"/>
          <w:szCs w:val="21"/>
          <w:highlight w:val="none"/>
        </w:rPr>
      </w:pPr>
      <w:r>
        <w:rPr>
          <w:rFonts w:hint="eastAsia" w:hAnsi="宋体" w:cs="宋体"/>
          <w:color w:val="auto"/>
          <w:szCs w:val="21"/>
          <w:highlight w:val="none"/>
        </w:rPr>
        <w:t>关于分包合同价款支付的约定：</w:t>
      </w:r>
      <w:r>
        <w:rPr>
          <w:rFonts w:hint="eastAsia" w:hAnsi="宋体" w:cs="宋体"/>
          <w:color w:val="auto"/>
          <w:szCs w:val="21"/>
          <w:highlight w:val="none"/>
          <w:u w:val="single"/>
        </w:rPr>
        <w:t>分包工程价款由承包人与分包人</w:t>
      </w:r>
      <w:r>
        <w:rPr>
          <w:rFonts w:hint="eastAsia" w:cs="宋体"/>
          <w:color w:val="auto"/>
          <w:szCs w:val="21"/>
          <w:highlight w:val="none"/>
          <w:u w:val="single"/>
        </w:rPr>
        <w:t>（</w:t>
      </w:r>
      <w:r>
        <w:rPr>
          <w:rFonts w:hint="eastAsia" w:hAnsi="宋体" w:cs="宋体"/>
          <w:color w:val="auto"/>
          <w:szCs w:val="21"/>
          <w:highlight w:val="none"/>
          <w:u w:val="single"/>
        </w:rPr>
        <w:t>包括专业分包人</w:t>
      </w:r>
      <w:r>
        <w:rPr>
          <w:rFonts w:hint="eastAsia" w:cs="宋体"/>
          <w:color w:val="auto"/>
          <w:szCs w:val="21"/>
          <w:highlight w:val="none"/>
          <w:u w:val="single"/>
        </w:rPr>
        <w:t>）</w:t>
      </w:r>
      <w:r>
        <w:rPr>
          <w:rFonts w:hint="eastAsia" w:hAnsi="宋体" w:cs="宋体"/>
          <w:color w:val="auto"/>
          <w:szCs w:val="21"/>
          <w:highlight w:val="none"/>
          <w:u w:val="single"/>
        </w:rPr>
        <w:t>结算。发包人未经承包人同意不得以任何形式向分包人</w:t>
      </w:r>
      <w:r>
        <w:rPr>
          <w:rFonts w:hint="eastAsia" w:cs="宋体"/>
          <w:color w:val="auto"/>
          <w:szCs w:val="21"/>
          <w:highlight w:val="none"/>
          <w:u w:val="single"/>
        </w:rPr>
        <w:t>（</w:t>
      </w:r>
      <w:r>
        <w:rPr>
          <w:rFonts w:hint="eastAsia" w:hAnsi="宋体" w:cs="宋体"/>
          <w:color w:val="auto"/>
          <w:szCs w:val="21"/>
          <w:highlight w:val="none"/>
          <w:u w:val="single"/>
        </w:rPr>
        <w:t>包括专业分包人</w:t>
      </w:r>
      <w:r>
        <w:rPr>
          <w:rFonts w:hint="eastAsia" w:cs="宋体"/>
          <w:color w:val="auto"/>
          <w:szCs w:val="21"/>
          <w:highlight w:val="none"/>
          <w:u w:val="single"/>
        </w:rPr>
        <w:t>）</w:t>
      </w:r>
      <w:r>
        <w:rPr>
          <w:rFonts w:hint="eastAsia" w:hAnsi="宋体" w:cs="宋体"/>
          <w:color w:val="auto"/>
          <w:szCs w:val="21"/>
          <w:highlight w:val="none"/>
          <w:u w:val="single"/>
        </w:rPr>
        <w:t>支付相关分包合同项下的任何工程款项。因发包人未经承包人同意直接向分包人</w:t>
      </w:r>
      <w:r>
        <w:rPr>
          <w:rFonts w:hint="eastAsia" w:cs="宋体"/>
          <w:color w:val="auto"/>
          <w:szCs w:val="21"/>
          <w:highlight w:val="none"/>
          <w:u w:val="single"/>
        </w:rPr>
        <w:t>（</w:t>
      </w:r>
      <w:r>
        <w:rPr>
          <w:rFonts w:hint="eastAsia" w:hAnsi="宋体" w:cs="宋体"/>
          <w:color w:val="auto"/>
          <w:szCs w:val="21"/>
          <w:highlight w:val="none"/>
          <w:u w:val="single"/>
        </w:rPr>
        <w:t>包括专业分包人</w:t>
      </w:r>
      <w:r>
        <w:rPr>
          <w:rFonts w:hint="eastAsia" w:cs="宋体"/>
          <w:color w:val="auto"/>
          <w:szCs w:val="21"/>
          <w:highlight w:val="none"/>
          <w:u w:val="single"/>
        </w:rPr>
        <w:t>）</w:t>
      </w:r>
      <w:r>
        <w:rPr>
          <w:rFonts w:hint="eastAsia" w:hAnsi="宋体" w:cs="宋体"/>
          <w:color w:val="auto"/>
          <w:szCs w:val="21"/>
          <w:highlight w:val="none"/>
          <w:u w:val="single"/>
        </w:rPr>
        <w:t>支付相关分包合同项下的任何工程款项而影响承包人工作的，所造成的承包人费用增加和</w:t>
      </w:r>
      <w:r>
        <w:rPr>
          <w:rFonts w:hint="eastAsia" w:cs="宋体"/>
          <w:color w:val="auto"/>
          <w:szCs w:val="21"/>
          <w:highlight w:val="none"/>
          <w:u w:val="single"/>
        </w:rPr>
        <w:t>（</w:t>
      </w:r>
      <w:r>
        <w:rPr>
          <w:rFonts w:hint="eastAsia" w:hAnsi="宋体" w:cs="宋体"/>
          <w:color w:val="auto"/>
          <w:szCs w:val="21"/>
          <w:highlight w:val="none"/>
          <w:u w:val="single"/>
        </w:rPr>
        <w:t>或</w:t>
      </w:r>
      <w:r>
        <w:rPr>
          <w:rFonts w:hint="eastAsia" w:cs="宋体"/>
          <w:color w:val="auto"/>
          <w:szCs w:val="21"/>
          <w:highlight w:val="none"/>
          <w:u w:val="single"/>
        </w:rPr>
        <w:t>）</w:t>
      </w:r>
      <w:r>
        <w:rPr>
          <w:rFonts w:hint="eastAsia" w:hAnsi="宋体" w:cs="宋体"/>
          <w:color w:val="auto"/>
          <w:szCs w:val="21"/>
          <w:highlight w:val="none"/>
          <w:u w:val="single"/>
        </w:rPr>
        <w:t>延误的工期由发包人承担。</w:t>
      </w:r>
    </w:p>
    <w:p w14:paraId="51358D37">
      <w:pPr>
        <w:keepNext/>
        <w:keepLines/>
        <w:spacing w:line="360" w:lineRule="auto"/>
        <w:outlineLvl w:val="2"/>
        <w:rPr>
          <w:rFonts w:eastAsia="黑体"/>
          <w:b/>
          <w:bCs/>
          <w:color w:val="auto"/>
          <w:sz w:val="32"/>
          <w:szCs w:val="32"/>
          <w:highlight w:val="none"/>
          <w:lang w:val="zh-CN"/>
        </w:rPr>
      </w:pPr>
      <w:bookmarkStart w:id="333" w:name="_Toc185869635"/>
      <w:r>
        <w:rPr>
          <w:rFonts w:eastAsia="黑体"/>
          <w:b/>
          <w:bCs/>
          <w:color w:val="auto"/>
          <w:sz w:val="32"/>
          <w:szCs w:val="32"/>
          <w:highlight w:val="none"/>
          <w:lang w:val="zh-CN"/>
        </w:rPr>
        <w:t xml:space="preserve">3.6 </w:t>
      </w:r>
      <w:r>
        <w:rPr>
          <w:rFonts w:hint="eastAsia" w:eastAsia="黑体" w:cs="黑体"/>
          <w:b/>
          <w:bCs/>
          <w:color w:val="auto"/>
          <w:sz w:val="32"/>
          <w:szCs w:val="32"/>
          <w:highlight w:val="none"/>
          <w:lang w:val="zh-CN"/>
        </w:rPr>
        <w:t>工程照管与成品、半成品保护</w:t>
      </w:r>
      <w:bookmarkEnd w:id="333"/>
    </w:p>
    <w:p w14:paraId="2AA11B80">
      <w:pPr>
        <w:spacing w:line="360" w:lineRule="auto"/>
        <w:ind w:firstLine="420" w:firstLineChars="200"/>
        <w:rPr>
          <w:color w:val="auto"/>
          <w:kern w:val="0"/>
          <w:szCs w:val="21"/>
          <w:highlight w:val="none"/>
          <w:u w:val="single"/>
        </w:rPr>
      </w:pPr>
      <w:r>
        <w:rPr>
          <w:rFonts w:hint="eastAsia" w:hAnsi="宋体" w:cs="宋体"/>
          <w:color w:val="auto"/>
          <w:kern w:val="0"/>
          <w:szCs w:val="21"/>
          <w:highlight w:val="none"/>
        </w:rPr>
        <w:t>承包人负责照管工程及工程相关的材料、工程设备的起始时间：</w:t>
      </w:r>
      <w:r>
        <w:rPr>
          <w:rFonts w:hAnsi="宋体"/>
          <w:color w:val="auto"/>
          <w:szCs w:val="21"/>
          <w:highlight w:val="none"/>
          <w:u w:val="single"/>
        </w:rPr>
        <w:t>工程接收证书颁发前，承包人应负责照管和维护工程。工程接收证书颁发时尚有部分未竣工工程的，承包人还应负责该未竣工工程的照管和维护工作，直到竣工后移交给发包人为止。因发包人原因不能及时办理竣工验收以及移交所引起的照管和保护费用由发包人承担</w:t>
      </w:r>
      <w:r>
        <w:rPr>
          <w:rFonts w:hint="eastAsia" w:hAnsi="宋体" w:cs="宋体"/>
          <w:color w:val="auto"/>
          <w:kern w:val="0"/>
          <w:szCs w:val="21"/>
          <w:highlight w:val="none"/>
        </w:rPr>
        <w:t>。</w:t>
      </w:r>
    </w:p>
    <w:p w14:paraId="01FDF5BA">
      <w:pPr>
        <w:keepNext/>
        <w:keepLines/>
        <w:spacing w:line="360" w:lineRule="auto"/>
        <w:outlineLvl w:val="2"/>
        <w:rPr>
          <w:rFonts w:eastAsia="黑体"/>
          <w:b/>
          <w:bCs/>
          <w:color w:val="auto"/>
          <w:sz w:val="32"/>
          <w:szCs w:val="32"/>
          <w:highlight w:val="none"/>
          <w:lang w:val="zh-CN"/>
        </w:rPr>
      </w:pPr>
      <w:bookmarkStart w:id="334" w:name="_Toc185869636"/>
      <w:r>
        <w:rPr>
          <w:rFonts w:eastAsia="黑体"/>
          <w:b/>
          <w:bCs/>
          <w:color w:val="auto"/>
          <w:sz w:val="32"/>
          <w:szCs w:val="32"/>
          <w:highlight w:val="none"/>
          <w:lang w:val="zh-CN"/>
        </w:rPr>
        <w:t xml:space="preserve">3.7 </w:t>
      </w:r>
      <w:r>
        <w:rPr>
          <w:rFonts w:hint="eastAsia" w:hAnsi="宋体" w:eastAsia="黑体" w:cs="黑体"/>
          <w:b/>
          <w:bCs/>
          <w:color w:val="auto"/>
          <w:sz w:val="32"/>
          <w:szCs w:val="32"/>
          <w:highlight w:val="none"/>
          <w:lang w:val="zh-CN"/>
        </w:rPr>
        <w:t>履约保证金</w:t>
      </w:r>
      <w:bookmarkEnd w:id="334"/>
    </w:p>
    <w:p w14:paraId="598A2983">
      <w:pPr>
        <w:spacing w:line="360" w:lineRule="auto"/>
        <w:ind w:firstLine="420" w:firstLineChars="200"/>
        <w:jc w:val="left"/>
        <w:rPr>
          <w:rFonts w:hAnsi="宋体"/>
          <w:color w:val="auto"/>
          <w:szCs w:val="21"/>
          <w:highlight w:val="none"/>
        </w:rPr>
      </w:pPr>
      <w:r>
        <w:rPr>
          <w:rFonts w:hAnsi="宋体"/>
          <w:color w:val="auto"/>
          <w:szCs w:val="21"/>
          <w:highlight w:val="none"/>
        </w:rPr>
        <w:t>承包人提供履约担保的形式、金额及期限的：</w:t>
      </w:r>
    </w:p>
    <w:p w14:paraId="1349AA20">
      <w:pPr>
        <w:spacing w:line="360" w:lineRule="auto"/>
        <w:ind w:firstLine="420" w:firstLineChars="200"/>
        <w:jc w:val="left"/>
        <w:rPr>
          <w:rFonts w:hAnsi="宋体"/>
          <w:color w:val="auto"/>
          <w:szCs w:val="21"/>
          <w:highlight w:val="none"/>
        </w:rPr>
      </w:pPr>
      <w:r>
        <w:rPr>
          <w:rFonts w:hint="eastAsia" w:ascii="宋体" w:hAnsi="宋体" w:cs="宋体"/>
          <w:color w:val="auto"/>
          <w:szCs w:val="21"/>
          <w:highlight w:val="none"/>
        </w:rPr>
        <w:t>履约保证金的形式：可以采用银行转账、支票、汇票、本票或者银行、保险机构出具的保函等非现金方式。</w:t>
      </w:r>
    </w:p>
    <w:p w14:paraId="3488726F">
      <w:pPr>
        <w:spacing w:line="360" w:lineRule="auto"/>
        <w:ind w:firstLine="420" w:firstLineChars="200"/>
        <w:jc w:val="left"/>
        <w:rPr>
          <w:rFonts w:hAnsi="宋体"/>
          <w:color w:val="auto"/>
          <w:szCs w:val="21"/>
          <w:highlight w:val="none"/>
        </w:rPr>
      </w:pPr>
      <w:r>
        <w:rPr>
          <w:rFonts w:hAnsi="宋体"/>
          <w:color w:val="auto"/>
          <w:szCs w:val="21"/>
          <w:highlight w:val="none"/>
        </w:rPr>
        <w:t>承包人在收到成交通知书后，须在</w:t>
      </w:r>
      <w:r>
        <w:rPr>
          <w:rFonts w:hint="eastAsia" w:hAnsi="宋体"/>
          <w:color w:val="auto"/>
          <w:szCs w:val="21"/>
          <w:highlight w:val="none"/>
        </w:rPr>
        <w:t>15</w:t>
      </w:r>
      <w:r>
        <w:rPr>
          <w:rFonts w:hAnsi="宋体"/>
          <w:color w:val="auto"/>
          <w:szCs w:val="21"/>
          <w:highlight w:val="none"/>
        </w:rPr>
        <w:t>日内向发包人提交</w:t>
      </w:r>
      <w:r>
        <w:rPr>
          <w:rFonts w:hAnsi="宋体"/>
          <w:color w:val="auto"/>
          <w:szCs w:val="21"/>
          <w:highlight w:val="none"/>
          <w:u w:val="single"/>
        </w:rPr>
        <w:t>合同价款的</w:t>
      </w:r>
      <w:r>
        <w:rPr>
          <w:rFonts w:hint="eastAsia" w:hAnsi="宋体"/>
          <w:color w:val="auto"/>
          <w:szCs w:val="21"/>
          <w:highlight w:val="none"/>
          <w:u w:val="single"/>
        </w:rPr>
        <w:t>2</w:t>
      </w:r>
      <w:r>
        <w:rPr>
          <w:rFonts w:hAnsi="宋体"/>
          <w:color w:val="auto"/>
          <w:szCs w:val="21"/>
          <w:highlight w:val="none"/>
          <w:u w:val="single"/>
        </w:rPr>
        <w:t>%</w:t>
      </w:r>
      <w:r>
        <w:rPr>
          <w:rFonts w:hAnsi="宋体"/>
          <w:color w:val="auto"/>
          <w:szCs w:val="21"/>
          <w:highlight w:val="none"/>
        </w:rPr>
        <w:t>的履约担保</w:t>
      </w:r>
      <w:r>
        <w:rPr>
          <w:rFonts w:hint="eastAsia" w:hAnsi="宋体"/>
          <w:color w:val="auto"/>
          <w:szCs w:val="21"/>
          <w:highlight w:val="none"/>
        </w:rPr>
        <w:t>（格式见合同附件7），承包人逾期支付履约保证金的，采购人有权取消中标资格，不予签订本合同</w:t>
      </w:r>
      <w:r>
        <w:rPr>
          <w:rFonts w:hAnsi="宋体"/>
          <w:color w:val="auto"/>
          <w:szCs w:val="21"/>
          <w:highlight w:val="none"/>
        </w:rPr>
        <w:t>。履约担保的有效期应当自本合同生效之日起至发包人签认并由监理人向承包人出具</w:t>
      </w:r>
      <w:r>
        <w:rPr>
          <w:rFonts w:hint="eastAsia" w:hAnsi="宋体"/>
          <w:color w:val="auto"/>
          <w:szCs w:val="21"/>
          <w:highlight w:val="none"/>
        </w:rPr>
        <w:t>《竣工验收证书》</w:t>
      </w:r>
      <w:r>
        <w:rPr>
          <w:rFonts w:hAnsi="宋体"/>
          <w:color w:val="auto"/>
          <w:szCs w:val="21"/>
          <w:highlight w:val="none"/>
        </w:rPr>
        <w:t>（竣工证明材料名称）之日止。如果承包人无法获得一份不带具体截止日期的担保，履约担保中应当有“变更工程竣工日期的，保证期间按照变更后的竣工日期做相应调整”或类似约定的条款。</w:t>
      </w:r>
      <w:r>
        <w:rPr>
          <w:rFonts w:hint="eastAsia" w:hAnsi="宋体"/>
          <w:color w:val="auto"/>
          <w:szCs w:val="21"/>
          <w:highlight w:val="none"/>
        </w:rPr>
        <w:t>如若工程在合同约定工期内未能完工的，承包人应于履约担保期限届满前30日及时办理续保事宜，否则，因承包人没有及时办理续保导致履约保证金与合同工期脱节的，承包人应承担由此给发包人造成的全部损失，并且，发包人有权在应付工程款中扣除相当于履约担保额的保证金。</w:t>
      </w:r>
    </w:p>
    <w:p w14:paraId="4873C2BF">
      <w:pPr>
        <w:spacing w:line="360" w:lineRule="auto"/>
        <w:ind w:firstLine="420" w:firstLineChars="200"/>
        <w:jc w:val="left"/>
        <w:rPr>
          <w:rFonts w:hAnsi="宋体"/>
          <w:color w:val="auto"/>
          <w:szCs w:val="21"/>
          <w:highlight w:val="none"/>
        </w:rPr>
      </w:pPr>
      <w:r>
        <w:rPr>
          <w:rFonts w:hAnsi="宋体"/>
          <w:color w:val="auto"/>
          <w:szCs w:val="21"/>
          <w:highlight w:val="none"/>
        </w:rPr>
        <w:t>承包人向发包人完成（施工）竣工资料移交手续后，可向发包人申请退还履约保证金，发包人应在收到申请之日起</w:t>
      </w:r>
      <w:r>
        <w:rPr>
          <w:rFonts w:hint="eastAsia" w:hAnsi="宋体"/>
          <w:color w:val="auto"/>
          <w:szCs w:val="21"/>
          <w:highlight w:val="none"/>
        </w:rPr>
        <w:t>5个工作日</w:t>
      </w:r>
      <w:r>
        <w:rPr>
          <w:rFonts w:hAnsi="宋体"/>
          <w:color w:val="auto"/>
          <w:szCs w:val="21"/>
          <w:highlight w:val="none"/>
        </w:rPr>
        <w:t>内扣减承包人赔偿金和其他应从承包人扣回的款项后，</w:t>
      </w:r>
      <w:r>
        <w:rPr>
          <w:rFonts w:hint="eastAsia" w:hAnsi="宋体"/>
          <w:color w:val="auto"/>
          <w:szCs w:val="21"/>
          <w:highlight w:val="none"/>
        </w:rPr>
        <w:t>将剩余履约金退给承包人（无息）。</w:t>
      </w:r>
    </w:p>
    <w:p w14:paraId="7C6D7089">
      <w:pPr>
        <w:spacing w:line="360" w:lineRule="auto"/>
        <w:ind w:firstLine="422" w:firstLineChars="200"/>
        <w:rPr>
          <w:rFonts w:hAnsi="宋体" w:cs="宋体"/>
          <w:color w:val="auto"/>
          <w:szCs w:val="21"/>
          <w:highlight w:val="none"/>
          <w:u w:val="single"/>
        </w:rPr>
      </w:pPr>
      <w:r>
        <w:rPr>
          <w:rFonts w:hint="eastAsia" w:ascii="宋体" w:hAnsi="宋体" w:cs="宋体"/>
          <w:b/>
          <w:bCs/>
          <w:color w:val="auto"/>
          <w:szCs w:val="21"/>
          <w:highlight w:val="none"/>
        </w:rPr>
        <w:t>承包人在成交后7个工作日内，按照《保障农民工工资支付条例》规定及广西壮族自治区有关规定开设农民工工资专用账户，并按比例将农民工工资保证金存入账户，也可以使用银行保函、电子保函、保证保险保函、工程担保保函。工程竣工验收结算经审定后，按照规定程序，将农民工工资保障金没有使用或剩余的金额退还给承包人。</w:t>
      </w:r>
    </w:p>
    <w:p w14:paraId="75D44687">
      <w:pPr>
        <w:keepNext/>
        <w:keepLines/>
        <w:spacing w:before="60" w:after="60" w:line="413" w:lineRule="auto"/>
        <w:outlineLvl w:val="1"/>
        <w:rPr>
          <w:rFonts w:ascii="Arial" w:hAnsi="Arial" w:eastAsia="黑体"/>
          <w:b/>
          <w:bCs/>
          <w:color w:val="auto"/>
          <w:sz w:val="32"/>
          <w:szCs w:val="32"/>
          <w:highlight w:val="none"/>
          <w:lang w:val="zh-CN"/>
        </w:rPr>
      </w:pPr>
      <w:bookmarkStart w:id="335" w:name="_Toc185869637"/>
      <w:r>
        <w:rPr>
          <w:rFonts w:ascii="Arial" w:hAnsi="Arial" w:eastAsia="黑体"/>
          <w:b/>
          <w:bCs/>
          <w:color w:val="auto"/>
          <w:sz w:val="32"/>
          <w:szCs w:val="32"/>
          <w:highlight w:val="none"/>
          <w:lang w:val="zh-CN"/>
        </w:rPr>
        <w:t xml:space="preserve">4. </w:t>
      </w:r>
      <w:r>
        <w:rPr>
          <w:rFonts w:hint="eastAsia" w:ascii="Arial" w:hAnsi="宋体" w:eastAsia="黑体" w:cs="黑体"/>
          <w:b/>
          <w:bCs/>
          <w:color w:val="auto"/>
          <w:sz w:val="32"/>
          <w:szCs w:val="32"/>
          <w:highlight w:val="none"/>
          <w:lang w:val="zh-CN"/>
        </w:rPr>
        <w:t>监理人</w:t>
      </w:r>
      <w:bookmarkEnd w:id="335"/>
    </w:p>
    <w:p w14:paraId="66D865A6">
      <w:pPr>
        <w:keepNext/>
        <w:keepLines/>
        <w:spacing w:line="360" w:lineRule="auto"/>
        <w:outlineLvl w:val="2"/>
        <w:rPr>
          <w:rFonts w:eastAsia="黑体"/>
          <w:b/>
          <w:bCs/>
          <w:color w:val="auto"/>
          <w:sz w:val="32"/>
          <w:szCs w:val="32"/>
          <w:highlight w:val="none"/>
          <w:lang w:val="zh-CN"/>
        </w:rPr>
      </w:pPr>
      <w:bookmarkStart w:id="336" w:name="_Toc185869638"/>
      <w:r>
        <w:rPr>
          <w:rFonts w:eastAsia="黑体"/>
          <w:b/>
          <w:bCs/>
          <w:color w:val="auto"/>
          <w:sz w:val="32"/>
          <w:szCs w:val="32"/>
          <w:highlight w:val="none"/>
          <w:lang w:val="zh-CN"/>
        </w:rPr>
        <w:t xml:space="preserve">4.1 </w:t>
      </w:r>
      <w:r>
        <w:rPr>
          <w:rFonts w:hint="eastAsia" w:eastAsia="黑体" w:cs="黑体"/>
          <w:b/>
          <w:bCs/>
          <w:color w:val="auto"/>
          <w:sz w:val="32"/>
          <w:szCs w:val="32"/>
          <w:highlight w:val="none"/>
          <w:lang w:val="zh-CN"/>
        </w:rPr>
        <w:t>监理人的一般规定</w:t>
      </w:r>
      <w:bookmarkEnd w:id="336"/>
    </w:p>
    <w:p w14:paraId="7335B16A">
      <w:pPr>
        <w:spacing w:line="360" w:lineRule="auto"/>
        <w:ind w:firstLine="420" w:firstLineChars="200"/>
        <w:jc w:val="left"/>
        <w:rPr>
          <w:color w:val="auto"/>
          <w:szCs w:val="21"/>
          <w:highlight w:val="none"/>
        </w:rPr>
      </w:pPr>
      <w:r>
        <w:rPr>
          <w:rFonts w:hAnsi="宋体"/>
          <w:color w:val="auto"/>
          <w:szCs w:val="21"/>
          <w:highlight w:val="none"/>
        </w:rPr>
        <w:t>关于监理人的监理内容：</w:t>
      </w:r>
      <w:r>
        <w:rPr>
          <w:rFonts w:hint="eastAsia" w:ascii="宋体" w:hAnsi="宋体"/>
          <w:color w:val="auto"/>
          <w:szCs w:val="21"/>
          <w:highlight w:val="none"/>
          <w:u w:val="single"/>
        </w:rPr>
        <w:t>审查施工承包人提交的施工组织设计，专项施工方案与工程建设强制性标准的符合性；检查施工承包人工程质量、安全、施工进度；审查施工承包人报送的工程材料、构配件、设备质量证明文件的有效性和符合性；签发工程暂停令和复工令；验收隐蔽工程、分部分项工程；参与工程变更的审核签认，协助发包人核签现场发生的签证，最终须经发包人认可后作为结算的依据，审核月进度工作报表并报发包人审批；审核工程款支付申请；参加工程竣工验收。</w:t>
      </w:r>
    </w:p>
    <w:p w14:paraId="0D42EACB">
      <w:pPr>
        <w:spacing w:line="360" w:lineRule="auto"/>
        <w:ind w:firstLine="420" w:firstLineChars="200"/>
        <w:jc w:val="left"/>
        <w:rPr>
          <w:color w:val="auto"/>
          <w:szCs w:val="21"/>
          <w:highlight w:val="none"/>
        </w:rPr>
      </w:pPr>
      <w:r>
        <w:rPr>
          <w:rFonts w:hAnsi="宋体"/>
          <w:color w:val="auto"/>
          <w:szCs w:val="21"/>
          <w:highlight w:val="none"/>
        </w:rPr>
        <w:t>关于监理人的监理权限：</w:t>
      </w:r>
      <w:r>
        <w:rPr>
          <w:rFonts w:hint="eastAsia" w:ascii="宋体" w:hAnsi="宋体"/>
          <w:color w:val="auto"/>
          <w:szCs w:val="21"/>
          <w:highlight w:val="none"/>
          <w:u w:val="single"/>
        </w:rPr>
        <w:t xml:space="preserve">工程暂停令和复工令签发、参与设计变更、工程量调整、费用调整、参与工程变更的审核签认、审核月进度工作报表以及审核工程款支付申请和分包申请、承包人的任何索赔申请最终均须经发包人审批确认。  </w:t>
      </w:r>
    </w:p>
    <w:p w14:paraId="0CC4252F">
      <w:pPr>
        <w:spacing w:line="360" w:lineRule="auto"/>
        <w:ind w:firstLine="420" w:firstLineChars="200"/>
        <w:rPr>
          <w:color w:val="auto"/>
          <w:szCs w:val="21"/>
          <w:highlight w:val="none"/>
        </w:rPr>
      </w:pPr>
      <w:r>
        <w:rPr>
          <w:rFonts w:hAnsi="宋体"/>
          <w:color w:val="auto"/>
          <w:szCs w:val="21"/>
          <w:highlight w:val="none"/>
        </w:rPr>
        <w:t>关于监理人在施工现场的办公场所、生活场所的提供和费用承担的约定：</w:t>
      </w:r>
      <w:r>
        <w:rPr>
          <w:rFonts w:hint="eastAsia" w:hAnsi="宋体"/>
          <w:color w:val="auto"/>
          <w:szCs w:val="21"/>
          <w:highlight w:val="none"/>
          <w:u w:val="single"/>
        </w:rPr>
        <w:t>由监理人自行承担</w:t>
      </w:r>
      <w:r>
        <w:rPr>
          <w:rFonts w:hint="eastAsia" w:hAnsi="宋体" w:cs="宋体"/>
          <w:color w:val="auto"/>
          <w:szCs w:val="21"/>
          <w:highlight w:val="none"/>
        </w:rPr>
        <w:t>。</w:t>
      </w:r>
    </w:p>
    <w:p w14:paraId="69F021FB">
      <w:pPr>
        <w:keepNext/>
        <w:keepLines/>
        <w:spacing w:line="360" w:lineRule="auto"/>
        <w:outlineLvl w:val="2"/>
        <w:rPr>
          <w:rFonts w:eastAsia="黑体"/>
          <w:b/>
          <w:bCs/>
          <w:color w:val="auto"/>
          <w:sz w:val="32"/>
          <w:szCs w:val="32"/>
          <w:highlight w:val="none"/>
          <w:lang w:val="zh-CN"/>
        </w:rPr>
      </w:pPr>
      <w:bookmarkStart w:id="337" w:name="_Toc185869639"/>
      <w:r>
        <w:rPr>
          <w:rFonts w:eastAsia="黑体"/>
          <w:b/>
          <w:bCs/>
          <w:color w:val="auto"/>
          <w:sz w:val="32"/>
          <w:szCs w:val="32"/>
          <w:highlight w:val="none"/>
          <w:lang w:val="zh-CN"/>
        </w:rPr>
        <w:t xml:space="preserve">4.2 </w:t>
      </w:r>
      <w:r>
        <w:rPr>
          <w:rFonts w:hint="eastAsia" w:hAnsi="宋体" w:eastAsia="黑体" w:cs="黑体"/>
          <w:b/>
          <w:bCs/>
          <w:color w:val="auto"/>
          <w:sz w:val="32"/>
          <w:szCs w:val="32"/>
          <w:highlight w:val="none"/>
          <w:lang w:val="zh-CN"/>
        </w:rPr>
        <w:t>监理人员</w:t>
      </w:r>
      <w:bookmarkEnd w:id="337"/>
    </w:p>
    <w:p w14:paraId="39540516">
      <w:pPr>
        <w:spacing w:line="360" w:lineRule="auto"/>
        <w:ind w:firstLine="420" w:firstLineChars="200"/>
        <w:rPr>
          <w:color w:val="auto"/>
          <w:szCs w:val="21"/>
          <w:highlight w:val="none"/>
        </w:rPr>
      </w:pPr>
      <w:r>
        <w:rPr>
          <w:rFonts w:hint="eastAsia" w:hAnsi="宋体" w:cs="宋体"/>
          <w:color w:val="auto"/>
          <w:szCs w:val="21"/>
          <w:highlight w:val="none"/>
        </w:rPr>
        <w:t>总监理工程师：</w:t>
      </w:r>
    </w:p>
    <w:p w14:paraId="1A046AEF">
      <w:pPr>
        <w:spacing w:line="360" w:lineRule="auto"/>
        <w:ind w:firstLine="420" w:firstLineChars="200"/>
        <w:rPr>
          <w:color w:val="auto"/>
          <w:szCs w:val="21"/>
          <w:highlight w:val="none"/>
        </w:rPr>
      </w:pPr>
      <w:r>
        <w:rPr>
          <w:rFonts w:hAnsi="宋体"/>
          <w:color w:val="auto"/>
          <w:szCs w:val="21"/>
          <w:highlight w:val="none"/>
        </w:rPr>
        <w:t>姓名</w:t>
      </w:r>
      <w:r>
        <w:rPr>
          <w:rFonts w:hAnsi="宋体"/>
          <w:color w:val="auto"/>
          <w:szCs w:val="21"/>
          <w:highlight w:val="none"/>
          <w:u w:val="single"/>
        </w:rPr>
        <w:t>：            ；</w:t>
      </w:r>
    </w:p>
    <w:p w14:paraId="17C9B290">
      <w:pPr>
        <w:spacing w:line="360" w:lineRule="auto"/>
        <w:ind w:firstLine="420" w:firstLineChars="200"/>
        <w:rPr>
          <w:color w:val="auto"/>
          <w:szCs w:val="21"/>
          <w:highlight w:val="none"/>
        </w:rPr>
      </w:pPr>
      <w:r>
        <w:rPr>
          <w:rFonts w:hAnsi="宋体"/>
          <w:color w:val="auto"/>
          <w:szCs w:val="21"/>
          <w:highlight w:val="none"/>
        </w:rPr>
        <w:t>职务</w:t>
      </w:r>
      <w:r>
        <w:rPr>
          <w:rFonts w:hAnsi="宋体"/>
          <w:color w:val="auto"/>
          <w:szCs w:val="21"/>
          <w:highlight w:val="none"/>
          <w:u w:val="single"/>
        </w:rPr>
        <w:t>：            ；</w:t>
      </w:r>
    </w:p>
    <w:p w14:paraId="73440466">
      <w:pPr>
        <w:spacing w:line="360" w:lineRule="auto"/>
        <w:ind w:firstLine="420" w:firstLineChars="200"/>
        <w:rPr>
          <w:rFonts w:hAnsi="宋体"/>
          <w:color w:val="auto"/>
          <w:szCs w:val="21"/>
          <w:highlight w:val="none"/>
        </w:rPr>
      </w:pPr>
      <w:r>
        <w:rPr>
          <w:rFonts w:hAnsi="宋体"/>
          <w:color w:val="auto"/>
          <w:szCs w:val="21"/>
          <w:highlight w:val="none"/>
        </w:rPr>
        <w:t>监理工程师注册证书号</w:t>
      </w:r>
      <w:r>
        <w:rPr>
          <w:rFonts w:hAnsi="宋体"/>
          <w:color w:val="auto"/>
          <w:szCs w:val="21"/>
          <w:highlight w:val="none"/>
          <w:u w:val="single"/>
        </w:rPr>
        <w:t>：            ；</w:t>
      </w:r>
    </w:p>
    <w:p w14:paraId="695A0D79">
      <w:pPr>
        <w:spacing w:line="360" w:lineRule="auto"/>
        <w:ind w:firstLine="420" w:firstLineChars="200"/>
        <w:rPr>
          <w:color w:val="auto"/>
          <w:szCs w:val="21"/>
          <w:highlight w:val="none"/>
        </w:rPr>
      </w:pPr>
      <w:r>
        <w:rPr>
          <w:rFonts w:hAnsi="宋体"/>
          <w:color w:val="auto"/>
          <w:szCs w:val="21"/>
          <w:highlight w:val="none"/>
        </w:rPr>
        <w:t>联系电话</w:t>
      </w:r>
      <w:r>
        <w:rPr>
          <w:rFonts w:hAnsi="宋体"/>
          <w:color w:val="auto"/>
          <w:szCs w:val="21"/>
          <w:highlight w:val="none"/>
          <w:u w:val="single"/>
        </w:rPr>
        <w:t>：            ；</w:t>
      </w:r>
    </w:p>
    <w:p w14:paraId="67DF216B">
      <w:pPr>
        <w:spacing w:line="360" w:lineRule="auto"/>
        <w:ind w:firstLine="420" w:firstLineChars="200"/>
        <w:rPr>
          <w:color w:val="auto"/>
          <w:szCs w:val="21"/>
          <w:highlight w:val="none"/>
        </w:rPr>
      </w:pPr>
      <w:r>
        <w:rPr>
          <w:rFonts w:hAnsi="宋体"/>
          <w:color w:val="auto"/>
          <w:szCs w:val="21"/>
          <w:highlight w:val="none"/>
        </w:rPr>
        <w:t>电子信箱</w:t>
      </w:r>
      <w:r>
        <w:rPr>
          <w:rFonts w:hAnsi="宋体"/>
          <w:color w:val="auto"/>
          <w:szCs w:val="21"/>
          <w:highlight w:val="none"/>
          <w:u w:val="single"/>
        </w:rPr>
        <w:t>：            ；</w:t>
      </w:r>
    </w:p>
    <w:p w14:paraId="29D731A4">
      <w:pPr>
        <w:spacing w:line="360" w:lineRule="auto"/>
        <w:ind w:firstLine="420" w:firstLineChars="200"/>
        <w:rPr>
          <w:color w:val="auto"/>
          <w:szCs w:val="21"/>
          <w:highlight w:val="none"/>
        </w:rPr>
      </w:pPr>
      <w:r>
        <w:rPr>
          <w:rFonts w:hAnsi="宋体"/>
          <w:color w:val="auto"/>
          <w:szCs w:val="21"/>
          <w:highlight w:val="none"/>
        </w:rPr>
        <w:t>通信地址</w:t>
      </w:r>
      <w:r>
        <w:rPr>
          <w:rFonts w:hAnsi="宋体"/>
          <w:color w:val="auto"/>
          <w:szCs w:val="21"/>
          <w:highlight w:val="none"/>
          <w:u w:val="single"/>
        </w:rPr>
        <w:t>：            ；</w:t>
      </w:r>
    </w:p>
    <w:p w14:paraId="18A568A5">
      <w:pPr>
        <w:spacing w:line="360" w:lineRule="auto"/>
        <w:ind w:firstLine="315" w:firstLineChars="150"/>
        <w:rPr>
          <w:rFonts w:ascii="宋体" w:hAnsi="宋体"/>
          <w:color w:val="auto"/>
          <w:szCs w:val="21"/>
          <w:highlight w:val="none"/>
        </w:rPr>
      </w:pPr>
      <w:r>
        <w:rPr>
          <w:rFonts w:hAnsi="宋体"/>
          <w:color w:val="auto"/>
          <w:szCs w:val="22"/>
          <w:highlight w:val="none"/>
        </w:rPr>
        <w:t>关于监理人的其他约定：</w:t>
      </w:r>
      <w:r>
        <w:rPr>
          <w:rFonts w:hint="eastAsia" w:ascii="宋体" w:hAnsi="宋体"/>
          <w:color w:val="auto"/>
          <w:szCs w:val="21"/>
          <w:highlight w:val="none"/>
        </w:rPr>
        <w:t>工程监理在执行下列职责前应事先得到发包人的特别认可：</w:t>
      </w:r>
    </w:p>
    <w:p w14:paraId="71A61D3B">
      <w:pPr>
        <w:tabs>
          <w:tab w:val="left" w:pos="1050"/>
        </w:tabs>
        <w:spacing w:line="360" w:lineRule="auto"/>
        <w:rPr>
          <w:rFonts w:ascii="宋体" w:hAnsi="宋体"/>
          <w:color w:val="auto"/>
          <w:szCs w:val="21"/>
          <w:highlight w:val="none"/>
        </w:rPr>
      </w:pPr>
      <w:r>
        <w:rPr>
          <w:rFonts w:hint="eastAsia" w:ascii="宋体" w:hAnsi="宋体"/>
          <w:color w:val="auto"/>
          <w:szCs w:val="21"/>
          <w:highlight w:val="none"/>
        </w:rPr>
        <w:t>（1）下达开工、停工指令或通知；</w:t>
      </w:r>
    </w:p>
    <w:p w14:paraId="1C7534EB">
      <w:pPr>
        <w:tabs>
          <w:tab w:val="left" w:pos="1050"/>
        </w:tabs>
        <w:spacing w:line="360" w:lineRule="auto"/>
        <w:rPr>
          <w:rFonts w:ascii="宋体" w:hAnsi="宋体"/>
          <w:color w:val="auto"/>
          <w:szCs w:val="21"/>
          <w:highlight w:val="none"/>
        </w:rPr>
      </w:pPr>
      <w:r>
        <w:rPr>
          <w:rFonts w:hint="eastAsia" w:ascii="宋体" w:hAnsi="宋体"/>
          <w:color w:val="auto"/>
          <w:szCs w:val="21"/>
          <w:highlight w:val="none"/>
        </w:rPr>
        <w:t>（2）认可工程任何部分的分包及确认或同意分包人；</w:t>
      </w:r>
    </w:p>
    <w:p w14:paraId="64CF4AE0">
      <w:pPr>
        <w:tabs>
          <w:tab w:val="left" w:pos="1050"/>
        </w:tabs>
        <w:spacing w:line="360" w:lineRule="auto"/>
        <w:rPr>
          <w:rFonts w:ascii="宋体" w:hAnsi="宋体"/>
          <w:color w:val="auto"/>
          <w:szCs w:val="21"/>
          <w:highlight w:val="none"/>
        </w:rPr>
      </w:pPr>
      <w:r>
        <w:rPr>
          <w:rFonts w:hint="eastAsia" w:ascii="宋体" w:hAnsi="宋体"/>
          <w:color w:val="auto"/>
          <w:szCs w:val="21"/>
          <w:highlight w:val="none"/>
        </w:rPr>
        <w:t>（3）批准任何工期顺延；</w:t>
      </w:r>
    </w:p>
    <w:p w14:paraId="65B23570">
      <w:pPr>
        <w:tabs>
          <w:tab w:val="left" w:pos="1050"/>
        </w:tabs>
        <w:spacing w:line="360" w:lineRule="auto"/>
        <w:rPr>
          <w:rFonts w:ascii="宋体" w:hAnsi="宋体"/>
          <w:color w:val="auto"/>
          <w:szCs w:val="21"/>
          <w:highlight w:val="none"/>
        </w:rPr>
      </w:pPr>
      <w:r>
        <w:rPr>
          <w:rFonts w:hint="eastAsia" w:ascii="宋体" w:hAnsi="宋体"/>
          <w:color w:val="auto"/>
          <w:szCs w:val="21"/>
          <w:highlight w:val="none"/>
        </w:rPr>
        <w:t>（4）对工期、工程造价有任何影响的变更指示；</w:t>
      </w:r>
    </w:p>
    <w:p w14:paraId="360E64FE">
      <w:pPr>
        <w:tabs>
          <w:tab w:val="left" w:pos="1050"/>
        </w:tabs>
        <w:spacing w:line="360" w:lineRule="auto"/>
        <w:rPr>
          <w:rFonts w:ascii="宋体" w:hAnsi="宋体"/>
          <w:color w:val="auto"/>
          <w:szCs w:val="21"/>
          <w:highlight w:val="none"/>
        </w:rPr>
      </w:pPr>
      <w:r>
        <w:rPr>
          <w:rFonts w:hint="eastAsia" w:ascii="宋体" w:hAnsi="宋体"/>
          <w:color w:val="auto"/>
          <w:szCs w:val="21"/>
          <w:highlight w:val="none"/>
        </w:rPr>
        <w:t>（5）确定变更估价；</w:t>
      </w:r>
    </w:p>
    <w:p w14:paraId="28CD1A1D">
      <w:pPr>
        <w:tabs>
          <w:tab w:val="left" w:pos="1050"/>
        </w:tabs>
        <w:spacing w:line="360" w:lineRule="auto"/>
        <w:rPr>
          <w:rFonts w:ascii="宋体" w:hAnsi="宋体"/>
          <w:color w:val="auto"/>
          <w:szCs w:val="21"/>
          <w:highlight w:val="none"/>
        </w:rPr>
      </w:pPr>
      <w:r>
        <w:rPr>
          <w:rFonts w:hint="eastAsia" w:ascii="宋体" w:hAnsi="宋体"/>
          <w:color w:val="auto"/>
          <w:szCs w:val="21"/>
          <w:highlight w:val="none"/>
        </w:rPr>
        <w:t>（6）决定暂定金额、暂定项目、选择项目的使用或不使用；</w:t>
      </w:r>
    </w:p>
    <w:p w14:paraId="7282C332">
      <w:pPr>
        <w:tabs>
          <w:tab w:val="left" w:pos="1050"/>
        </w:tabs>
        <w:spacing w:line="360" w:lineRule="auto"/>
        <w:rPr>
          <w:rFonts w:ascii="宋体" w:hAnsi="宋体"/>
          <w:color w:val="auto"/>
          <w:szCs w:val="21"/>
          <w:highlight w:val="none"/>
        </w:rPr>
      </w:pPr>
      <w:r>
        <w:rPr>
          <w:rFonts w:hint="eastAsia" w:ascii="宋体" w:hAnsi="宋体"/>
          <w:color w:val="auto"/>
          <w:szCs w:val="21"/>
          <w:highlight w:val="none"/>
        </w:rPr>
        <w:t>（7）发出接收证书或通过工程竣工验收；</w:t>
      </w:r>
    </w:p>
    <w:p w14:paraId="4DAF5955">
      <w:pPr>
        <w:tabs>
          <w:tab w:val="left" w:pos="1050"/>
        </w:tabs>
        <w:spacing w:line="360" w:lineRule="auto"/>
        <w:rPr>
          <w:rFonts w:ascii="宋体" w:hAnsi="宋体"/>
          <w:color w:val="auto"/>
          <w:szCs w:val="22"/>
          <w:highlight w:val="none"/>
        </w:rPr>
      </w:pPr>
      <w:r>
        <w:rPr>
          <w:rFonts w:hint="eastAsia" w:ascii="宋体" w:hAnsi="宋体"/>
          <w:color w:val="auto"/>
          <w:szCs w:val="22"/>
          <w:highlight w:val="none"/>
        </w:rPr>
        <w:t>（8）认可承包人的任何费用索赔。</w:t>
      </w:r>
    </w:p>
    <w:p w14:paraId="2B3B2AF2">
      <w:pPr>
        <w:spacing w:line="360" w:lineRule="auto"/>
        <w:rPr>
          <w:rFonts w:ascii="宋体" w:hAnsi="宋体"/>
          <w:color w:val="auto"/>
          <w:szCs w:val="22"/>
          <w:highlight w:val="none"/>
        </w:rPr>
      </w:pPr>
      <w:r>
        <w:rPr>
          <w:rFonts w:hint="eastAsia" w:ascii="宋体" w:hAnsi="宋体"/>
          <w:color w:val="auto"/>
          <w:szCs w:val="22"/>
          <w:highlight w:val="none"/>
        </w:rPr>
        <w:t xml:space="preserve">    一切有关上述事宜而没有发包人签认的指令或行动将被视作无效。</w:t>
      </w:r>
    </w:p>
    <w:p w14:paraId="4D80E40E">
      <w:pPr>
        <w:spacing w:line="360" w:lineRule="auto"/>
        <w:ind w:firstLine="420" w:firstLineChars="200"/>
        <w:rPr>
          <w:color w:val="auto"/>
          <w:szCs w:val="21"/>
          <w:highlight w:val="none"/>
        </w:rPr>
      </w:pPr>
      <w:r>
        <w:rPr>
          <w:rFonts w:hint="eastAsia" w:ascii="宋体" w:hAnsi="宋体"/>
          <w:color w:val="auto"/>
          <w:szCs w:val="21"/>
          <w:highlight w:val="none"/>
        </w:rPr>
        <w:t>尽管有如上述需征求特别许可的义务，但如果工程监理认为事故的发生会影响人员生命、工程或附近财产的安全，工程监理可以在不减轻承包人任何合同规定的责任和义务的情况下，指示承包人采取工程监理认为必要有效的措施及办法以排除及减低危险。尽管没有得到发包人的认可</w:t>
      </w:r>
      <w:r>
        <w:rPr>
          <w:rFonts w:hint="eastAsia" w:ascii="宋体" w:hAnsi="宋体"/>
          <w:color w:val="auto"/>
          <w:szCs w:val="21"/>
          <w:highlight w:val="none"/>
          <w:lang w:eastAsia="zh-CN"/>
        </w:rPr>
        <w:t>，</w:t>
      </w:r>
      <w:r>
        <w:rPr>
          <w:rFonts w:hint="eastAsia" w:ascii="宋体" w:hAnsi="宋体"/>
          <w:color w:val="auto"/>
          <w:szCs w:val="21"/>
          <w:highlight w:val="none"/>
        </w:rPr>
        <w:t>承包人应立即执行该等有关的指令，此类指令承包人必须在发出后24小时内得到发包人的认可。除上述的紧急指令外，承包人因遵守须经发包人特别认可的而又未经发包人认可的指令而引致的索赔都不会获得接受</w:t>
      </w:r>
      <w:r>
        <w:rPr>
          <w:rFonts w:hAnsi="宋体"/>
          <w:color w:val="auto"/>
          <w:szCs w:val="21"/>
          <w:highlight w:val="none"/>
        </w:rPr>
        <w:t>。</w:t>
      </w:r>
    </w:p>
    <w:p w14:paraId="77C1AB46">
      <w:pPr>
        <w:keepNext/>
        <w:keepLines/>
        <w:spacing w:line="360" w:lineRule="auto"/>
        <w:outlineLvl w:val="2"/>
        <w:rPr>
          <w:rFonts w:eastAsia="黑体"/>
          <w:b/>
          <w:bCs/>
          <w:color w:val="auto"/>
          <w:sz w:val="32"/>
          <w:szCs w:val="32"/>
          <w:highlight w:val="none"/>
          <w:lang w:val="zh-CN"/>
        </w:rPr>
      </w:pPr>
      <w:bookmarkStart w:id="338" w:name="_Toc185869640"/>
      <w:r>
        <w:rPr>
          <w:rFonts w:eastAsia="黑体"/>
          <w:b/>
          <w:bCs/>
          <w:color w:val="auto"/>
          <w:sz w:val="32"/>
          <w:szCs w:val="32"/>
          <w:highlight w:val="none"/>
          <w:lang w:val="zh-CN"/>
        </w:rPr>
        <w:t xml:space="preserve">4.4 </w:t>
      </w:r>
      <w:r>
        <w:rPr>
          <w:rFonts w:hint="eastAsia" w:hAnsi="宋体" w:eastAsia="黑体" w:cs="黑体"/>
          <w:b/>
          <w:bCs/>
          <w:color w:val="auto"/>
          <w:sz w:val="32"/>
          <w:szCs w:val="32"/>
          <w:highlight w:val="none"/>
          <w:lang w:val="zh-CN"/>
        </w:rPr>
        <w:t>商定或确定</w:t>
      </w:r>
      <w:bookmarkEnd w:id="338"/>
    </w:p>
    <w:p w14:paraId="1FC98908">
      <w:pPr>
        <w:spacing w:line="360" w:lineRule="auto"/>
        <w:ind w:firstLine="420" w:firstLineChars="200"/>
        <w:rPr>
          <w:color w:val="auto"/>
          <w:szCs w:val="21"/>
          <w:highlight w:val="none"/>
        </w:rPr>
      </w:pPr>
      <w:r>
        <w:rPr>
          <w:rFonts w:hint="eastAsia" w:hAnsi="宋体" w:cs="宋体"/>
          <w:color w:val="auto"/>
          <w:szCs w:val="21"/>
          <w:highlight w:val="none"/>
        </w:rPr>
        <w:t>在发包人和承包人不能通过协商达成一致意见时，发包人授权监理人对以下事项进行确定：</w:t>
      </w:r>
    </w:p>
    <w:p w14:paraId="5AB6F273">
      <w:pPr>
        <w:autoSpaceDE w:val="0"/>
        <w:autoSpaceDN w:val="0"/>
        <w:adjustRightInd w:val="0"/>
        <w:spacing w:line="360" w:lineRule="auto"/>
        <w:ind w:firstLine="420" w:firstLineChars="200"/>
        <w:jc w:val="left"/>
        <w:rPr>
          <w:color w:val="auto"/>
          <w:kern w:val="0"/>
          <w:szCs w:val="21"/>
          <w:highlight w:val="none"/>
        </w:rPr>
      </w:pPr>
      <w:r>
        <w:rPr>
          <w:rFonts w:hint="eastAsia" w:hAnsi="宋体" w:cs="宋体"/>
          <w:color w:val="auto"/>
          <w:kern w:val="0"/>
          <w:szCs w:val="21"/>
          <w:highlight w:val="none"/>
        </w:rPr>
        <w:t>（</w:t>
      </w:r>
      <w:r>
        <w:rPr>
          <w:color w:val="auto"/>
          <w:kern w:val="0"/>
          <w:szCs w:val="21"/>
          <w:highlight w:val="none"/>
        </w:rPr>
        <w:t>1</w:t>
      </w:r>
      <w:r>
        <w:rPr>
          <w:rFonts w:hint="eastAsia" w:hAnsi="宋体" w:cs="宋体"/>
          <w:color w:val="auto"/>
          <w:kern w:val="0"/>
          <w:szCs w:val="21"/>
          <w:highlight w:val="none"/>
        </w:rPr>
        <w:t>）</w:t>
      </w:r>
      <w:r>
        <w:rPr>
          <w:rFonts w:hint="eastAsia" w:ascii="宋体" w:hAnsi="宋体"/>
          <w:color w:val="auto"/>
          <w:szCs w:val="21"/>
          <w:highlight w:val="none"/>
          <w:u w:val="single"/>
        </w:rPr>
        <w:t>对隐蔽工程及中间部位的验收工作</w:t>
      </w:r>
      <w:r>
        <w:rPr>
          <w:rFonts w:hint="eastAsia" w:hAnsi="宋体" w:cs="宋体"/>
          <w:color w:val="auto"/>
          <w:szCs w:val="21"/>
          <w:highlight w:val="none"/>
        </w:rPr>
        <w:t>；</w:t>
      </w:r>
    </w:p>
    <w:p w14:paraId="7DEA28D8">
      <w:pPr>
        <w:autoSpaceDE w:val="0"/>
        <w:autoSpaceDN w:val="0"/>
        <w:adjustRightInd w:val="0"/>
        <w:spacing w:line="360" w:lineRule="auto"/>
        <w:ind w:firstLine="420" w:firstLineChars="200"/>
        <w:jc w:val="left"/>
        <w:rPr>
          <w:color w:val="auto"/>
          <w:kern w:val="0"/>
          <w:szCs w:val="21"/>
          <w:highlight w:val="none"/>
        </w:rPr>
      </w:pPr>
      <w:r>
        <w:rPr>
          <w:rFonts w:hint="eastAsia" w:hAnsi="宋体" w:cs="宋体"/>
          <w:color w:val="auto"/>
          <w:kern w:val="0"/>
          <w:szCs w:val="21"/>
          <w:highlight w:val="none"/>
          <w:lang w:eastAsia="zh-CN"/>
        </w:rPr>
        <w:t>(</w:t>
      </w:r>
      <w:r>
        <w:rPr>
          <w:color w:val="auto"/>
          <w:kern w:val="0"/>
          <w:szCs w:val="21"/>
          <w:highlight w:val="none"/>
        </w:rPr>
        <w:t>2</w:t>
      </w:r>
      <w:r>
        <w:rPr>
          <w:rFonts w:hint="eastAsia"/>
          <w:color w:val="auto"/>
          <w:kern w:val="0"/>
          <w:szCs w:val="21"/>
          <w:highlight w:val="none"/>
          <w:lang w:eastAsia="zh-CN"/>
        </w:rPr>
        <w:t>)</w:t>
      </w:r>
      <w:r>
        <w:rPr>
          <w:rFonts w:hint="eastAsia" w:hAnsi="宋体" w:cs="宋体"/>
          <w:color w:val="auto"/>
          <w:kern w:val="0"/>
          <w:szCs w:val="21"/>
          <w:highlight w:val="none"/>
          <w:u w:val="single"/>
        </w:rPr>
        <w:t>/</w:t>
      </w:r>
      <w:r>
        <w:rPr>
          <w:rFonts w:hint="eastAsia" w:hAnsi="宋体" w:cs="宋体"/>
          <w:color w:val="auto"/>
          <w:szCs w:val="21"/>
          <w:highlight w:val="none"/>
        </w:rPr>
        <w:t>；</w:t>
      </w:r>
    </w:p>
    <w:p w14:paraId="072D495C">
      <w:pPr>
        <w:autoSpaceDE w:val="0"/>
        <w:autoSpaceDN w:val="0"/>
        <w:adjustRightInd w:val="0"/>
        <w:spacing w:line="360" w:lineRule="auto"/>
        <w:ind w:firstLine="420" w:firstLineChars="200"/>
        <w:jc w:val="left"/>
        <w:rPr>
          <w:color w:val="auto"/>
          <w:kern w:val="0"/>
          <w:szCs w:val="21"/>
          <w:highlight w:val="none"/>
        </w:rPr>
      </w:pPr>
      <w:r>
        <w:rPr>
          <w:rFonts w:hint="eastAsia" w:hAnsi="宋体" w:cs="宋体"/>
          <w:color w:val="auto"/>
          <w:kern w:val="0"/>
          <w:szCs w:val="21"/>
          <w:highlight w:val="none"/>
          <w:lang w:eastAsia="zh-CN"/>
        </w:rPr>
        <w:t>(</w:t>
      </w:r>
      <w:r>
        <w:rPr>
          <w:color w:val="auto"/>
          <w:kern w:val="0"/>
          <w:szCs w:val="21"/>
          <w:highlight w:val="none"/>
        </w:rPr>
        <w:t>3</w:t>
      </w:r>
      <w:r>
        <w:rPr>
          <w:rFonts w:hint="eastAsia"/>
          <w:color w:val="auto"/>
          <w:kern w:val="0"/>
          <w:szCs w:val="21"/>
          <w:highlight w:val="none"/>
          <w:lang w:eastAsia="zh-CN"/>
        </w:rPr>
        <w:t>)</w:t>
      </w:r>
      <w:r>
        <w:rPr>
          <w:rFonts w:hint="eastAsia" w:hAnsi="宋体" w:cs="宋体"/>
          <w:color w:val="auto"/>
          <w:kern w:val="0"/>
          <w:szCs w:val="21"/>
          <w:highlight w:val="none"/>
          <w:u w:val="single"/>
        </w:rPr>
        <w:t>/</w:t>
      </w:r>
      <w:r>
        <w:rPr>
          <w:rFonts w:hint="eastAsia" w:hAnsi="宋体" w:cs="宋体"/>
          <w:color w:val="auto"/>
          <w:szCs w:val="21"/>
          <w:highlight w:val="none"/>
        </w:rPr>
        <w:t>。</w:t>
      </w:r>
    </w:p>
    <w:p w14:paraId="5A6B369A">
      <w:pPr>
        <w:keepNext/>
        <w:keepLines/>
        <w:spacing w:before="60" w:after="60" w:line="413" w:lineRule="auto"/>
        <w:outlineLvl w:val="1"/>
        <w:rPr>
          <w:rFonts w:ascii="Arial" w:hAnsi="Arial" w:eastAsia="黑体"/>
          <w:b/>
          <w:bCs/>
          <w:color w:val="auto"/>
          <w:sz w:val="32"/>
          <w:szCs w:val="32"/>
          <w:highlight w:val="none"/>
          <w:lang w:val="zh-CN"/>
        </w:rPr>
      </w:pPr>
      <w:bookmarkStart w:id="339" w:name="_Toc185869641"/>
      <w:r>
        <w:rPr>
          <w:rFonts w:ascii="Arial" w:hAnsi="Arial" w:eastAsia="黑体"/>
          <w:b/>
          <w:bCs/>
          <w:color w:val="auto"/>
          <w:sz w:val="32"/>
          <w:szCs w:val="32"/>
          <w:highlight w:val="none"/>
          <w:lang w:val="zh-CN"/>
        </w:rPr>
        <w:t xml:space="preserve">5. </w:t>
      </w:r>
      <w:r>
        <w:rPr>
          <w:rFonts w:hint="eastAsia" w:ascii="Arial" w:hAnsi="宋体" w:eastAsia="黑体" w:cs="黑体"/>
          <w:b/>
          <w:bCs/>
          <w:color w:val="auto"/>
          <w:sz w:val="32"/>
          <w:szCs w:val="32"/>
          <w:highlight w:val="none"/>
          <w:lang w:val="zh-CN"/>
        </w:rPr>
        <w:t>工程质量</w:t>
      </w:r>
      <w:bookmarkEnd w:id="339"/>
    </w:p>
    <w:p w14:paraId="0622F86C">
      <w:pPr>
        <w:keepNext/>
        <w:keepLines/>
        <w:spacing w:line="360" w:lineRule="auto"/>
        <w:outlineLvl w:val="2"/>
        <w:rPr>
          <w:rFonts w:eastAsia="黑体"/>
          <w:b/>
          <w:bCs/>
          <w:color w:val="auto"/>
          <w:sz w:val="32"/>
          <w:szCs w:val="32"/>
          <w:highlight w:val="none"/>
          <w:lang w:val="zh-CN"/>
        </w:rPr>
      </w:pPr>
      <w:bookmarkStart w:id="340" w:name="_Toc185869642"/>
      <w:r>
        <w:rPr>
          <w:rFonts w:eastAsia="黑体"/>
          <w:b/>
          <w:bCs/>
          <w:color w:val="auto"/>
          <w:sz w:val="32"/>
          <w:szCs w:val="32"/>
          <w:highlight w:val="none"/>
          <w:lang w:val="zh-CN"/>
        </w:rPr>
        <w:t xml:space="preserve">5.1 </w:t>
      </w:r>
      <w:r>
        <w:rPr>
          <w:rFonts w:hint="eastAsia" w:hAnsi="宋体" w:eastAsia="黑体" w:cs="黑体"/>
          <w:b/>
          <w:bCs/>
          <w:color w:val="auto"/>
          <w:sz w:val="32"/>
          <w:szCs w:val="32"/>
          <w:highlight w:val="none"/>
          <w:lang w:val="zh-CN"/>
        </w:rPr>
        <w:t>质量要求</w:t>
      </w:r>
      <w:bookmarkEnd w:id="340"/>
    </w:p>
    <w:p w14:paraId="7B2F6200">
      <w:pPr>
        <w:spacing w:line="360" w:lineRule="auto"/>
        <w:ind w:firstLine="420" w:firstLineChars="200"/>
        <w:jc w:val="left"/>
        <w:rPr>
          <w:color w:val="auto"/>
          <w:szCs w:val="21"/>
          <w:highlight w:val="none"/>
          <w:u w:val="single"/>
        </w:rPr>
      </w:pPr>
      <w:r>
        <w:rPr>
          <w:color w:val="auto"/>
          <w:szCs w:val="21"/>
          <w:highlight w:val="none"/>
        </w:rPr>
        <w:t xml:space="preserve">5.1.1 </w:t>
      </w:r>
      <w:r>
        <w:rPr>
          <w:rFonts w:hint="eastAsia" w:hAnsi="宋体" w:cs="宋体"/>
          <w:color w:val="auto"/>
          <w:szCs w:val="21"/>
          <w:highlight w:val="none"/>
        </w:rPr>
        <w:t>特殊质量标准和要求：</w:t>
      </w:r>
      <w:r>
        <w:rPr>
          <w:rFonts w:hint="eastAsia"/>
          <w:color w:val="auto"/>
          <w:szCs w:val="21"/>
          <w:highlight w:val="none"/>
          <w:u w:val="single"/>
        </w:rPr>
        <w:t>严格执行</w:t>
      </w:r>
      <w:r>
        <w:rPr>
          <w:color w:val="auto"/>
          <w:szCs w:val="21"/>
          <w:highlight w:val="none"/>
          <w:u w:val="single"/>
        </w:rPr>
        <w:t>广西壮族自治区住房和城乡建设厅</w:t>
      </w:r>
      <w:r>
        <w:rPr>
          <w:rFonts w:hint="eastAsia"/>
          <w:color w:val="auto"/>
          <w:szCs w:val="21"/>
          <w:highlight w:val="none"/>
          <w:u w:val="single"/>
        </w:rPr>
        <w:t>《</w:t>
      </w:r>
      <w:r>
        <w:rPr>
          <w:color w:val="auto"/>
          <w:szCs w:val="21"/>
          <w:highlight w:val="none"/>
          <w:u w:val="single"/>
        </w:rPr>
        <w:t>关于严格实行房屋建筑和市政基础设施工程质量终身责任承诺、永久性质量责任标牌、终身责任信息档案等制度的通知</w:t>
      </w:r>
      <w:r>
        <w:rPr>
          <w:rFonts w:hint="eastAsia"/>
          <w:color w:val="auto"/>
          <w:szCs w:val="21"/>
          <w:highlight w:val="none"/>
          <w:u w:val="single"/>
        </w:rPr>
        <w:t>》</w:t>
      </w:r>
      <w:r>
        <w:rPr>
          <w:rFonts w:hint="eastAsia"/>
          <w:color w:val="auto"/>
          <w:szCs w:val="21"/>
          <w:highlight w:val="none"/>
          <w:u w:val="single"/>
          <w:lang w:eastAsia="zh-CN"/>
        </w:rPr>
        <w:t>（</w:t>
      </w:r>
      <w:r>
        <w:rPr>
          <w:color w:val="auto"/>
          <w:szCs w:val="21"/>
          <w:highlight w:val="none"/>
          <w:u w:val="single"/>
        </w:rPr>
        <w:t>桂建管</w:t>
      </w:r>
      <w:r>
        <w:rPr>
          <w:rFonts w:hint="eastAsia"/>
          <w:color w:val="auto"/>
          <w:szCs w:val="21"/>
          <w:highlight w:val="none"/>
          <w:u w:val="single"/>
          <w:lang w:eastAsia="zh-CN"/>
        </w:rPr>
        <w:t>〔2014〕96号）</w:t>
      </w:r>
      <w:r>
        <w:rPr>
          <w:rFonts w:hint="eastAsia"/>
          <w:color w:val="auto"/>
          <w:szCs w:val="21"/>
          <w:highlight w:val="none"/>
          <w:u w:val="single"/>
        </w:rPr>
        <w:t>要求，落实建设工程质量终身责任</w:t>
      </w:r>
      <w:r>
        <w:rPr>
          <w:rFonts w:hint="eastAsia" w:hAnsi="宋体" w:cs="宋体"/>
          <w:color w:val="auto"/>
          <w:szCs w:val="21"/>
          <w:highlight w:val="none"/>
        </w:rPr>
        <w:t>。</w:t>
      </w:r>
    </w:p>
    <w:p w14:paraId="1D16DBE6">
      <w:pPr>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关于工程奖项的约定：</w:t>
      </w:r>
      <w:r>
        <w:rPr>
          <w:rFonts w:hint="eastAsia"/>
          <w:color w:val="auto"/>
          <w:szCs w:val="21"/>
          <w:highlight w:val="none"/>
        </w:rPr>
        <w:t>无</w:t>
      </w:r>
    </w:p>
    <w:p w14:paraId="004C87E5">
      <w:pPr>
        <w:spacing w:line="360" w:lineRule="auto"/>
        <w:ind w:firstLine="420" w:firstLineChars="200"/>
        <w:jc w:val="left"/>
        <w:rPr>
          <w:color w:val="auto"/>
          <w:szCs w:val="21"/>
          <w:highlight w:val="none"/>
        </w:rPr>
      </w:pPr>
      <w:r>
        <w:rPr>
          <w:color w:val="auto"/>
          <w:szCs w:val="21"/>
          <w:highlight w:val="none"/>
        </w:rPr>
        <w:t xml:space="preserve">5.3 </w:t>
      </w:r>
      <w:r>
        <w:rPr>
          <w:rFonts w:hint="eastAsia" w:hAnsi="宋体" w:cs="宋体"/>
          <w:color w:val="auto"/>
          <w:szCs w:val="21"/>
          <w:highlight w:val="none"/>
        </w:rPr>
        <w:t>隐蔽工程检查</w:t>
      </w:r>
    </w:p>
    <w:p w14:paraId="0F6CCAD0">
      <w:pPr>
        <w:spacing w:line="360" w:lineRule="auto"/>
        <w:ind w:firstLine="420" w:firstLineChars="200"/>
        <w:jc w:val="left"/>
        <w:rPr>
          <w:color w:val="auto"/>
          <w:szCs w:val="21"/>
          <w:highlight w:val="none"/>
          <w:u w:val="single"/>
        </w:rPr>
      </w:pPr>
      <w:r>
        <w:rPr>
          <w:color w:val="auto"/>
          <w:szCs w:val="21"/>
          <w:highlight w:val="none"/>
        </w:rPr>
        <w:t>5.3.2</w:t>
      </w:r>
      <w:r>
        <w:rPr>
          <w:rFonts w:hint="eastAsia" w:hAnsi="宋体" w:cs="宋体"/>
          <w:color w:val="auto"/>
          <w:szCs w:val="21"/>
          <w:highlight w:val="none"/>
        </w:rPr>
        <w:t>承包人提前通知监理人隐蔽工程检查的期限的约定：工程隐蔽或中间验收前</w:t>
      </w:r>
      <w:r>
        <w:rPr>
          <w:color w:val="auto"/>
          <w:szCs w:val="21"/>
          <w:highlight w:val="none"/>
        </w:rPr>
        <w:t>12</w:t>
      </w:r>
      <w:r>
        <w:rPr>
          <w:rFonts w:hint="eastAsia" w:hAnsi="宋体" w:cs="宋体"/>
          <w:color w:val="auto"/>
          <w:szCs w:val="21"/>
          <w:highlight w:val="none"/>
        </w:rPr>
        <w:t>小时以书面形式通知发包人和监理工程师验收的内容、时间、地点，承包人准备验收记录单（最好是印制的表格）由双方签证。验收合格，承包人可进行隐蔽和继续施工；验收不合格，双方</w:t>
      </w:r>
      <w:r>
        <w:rPr>
          <w:rFonts w:hint="eastAsia" w:hAnsi="宋体" w:cs="宋体"/>
          <w:color w:val="auto"/>
          <w:szCs w:val="21"/>
          <w:highlight w:val="none"/>
          <w:lang w:eastAsia="zh-CN"/>
        </w:rPr>
        <w:t>商定</w:t>
      </w:r>
      <w:r>
        <w:rPr>
          <w:rFonts w:hint="eastAsia" w:hAnsi="宋体" w:cs="宋体"/>
          <w:color w:val="auto"/>
          <w:szCs w:val="21"/>
          <w:highlight w:val="none"/>
        </w:rPr>
        <w:t>时限内修改后按上述循序重新验收。</w:t>
      </w:r>
    </w:p>
    <w:p w14:paraId="49EB4FB9">
      <w:pPr>
        <w:spacing w:line="360" w:lineRule="auto"/>
        <w:ind w:firstLine="420" w:firstLineChars="200"/>
        <w:jc w:val="left"/>
        <w:rPr>
          <w:color w:val="auto"/>
          <w:szCs w:val="21"/>
          <w:highlight w:val="none"/>
        </w:rPr>
      </w:pPr>
      <w:r>
        <w:rPr>
          <w:rFonts w:hint="eastAsia" w:hAnsi="宋体" w:cs="宋体"/>
          <w:color w:val="auto"/>
          <w:szCs w:val="21"/>
          <w:highlight w:val="none"/>
        </w:rPr>
        <w:t>监理人不能按时进行检查时，应提前</w:t>
      </w:r>
      <w:r>
        <w:rPr>
          <w:rFonts w:hint="eastAsia"/>
          <w:color w:val="auto"/>
          <w:szCs w:val="21"/>
          <w:highlight w:val="none"/>
          <w:u w:val="single"/>
        </w:rPr>
        <w:t>24</w:t>
      </w:r>
      <w:r>
        <w:rPr>
          <w:rFonts w:hint="eastAsia" w:hAnsi="宋体" w:cs="宋体"/>
          <w:color w:val="auto"/>
          <w:szCs w:val="21"/>
          <w:highlight w:val="none"/>
        </w:rPr>
        <w:t>小时提交书面延期要求。</w:t>
      </w:r>
    </w:p>
    <w:p w14:paraId="76AB9852">
      <w:pPr>
        <w:spacing w:line="360" w:lineRule="auto"/>
        <w:ind w:firstLine="420" w:firstLineChars="200"/>
        <w:jc w:val="left"/>
        <w:rPr>
          <w:color w:val="auto"/>
          <w:szCs w:val="21"/>
          <w:highlight w:val="none"/>
        </w:rPr>
      </w:pPr>
      <w:r>
        <w:rPr>
          <w:rFonts w:hint="eastAsia" w:hAnsi="宋体" w:cs="宋体"/>
          <w:color w:val="auto"/>
          <w:szCs w:val="21"/>
          <w:highlight w:val="none"/>
        </w:rPr>
        <w:t>关于延期最长不得超过：</w:t>
      </w:r>
      <w:r>
        <w:rPr>
          <w:rFonts w:hint="eastAsia"/>
          <w:color w:val="auto"/>
          <w:szCs w:val="21"/>
          <w:highlight w:val="none"/>
          <w:u w:val="single"/>
        </w:rPr>
        <w:t>24</w:t>
      </w:r>
      <w:r>
        <w:rPr>
          <w:rFonts w:hint="eastAsia" w:hAnsi="宋体" w:cs="宋体"/>
          <w:color w:val="auto"/>
          <w:szCs w:val="21"/>
          <w:highlight w:val="none"/>
        </w:rPr>
        <w:t>小时。</w:t>
      </w:r>
    </w:p>
    <w:p w14:paraId="5378F9F2">
      <w:pPr>
        <w:keepNext/>
        <w:keepLines/>
        <w:spacing w:before="60" w:after="60" w:line="413" w:lineRule="auto"/>
        <w:outlineLvl w:val="1"/>
        <w:rPr>
          <w:rFonts w:ascii="Arial" w:hAnsi="Arial" w:eastAsia="黑体"/>
          <w:b/>
          <w:bCs/>
          <w:color w:val="auto"/>
          <w:sz w:val="32"/>
          <w:szCs w:val="32"/>
          <w:highlight w:val="none"/>
          <w:lang w:val="zh-CN"/>
        </w:rPr>
      </w:pPr>
      <w:bookmarkStart w:id="341" w:name="_Toc185869643"/>
      <w:r>
        <w:rPr>
          <w:rFonts w:ascii="Arial" w:hAnsi="Arial" w:eastAsia="黑体"/>
          <w:b/>
          <w:bCs/>
          <w:color w:val="auto"/>
          <w:sz w:val="32"/>
          <w:szCs w:val="32"/>
          <w:highlight w:val="none"/>
          <w:lang w:val="zh-CN"/>
        </w:rPr>
        <w:t xml:space="preserve">6. </w:t>
      </w:r>
      <w:r>
        <w:rPr>
          <w:rFonts w:hint="eastAsia" w:ascii="Arial" w:hAnsi="Arial" w:eastAsia="黑体" w:cs="黑体"/>
          <w:b/>
          <w:bCs/>
          <w:color w:val="auto"/>
          <w:sz w:val="32"/>
          <w:szCs w:val="32"/>
          <w:highlight w:val="none"/>
          <w:lang w:val="zh-CN"/>
        </w:rPr>
        <w:t>安全文明施工与环境保护</w:t>
      </w:r>
      <w:bookmarkEnd w:id="341"/>
    </w:p>
    <w:p w14:paraId="600D5F50">
      <w:pPr>
        <w:keepNext/>
        <w:keepLines/>
        <w:spacing w:line="360" w:lineRule="auto"/>
        <w:outlineLvl w:val="2"/>
        <w:rPr>
          <w:rFonts w:eastAsia="黑体"/>
          <w:b/>
          <w:bCs/>
          <w:color w:val="auto"/>
          <w:sz w:val="32"/>
          <w:szCs w:val="32"/>
          <w:highlight w:val="none"/>
          <w:lang w:val="zh-CN"/>
        </w:rPr>
      </w:pPr>
      <w:bookmarkStart w:id="342" w:name="_Toc185869644"/>
      <w:r>
        <w:rPr>
          <w:rFonts w:eastAsia="黑体"/>
          <w:b/>
          <w:bCs/>
          <w:color w:val="auto"/>
          <w:sz w:val="32"/>
          <w:szCs w:val="32"/>
          <w:highlight w:val="none"/>
          <w:lang w:val="zh-CN"/>
        </w:rPr>
        <w:t xml:space="preserve">6.1 </w:t>
      </w:r>
      <w:r>
        <w:rPr>
          <w:rFonts w:hint="eastAsia" w:eastAsia="黑体" w:cs="黑体"/>
          <w:b/>
          <w:bCs/>
          <w:color w:val="auto"/>
          <w:sz w:val="32"/>
          <w:szCs w:val="32"/>
          <w:highlight w:val="none"/>
          <w:lang w:val="zh-CN"/>
        </w:rPr>
        <w:t>安全文明施工</w:t>
      </w:r>
      <w:bookmarkEnd w:id="342"/>
    </w:p>
    <w:p w14:paraId="1512F169">
      <w:pPr>
        <w:spacing w:line="360" w:lineRule="auto"/>
        <w:ind w:firstLine="420" w:firstLineChars="200"/>
        <w:jc w:val="left"/>
        <w:rPr>
          <w:rFonts w:hAnsi="宋体"/>
          <w:color w:val="auto"/>
          <w:szCs w:val="21"/>
          <w:highlight w:val="none"/>
        </w:rPr>
      </w:pPr>
      <w:r>
        <w:rPr>
          <w:color w:val="auto"/>
          <w:szCs w:val="21"/>
          <w:highlight w:val="none"/>
        </w:rPr>
        <w:t xml:space="preserve">6.1.1 </w:t>
      </w:r>
      <w:r>
        <w:rPr>
          <w:rFonts w:hint="eastAsia" w:hAnsi="宋体" w:cs="宋体"/>
          <w:color w:val="auto"/>
          <w:szCs w:val="21"/>
          <w:highlight w:val="none"/>
        </w:rPr>
        <w:t>项目安全生产的达标目标及相应事项的约定：</w:t>
      </w:r>
      <w:r>
        <w:rPr>
          <w:rFonts w:hint="eastAsia"/>
          <w:color w:val="auto"/>
          <w:szCs w:val="21"/>
          <w:highlight w:val="none"/>
          <w:u w:val="single"/>
        </w:rPr>
        <w:t>承包人负责，所发生费用由承包人承担。承包人的施工安全防护和文明施工措施，应执行《中华人民共和国安全生产法》的有关要求</w:t>
      </w:r>
      <w:r>
        <w:rPr>
          <w:rFonts w:hint="eastAsia"/>
          <w:color w:val="auto"/>
          <w:szCs w:val="21"/>
          <w:highlight w:val="none"/>
          <w:u w:val="single"/>
          <w:lang w:eastAsia="zh-CN"/>
        </w:rPr>
        <w:t>，在</w:t>
      </w:r>
      <w:r>
        <w:rPr>
          <w:rFonts w:hint="eastAsia"/>
          <w:color w:val="auto"/>
          <w:szCs w:val="21"/>
          <w:highlight w:val="none"/>
          <w:u w:val="single"/>
        </w:rPr>
        <w:t>施工中必须遵守国家颁布的《建设工程安全生产管理条例》、广西壮族自治区及南宁市关于安全施工的法律法规和有关标准和规范</w:t>
      </w:r>
      <w:r>
        <w:rPr>
          <w:rFonts w:hint="eastAsia" w:hAnsi="宋体"/>
          <w:color w:val="auto"/>
          <w:szCs w:val="21"/>
          <w:highlight w:val="none"/>
          <w:u w:val="single"/>
        </w:rPr>
        <w:t>。</w:t>
      </w:r>
      <w:r>
        <w:rPr>
          <w:rFonts w:hint="eastAsia" w:ascii="宋体" w:hAnsi="宋体"/>
          <w:color w:val="auto"/>
          <w:szCs w:val="21"/>
          <w:highlight w:val="none"/>
          <w:u w:val="single"/>
        </w:rPr>
        <w:t>要求达到《建筑施工安全检查标准》（JGJ59-2011）的标准和符合</w:t>
      </w:r>
      <w:r>
        <w:rPr>
          <w:rFonts w:hint="eastAsia"/>
          <w:color w:val="auto"/>
          <w:szCs w:val="21"/>
          <w:highlight w:val="none"/>
          <w:u w:val="single"/>
        </w:rPr>
        <w:t>《广西安全文明施工费使用管理细则》</w:t>
      </w:r>
      <w:r>
        <w:rPr>
          <w:rFonts w:hint="eastAsia" w:ascii="宋体" w:hAnsi="宋体"/>
          <w:color w:val="auto"/>
          <w:szCs w:val="21"/>
          <w:highlight w:val="none"/>
          <w:u w:val="single"/>
        </w:rPr>
        <w:t>桂建质</w:t>
      </w:r>
      <w:r>
        <w:rPr>
          <w:rFonts w:hint="eastAsia" w:ascii="宋体" w:hAnsi="宋体"/>
          <w:color w:val="auto"/>
          <w:szCs w:val="21"/>
          <w:highlight w:val="none"/>
          <w:u w:val="single"/>
          <w:lang w:eastAsia="zh-CN"/>
        </w:rPr>
        <w:t>〔2015〕16号</w:t>
      </w:r>
      <w:r>
        <w:rPr>
          <w:rFonts w:hint="eastAsia" w:ascii="宋体" w:hAnsi="宋体"/>
          <w:color w:val="auto"/>
          <w:szCs w:val="21"/>
          <w:highlight w:val="none"/>
          <w:u w:val="single"/>
        </w:rPr>
        <w:t>文的要求</w:t>
      </w:r>
      <w:r>
        <w:rPr>
          <w:rFonts w:hint="eastAsia" w:hAnsi="宋体" w:cs="宋体"/>
          <w:color w:val="auto"/>
          <w:szCs w:val="21"/>
          <w:highlight w:val="none"/>
        </w:rPr>
        <w:t>。</w:t>
      </w:r>
    </w:p>
    <w:p w14:paraId="4A4E35CD">
      <w:pPr>
        <w:spacing w:line="360" w:lineRule="auto"/>
        <w:ind w:firstLine="420" w:firstLineChars="200"/>
        <w:jc w:val="left"/>
        <w:rPr>
          <w:color w:val="auto"/>
          <w:szCs w:val="21"/>
          <w:highlight w:val="none"/>
        </w:rPr>
      </w:pPr>
      <w:r>
        <w:rPr>
          <w:rFonts w:hint="eastAsia" w:hAnsi="宋体" w:cs="宋体"/>
          <w:color w:val="auto"/>
          <w:szCs w:val="21"/>
          <w:highlight w:val="none"/>
        </w:rPr>
        <w:t>关于安全文明施工奖项的约定：</w:t>
      </w:r>
      <w:r>
        <w:rPr>
          <w:rFonts w:hint="eastAsia"/>
          <w:color w:val="auto"/>
          <w:szCs w:val="21"/>
          <w:highlight w:val="none"/>
          <w:u w:val="single"/>
        </w:rPr>
        <w:t>无</w:t>
      </w:r>
      <w:r>
        <w:rPr>
          <w:rFonts w:hint="eastAsia" w:hAnsi="宋体" w:cs="宋体"/>
          <w:color w:val="auto"/>
          <w:szCs w:val="21"/>
          <w:highlight w:val="none"/>
        </w:rPr>
        <w:t>。</w:t>
      </w:r>
    </w:p>
    <w:p w14:paraId="2119E9A7">
      <w:pPr>
        <w:spacing w:line="360" w:lineRule="auto"/>
        <w:ind w:firstLine="420" w:firstLineChars="200"/>
        <w:jc w:val="left"/>
        <w:rPr>
          <w:color w:val="auto"/>
          <w:szCs w:val="21"/>
          <w:highlight w:val="none"/>
          <w:u w:val="single"/>
        </w:rPr>
      </w:pPr>
      <w:r>
        <w:rPr>
          <w:color w:val="auto"/>
          <w:szCs w:val="21"/>
          <w:highlight w:val="none"/>
        </w:rPr>
        <w:t xml:space="preserve">6.1.4 </w:t>
      </w:r>
      <w:r>
        <w:rPr>
          <w:rFonts w:hint="eastAsia" w:hAnsi="宋体" w:cs="宋体"/>
          <w:color w:val="auto"/>
          <w:szCs w:val="21"/>
          <w:highlight w:val="none"/>
        </w:rPr>
        <w:t>关于治安保卫的特别约定：</w:t>
      </w:r>
      <w:r>
        <w:rPr>
          <w:rFonts w:hint="eastAsia" w:hAnsi="宋体" w:cs="宋体"/>
          <w:color w:val="auto"/>
          <w:szCs w:val="21"/>
          <w:highlight w:val="none"/>
          <w:u w:val="single"/>
        </w:rPr>
        <w:t>承包人应承担施工安全保卫工作及非夜间施工照明的责任，承包人应采取一切合理的预防措施，防止人员伤亡、财产损失事故，费用由承包人承担。承包人生活设施及施工场应自费配备消防设备，防止火灾发生。</w:t>
      </w:r>
    </w:p>
    <w:p w14:paraId="232C1D7A">
      <w:pPr>
        <w:spacing w:line="360" w:lineRule="auto"/>
        <w:ind w:firstLine="420" w:firstLineChars="200"/>
        <w:jc w:val="left"/>
        <w:rPr>
          <w:color w:val="auto"/>
          <w:szCs w:val="21"/>
          <w:highlight w:val="none"/>
        </w:rPr>
      </w:pPr>
      <w:r>
        <w:rPr>
          <w:rFonts w:hint="eastAsia" w:hAnsi="宋体" w:cs="宋体"/>
          <w:color w:val="auto"/>
          <w:szCs w:val="21"/>
          <w:highlight w:val="none"/>
        </w:rPr>
        <w:t>关于编制施工场地治安管理计划的约定：</w:t>
      </w:r>
      <w:r>
        <w:rPr>
          <w:rFonts w:hint="eastAsia"/>
          <w:color w:val="auto"/>
          <w:szCs w:val="21"/>
          <w:highlight w:val="none"/>
          <w:u w:val="single"/>
        </w:rPr>
        <w:t>承包人负责，所发生费用由承包人承担</w:t>
      </w:r>
      <w:r>
        <w:rPr>
          <w:rFonts w:hint="eastAsia"/>
          <w:color w:val="auto"/>
          <w:szCs w:val="21"/>
          <w:highlight w:val="none"/>
          <w:u w:val="single"/>
          <w:lang w:eastAsia="zh-CN"/>
        </w:rPr>
        <w:t>.</w:t>
      </w:r>
      <w:r>
        <w:rPr>
          <w:rFonts w:hint="eastAsia" w:ascii="宋体" w:hAnsi="宋体"/>
          <w:color w:val="auto"/>
          <w:szCs w:val="21"/>
          <w:highlight w:val="none"/>
          <w:u w:val="single"/>
        </w:rPr>
        <w:t>承包人于开工前提供施工场地治安管理计划</w:t>
      </w:r>
      <w:r>
        <w:rPr>
          <w:rFonts w:hint="eastAsia" w:hAnsi="宋体" w:cs="宋体"/>
          <w:color w:val="auto"/>
          <w:szCs w:val="21"/>
          <w:highlight w:val="none"/>
        </w:rPr>
        <w:t>。</w:t>
      </w:r>
    </w:p>
    <w:p w14:paraId="77D25608">
      <w:pPr>
        <w:spacing w:line="360" w:lineRule="auto"/>
        <w:ind w:firstLine="420" w:firstLineChars="200"/>
        <w:jc w:val="left"/>
        <w:rPr>
          <w:color w:val="auto"/>
          <w:szCs w:val="21"/>
          <w:highlight w:val="none"/>
        </w:rPr>
      </w:pPr>
      <w:r>
        <w:rPr>
          <w:color w:val="auto"/>
          <w:szCs w:val="21"/>
          <w:highlight w:val="none"/>
        </w:rPr>
        <w:t xml:space="preserve">6.1.5 </w:t>
      </w:r>
      <w:r>
        <w:rPr>
          <w:rFonts w:hint="eastAsia" w:hAnsi="宋体" w:cs="宋体"/>
          <w:color w:val="auto"/>
          <w:szCs w:val="21"/>
          <w:highlight w:val="none"/>
        </w:rPr>
        <w:t>文明施工</w:t>
      </w:r>
    </w:p>
    <w:p w14:paraId="430BCC90">
      <w:pPr>
        <w:spacing w:line="360" w:lineRule="auto"/>
        <w:ind w:firstLine="420" w:firstLineChars="200"/>
        <w:jc w:val="left"/>
        <w:rPr>
          <w:color w:val="auto"/>
          <w:szCs w:val="21"/>
          <w:highlight w:val="none"/>
        </w:rPr>
      </w:pPr>
      <w:r>
        <w:rPr>
          <w:rFonts w:hint="eastAsia" w:hAnsi="宋体" w:cs="宋体"/>
          <w:color w:val="auto"/>
          <w:szCs w:val="21"/>
          <w:highlight w:val="none"/>
        </w:rPr>
        <w:t>合同当事人对文明施工的要求：</w:t>
      </w:r>
      <w:r>
        <w:rPr>
          <w:rFonts w:hint="eastAsia" w:hAnsi="宋体"/>
          <w:bCs/>
          <w:color w:val="auto"/>
          <w:szCs w:val="21"/>
          <w:highlight w:val="none"/>
        </w:rPr>
        <w:t>严格执行《</w:t>
      </w:r>
      <w:r>
        <w:rPr>
          <w:rFonts w:hint="eastAsia" w:hAnsi="宋体"/>
          <w:bCs/>
          <w:color w:val="auto"/>
          <w:szCs w:val="21"/>
          <w:highlight w:val="none"/>
          <w:lang w:eastAsia="zh-CN"/>
        </w:rPr>
        <w:t>中华人民共和国大气污染防治法</w:t>
      </w:r>
      <w:r>
        <w:rPr>
          <w:rFonts w:hint="eastAsia" w:hAnsi="宋体"/>
          <w:bCs/>
          <w:color w:val="auto"/>
          <w:szCs w:val="21"/>
          <w:highlight w:val="none"/>
        </w:rPr>
        <w:t>》（主席令第三十一号）及南宁市的有关规定，与辖区卫生防疫、环卫管理部门或有合法资质资格的企业签订病媒生物消杀协议、生活垃圾清运协议、渣土密闭运输协议、在线远程监控扬尘监测协议，遵守“一口两池三包四协议”的有关规定，施工前办理排水许可证，严格执行排水许可，做好工地泥浆水、临时生活污水的排放管理，现场设置三级沉淀池及化粪池，避免生活污水及施工废水直排市政排水管网及内河。采取道路硬化、裸土必盖（种草、绿网）、洗车出门、保洁路口、在线监测、抑尘喷淋等有效措施，确保建设工程各项安全防护、文明施工措施及其费用在工地一线按标准落实到位</w:t>
      </w:r>
      <w:r>
        <w:rPr>
          <w:rFonts w:hint="eastAsia" w:cs="宋体"/>
          <w:color w:val="auto"/>
          <w:szCs w:val="21"/>
          <w:highlight w:val="none"/>
        </w:rPr>
        <w:t>。</w:t>
      </w:r>
    </w:p>
    <w:p w14:paraId="7401E5C3">
      <w:pPr>
        <w:spacing w:line="360" w:lineRule="auto"/>
        <w:ind w:firstLine="420" w:firstLineChars="200"/>
        <w:jc w:val="left"/>
        <w:rPr>
          <w:rFonts w:hAnsi="宋体"/>
          <w:color w:val="auto"/>
          <w:szCs w:val="21"/>
          <w:highlight w:val="none"/>
        </w:rPr>
      </w:pPr>
      <w:r>
        <w:rPr>
          <w:color w:val="auto"/>
          <w:szCs w:val="21"/>
          <w:highlight w:val="none"/>
        </w:rPr>
        <w:t>6.1.6</w:t>
      </w:r>
      <w:r>
        <w:rPr>
          <w:rFonts w:hAnsi="宋体" w:cs="宋体"/>
          <w:color w:val="auto"/>
          <w:kern w:val="0"/>
          <w:szCs w:val="21"/>
          <w:highlight w:val="none"/>
        </w:rPr>
        <w:t>关于安全</w:t>
      </w:r>
      <w:r>
        <w:rPr>
          <w:rFonts w:hint="eastAsia" w:hAnsi="宋体" w:cs="宋体"/>
          <w:color w:val="auto"/>
          <w:kern w:val="0"/>
          <w:szCs w:val="21"/>
          <w:highlight w:val="none"/>
        </w:rPr>
        <w:t>生产</w:t>
      </w:r>
      <w:r>
        <w:rPr>
          <w:rFonts w:hAnsi="宋体" w:cs="宋体"/>
          <w:color w:val="auto"/>
          <w:kern w:val="0"/>
          <w:szCs w:val="21"/>
          <w:highlight w:val="none"/>
        </w:rPr>
        <w:t>费</w:t>
      </w:r>
      <w:r>
        <w:rPr>
          <w:rFonts w:hint="eastAsia" w:hAnsi="宋体" w:cs="宋体"/>
          <w:color w:val="auto"/>
          <w:kern w:val="0"/>
          <w:szCs w:val="21"/>
          <w:highlight w:val="none"/>
        </w:rPr>
        <w:t>总额、</w:t>
      </w:r>
      <w:r>
        <w:rPr>
          <w:rFonts w:hAnsi="宋体" w:cs="宋体"/>
          <w:color w:val="auto"/>
          <w:kern w:val="0"/>
          <w:szCs w:val="21"/>
          <w:highlight w:val="none"/>
        </w:rPr>
        <w:t>支付比例</w:t>
      </w:r>
      <w:r>
        <w:rPr>
          <w:rFonts w:hint="eastAsia" w:hAnsi="宋体" w:cs="宋体"/>
          <w:color w:val="auto"/>
          <w:kern w:val="0"/>
          <w:szCs w:val="21"/>
          <w:highlight w:val="none"/>
        </w:rPr>
        <w:t>、</w:t>
      </w:r>
      <w:r>
        <w:rPr>
          <w:rFonts w:hAnsi="宋体" w:cs="宋体"/>
          <w:color w:val="auto"/>
          <w:kern w:val="0"/>
          <w:szCs w:val="21"/>
          <w:highlight w:val="none"/>
        </w:rPr>
        <w:t>支付期限</w:t>
      </w:r>
      <w:r>
        <w:rPr>
          <w:rFonts w:hint="eastAsia" w:hAnsi="宋体" w:cs="宋体"/>
          <w:color w:val="auto"/>
          <w:kern w:val="0"/>
          <w:szCs w:val="21"/>
          <w:highlight w:val="none"/>
        </w:rPr>
        <w:t>、转入和结余收回</w:t>
      </w:r>
      <w:r>
        <w:rPr>
          <w:rFonts w:hAnsi="宋体" w:cs="宋体"/>
          <w:color w:val="auto"/>
          <w:kern w:val="0"/>
          <w:szCs w:val="21"/>
          <w:highlight w:val="none"/>
        </w:rPr>
        <w:t>的约定：</w:t>
      </w:r>
    </w:p>
    <w:p w14:paraId="6063CB6C">
      <w:pPr>
        <w:autoSpaceDE w:val="0"/>
        <w:autoSpaceDN w:val="0"/>
        <w:adjustRightInd w:val="0"/>
        <w:spacing w:line="360" w:lineRule="auto"/>
        <w:ind w:firstLine="420" w:firstLineChars="200"/>
        <w:jc w:val="left"/>
        <w:rPr>
          <w:rFonts w:hAnsi="宋体"/>
          <w:color w:val="auto"/>
          <w:kern w:val="0"/>
          <w:szCs w:val="21"/>
          <w:highlight w:val="none"/>
        </w:rPr>
      </w:pPr>
      <w:r>
        <w:rPr>
          <w:rFonts w:hint="eastAsia" w:hAnsi="宋体" w:cs="宋体"/>
          <w:color w:val="auto"/>
          <w:kern w:val="0"/>
          <w:szCs w:val="21"/>
          <w:highlight w:val="none"/>
        </w:rPr>
        <w:t>（</w:t>
      </w:r>
      <w:r>
        <w:rPr>
          <w:rFonts w:hAnsi="宋体"/>
          <w:color w:val="auto"/>
          <w:kern w:val="0"/>
          <w:szCs w:val="21"/>
          <w:highlight w:val="none"/>
        </w:rPr>
        <w:t>1</w:t>
      </w:r>
      <w:r>
        <w:rPr>
          <w:rFonts w:hint="eastAsia" w:hAnsi="宋体" w:cs="宋体"/>
          <w:color w:val="auto"/>
          <w:kern w:val="0"/>
          <w:szCs w:val="21"/>
          <w:highlight w:val="none"/>
        </w:rPr>
        <w:t>）本合同价款已包含安全文明施工费：大写：</w:t>
      </w:r>
      <w:r>
        <w:rPr>
          <w:rFonts w:hint="eastAsia" w:cs="宋体"/>
          <w:color w:val="auto"/>
          <w:highlight w:val="none"/>
          <w:u w:val="single"/>
        </w:rPr>
        <w:t>（</w:t>
      </w:r>
      <w:r>
        <w:rPr>
          <w:color w:val="auto"/>
          <w:highlight w:val="none"/>
          <w:u w:val="single"/>
        </w:rPr>
        <w:t xml:space="preserve">¥ </w:t>
      </w:r>
      <w:r>
        <w:rPr>
          <w:rFonts w:hint="eastAsia" w:hAnsi="宋体" w:cs="宋体"/>
          <w:color w:val="auto"/>
          <w:highlight w:val="none"/>
          <w:u w:val="single"/>
        </w:rPr>
        <w:t xml:space="preserve">       元</w:t>
      </w:r>
      <w:r>
        <w:rPr>
          <w:rFonts w:hint="eastAsia" w:cs="宋体"/>
          <w:color w:val="auto"/>
          <w:highlight w:val="none"/>
          <w:u w:val="single"/>
        </w:rPr>
        <w:t>）</w:t>
      </w:r>
      <w:r>
        <w:rPr>
          <w:rFonts w:hint="eastAsia" w:hAnsi="宋体" w:cs="宋体"/>
          <w:color w:val="auto"/>
          <w:kern w:val="0"/>
          <w:szCs w:val="21"/>
          <w:highlight w:val="none"/>
        </w:rPr>
        <w:t>。</w:t>
      </w:r>
    </w:p>
    <w:p w14:paraId="6EC5E80E">
      <w:pPr>
        <w:autoSpaceDE w:val="0"/>
        <w:autoSpaceDN w:val="0"/>
        <w:adjustRightInd w:val="0"/>
        <w:spacing w:line="360" w:lineRule="auto"/>
        <w:ind w:firstLine="420" w:firstLineChars="200"/>
        <w:jc w:val="left"/>
        <w:rPr>
          <w:rFonts w:hAnsi="宋体"/>
          <w:color w:val="auto"/>
          <w:kern w:val="0"/>
          <w:szCs w:val="21"/>
          <w:highlight w:val="none"/>
        </w:rPr>
      </w:pPr>
      <w:r>
        <w:rPr>
          <w:rFonts w:hint="eastAsia" w:hAnsi="宋体" w:cs="宋体"/>
          <w:color w:val="auto"/>
          <w:kern w:val="0"/>
          <w:szCs w:val="21"/>
          <w:highlight w:val="none"/>
        </w:rPr>
        <w:t>（</w:t>
      </w:r>
      <w:r>
        <w:rPr>
          <w:rFonts w:hAnsi="宋体"/>
          <w:color w:val="auto"/>
          <w:kern w:val="0"/>
          <w:szCs w:val="21"/>
          <w:highlight w:val="none"/>
        </w:rPr>
        <w:t>2</w:t>
      </w:r>
      <w:r>
        <w:rPr>
          <w:rFonts w:hint="eastAsia" w:hAnsi="宋体" w:cs="宋体"/>
          <w:color w:val="auto"/>
          <w:kern w:val="0"/>
          <w:szCs w:val="21"/>
          <w:highlight w:val="none"/>
        </w:rPr>
        <w:t>）使用要求：专款专用。具体按</w:t>
      </w:r>
      <w:r>
        <w:rPr>
          <w:rFonts w:hint="eastAsia" w:hAnsi="宋体" w:cs="宋体"/>
          <w:color w:val="auto"/>
          <w:kern w:val="0"/>
          <w:szCs w:val="21"/>
          <w:highlight w:val="none"/>
          <w:u w:val="single"/>
        </w:rPr>
        <w:t>《广西壮族自治区建设工程安全文明施工费使用管理细则》（桂建质〔</w:t>
      </w:r>
      <w:r>
        <w:rPr>
          <w:rFonts w:hAnsi="宋体"/>
          <w:color w:val="auto"/>
          <w:kern w:val="0"/>
          <w:szCs w:val="21"/>
          <w:highlight w:val="none"/>
          <w:u w:val="single"/>
        </w:rPr>
        <w:t>2015</w:t>
      </w:r>
      <w:r>
        <w:rPr>
          <w:rFonts w:hint="eastAsia" w:hAnsi="宋体" w:cs="宋体"/>
          <w:color w:val="auto"/>
          <w:kern w:val="0"/>
          <w:szCs w:val="21"/>
          <w:highlight w:val="none"/>
          <w:u w:val="single"/>
        </w:rPr>
        <w:t>〕</w:t>
      </w:r>
      <w:r>
        <w:rPr>
          <w:rFonts w:hAnsi="宋体"/>
          <w:color w:val="auto"/>
          <w:kern w:val="0"/>
          <w:szCs w:val="21"/>
          <w:highlight w:val="none"/>
          <w:u w:val="single"/>
        </w:rPr>
        <w:t>16</w:t>
      </w:r>
      <w:r>
        <w:rPr>
          <w:rFonts w:hint="eastAsia" w:hAnsi="宋体" w:cs="宋体"/>
          <w:color w:val="auto"/>
          <w:kern w:val="0"/>
          <w:szCs w:val="21"/>
          <w:highlight w:val="none"/>
          <w:u w:val="single"/>
        </w:rPr>
        <w:t>号）</w:t>
      </w:r>
      <w:r>
        <w:rPr>
          <w:rFonts w:hint="eastAsia" w:hAnsi="宋体" w:cs="宋体"/>
          <w:color w:val="auto"/>
          <w:kern w:val="0"/>
          <w:szCs w:val="21"/>
          <w:highlight w:val="none"/>
        </w:rPr>
        <w:t>和</w:t>
      </w:r>
      <w:r>
        <w:rPr>
          <w:rFonts w:hint="eastAsia" w:hAnsi="宋体"/>
          <w:color w:val="auto"/>
          <w:kern w:val="0"/>
          <w:szCs w:val="21"/>
          <w:highlight w:val="none"/>
          <w:u w:val="single"/>
        </w:rPr>
        <w:t>南宁</w:t>
      </w:r>
      <w:r>
        <w:rPr>
          <w:rFonts w:hint="eastAsia" w:hAnsi="宋体" w:cs="宋体"/>
          <w:color w:val="auto"/>
          <w:kern w:val="0"/>
          <w:szCs w:val="21"/>
          <w:highlight w:val="none"/>
        </w:rPr>
        <w:t>市相关规定执行。</w:t>
      </w:r>
    </w:p>
    <w:p w14:paraId="407F2C7D">
      <w:pPr>
        <w:autoSpaceDE w:val="0"/>
        <w:autoSpaceDN w:val="0"/>
        <w:adjustRightInd w:val="0"/>
        <w:spacing w:line="360" w:lineRule="auto"/>
        <w:ind w:firstLine="420" w:firstLineChars="200"/>
        <w:jc w:val="left"/>
        <w:rPr>
          <w:rFonts w:hAnsi="宋体" w:cs="宋体"/>
          <w:color w:val="auto"/>
          <w:kern w:val="0"/>
          <w:szCs w:val="21"/>
          <w:highlight w:val="none"/>
        </w:rPr>
      </w:pPr>
      <w:r>
        <w:rPr>
          <w:rFonts w:hint="eastAsia" w:hAnsi="宋体" w:cs="宋体"/>
          <w:color w:val="auto"/>
          <w:kern w:val="0"/>
          <w:szCs w:val="21"/>
          <w:highlight w:val="none"/>
        </w:rPr>
        <w:t>（</w:t>
      </w:r>
      <w:r>
        <w:rPr>
          <w:rFonts w:hAnsi="宋体"/>
          <w:color w:val="auto"/>
          <w:kern w:val="0"/>
          <w:szCs w:val="21"/>
          <w:highlight w:val="none"/>
        </w:rPr>
        <w:t>3</w:t>
      </w:r>
      <w:r>
        <w:rPr>
          <w:rFonts w:hint="eastAsia" w:hAnsi="宋体" w:cs="宋体"/>
          <w:color w:val="auto"/>
          <w:kern w:val="0"/>
          <w:szCs w:val="21"/>
          <w:highlight w:val="none"/>
        </w:rPr>
        <w:t>）支付约定：</w:t>
      </w:r>
      <w:r>
        <w:rPr>
          <w:rFonts w:hint="eastAsia"/>
          <w:color w:val="auto"/>
          <w:kern w:val="0"/>
          <w:szCs w:val="21"/>
          <w:highlight w:val="none"/>
        </w:rPr>
        <w:t>与进度款同期支付</w:t>
      </w:r>
      <w:r>
        <w:rPr>
          <w:rFonts w:hint="eastAsia" w:hAnsi="宋体" w:cs="宋体"/>
          <w:color w:val="auto"/>
          <w:kern w:val="0"/>
          <w:szCs w:val="21"/>
          <w:highlight w:val="none"/>
        </w:rPr>
        <w:t>。</w:t>
      </w:r>
    </w:p>
    <w:p w14:paraId="40B071B9">
      <w:pPr>
        <w:keepNext/>
        <w:keepLines/>
        <w:spacing w:line="360" w:lineRule="auto"/>
        <w:outlineLvl w:val="2"/>
        <w:rPr>
          <w:rFonts w:eastAsia="黑体"/>
          <w:b/>
          <w:bCs/>
          <w:color w:val="auto"/>
          <w:sz w:val="32"/>
          <w:szCs w:val="32"/>
          <w:highlight w:val="none"/>
          <w:lang w:val="zh-CN"/>
        </w:rPr>
      </w:pPr>
      <w:bookmarkStart w:id="343" w:name="_Toc185869645"/>
      <w:r>
        <w:rPr>
          <w:rFonts w:eastAsia="黑体"/>
          <w:b/>
          <w:bCs/>
          <w:color w:val="auto"/>
          <w:sz w:val="32"/>
          <w:szCs w:val="32"/>
          <w:highlight w:val="none"/>
          <w:lang w:val="zh-CN"/>
        </w:rPr>
        <w:t xml:space="preserve">6.3 </w:t>
      </w:r>
      <w:r>
        <w:rPr>
          <w:rFonts w:hint="eastAsia" w:hAnsi="宋体" w:eastAsia="黑体" w:cs="黑体"/>
          <w:b/>
          <w:bCs/>
          <w:color w:val="auto"/>
          <w:sz w:val="32"/>
          <w:szCs w:val="32"/>
          <w:highlight w:val="none"/>
          <w:lang w:val="zh-CN"/>
        </w:rPr>
        <w:t>环境保护</w:t>
      </w:r>
      <w:bookmarkEnd w:id="343"/>
    </w:p>
    <w:p w14:paraId="004C7D88">
      <w:pPr>
        <w:spacing w:line="360" w:lineRule="auto"/>
        <w:ind w:firstLine="420" w:firstLineChars="200"/>
        <w:jc w:val="left"/>
        <w:rPr>
          <w:color w:val="auto"/>
          <w:szCs w:val="21"/>
          <w:highlight w:val="none"/>
          <w:u w:val="single"/>
        </w:rPr>
      </w:pPr>
      <w:r>
        <w:rPr>
          <w:rFonts w:hint="eastAsia" w:hAnsi="宋体" w:cs="宋体"/>
          <w:color w:val="auto"/>
          <w:szCs w:val="21"/>
          <w:highlight w:val="none"/>
          <w:u w:val="single"/>
        </w:rPr>
        <w:t>因施工需要，经发包人批准，由承包人办理有关施工场地交通、环卫和施工噪音管理等手续，费用由承包人负责。</w:t>
      </w:r>
    </w:p>
    <w:p w14:paraId="6D9772E0">
      <w:pPr>
        <w:spacing w:line="360" w:lineRule="auto"/>
        <w:ind w:firstLine="420" w:firstLineChars="200"/>
        <w:jc w:val="left"/>
        <w:rPr>
          <w:rFonts w:hAnsi="宋体" w:cs="宋体"/>
          <w:color w:val="auto"/>
          <w:szCs w:val="21"/>
          <w:highlight w:val="none"/>
          <w:u w:val="single"/>
        </w:rPr>
      </w:pPr>
      <w:r>
        <w:rPr>
          <w:rFonts w:hint="eastAsia" w:hAnsi="宋体" w:cs="宋体"/>
          <w:color w:val="auto"/>
          <w:szCs w:val="21"/>
          <w:highlight w:val="none"/>
          <w:u w:val="single"/>
        </w:rPr>
        <w:t>经过城市道路的施工车辆，必须按交警、城管、运输等部门相关规定执行。由于施工车辆造成的道路、环境等污染，其责任和费用均由承包人承担。</w:t>
      </w:r>
    </w:p>
    <w:p w14:paraId="75CDC7D4">
      <w:pPr>
        <w:keepNext/>
        <w:keepLines/>
        <w:spacing w:before="60" w:after="60" w:line="413" w:lineRule="auto"/>
        <w:outlineLvl w:val="1"/>
        <w:rPr>
          <w:rFonts w:ascii="Arial" w:hAnsi="Arial" w:eastAsia="黑体"/>
          <w:b/>
          <w:bCs/>
          <w:color w:val="auto"/>
          <w:sz w:val="32"/>
          <w:szCs w:val="32"/>
          <w:highlight w:val="none"/>
          <w:lang w:val="zh-CN"/>
        </w:rPr>
      </w:pPr>
      <w:bookmarkStart w:id="344" w:name="_Toc185869646"/>
      <w:r>
        <w:rPr>
          <w:rFonts w:ascii="Arial" w:hAnsi="Arial" w:eastAsia="黑体"/>
          <w:b/>
          <w:bCs/>
          <w:color w:val="auto"/>
          <w:sz w:val="32"/>
          <w:szCs w:val="32"/>
          <w:highlight w:val="none"/>
          <w:lang w:val="zh-CN"/>
        </w:rPr>
        <w:t xml:space="preserve">7. </w:t>
      </w:r>
      <w:r>
        <w:rPr>
          <w:rFonts w:hint="eastAsia" w:ascii="Arial" w:hAnsi="Arial" w:eastAsia="黑体" w:cs="黑体"/>
          <w:b/>
          <w:bCs/>
          <w:color w:val="auto"/>
          <w:sz w:val="32"/>
          <w:szCs w:val="32"/>
          <w:highlight w:val="none"/>
          <w:lang w:val="zh-CN"/>
        </w:rPr>
        <w:t>工期和进度</w:t>
      </w:r>
      <w:bookmarkEnd w:id="344"/>
    </w:p>
    <w:p w14:paraId="7C8223A4">
      <w:pPr>
        <w:keepNext/>
        <w:keepLines/>
        <w:spacing w:line="360" w:lineRule="auto"/>
        <w:outlineLvl w:val="2"/>
        <w:rPr>
          <w:rFonts w:eastAsia="黑体"/>
          <w:b/>
          <w:bCs/>
          <w:color w:val="auto"/>
          <w:sz w:val="32"/>
          <w:szCs w:val="32"/>
          <w:highlight w:val="none"/>
          <w:lang w:val="zh-CN"/>
        </w:rPr>
      </w:pPr>
      <w:bookmarkStart w:id="345" w:name="_Toc185869647"/>
      <w:r>
        <w:rPr>
          <w:rFonts w:eastAsia="黑体"/>
          <w:b/>
          <w:bCs/>
          <w:color w:val="auto"/>
          <w:sz w:val="32"/>
          <w:szCs w:val="32"/>
          <w:highlight w:val="none"/>
          <w:lang w:val="zh-CN"/>
        </w:rPr>
        <w:t xml:space="preserve">7.1 </w:t>
      </w:r>
      <w:r>
        <w:rPr>
          <w:rFonts w:hint="eastAsia" w:eastAsia="黑体" w:cs="黑体"/>
          <w:b/>
          <w:bCs/>
          <w:color w:val="auto"/>
          <w:sz w:val="32"/>
          <w:szCs w:val="32"/>
          <w:highlight w:val="none"/>
          <w:lang w:val="zh-CN"/>
        </w:rPr>
        <w:t>施工组织设计</w:t>
      </w:r>
      <w:bookmarkEnd w:id="345"/>
    </w:p>
    <w:p w14:paraId="78215895">
      <w:pPr>
        <w:autoSpaceDE w:val="0"/>
        <w:autoSpaceDN w:val="0"/>
        <w:adjustRightInd w:val="0"/>
        <w:spacing w:line="360" w:lineRule="auto"/>
        <w:ind w:firstLine="420" w:firstLineChars="200"/>
        <w:jc w:val="left"/>
        <w:rPr>
          <w:rFonts w:ascii="宋体" w:hAnsi="宋体"/>
          <w:color w:val="auto"/>
          <w:szCs w:val="21"/>
          <w:highlight w:val="none"/>
        </w:rPr>
      </w:pPr>
      <w:r>
        <w:rPr>
          <w:color w:val="auto"/>
          <w:szCs w:val="21"/>
          <w:highlight w:val="none"/>
        </w:rPr>
        <w:t xml:space="preserve">7.1.1 </w:t>
      </w:r>
      <w:r>
        <w:rPr>
          <w:rFonts w:hAnsi="宋体"/>
          <w:color w:val="auto"/>
          <w:szCs w:val="21"/>
          <w:highlight w:val="none"/>
        </w:rPr>
        <w:t>合</w:t>
      </w:r>
      <w:r>
        <w:rPr>
          <w:rFonts w:hAnsi="宋体"/>
          <w:color w:val="auto"/>
          <w:kern w:val="0"/>
          <w:szCs w:val="21"/>
          <w:highlight w:val="none"/>
        </w:rPr>
        <w:t>同当事人约定的施工组织设计应包括的其他内容：</w:t>
      </w:r>
      <w:r>
        <w:rPr>
          <w:rFonts w:hint="eastAsia" w:ascii="宋体" w:hAnsi="宋体"/>
          <w:color w:val="auto"/>
          <w:szCs w:val="21"/>
          <w:highlight w:val="none"/>
          <w:u w:val="single"/>
        </w:rPr>
        <w:t>施工进度计划包括总进度计划、分阶段和分项进度计划、设备材料人员进场计划；施工方案说明包括分部、分项工程或工程部位的名称及施工顺序和方法。</w:t>
      </w:r>
    </w:p>
    <w:p w14:paraId="6BF34F6C">
      <w:pPr>
        <w:autoSpaceDE w:val="0"/>
        <w:autoSpaceDN w:val="0"/>
        <w:adjustRightInd w:val="0"/>
        <w:spacing w:line="360" w:lineRule="auto"/>
        <w:ind w:firstLine="420" w:firstLineChars="200"/>
        <w:jc w:val="left"/>
        <w:rPr>
          <w:color w:val="auto"/>
          <w:kern w:val="0"/>
          <w:szCs w:val="21"/>
          <w:highlight w:val="none"/>
        </w:rPr>
      </w:pPr>
      <w:r>
        <w:rPr>
          <w:color w:val="auto"/>
          <w:szCs w:val="21"/>
          <w:highlight w:val="none"/>
        </w:rPr>
        <w:t xml:space="preserve">7.1.2 </w:t>
      </w:r>
      <w:r>
        <w:rPr>
          <w:rFonts w:hAnsi="宋体"/>
          <w:color w:val="auto"/>
          <w:kern w:val="0"/>
          <w:szCs w:val="21"/>
          <w:highlight w:val="none"/>
        </w:rPr>
        <w:t>施工组织设计的提交和修改</w:t>
      </w:r>
    </w:p>
    <w:p w14:paraId="606E89F0">
      <w:pPr>
        <w:autoSpaceDE w:val="0"/>
        <w:autoSpaceDN w:val="0"/>
        <w:adjustRightInd w:val="0"/>
        <w:spacing w:line="360" w:lineRule="auto"/>
        <w:ind w:firstLine="420" w:firstLineChars="200"/>
        <w:jc w:val="left"/>
        <w:rPr>
          <w:color w:val="auto"/>
          <w:szCs w:val="21"/>
          <w:highlight w:val="none"/>
          <w:u w:val="single"/>
        </w:rPr>
      </w:pPr>
      <w:r>
        <w:rPr>
          <w:rFonts w:hAnsi="宋体"/>
          <w:color w:val="auto"/>
          <w:kern w:val="0"/>
          <w:szCs w:val="21"/>
          <w:highlight w:val="none"/>
        </w:rPr>
        <w:t>承包人提交详细施工组织设计的期限的约定：</w:t>
      </w:r>
      <w:r>
        <w:rPr>
          <w:rFonts w:hint="eastAsia"/>
          <w:color w:val="auto"/>
          <w:szCs w:val="21"/>
          <w:highlight w:val="none"/>
          <w:u w:val="single"/>
        </w:rPr>
        <w:t>承包人应在开工前7日内，提交详细的施工组织设计，并报送监理人和发包人</w:t>
      </w:r>
      <w:r>
        <w:rPr>
          <w:rFonts w:hAnsi="宋体"/>
          <w:color w:val="auto"/>
          <w:szCs w:val="21"/>
          <w:highlight w:val="none"/>
        </w:rPr>
        <w:t>。</w:t>
      </w:r>
    </w:p>
    <w:p w14:paraId="72BFEC5D">
      <w:pPr>
        <w:spacing w:line="360" w:lineRule="auto"/>
        <w:ind w:firstLine="420" w:firstLineChars="200"/>
        <w:jc w:val="left"/>
        <w:rPr>
          <w:color w:val="auto"/>
          <w:szCs w:val="21"/>
          <w:highlight w:val="none"/>
        </w:rPr>
      </w:pPr>
      <w:r>
        <w:rPr>
          <w:rFonts w:hAnsi="宋体"/>
          <w:color w:val="auto"/>
          <w:szCs w:val="21"/>
          <w:highlight w:val="none"/>
        </w:rPr>
        <w:t>发包人和监理人在收到详细的施工组织设计后确认或提出修改意见的期限：</w:t>
      </w:r>
      <w:r>
        <w:rPr>
          <w:rFonts w:hint="eastAsia"/>
          <w:color w:val="auto"/>
          <w:szCs w:val="21"/>
          <w:highlight w:val="none"/>
          <w:u w:val="single"/>
        </w:rPr>
        <w:t>收到详细施工组织设计后14天内确定或提出修改意见。对监理人和发包人提出合理意见和要求，承包人应自行修改完善</w:t>
      </w:r>
      <w:r>
        <w:rPr>
          <w:rFonts w:hint="eastAsia" w:hAnsi="宋体" w:cs="宋体"/>
          <w:color w:val="auto"/>
          <w:szCs w:val="21"/>
          <w:highlight w:val="none"/>
        </w:rPr>
        <w:t>。</w:t>
      </w:r>
    </w:p>
    <w:p w14:paraId="016F6C44">
      <w:pPr>
        <w:keepNext/>
        <w:keepLines/>
        <w:spacing w:line="360" w:lineRule="auto"/>
        <w:outlineLvl w:val="2"/>
        <w:rPr>
          <w:rFonts w:eastAsia="黑体"/>
          <w:b/>
          <w:bCs/>
          <w:color w:val="auto"/>
          <w:sz w:val="32"/>
          <w:szCs w:val="32"/>
          <w:highlight w:val="none"/>
          <w:lang w:val="zh-CN"/>
        </w:rPr>
      </w:pPr>
      <w:bookmarkStart w:id="346" w:name="_Toc185869648"/>
      <w:r>
        <w:rPr>
          <w:rFonts w:eastAsia="黑体"/>
          <w:b/>
          <w:bCs/>
          <w:color w:val="auto"/>
          <w:sz w:val="32"/>
          <w:szCs w:val="32"/>
          <w:highlight w:val="none"/>
          <w:lang w:val="zh-CN"/>
        </w:rPr>
        <w:t xml:space="preserve">7.2 </w:t>
      </w:r>
      <w:r>
        <w:rPr>
          <w:rFonts w:hint="eastAsia" w:eastAsia="黑体" w:cs="黑体"/>
          <w:b/>
          <w:bCs/>
          <w:color w:val="auto"/>
          <w:sz w:val="32"/>
          <w:szCs w:val="32"/>
          <w:highlight w:val="none"/>
          <w:lang w:val="zh-CN"/>
        </w:rPr>
        <w:t>施工进度计划</w:t>
      </w:r>
      <w:bookmarkEnd w:id="346"/>
    </w:p>
    <w:p w14:paraId="6F692879">
      <w:pPr>
        <w:spacing w:line="360" w:lineRule="auto"/>
        <w:ind w:firstLine="420" w:firstLineChars="200"/>
        <w:jc w:val="left"/>
        <w:rPr>
          <w:color w:val="auto"/>
          <w:szCs w:val="21"/>
          <w:highlight w:val="none"/>
        </w:rPr>
      </w:pPr>
      <w:r>
        <w:rPr>
          <w:color w:val="auto"/>
          <w:szCs w:val="21"/>
          <w:highlight w:val="none"/>
        </w:rPr>
        <w:t xml:space="preserve">7.2.2 </w:t>
      </w:r>
      <w:r>
        <w:rPr>
          <w:rFonts w:hint="eastAsia" w:hAnsi="宋体" w:cs="宋体"/>
          <w:color w:val="auto"/>
          <w:szCs w:val="21"/>
          <w:highlight w:val="none"/>
        </w:rPr>
        <w:t>施工进度计划的修订</w:t>
      </w:r>
    </w:p>
    <w:p w14:paraId="478CAC9B">
      <w:pPr>
        <w:spacing w:line="360" w:lineRule="auto"/>
        <w:ind w:firstLine="420" w:firstLineChars="200"/>
        <w:jc w:val="left"/>
        <w:rPr>
          <w:rFonts w:hAnsi="宋体"/>
          <w:color w:val="auto"/>
          <w:szCs w:val="21"/>
          <w:highlight w:val="none"/>
        </w:rPr>
      </w:pPr>
      <w:r>
        <w:rPr>
          <w:rFonts w:hint="eastAsia" w:hAnsi="宋体" w:cs="宋体"/>
          <w:color w:val="auto"/>
          <w:szCs w:val="22"/>
          <w:highlight w:val="none"/>
        </w:rPr>
        <w:t>发包人和监理人在收到修订的施工进度计划后确认或提出修改意见的期限：</w:t>
      </w:r>
      <w:r>
        <w:rPr>
          <w:rFonts w:hint="eastAsia"/>
          <w:color w:val="auto"/>
          <w:szCs w:val="21"/>
          <w:highlight w:val="none"/>
          <w:u w:val="single"/>
        </w:rPr>
        <w:t>承包人应在开工前7日编制详细的施工进度计划和施工方案说明报送监理人和发包人，其内容包括：施工组织设计、专项方案、项目人员配备表等。监理人和发包人应在14天内批复或提出修改意见，否则该进度计划视为已得到批准。经监理人和发包人批准的施工进度计划称施工进度计划，是控制合同工程进度的依据。承包人还应根据合同进度计划，编制更为详细的分阶段或分项进度计划，报监理人和发包人审批</w:t>
      </w:r>
      <w:r>
        <w:rPr>
          <w:rFonts w:hAnsi="宋体"/>
          <w:color w:val="auto"/>
          <w:szCs w:val="21"/>
          <w:highlight w:val="none"/>
        </w:rPr>
        <w:t>。</w:t>
      </w:r>
    </w:p>
    <w:p w14:paraId="446B25F9">
      <w:pPr>
        <w:spacing w:line="360" w:lineRule="auto"/>
        <w:ind w:firstLine="422" w:firstLineChars="200"/>
        <w:jc w:val="left"/>
        <w:rPr>
          <w:rFonts w:ascii="宋体" w:hAnsi="宋体"/>
          <w:b/>
          <w:bCs/>
          <w:color w:val="auto"/>
          <w:szCs w:val="21"/>
          <w:highlight w:val="none"/>
        </w:rPr>
      </w:pPr>
      <w:r>
        <w:rPr>
          <w:rFonts w:hint="eastAsia" w:ascii="宋体" w:hAnsi="宋体"/>
          <w:b/>
          <w:bCs/>
          <w:color w:val="auto"/>
          <w:szCs w:val="21"/>
          <w:highlight w:val="none"/>
        </w:rPr>
        <w:t>7.2.3承包人所报的施工组织设计应包含详细、完整的施工总进度计划及符合行业相关规定的施工方案。进度计划应包括发包人直接发包的各专业工程进退场时间、预埋时间、竣工时间、各分项工程的开始和完工、验收时间等。此施工总进度计划一经发包人和监理人确认后，承包人应在每月的25日，向发包人和监理人提交最新的、经过修改的、动态的施工总进度计划（无论是否已发生变更），并由其审核确认，但对于发包人明确不得延误的阶段性施工目标不得擅自更改（合同已明确规定需延期或非承包人原因影响的除外）。如工程发生较大调整或发包人和监理人明确要求需要提交时，承包人应在接到通知5日内按发包人和监理人的要求，将最新的施工总进度计划予以提交。</w:t>
      </w:r>
    </w:p>
    <w:p w14:paraId="18C5E53F">
      <w:pPr>
        <w:spacing w:line="360" w:lineRule="auto"/>
        <w:ind w:firstLine="422" w:firstLineChars="200"/>
        <w:jc w:val="left"/>
        <w:rPr>
          <w:color w:val="auto"/>
          <w:szCs w:val="22"/>
          <w:highlight w:val="none"/>
        </w:rPr>
      </w:pPr>
      <w:r>
        <w:rPr>
          <w:rFonts w:hint="eastAsia" w:ascii="宋体" w:hAnsi="宋体"/>
          <w:b/>
          <w:bCs/>
          <w:color w:val="auto"/>
          <w:szCs w:val="21"/>
          <w:highlight w:val="none"/>
        </w:rPr>
        <w:t>7.2.4承包人应按照经监理人及发包人批准的施工组织设计中提供的施工进度计划按时完成工程进度。发包人每月考核一次，如承包人在考核期内未能完成当月工程进度，则每逾期一天，应向发包人支付违约金人民币1000元（该罚款与总工期延期罚款不冲突），并在当月进度款中抵扣。</w:t>
      </w:r>
    </w:p>
    <w:p w14:paraId="58F0F339">
      <w:pPr>
        <w:keepNext/>
        <w:keepLines/>
        <w:spacing w:line="360" w:lineRule="auto"/>
        <w:outlineLvl w:val="2"/>
        <w:rPr>
          <w:rFonts w:eastAsia="黑体"/>
          <w:b/>
          <w:bCs/>
          <w:color w:val="auto"/>
          <w:sz w:val="32"/>
          <w:szCs w:val="32"/>
          <w:highlight w:val="none"/>
          <w:lang w:val="zh-CN"/>
        </w:rPr>
      </w:pPr>
      <w:bookmarkStart w:id="347" w:name="_Toc185869649"/>
      <w:r>
        <w:rPr>
          <w:rFonts w:eastAsia="黑体"/>
          <w:b/>
          <w:bCs/>
          <w:color w:val="auto"/>
          <w:sz w:val="32"/>
          <w:szCs w:val="32"/>
          <w:highlight w:val="none"/>
          <w:lang w:val="zh-CN"/>
        </w:rPr>
        <w:t xml:space="preserve">7.3 </w:t>
      </w:r>
      <w:r>
        <w:rPr>
          <w:rFonts w:hint="eastAsia" w:eastAsia="黑体" w:cs="黑体"/>
          <w:b/>
          <w:bCs/>
          <w:color w:val="auto"/>
          <w:sz w:val="32"/>
          <w:szCs w:val="32"/>
          <w:highlight w:val="none"/>
          <w:lang w:val="zh-CN"/>
        </w:rPr>
        <w:t>开工</w:t>
      </w:r>
      <w:bookmarkEnd w:id="347"/>
    </w:p>
    <w:p w14:paraId="3D346D14">
      <w:pPr>
        <w:spacing w:line="360" w:lineRule="auto"/>
        <w:ind w:firstLine="420" w:firstLineChars="200"/>
        <w:jc w:val="left"/>
        <w:rPr>
          <w:color w:val="auto"/>
          <w:szCs w:val="21"/>
          <w:highlight w:val="none"/>
        </w:rPr>
      </w:pPr>
      <w:r>
        <w:rPr>
          <w:color w:val="auto"/>
          <w:szCs w:val="21"/>
          <w:highlight w:val="none"/>
        </w:rPr>
        <w:t xml:space="preserve">7.3.1 </w:t>
      </w:r>
      <w:r>
        <w:rPr>
          <w:rFonts w:hint="eastAsia" w:hAnsi="宋体" w:cs="宋体"/>
          <w:color w:val="auto"/>
          <w:szCs w:val="21"/>
          <w:highlight w:val="none"/>
        </w:rPr>
        <w:t>开工准备</w:t>
      </w:r>
    </w:p>
    <w:p w14:paraId="5DACD632">
      <w:pPr>
        <w:spacing w:line="360" w:lineRule="auto"/>
        <w:ind w:firstLine="426"/>
        <w:jc w:val="left"/>
        <w:rPr>
          <w:color w:val="auto"/>
          <w:szCs w:val="21"/>
          <w:highlight w:val="none"/>
          <w:u w:val="single"/>
        </w:rPr>
      </w:pPr>
      <w:r>
        <w:rPr>
          <w:rFonts w:hAnsi="宋体"/>
          <w:color w:val="auto"/>
          <w:szCs w:val="21"/>
          <w:highlight w:val="none"/>
        </w:rPr>
        <w:t>关于承包人提交</w:t>
      </w:r>
      <w:r>
        <w:rPr>
          <w:rFonts w:hAnsi="宋体"/>
          <w:color w:val="auto"/>
          <w:kern w:val="0"/>
          <w:szCs w:val="21"/>
          <w:highlight w:val="none"/>
        </w:rPr>
        <w:t>工程开工报审表的期限：</w:t>
      </w:r>
      <w:r>
        <w:rPr>
          <w:rFonts w:hint="eastAsia"/>
          <w:color w:val="auto"/>
          <w:szCs w:val="21"/>
          <w:highlight w:val="none"/>
          <w:u w:val="single"/>
        </w:rPr>
        <w:t>按审批的施工组织设计约定的期限</w:t>
      </w:r>
      <w:r>
        <w:rPr>
          <w:rFonts w:hAnsi="宋体"/>
          <w:color w:val="auto"/>
          <w:szCs w:val="21"/>
          <w:highlight w:val="none"/>
        </w:rPr>
        <w:t>。</w:t>
      </w:r>
    </w:p>
    <w:p w14:paraId="1AFDB96B">
      <w:pPr>
        <w:spacing w:line="360" w:lineRule="auto"/>
        <w:ind w:firstLine="420" w:firstLineChars="200"/>
        <w:jc w:val="left"/>
        <w:rPr>
          <w:color w:val="auto"/>
          <w:szCs w:val="21"/>
          <w:highlight w:val="none"/>
          <w:u w:val="single"/>
        </w:rPr>
      </w:pPr>
      <w:r>
        <w:rPr>
          <w:rFonts w:hAnsi="宋体"/>
          <w:color w:val="auto"/>
          <w:szCs w:val="21"/>
          <w:highlight w:val="none"/>
        </w:rPr>
        <w:t>关于发包人应完成的其他开工准备工作及期限：</w:t>
      </w:r>
      <w:r>
        <w:rPr>
          <w:rFonts w:hint="eastAsia" w:ascii="宋体" w:hAnsi="宋体"/>
          <w:color w:val="auto"/>
          <w:szCs w:val="21"/>
          <w:highlight w:val="none"/>
          <w:u w:val="single"/>
        </w:rPr>
        <w:t>①开工前14天完成施工现场 “三通一平 ”工作，并满足施工要求；②开工前7天内发包人确定施工用水、用电接入点； ③按监理核批的施工组织设计，开工前7天内由承包方完成施工临时道路的修建，并承担修建费用；④开工前7天内将工程管线的资料提供给承包人并确保图纸的准确性、有效性及完整性，如因图纸有误造成的损失由发包人承担及由此产生的相关费用；⑤开工前7天内由发包人办理的施工所需证件、批件，因发包人证件资料不齐全，无法办理导致工程无法顺利进行，工期相应顺延；⑥开工前组织承包人和设计单位进行图纸会审，并由设计单位向承包人进行设计交底</w:t>
      </w:r>
      <w:r>
        <w:rPr>
          <w:rFonts w:hint="eastAsia" w:ascii="宋体" w:hAnsi="宋体"/>
          <w:color w:val="auto"/>
          <w:szCs w:val="21"/>
          <w:highlight w:val="none"/>
        </w:rPr>
        <w:t>。</w:t>
      </w:r>
    </w:p>
    <w:p w14:paraId="4CC7D070">
      <w:pPr>
        <w:spacing w:line="360" w:lineRule="auto"/>
        <w:ind w:firstLine="420" w:firstLineChars="200"/>
        <w:jc w:val="left"/>
        <w:rPr>
          <w:color w:val="auto"/>
          <w:szCs w:val="21"/>
          <w:highlight w:val="none"/>
          <w:u w:val="single"/>
        </w:rPr>
      </w:pPr>
      <w:r>
        <w:rPr>
          <w:rFonts w:hAnsi="宋体"/>
          <w:color w:val="auto"/>
          <w:szCs w:val="21"/>
          <w:highlight w:val="none"/>
        </w:rPr>
        <w:t>关于承包人应完成的其他开工准备工作及期限：</w:t>
      </w:r>
      <w:r>
        <w:rPr>
          <w:rFonts w:hint="eastAsia"/>
          <w:color w:val="auto"/>
          <w:szCs w:val="21"/>
          <w:highlight w:val="none"/>
          <w:u w:val="single"/>
        </w:rPr>
        <w:t>开工前7天</w:t>
      </w:r>
      <w:r>
        <w:rPr>
          <w:rFonts w:hint="eastAsia" w:hAnsi="宋体" w:cs="宋体"/>
          <w:color w:val="auto"/>
          <w:szCs w:val="21"/>
          <w:highlight w:val="none"/>
        </w:rPr>
        <w:t>。</w:t>
      </w:r>
    </w:p>
    <w:p w14:paraId="359F3B2D">
      <w:pPr>
        <w:spacing w:line="360" w:lineRule="auto"/>
        <w:ind w:firstLine="420" w:firstLineChars="200"/>
        <w:jc w:val="left"/>
        <w:rPr>
          <w:color w:val="auto"/>
          <w:szCs w:val="21"/>
          <w:highlight w:val="none"/>
        </w:rPr>
      </w:pPr>
      <w:r>
        <w:rPr>
          <w:color w:val="auto"/>
          <w:szCs w:val="21"/>
          <w:highlight w:val="none"/>
        </w:rPr>
        <w:t xml:space="preserve">7.3.2 </w:t>
      </w:r>
      <w:r>
        <w:rPr>
          <w:rFonts w:hint="eastAsia" w:hAnsi="宋体" w:cs="宋体"/>
          <w:color w:val="auto"/>
          <w:szCs w:val="21"/>
          <w:highlight w:val="none"/>
        </w:rPr>
        <w:t>开工通知</w:t>
      </w:r>
    </w:p>
    <w:p w14:paraId="4634E21E">
      <w:pPr>
        <w:spacing w:line="360" w:lineRule="auto"/>
        <w:ind w:firstLine="420" w:firstLineChars="200"/>
        <w:jc w:val="left"/>
        <w:rPr>
          <w:color w:val="auto"/>
          <w:szCs w:val="21"/>
          <w:highlight w:val="none"/>
        </w:rPr>
      </w:pPr>
      <w:r>
        <w:rPr>
          <w:rFonts w:hAnsi="宋体"/>
          <w:color w:val="auto"/>
          <w:szCs w:val="21"/>
          <w:highlight w:val="none"/>
        </w:rPr>
        <w:t>因发包人原因造成监理人未能在计划开工日期之日起</w:t>
      </w:r>
      <w:r>
        <w:rPr>
          <w:rFonts w:hint="eastAsia"/>
          <w:color w:val="auto"/>
          <w:szCs w:val="21"/>
          <w:highlight w:val="none"/>
          <w:u w:val="single"/>
        </w:rPr>
        <w:t>180</w:t>
      </w:r>
      <w:r>
        <w:rPr>
          <w:rFonts w:hAnsi="宋体"/>
          <w:color w:val="auto"/>
          <w:szCs w:val="21"/>
          <w:highlight w:val="none"/>
        </w:rPr>
        <w:t>天内发出开工通知的，承包人有权提出价格调整要求，或者解除合同</w:t>
      </w:r>
      <w:r>
        <w:rPr>
          <w:rFonts w:hint="eastAsia" w:hAnsi="宋体" w:cs="宋体"/>
          <w:color w:val="auto"/>
          <w:szCs w:val="21"/>
          <w:highlight w:val="none"/>
        </w:rPr>
        <w:t>。</w:t>
      </w:r>
    </w:p>
    <w:p w14:paraId="26492705">
      <w:pPr>
        <w:keepNext/>
        <w:keepLines/>
        <w:spacing w:line="360" w:lineRule="auto"/>
        <w:outlineLvl w:val="2"/>
        <w:rPr>
          <w:rFonts w:eastAsia="黑体"/>
          <w:b/>
          <w:bCs/>
          <w:color w:val="auto"/>
          <w:sz w:val="32"/>
          <w:szCs w:val="32"/>
          <w:highlight w:val="none"/>
          <w:lang w:val="zh-CN"/>
        </w:rPr>
      </w:pPr>
      <w:bookmarkStart w:id="348" w:name="_Toc185869650"/>
      <w:r>
        <w:rPr>
          <w:rFonts w:eastAsia="黑体"/>
          <w:b/>
          <w:bCs/>
          <w:color w:val="auto"/>
          <w:sz w:val="32"/>
          <w:szCs w:val="32"/>
          <w:highlight w:val="none"/>
          <w:lang w:val="zh-CN"/>
        </w:rPr>
        <w:t xml:space="preserve">7.4 </w:t>
      </w:r>
      <w:r>
        <w:rPr>
          <w:rFonts w:hint="eastAsia" w:hAnsi="宋体" w:eastAsia="黑体" w:cs="黑体"/>
          <w:b/>
          <w:bCs/>
          <w:color w:val="auto"/>
          <w:sz w:val="32"/>
          <w:szCs w:val="32"/>
          <w:highlight w:val="none"/>
          <w:lang w:val="zh-CN"/>
        </w:rPr>
        <w:t>测量放线</w:t>
      </w:r>
      <w:bookmarkEnd w:id="348"/>
    </w:p>
    <w:p w14:paraId="1BC98735">
      <w:pPr>
        <w:spacing w:line="360" w:lineRule="auto"/>
        <w:ind w:firstLine="420" w:firstLineChars="200"/>
        <w:jc w:val="left"/>
        <w:rPr>
          <w:rFonts w:hAnsi="宋体"/>
          <w:color w:val="auto"/>
          <w:szCs w:val="21"/>
          <w:highlight w:val="none"/>
        </w:rPr>
      </w:pPr>
      <w:r>
        <w:rPr>
          <w:color w:val="auto"/>
          <w:szCs w:val="21"/>
          <w:highlight w:val="none"/>
        </w:rPr>
        <w:t>7.4.1</w:t>
      </w:r>
      <w:r>
        <w:rPr>
          <w:rFonts w:hint="eastAsia" w:hAnsi="宋体" w:cs="宋体"/>
          <w:color w:val="auto"/>
          <w:szCs w:val="21"/>
          <w:highlight w:val="none"/>
        </w:rPr>
        <w:t>发包人通过监理人向承包人提供测量基准点、基准线和水准点及其书面资料的期限：</w:t>
      </w:r>
    </w:p>
    <w:p w14:paraId="46236D65">
      <w:pPr>
        <w:spacing w:line="360" w:lineRule="auto"/>
        <w:jc w:val="left"/>
        <w:rPr>
          <w:color w:val="auto"/>
          <w:szCs w:val="21"/>
          <w:highlight w:val="none"/>
          <w:u w:val="single"/>
        </w:rPr>
      </w:pPr>
      <w:r>
        <w:rPr>
          <w:rFonts w:hint="eastAsia" w:hAnsi="宋体"/>
          <w:color w:val="auto"/>
          <w:szCs w:val="21"/>
          <w:highlight w:val="none"/>
          <w:u w:val="single"/>
        </w:rPr>
        <w:t>开工前7天，发包人用书面形式交给承包人。承包人应根据国家测绘基准、测绘系统和工程测量技术规范，按上述基准点（线）以及合同工程精度要求，测设施工控制网，并在7个工作日期限内，将施工控制网资料报送监理人审批</w:t>
      </w:r>
      <w:r>
        <w:rPr>
          <w:rFonts w:hint="eastAsia" w:hAnsi="宋体" w:cs="宋体"/>
          <w:color w:val="auto"/>
          <w:szCs w:val="21"/>
          <w:highlight w:val="none"/>
        </w:rPr>
        <w:t>。</w:t>
      </w:r>
    </w:p>
    <w:p w14:paraId="5666774E">
      <w:pPr>
        <w:keepNext/>
        <w:keepLines/>
        <w:spacing w:line="360" w:lineRule="auto"/>
        <w:outlineLvl w:val="2"/>
        <w:rPr>
          <w:rFonts w:eastAsia="黑体"/>
          <w:b/>
          <w:bCs/>
          <w:color w:val="auto"/>
          <w:sz w:val="32"/>
          <w:szCs w:val="32"/>
          <w:highlight w:val="none"/>
          <w:lang w:val="zh-CN"/>
        </w:rPr>
      </w:pPr>
      <w:bookmarkStart w:id="349" w:name="_Toc185869651"/>
      <w:r>
        <w:rPr>
          <w:rFonts w:eastAsia="黑体"/>
          <w:b/>
          <w:bCs/>
          <w:color w:val="auto"/>
          <w:sz w:val="32"/>
          <w:szCs w:val="32"/>
          <w:highlight w:val="none"/>
          <w:lang w:val="zh-CN"/>
        </w:rPr>
        <w:t xml:space="preserve">7.5 </w:t>
      </w:r>
      <w:r>
        <w:rPr>
          <w:rFonts w:hint="eastAsia" w:hAnsi="宋体" w:eastAsia="黑体" w:cs="黑体"/>
          <w:b/>
          <w:bCs/>
          <w:color w:val="auto"/>
          <w:sz w:val="32"/>
          <w:szCs w:val="32"/>
          <w:highlight w:val="none"/>
          <w:lang w:val="zh-CN"/>
        </w:rPr>
        <w:t>工期延误</w:t>
      </w:r>
      <w:bookmarkEnd w:id="349"/>
    </w:p>
    <w:p w14:paraId="16FD214E">
      <w:pPr>
        <w:spacing w:line="360" w:lineRule="auto"/>
        <w:ind w:firstLine="420" w:firstLineChars="200"/>
        <w:jc w:val="left"/>
        <w:rPr>
          <w:color w:val="auto"/>
          <w:szCs w:val="21"/>
          <w:highlight w:val="none"/>
        </w:rPr>
      </w:pPr>
      <w:r>
        <w:rPr>
          <w:color w:val="auto"/>
          <w:szCs w:val="21"/>
          <w:highlight w:val="none"/>
        </w:rPr>
        <w:t xml:space="preserve">7.5.1 </w:t>
      </w:r>
      <w:r>
        <w:rPr>
          <w:rFonts w:hint="eastAsia" w:hAnsi="宋体" w:cs="宋体"/>
          <w:color w:val="auto"/>
          <w:szCs w:val="21"/>
          <w:highlight w:val="none"/>
        </w:rPr>
        <w:t>因发包人原因导致工期延误</w:t>
      </w:r>
    </w:p>
    <w:p w14:paraId="7BB07D11">
      <w:pPr>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w:t>
      </w:r>
      <w:r>
        <w:rPr>
          <w:color w:val="auto"/>
          <w:szCs w:val="21"/>
          <w:highlight w:val="none"/>
        </w:rPr>
        <w:t>7</w:t>
      </w:r>
      <w:r>
        <w:rPr>
          <w:rFonts w:hint="eastAsia" w:hAnsi="宋体" w:cs="宋体"/>
          <w:color w:val="auto"/>
          <w:szCs w:val="21"/>
          <w:highlight w:val="none"/>
        </w:rPr>
        <w:t>）因发包人原因导致工期延误的其他情形：</w:t>
      </w:r>
      <w:r>
        <w:rPr>
          <w:rFonts w:hint="eastAsia" w:ascii="宋体" w:hAnsi="宋体"/>
          <w:color w:val="auto"/>
          <w:szCs w:val="21"/>
          <w:highlight w:val="none"/>
          <w:u w:val="single"/>
        </w:rPr>
        <w:t>①重大设计变更而影响施工进度，工程变更和工程量增加的；②发包人未能按合同要求配合施工或因发包人原因造成的延误、故障、人为阻止施工导致停工时；③下雨天日降雨量达60mm以上持续4小时及以上的大雨的，且经监理方确认确实影响到施工的情形，可顺延一天，</w:t>
      </w:r>
      <w:r>
        <w:rPr>
          <w:rFonts w:hint="eastAsia" w:ascii="宋体" w:hAnsi="宋体"/>
          <w:color w:val="auto"/>
          <w:szCs w:val="21"/>
          <w:highlight w:val="none"/>
          <w:u w:val="single"/>
          <w:lang w:eastAsia="zh-CN"/>
        </w:rPr>
        <w:t>依此类推</w:t>
      </w:r>
      <w:r>
        <w:rPr>
          <w:rFonts w:hint="eastAsia" w:ascii="宋体" w:hAnsi="宋体"/>
          <w:color w:val="auto"/>
          <w:szCs w:val="21"/>
          <w:highlight w:val="none"/>
          <w:u w:val="single"/>
        </w:rPr>
        <w:t>；④每日非承包人原因停水停电，累计超过4小时可顺延一日；或一周内，非承包人原因停水、停电累计超过8个小时可顺延一日；⑤非承包人责任而造成的停工和工期延误及工程师同意或承包人有证据证明可顺延工期的其他情形，且经监理方确认确实影响到施工的情形；发生专用条款第7.7项约定的异常恶劣的气候条件的情形并对工程进度产生影响的；⑥其余工期顺延的情况按本合同《通用条款》第7.5.1条第（1）～（6）款的规定执行；⑦按施工条件规定，发包人不能提供“三通一平”影响进场施工；⑧未按协议规定拨付工程进度款而影响施工；⑨发包人或监理人发出错误的施工指令导致工期延误；⑩政府指令性停工（除高考、中考、东盟、春节休假以外）</w:t>
      </w:r>
      <w:r>
        <w:rPr>
          <w:rFonts w:hint="eastAsia" w:ascii="宋体" w:hAnsi="宋体"/>
          <w:color w:val="auto"/>
          <w:szCs w:val="21"/>
          <w:highlight w:val="none"/>
          <w:u w:val="single"/>
          <w:lang w:eastAsia="zh-CN"/>
        </w:rPr>
        <w:t>或</w:t>
      </w:r>
      <w:r>
        <w:rPr>
          <w:rFonts w:hint="eastAsia" w:ascii="宋体" w:hAnsi="宋体"/>
          <w:color w:val="auto"/>
          <w:szCs w:val="21"/>
          <w:highlight w:val="none"/>
          <w:u w:val="single"/>
        </w:rPr>
        <w:t>不可抗力因素而延误工期。</w:t>
      </w:r>
    </w:p>
    <w:p w14:paraId="296C3DCA">
      <w:pPr>
        <w:spacing w:line="360" w:lineRule="auto"/>
        <w:ind w:firstLine="422" w:firstLineChars="200"/>
        <w:jc w:val="left"/>
        <w:rPr>
          <w:rFonts w:hAnsi="宋体" w:cs="宋体"/>
          <w:color w:val="auto"/>
          <w:szCs w:val="21"/>
          <w:highlight w:val="none"/>
        </w:rPr>
      </w:pPr>
      <w:r>
        <w:rPr>
          <w:rFonts w:hint="eastAsia" w:ascii="宋体" w:hAnsi="宋体"/>
          <w:b/>
          <w:bCs/>
          <w:color w:val="auto"/>
          <w:szCs w:val="21"/>
          <w:highlight w:val="none"/>
        </w:rPr>
        <w:t>以上延误工期情况发生后十四日内，承包人应向监理和发包人提出书面申请，监理人及时审核确认无误后书面报告发包人。若承包人不提出或逾期提出，则视为承包人放弃此权利。若发包人14日内未回复，视为默认承包人工期延误。</w:t>
      </w:r>
    </w:p>
    <w:p w14:paraId="10356EF2">
      <w:pPr>
        <w:spacing w:line="360" w:lineRule="auto"/>
        <w:ind w:firstLine="420" w:firstLineChars="200"/>
        <w:jc w:val="left"/>
        <w:rPr>
          <w:color w:val="auto"/>
          <w:szCs w:val="21"/>
          <w:highlight w:val="none"/>
        </w:rPr>
      </w:pPr>
      <w:r>
        <w:rPr>
          <w:color w:val="auto"/>
          <w:szCs w:val="21"/>
          <w:highlight w:val="none"/>
        </w:rPr>
        <w:t xml:space="preserve">7.5.2 </w:t>
      </w:r>
      <w:r>
        <w:rPr>
          <w:rFonts w:hint="eastAsia" w:hAnsi="宋体" w:cs="宋体"/>
          <w:color w:val="auto"/>
          <w:szCs w:val="21"/>
          <w:highlight w:val="none"/>
        </w:rPr>
        <w:t>因承包人原因导致工期延误</w:t>
      </w:r>
    </w:p>
    <w:p w14:paraId="78429277">
      <w:pPr>
        <w:spacing w:line="360" w:lineRule="auto"/>
        <w:ind w:firstLine="420" w:firstLineChars="200"/>
        <w:jc w:val="left"/>
        <w:rPr>
          <w:color w:val="auto"/>
          <w:szCs w:val="21"/>
          <w:highlight w:val="none"/>
        </w:rPr>
      </w:pPr>
      <w:r>
        <w:rPr>
          <w:rFonts w:hAnsi="宋体"/>
          <w:color w:val="auto"/>
          <w:szCs w:val="21"/>
          <w:highlight w:val="none"/>
        </w:rPr>
        <w:t>双方约定经监理工程师确认，工期相应顺延的情况：</w:t>
      </w:r>
      <w:r>
        <w:rPr>
          <w:rFonts w:hint="eastAsia"/>
          <w:color w:val="auto"/>
          <w:szCs w:val="21"/>
          <w:highlight w:val="none"/>
          <w:u w:val="single"/>
        </w:rPr>
        <w:t>不可抗力的原因</w:t>
      </w:r>
      <w:r>
        <w:rPr>
          <w:rFonts w:hAnsi="宋体"/>
          <w:color w:val="auto"/>
          <w:szCs w:val="21"/>
          <w:highlight w:val="none"/>
        </w:rPr>
        <w:t>。</w:t>
      </w:r>
    </w:p>
    <w:p w14:paraId="0E65EF0C">
      <w:pPr>
        <w:spacing w:line="360" w:lineRule="auto"/>
        <w:ind w:firstLine="315" w:firstLineChars="150"/>
        <w:jc w:val="left"/>
        <w:rPr>
          <w:rFonts w:ascii="宋体" w:hAnsi="宋体"/>
          <w:color w:val="auto"/>
          <w:szCs w:val="21"/>
          <w:highlight w:val="none"/>
          <w:u w:val="single"/>
        </w:rPr>
      </w:pPr>
      <w:r>
        <w:rPr>
          <w:rFonts w:hAnsi="宋体"/>
          <w:color w:val="auto"/>
          <w:szCs w:val="21"/>
          <w:highlight w:val="none"/>
        </w:rPr>
        <w:t>因承包人原因造成工期延误，逾期竣工违约金的计算方法为：</w:t>
      </w:r>
      <w:r>
        <w:rPr>
          <w:rFonts w:hint="eastAsia" w:ascii="宋体" w:hAnsi="宋体"/>
          <w:color w:val="auto"/>
          <w:szCs w:val="21"/>
          <w:highlight w:val="none"/>
          <w:u w:val="single"/>
        </w:rPr>
        <w:t>非上述原因，承包人不能按合同约定的时间竣工，承包人应承担违约责任。应向发包人支付误期赔偿费（每天赔偿金额为合同价款的万分之四），误期时间从规定竣工日期起直到全部工程或相应部分工程竣工验收各方签章日期之间的天数（扣除发包人批准顺延的工期）。发包人可从应向承包人支付的任何金额中扣除此项赔款费或其他方式收回此款，此赔偿款的支付并不能解除承包人应完成工程的责任或合同规定的其他责任。</w:t>
      </w:r>
    </w:p>
    <w:p w14:paraId="5001809E">
      <w:pPr>
        <w:spacing w:line="360" w:lineRule="auto"/>
        <w:ind w:firstLine="420" w:firstLineChars="200"/>
        <w:jc w:val="left"/>
        <w:rPr>
          <w:rFonts w:hAnsi="宋体" w:cs="宋体"/>
          <w:color w:val="auto"/>
          <w:szCs w:val="21"/>
          <w:highlight w:val="none"/>
          <w:u w:val="single"/>
        </w:rPr>
      </w:pPr>
      <w:r>
        <w:rPr>
          <w:rFonts w:hint="eastAsia" w:hAnsi="宋体" w:cs="宋体"/>
          <w:color w:val="auto"/>
          <w:szCs w:val="21"/>
          <w:highlight w:val="none"/>
        </w:rPr>
        <w:t>因承包人原因造成工期延误，逾期竣工违约金的上限：</w:t>
      </w:r>
      <w:r>
        <w:rPr>
          <w:rFonts w:hint="eastAsia" w:hAnsi="宋体" w:cs="宋体"/>
          <w:color w:val="auto"/>
          <w:szCs w:val="21"/>
          <w:highlight w:val="none"/>
          <w:u w:val="single"/>
        </w:rPr>
        <w:t>签约合同价扣除发包人材料价款、暂估专业工程、暂列金额后的3% 。</w:t>
      </w:r>
    </w:p>
    <w:p w14:paraId="382707B0">
      <w:pPr>
        <w:keepNext/>
        <w:keepLines/>
        <w:spacing w:line="360" w:lineRule="auto"/>
        <w:outlineLvl w:val="2"/>
        <w:rPr>
          <w:rFonts w:eastAsia="黑体"/>
          <w:b/>
          <w:bCs/>
          <w:color w:val="auto"/>
          <w:sz w:val="32"/>
          <w:szCs w:val="32"/>
          <w:highlight w:val="none"/>
          <w:lang w:val="zh-CN"/>
        </w:rPr>
      </w:pPr>
      <w:bookmarkStart w:id="350" w:name="_Toc185869652"/>
      <w:r>
        <w:rPr>
          <w:rFonts w:eastAsia="黑体"/>
          <w:b/>
          <w:bCs/>
          <w:color w:val="auto"/>
          <w:sz w:val="32"/>
          <w:szCs w:val="32"/>
          <w:highlight w:val="none"/>
          <w:lang w:val="zh-CN"/>
        </w:rPr>
        <w:t xml:space="preserve">7.6 </w:t>
      </w:r>
      <w:r>
        <w:rPr>
          <w:rFonts w:hint="eastAsia" w:eastAsia="黑体" w:cs="黑体"/>
          <w:b/>
          <w:bCs/>
          <w:color w:val="auto"/>
          <w:sz w:val="32"/>
          <w:szCs w:val="32"/>
          <w:highlight w:val="none"/>
          <w:lang w:val="zh-CN"/>
        </w:rPr>
        <w:t>不利物质条件</w:t>
      </w:r>
      <w:bookmarkEnd w:id="350"/>
    </w:p>
    <w:p w14:paraId="71CF5F5C">
      <w:pPr>
        <w:spacing w:line="360" w:lineRule="auto"/>
        <w:ind w:firstLine="420" w:firstLineChars="200"/>
        <w:jc w:val="left"/>
        <w:rPr>
          <w:color w:val="auto"/>
          <w:szCs w:val="21"/>
          <w:highlight w:val="none"/>
          <w:u w:val="single"/>
        </w:rPr>
      </w:pPr>
      <w:r>
        <w:rPr>
          <w:rFonts w:hint="eastAsia" w:hAnsi="宋体" w:cs="宋体"/>
          <w:color w:val="auto"/>
          <w:szCs w:val="21"/>
          <w:highlight w:val="none"/>
        </w:rPr>
        <w:t>不利物质条件的其他情形和有关约定：</w:t>
      </w:r>
      <w:r>
        <w:rPr>
          <w:rFonts w:hint="eastAsia" w:ascii="宋体" w:hAnsi="宋体"/>
          <w:color w:val="auto"/>
          <w:szCs w:val="21"/>
          <w:highlight w:val="none"/>
          <w:u w:val="single"/>
        </w:rPr>
        <w:t>因不利物质条件的原因导致承包人暂停施工的，由监理方确认是否给予工期顺延或费用补偿</w:t>
      </w:r>
      <w:r>
        <w:rPr>
          <w:rFonts w:hint="eastAsia" w:hAnsi="宋体" w:cs="宋体"/>
          <w:color w:val="auto"/>
          <w:szCs w:val="21"/>
          <w:highlight w:val="none"/>
        </w:rPr>
        <w:t>。</w:t>
      </w:r>
    </w:p>
    <w:p w14:paraId="4BED8E36">
      <w:pPr>
        <w:keepNext/>
        <w:keepLines/>
        <w:spacing w:line="360" w:lineRule="auto"/>
        <w:outlineLvl w:val="2"/>
        <w:rPr>
          <w:rFonts w:eastAsia="黑体"/>
          <w:b/>
          <w:bCs/>
          <w:color w:val="auto"/>
          <w:sz w:val="32"/>
          <w:szCs w:val="32"/>
          <w:highlight w:val="none"/>
          <w:lang w:val="zh-CN"/>
        </w:rPr>
      </w:pPr>
      <w:bookmarkStart w:id="351" w:name="_Toc185869653"/>
      <w:r>
        <w:rPr>
          <w:rFonts w:eastAsia="黑体"/>
          <w:b/>
          <w:bCs/>
          <w:color w:val="auto"/>
          <w:sz w:val="32"/>
          <w:szCs w:val="32"/>
          <w:highlight w:val="none"/>
          <w:lang w:val="zh-CN"/>
        </w:rPr>
        <w:t xml:space="preserve">7.7 </w:t>
      </w:r>
      <w:r>
        <w:rPr>
          <w:rFonts w:hint="eastAsia" w:eastAsia="黑体" w:cs="黑体"/>
          <w:b/>
          <w:bCs/>
          <w:color w:val="auto"/>
          <w:sz w:val="32"/>
          <w:szCs w:val="32"/>
          <w:highlight w:val="none"/>
          <w:lang w:val="zh-CN"/>
        </w:rPr>
        <w:t>异常恶劣的气候条件</w:t>
      </w:r>
      <w:bookmarkEnd w:id="351"/>
    </w:p>
    <w:p w14:paraId="24A6A0AE">
      <w:pPr>
        <w:spacing w:line="420" w:lineRule="exact"/>
        <w:ind w:right="-328" w:firstLine="315" w:firstLineChars="150"/>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u w:val="single"/>
        </w:rPr>
        <w:t>5</w:t>
      </w:r>
      <w:r>
        <w:rPr>
          <w:rFonts w:hint="eastAsia" w:ascii="宋体" w:hAnsi="宋体"/>
          <w:b/>
          <w:bCs/>
          <w:color w:val="auto"/>
          <w:szCs w:val="21"/>
          <w:highlight w:val="none"/>
          <w:u w:val="single"/>
        </w:rPr>
        <w:t>级</w:t>
      </w:r>
      <w:r>
        <w:rPr>
          <w:rFonts w:hint="eastAsia" w:ascii="宋体" w:hAnsi="宋体"/>
          <w:color w:val="auto"/>
          <w:szCs w:val="21"/>
          <w:highlight w:val="none"/>
          <w:u w:val="single"/>
        </w:rPr>
        <w:t>以上的地震；</w:t>
      </w:r>
    </w:p>
    <w:p w14:paraId="23223228">
      <w:pPr>
        <w:spacing w:line="420" w:lineRule="exact"/>
        <w:ind w:right="-328" w:firstLine="1"/>
        <w:rPr>
          <w:rFonts w:ascii="宋体" w:hAnsi="宋体"/>
          <w:color w:val="auto"/>
          <w:szCs w:val="21"/>
          <w:highlight w:val="none"/>
          <w:u w:val="single"/>
        </w:rPr>
      </w:pPr>
      <w:r>
        <w:rPr>
          <w:rFonts w:hint="eastAsia" w:ascii="宋体" w:hAnsi="宋体"/>
          <w:color w:val="auto"/>
          <w:szCs w:val="21"/>
          <w:highlight w:val="none"/>
        </w:rPr>
        <w:t xml:space="preserve">   （2）</w:t>
      </w:r>
      <w:r>
        <w:rPr>
          <w:rFonts w:hint="eastAsia" w:ascii="宋体" w:hAnsi="宋体"/>
          <w:b/>
          <w:bCs/>
          <w:color w:val="auto"/>
          <w:szCs w:val="21"/>
          <w:highlight w:val="none"/>
          <w:u w:val="single"/>
        </w:rPr>
        <w:t>6</w:t>
      </w:r>
      <w:r>
        <w:rPr>
          <w:rFonts w:hint="eastAsia" w:ascii="宋体" w:hAnsi="宋体"/>
          <w:color w:val="auto"/>
          <w:szCs w:val="21"/>
          <w:highlight w:val="none"/>
          <w:u w:val="single"/>
        </w:rPr>
        <w:t>级以上的大风；</w:t>
      </w:r>
    </w:p>
    <w:p w14:paraId="597C3917">
      <w:pPr>
        <w:spacing w:line="420" w:lineRule="exact"/>
        <w:ind w:right="-328" w:firstLine="1"/>
        <w:rPr>
          <w:rFonts w:ascii="宋体" w:hAnsi="宋体"/>
          <w:color w:val="auto"/>
          <w:szCs w:val="21"/>
          <w:highlight w:val="none"/>
        </w:rPr>
      </w:pPr>
      <w:r>
        <w:rPr>
          <w:rFonts w:hint="eastAsia" w:ascii="宋体" w:hAnsi="宋体"/>
          <w:color w:val="auto"/>
          <w:szCs w:val="21"/>
          <w:highlight w:val="none"/>
        </w:rPr>
        <w:t xml:space="preserve">   （3）</w:t>
      </w:r>
      <w:r>
        <w:rPr>
          <w:rFonts w:hint="eastAsia" w:ascii="宋体" w:hAnsi="宋体"/>
          <w:color w:val="auto"/>
          <w:szCs w:val="21"/>
          <w:highlight w:val="none"/>
          <w:u w:val="single"/>
        </w:rPr>
        <w:t>60mm以上持续4小时及以上的大雨；</w:t>
      </w:r>
    </w:p>
    <w:p w14:paraId="6303DD24">
      <w:pPr>
        <w:spacing w:line="420" w:lineRule="exact"/>
        <w:ind w:right="-328" w:firstLine="1"/>
        <w:rPr>
          <w:rFonts w:ascii="宋体" w:hAnsi="宋体"/>
          <w:color w:val="auto"/>
          <w:szCs w:val="21"/>
          <w:highlight w:val="none"/>
          <w:u w:val="single"/>
        </w:rPr>
      </w:pPr>
      <w:r>
        <w:rPr>
          <w:rFonts w:hint="eastAsia" w:ascii="宋体" w:hAnsi="宋体"/>
          <w:color w:val="auto"/>
          <w:szCs w:val="21"/>
          <w:highlight w:val="none"/>
        </w:rPr>
        <w:t xml:space="preserve">   （4）</w:t>
      </w:r>
      <w:r>
        <w:rPr>
          <w:rFonts w:hint="eastAsia" w:ascii="宋体" w:hAnsi="宋体"/>
          <w:color w:val="auto"/>
          <w:szCs w:val="21"/>
          <w:highlight w:val="none"/>
          <w:u w:val="single"/>
        </w:rPr>
        <w:t>日最高温度40℃以上的高温天气；</w:t>
      </w:r>
    </w:p>
    <w:p w14:paraId="7EE6BA1F">
      <w:pPr>
        <w:spacing w:line="420" w:lineRule="exact"/>
        <w:ind w:right="-328" w:firstLine="1"/>
        <w:rPr>
          <w:rFonts w:ascii="宋体" w:hAnsi="宋体"/>
          <w:color w:val="auto"/>
          <w:szCs w:val="21"/>
          <w:highlight w:val="none"/>
          <w:u w:val="single"/>
        </w:rPr>
      </w:pPr>
      <w:r>
        <w:rPr>
          <w:rFonts w:hint="eastAsia" w:ascii="宋体" w:hAnsi="宋体"/>
          <w:color w:val="auto"/>
          <w:szCs w:val="21"/>
          <w:highlight w:val="none"/>
        </w:rPr>
        <w:t xml:space="preserve">   （5）</w:t>
      </w:r>
      <w:r>
        <w:rPr>
          <w:rFonts w:hint="eastAsia" w:ascii="宋体" w:hAnsi="宋体"/>
          <w:color w:val="auto"/>
          <w:szCs w:val="21"/>
          <w:highlight w:val="none"/>
          <w:u w:val="single"/>
        </w:rPr>
        <w:t>50年以上未发生过的严寒天气；</w:t>
      </w:r>
    </w:p>
    <w:p w14:paraId="061C95E5">
      <w:pPr>
        <w:spacing w:line="420" w:lineRule="exact"/>
        <w:ind w:firstLine="315" w:firstLineChars="150"/>
        <w:jc w:val="left"/>
        <w:rPr>
          <w:rFonts w:ascii="宋体" w:hAnsi="宋体"/>
          <w:color w:val="auto"/>
          <w:szCs w:val="21"/>
          <w:highlight w:val="none"/>
        </w:rPr>
      </w:pPr>
      <w:r>
        <w:rPr>
          <w:rFonts w:hint="eastAsia" w:ascii="宋体" w:hAnsi="宋体"/>
          <w:color w:val="auto"/>
          <w:szCs w:val="21"/>
          <w:highlight w:val="none"/>
        </w:rPr>
        <w:t>（6）</w:t>
      </w:r>
      <w:r>
        <w:rPr>
          <w:rFonts w:hint="eastAsia" w:ascii="宋体" w:hAnsi="宋体"/>
          <w:b/>
          <w:bCs/>
          <w:color w:val="auto"/>
          <w:szCs w:val="21"/>
          <w:highlight w:val="none"/>
          <w:u w:val="single"/>
        </w:rPr>
        <w:t>50年</w:t>
      </w:r>
      <w:r>
        <w:rPr>
          <w:rFonts w:hint="eastAsia" w:ascii="宋体" w:hAnsi="宋体"/>
          <w:color w:val="auto"/>
          <w:szCs w:val="21"/>
          <w:highlight w:val="none"/>
          <w:u w:val="single"/>
        </w:rPr>
        <w:t>以上未发生过的洪水。</w:t>
      </w:r>
    </w:p>
    <w:p w14:paraId="1288941D">
      <w:pPr>
        <w:spacing w:line="360" w:lineRule="auto"/>
        <w:jc w:val="left"/>
        <w:rPr>
          <w:color w:val="auto"/>
          <w:szCs w:val="21"/>
          <w:highlight w:val="none"/>
        </w:rPr>
      </w:pPr>
    </w:p>
    <w:p w14:paraId="70F07B1B">
      <w:pPr>
        <w:keepNext/>
        <w:keepLines/>
        <w:spacing w:line="360" w:lineRule="auto"/>
        <w:outlineLvl w:val="2"/>
        <w:rPr>
          <w:rFonts w:eastAsia="黑体"/>
          <w:b/>
          <w:bCs/>
          <w:color w:val="auto"/>
          <w:sz w:val="32"/>
          <w:szCs w:val="32"/>
          <w:highlight w:val="none"/>
        </w:rPr>
      </w:pPr>
      <w:bookmarkStart w:id="352" w:name="_Toc185869654"/>
      <w:r>
        <w:rPr>
          <w:rFonts w:eastAsia="黑体"/>
          <w:b/>
          <w:bCs/>
          <w:color w:val="auto"/>
          <w:sz w:val="32"/>
          <w:szCs w:val="32"/>
          <w:highlight w:val="none"/>
        </w:rPr>
        <w:t xml:space="preserve">7.9 </w:t>
      </w:r>
      <w:r>
        <w:rPr>
          <w:rFonts w:hint="eastAsia" w:hAnsi="宋体" w:eastAsia="黑体" w:cs="黑体"/>
          <w:b/>
          <w:bCs/>
          <w:color w:val="auto"/>
          <w:sz w:val="32"/>
          <w:szCs w:val="32"/>
          <w:highlight w:val="none"/>
          <w:lang w:val="zh-CN"/>
        </w:rPr>
        <w:t>提前竣工</w:t>
      </w:r>
      <w:bookmarkEnd w:id="352"/>
    </w:p>
    <w:p w14:paraId="5B2DF4E0">
      <w:pPr>
        <w:spacing w:line="360" w:lineRule="auto"/>
        <w:ind w:firstLine="420" w:firstLineChars="200"/>
        <w:jc w:val="left"/>
        <w:rPr>
          <w:rFonts w:hAnsi="宋体"/>
          <w:color w:val="auto"/>
          <w:szCs w:val="21"/>
          <w:highlight w:val="none"/>
        </w:rPr>
      </w:pPr>
      <w:r>
        <w:rPr>
          <w:color w:val="auto"/>
          <w:szCs w:val="21"/>
          <w:highlight w:val="none"/>
        </w:rPr>
        <w:t>7.9.2</w:t>
      </w:r>
      <w:r>
        <w:rPr>
          <w:rFonts w:hint="eastAsia" w:hAnsi="宋体" w:cs="宋体"/>
          <w:color w:val="auto"/>
          <w:szCs w:val="21"/>
          <w:highlight w:val="none"/>
        </w:rPr>
        <w:t>提前竣工（赶工）增加费的计算方法：</w:t>
      </w:r>
      <w:r>
        <w:rPr>
          <w:rFonts w:hint="eastAsia"/>
          <w:color w:val="auto"/>
          <w:szCs w:val="21"/>
          <w:highlight w:val="none"/>
          <w:u w:val="single"/>
        </w:rPr>
        <w:t>无</w:t>
      </w:r>
      <w:r>
        <w:rPr>
          <w:rFonts w:hint="eastAsia" w:hAnsi="宋体" w:cs="宋体"/>
          <w:color w:val="auto"/>
          <w:szCs w:val="21"/>
          <w:highlight w:val="none"/>
        </w:rPr>
        <w:t>。</w:t>
      </w:r>
    </w:p>
    <w:p w14:paraId="40289F47">
      <w:pPr>
        <w:keepNext/>
        <w:keepLines/>
        <w:spacing w:before="60" w:after="60" w:line="413" w:lineRule="auto"/>
        <w:outlineLvl w:val="1"/>
        <w:rPr>
          <w:rFonts w:ascii="Arial" w:hAnsi="Arial" w:eastAsia="黑体"/>
          <w:b/>
          <w:bCs/>
          <w:color w:val="auto"/>
          <w:sz w:val="32"/>
          <w:szCs w:val="32"/>
          <w:highlight w:val="none"/>
          <w:lang w:val="zh-CN"/>
        </w:rPr>
      </w:pPr>
      <w:bookmarkStart w:id="353" w:name="_Toc185869655"/>
      <w:r>
        <w:rPr>
          <w:rFonts w:ascii="Arial" w:hAnsi="Arial" w:eastAsia="黑体"/>
          <w:b/>
          <w:bCs/>
          <w:color w:val="auto"/>
          <w:sz w:val="32"/>
          <w:szCs w:val="32"/>
          <w:highlight w:val="none"/>
          <w:lang w:val="zh-CN"/>
        </w:rPr>
        <w:t xml:space="preserve">8. </w:t>
      </w:r>
      <w:r>
        <w:rPr>
          <w:rFonts w:hint="eastAsia" w:ascii="Arial" w:hAnsi="Arial" w:eastAsia="黑体" w:cs="黑体"/>
          <w:b/>
          <w:bCs/>
          <w:color w:val="auto"/>
          <w:sz w:val="32"/>
          <w:szCs w:val="32"/>
          <w:highlight w:val="none"/>
          <w:lang w:val="zh-CN"/>
        </w:rPr>
        <w:t>材料与设备</w:t>
      </w:r>
      <w:bookmarkEnd w:id="353"/>
    </w:p>
    <w:p w14:paraId="3533C4F1">
      <w:pPr>
        <w:keepNext/>
        <w:keepLines/>
        <w:spacing w:line="360" w:lineRule="auto"/>
        <w:outlineLvl w:val="2"/>
        <w:rPr>
          <w:rFonts w:eastAsia="黑体"/>
          <w:b/>
          <w:bCs/>
          <w:color w:val="auto"/>
          <w:sz w:val="32"/>
          <w:szCs w:val="32"/>
          <w:highlight w:val="none"/>
          <w:lang w:val="zh-CN"/>
        </w:rPr>
      </w:pPr>
      <w:bookmarkStart w:id="354" w:name="_Toc185869656"/>
      <w:r>
        <w:rPr>
          <w:rFonts w:eastAsia="黑体"/>
          <w:b/>
          <w:bCs/>
          <w:color w:val="auto"/>
          <w:sz w:val="32"/>
          <w:szCs w:val="32"/>
          <w:highlight w:val="none"/>
          <w:lang w:val="zh-CN"/>
        </w:rPr>
        <w:t xml:space="preserve">8.2 </w:t>
      </w:r>
      <w:r>
        <w:rPr>
          <w:rFonts w:hint="eastAsia" w:eastAsia="黑体" w:cs="黑体"/>
          <w:b/>
          <w:bCs/>
          <w:color w:val="auto"/>
          <w:sz w:val="32"/>
          <w:szCs w:val="32"/>
          <w:highlight w:val="none"/>
          <w:lang w:val="zh-CN"/>
        </w:rPr>
        <w:t>承包人采购材料与工程设备</w:t>
      </w:r>
      <w:bookmarkEnd w:id="354"/>
    </w:p>
    <w:p w14:paraId="413D8A07">
      <w:pPr>
        <w:autoSpaceDE w:val="0"/>
        <w:autoSpaceDN w:val="0"/>
        <w:adjustRightInd w:val="0"/>
        <w:spacing w:line="360" w:lineRule="auto"/>
        <w:ind w:firstLine="420" w:firstLineChars="200"/>
        <w:jc w:val="left"/>
        <w:rPr>
          <w:rFonts w:cs="宋体"/>
          <w:color w:val="auto"/>
          <w:szCs w:val="21"/>
          <w:highlight w:val="none"/>
        </w:rPr>
      </w:pPr>
      <w:r>
        <w:rPr>
          <w:rFonts w:hint="eastAsia" w:cs="宋体"/>
          <w:color w:val="auto"/>
          <w:kern w:val="0"/>
          <w:szCs w:val="21"/>
          <w:highlight w:val="none"/>
        </w:rPr>
        <w:t>除已标价工程量清单《发包人提供主要材料和工程设备一览表》（表</w:t>
      </w:r>
      <w:r>
        <w:rPr>
          <w:color w:val="auto"/>
          <w:kern w:val="0"/>
          <w:szCs w:val="21"/>
          <w:highlight w:val="none"/>
        </w:rPr>
        <w:t>-21</w:t>
      </w:r>
      <w:r>
        <w:rPr>
          <w:rFonts w:hint="eastAsia" w:cs="宋体"/>
          <w:color w:val="auto"/>
          <w:kern w:val="0"/>
          <w:szCs w:val="21"/>
          <w:highlight w:val="none"/>
        </w:rPr>
        <w:t>）中明确的材料、工程设备外，由承包人负责材料和工程设备的采购、运输和保管。</w:t>
      </w:r>
    </w:p>
    <w:p w14:paraId="40A661D9">
      <w:pPr>
        <w:autoSpaceDE w:val="0"/>
        <w:autoSpaceDN w:val="0"/>
        <w:adjustRightInd w:val="0"/>
        <w:spacing w:line="360" w:lineRule="auto"/>
        <w:ind w:firstLine="420" w:firstLineChars="200"/>
        <w:jc w:val="left"/>
        <w:rPr>
          <w:rFonts w:cs="宋体"/>
          <w:color w:val="auto"/>
          <w:kern w:val="0"/>
          <w:szCs w:val="21"/>
          <w:highlight w:val="none"/>
        </w:rPr>
      </w:pPr>
      <w:r>
        <w:rPr>
          <w:rFonts w:hint="eastAsia" w:cs="宋体"/>
          <w:color w:val="auto"/>
          <w:szCs w:val="21"/>
          <w:highlight w:val="none"/>
        </w:rPr>
        <w:t>对发包人在采购时有“参照或相当于</w:t>
      </w:r>
      <w:r>
        <w:rPr>
          <w:color w:val="auto"/>
          <w:szCs w:val="21"/>
          <w:highlight w:val="none"/>
        </w:rPr>
        <w:t>**</w:t>
      </w:r>
      <w:r>
        <w:rPr>
          <w:rFonts w:hint="eastAsia" w:cs="宋体"/>
          <w:color w:val="auto"/>
          <w:szCs w:val="21"/>
          <w:highlight w:val="none"/>
        </w:rPr>
        <w:t>品牌、级别”约定的材料或设备，承包人采购时必须按类似于或优于所约定品牌、等级进行采购，施工期间该部分材料或设备如未超过采购约定的风险幅度的</w:t>
      </w:r>
      <w:r>
        <w:rPr>
          <w:rFonts w:hint="eastAsia"/>
          <w:color w:val="auto"/>
          <w:szCs w:val="21"/>
          <w:highlight w:val="none"/>
        </w:rPr>
        <w:t>或</w:t>
      </w:r>
      <w:r>
        <w:rPr>
          <w:rFonts w:hint="eastAsia" w:ascii="宋体" w:hAnsi="宋体"/>
          <w:b/>
          <w:bCs/>
          <w:color w:val="auto"/>
          <w:szCs w:val="21"/>
          <w:highlight w:val="none"/>
        </w:rPr>
        <w:t>当发包人与承包人对采购文件所约定的材料有争议时，发包人有权要求承包人按采购文件有“参照或相当于”标明材料品牌的材料进行采购，</w:t>
      </w:r>
      <w:r>
        <w:rPr>
          <w:rFonts w:hint="eastAsia" w:cs="宋体"/>
          <w:color w:val="auto"/>
          <w:kern w:val="0"/>
          <w:szCs w:val="21"/>
          <w:highlight w:val="none"/>
        </w:rPr>
        <w:t>结算时按响应单价支付，不得调整。</w:t>
      </w:r>
    </w:p>
    <w:p w14:paraId="422CBCCE">
      <w:pPr>
        <w:autoSpaceDE w:val="0"/>
        <w:autoSpaceDN w:val="0"/>
        <w:adjustRightInd w:val="0"/>
        <w:spacing w:line="360" w:lineRule="auto"/>
        <w:ind w:firstLine="420" w:firstLineChars="200"/>
        <w:jc w:val="left"/>
        <w:rPr>
          <w:rFonts w:cs="宋体"/>
          <w:color w:val="auto"/>
          <w:kern w:val="0"/>
          <w:szCs w:val="21"/>
          <w:highlight w:val="none"/>
        </w:rPr>
      </w:pPr>
      <w:r>
        <w:rPr>
          <w:rFonts w:hint="eastAsia" w:cs="宋体"/>
          <w:color w:val="auto"/>
          <w:kern w:val="0"/>
          <w:szCs w:val="21"/>
          <w:highlight w:val="none"/>
        </w:rPr>
        <w:t>对发包人在采购时，没有明确约定参照或相当于**品牌、档次的材料和设备，或双方对材料和设备选择有争议的，发包人有权要求承包人按不低于控制价相同细目的材料或设备价格进行采购，结算时按响应单价支付，不得调整。</w:t>
      </w:r>
    </w:p>
    <w:p w14:paraId="1BB8F886">
      <w:pPr>
        <w:autoSpaceDE w:val="0"/>
        <w:autoSpaceDN w:val="0"/>
        <w:adjustRightInd w:val="0"/>
        <w:spacing w:line="360" w:lineRule="auto"/>
        <w:ind w:firstLine="420" w:firstLineChars="200"/>
        <w:jc w:val="left"/>
        <w:rPr>
          <w:rFonts w:cs="宋体"/>
          <w:color w:val="auto"/>
          <w:kern w:val="0"/>
          <w:szCs w:val="21"/>
          <w:highlight w:val="none"/>
        </w:rPr>
      </w:pPr>
      <w:r>
        <w:rPr>
          <w:rFonts w:hint="eastAsia" w:cs="宋体"/>
          <w:color w:val="auto"/>
          <w:kern w:val="0"/>
          <w:szCs w:val="21"/>
          <w:highlight w:val="none"/>
        </w:rPr>
        <w:t>禁止使用松木、松木包装材料设备、种子、苗木、花卉及繁殖材料。</w:t>
      </w:r>
    </w:p>
    <w:p w14:paraId="734C9471">
      <w:pPr>
        <w:widowControl/>
        <w:shd w:val="clear" w:color="auto" w:fill="FFFFFF"/>
        <w:spacing w:line="360" w:lineRule="auto"/>
        <w:ind w:firstLine="420"/>
        <w:jc w:val="left"/>
        <w:rPr>
          <w:rFonts w:ascii="宋体" w:hAnsi="宋体"/>
          <w:b/>
          <w:bCs/>
          <w:color w:val="auto"/>
          <w:kern w:val="44"/>
          <w:szCs w:val="21"/>
          <w:highlight w:val="none"/>
          <w:shd w:val="clear" w:color="auto" w:fill="FFFFFF"/>
        </w:rPr>
      </w:pPr>
      <w:r>
        <w:rPr>
          <w:rFonts w:hint="eastAsia" w:ascii="宋体" w:hAnsi="宋体"/>
          <w:b/>
          <w:bCs/>
          <w:color w:val="auto"/>
          <w:kern w:val="44"/>
          <w:szCs w:val="21"/>
          <w:highlight w:val="none"/>
          <w:shd w:val="clear" w:color="auto" w:fill="FFFFFF"/>
        </w:rPr>
        <w:t>8.2.1 由承包人采购、供应的材料，承包人需提前三天向监理人及发包人报验并提供详细进货清单，进货清单应含有所进货物的品牌、规格、型号、数量及质量等级等内容，待监理人及发包人回复同意后方可进货，若承包人材料进场前未报验、进场材料与报验材料不符及进场材料为假冒伪劣材料的，每发生一例，承包人应向发包人支付违约金30000元。该款项直接从工程进度款或履约保证金中扣除，无需经承包人同意，承包人还应无条件负责将材料退场，并承担由此产生的一切费用及责任，由此延误的工期不予顺延。</w:t>
      </w:r>
    </w:p>
    <w:p w14:paraId="77F7342F">
      <w:pPr>
        <w:widowControl/>
        <w:shd w:val="clear" w:color="auto" w:fill="FFFFFF"/>
        <w:spacing w:line="360" w:lineRule="auto"/>
        <w:ind w:firstLine="420"/>
        <w:jc w:val="left"/>
        <w:rPr>
          <w:rFonts w:ascii="宋体" w:hAnsi="宋体"/>
          <w:b/>
          <w:bCs/>
          <w:color w:val="auto"/>
          <w:szCs w:val="21"/>
          <w:highlight w:val="none"/>
        </w:rPr>
      </w:pPr>
      <w:r>
        <w:rPr>
          <w:rFonts w:hint="eastAsia" w:ascii="宋体" w:hAnsi="宋体"/>
          <w:b/>
          <w:bCs/>
          <w:color w:val="auto"/>
          <w:kern w:val="44"/>
          <w:szCs w:val="21"/>
          <w:highlight w:val="none"/>
          <w:shd w:val="clear" w:color="auto" w:fill="FFFFFF"/>
        </w:rPr>
        <w:t>8.2.2 承包人采购材料进场同时，需提供与报验相同的产品合格证及相关检测报告，若不能提供的，该批材料按不合格产品清退出场，并按8.2.1条处理。</w:t>
      </w:r>
    </w:p>
    <w:p w14:paraId="4DB4F065">
      <w:pPr>
        <w:autoSpaceDE w:val="0"/>
        <w:autoSpaceDN w:val="0"/>
        <w:adjustRightInd w:val="0"/>
        <w:spacing w:line="360" w:lineRule="auto"/>
        <w:ind w:firstLine="420" w:firstLineChars="200"/>
        <w:jc w:val="left"/>
        <w:rPr>
          <w:color w:val="auto"/>
          <w:szCs w:val="21"/>
          <w:highlight w:val="none"/>
        </w:rPr>
      </w:pPr>
    </w:p>
    <w:p w14:paraId="5221A0E4">
      <w:pPr>
        <w:keepNext/>
        <w:keepLines/>
        <w:spacing w:line="360" w:lineRule="auto"/>
        <w:outlineLvl w:val="2"/>
        <w:rPr>
          <w:rFonts w:eastAsia="黑体"/>
          <w:b/>
          <w:bCs/>
          <w:color w:val="auto"/>
          <w:sz w:val="32"/>
          <w:szCs w:val="32"/>
          <w:highlight w:val="none"/>
          <w:lang w:val="zh-CN"/>
        </w:rPr>
      </w:pPr>
      <w:bookmarkStart w:id="355" w:name="_Toc185869657"/>
      <w:r>
        <w:rPr>
          <w:rFonts w:eastAsia="黑体"/>
          <w:b/>
          <w:bCs/>
          <w:color w:val="auto"/>
          <w:sz w:val="32"/>
          <w:szCs w:val="32"/>
          <w:highlight w:val="none"/>
          <w:lang w:val="zh-CN"/>
        </w:rPr>
        <w:t xml:space="preserve">8.4 </w:t>
      </w:r>
      <w:r>
        <w:rPr>
          <w:rFonts w:hint="eastAsia" w:eastAsia="黑体" w:cs="黑体"/>
          <w:b/>
          <w:bCs/>
          <w:color w:val="auto"/>
          <w:sz w:val="32"/>
          <w:szCs w:val="32"/>
          <w:highlight w:val="none"/>
          <w:lang w:val="zh-CN"/>
        </w:rPr>
        <w:t>材料与工程设备的保管与使用</w:t>
      </w:r>
      <w:bookmarkEnd w:id="355"/>
    </w:p>
    <w:p w14:paraId="7BE8EA68">
      <w:pPr>
        <w:spacing w:line="360" w:lineRule="auto"/>
        <w:ind w:firstLine="420" w:firstLineChars="200"/>
        <w:jc w:val="left"/>
        <w:rPr>
          <w:color w:val="auto"/>
          <w:szCs w:val="21"/>
          <w:highlight w:val="none"/>
          <w:u w:val="single"/>
        </w:rPr>
      </w:pPr>
      <w:r>
        <w:rPr>
          <w:color w:val="auto"/>
          <w:szCs w:val="21"/>
          <w:highlight w:val="none"/>
        </w:rPr>
        <w:t>8.4.1</w:t>
      </w:r>
      <w:r>
        <w:rPr>
          <w:rFonts w:hint="eastAsia" w:hAnsi="宋体" w:cs="宋体"/>
          <w:color w:val="auto"/>
          <w:szCs w:val="21"/>
          <w:highlight w:val="none"/>
        </w:rPr>
        <w:t>发包人供应的材料设备的保管费用的承担：</w:t>
      </w:r>
      <w:r>
        <w:rPr>
          <w:rFonts w:hint="eastAsia"/>
          <w:color w:val="auto"/>
          <w:szCs w:val="21"/>
          <w:highlight w:val="none"/>
          <w:u w:val="single"/>
        </w:rPr>
        <w:t>由发包人供应给承包人施工使用的材料、设备，保管费由承包人承担</w:t>
      </w:r>
      <w:r>
        <w:rPr>
          <w:rFonts w:hint="eastAsia" w:hAnsi="宋体" w:cs="宋体"/>
          <w:color w:val="auto"/>
          <w:szCs w:val="21"/>
          <w:highlight w:val="none"/>
        </w:rPr>
        <w:t>。</w:t>
      </w:r>
    </w:p>
    <w:p w14:paraId="50894668">
      <w:pPr>
        <w:keepNext/>
        <w:keepLines/>
        <w:spacing w:line="360" w:lineRule="auto"/>
        <w:outlineLvl w:val="2"/>
        <w:rPr>
          <w:rFonts w:eastAsia="黑体"/>
          <w:b/>
          <w:bCs/>
          <w:color w:val="auto"/>
          <w:sz w:val="32"/>
          <w:szCs w:val="32"/>
          <w:highlight w:val="none"/>
          <w:lang w:val="zh-CN"/>
        </w:rPr>
      </w:pPr>
      <w:bookmarkStart w:id="356" w:name="_Toc185869658"/>
      <w:r>
        <w:rPr>
          <w:rFonts w:eastAsia="黑体"/>
          <w:b/>
          <w:bCs/>
          <w:color w:val="auto"/>
          <w:sz w:val="32"/>
          <w:szCs w:val="32"/>
          <w:highlight w:val="none"/>
          <w:lang w:val="zh-CN"/>
        </w:rPr>
        <w:t xml:space="preserve">8.6 </w:t>
      </w:r>
      <w:r>
        <w:rPr>
          <w:rFonts w:hint="eastAsia" w:hAnsi="宋体" w:eastAsia="黑体" w:cs="黑体"/>
          <w:b/>
          <w:bCs/>
          <w:color w:val="auto"/>
          <w:sz w:val="32"/>
          <w:szCs w:val="32"/>
          <w:highlight w:val="none"/>
          <w:lang w:val="zh-CN"/>
        </w:rPr>
        <w:t>样品</w:t>
      </w:r>
      <w:bookmarkEnd w:id="356"/>
    </w:p>
    <w:p w14:paraId="1493AE60">
      <w:pPr>
        <w:autoSpaceDE w:val="0"/>
        <w:autoSpaceDN w:val="0"/>
        <w:adjustRightInd w:val="0"/>
        <w:spacing w:line="360" w:lineRule="auto"/>
        <w:ind w:firstLine="420" w:firstLineChars="200"/>
        <w:jc w:val="left"/>
        <w:rPr>
          <w:color w:val="auto"/>
          <w:kern w:val="0"/>
          <w:szCs w:val="21"/>
          <w:highlight w:val="none"/>
        </w:rPr>
      </w:pPr>
      <w:r>
        <w:rPr>
          <w:color w:val="auto"/>
          <w:kern w:val="0"/>
          <w:szCs w:val="21"/>
          <w:highlight w:val="none"/>
        </w:rPr>
        <w:t xml:space="preserve">8.6.1 </w:t>
      </w:r>
      <w:r>
        <w:rPr>
          <w:rFonts w:hint="eastAsia" w:hAnsi="宋体" w:cs="宋体"/>
          <w:color w:val="auto"/>
          <w:kern w:val="0"/>
          <w:szCs w:val="21"/>
          <w:highlight w:val="none"/>
        </w:rPr>
        <w:t>样品的报送与封存</w:t>
      </w:r>
    </w:p>
    <w:p w14:paraId="53567B8F">
      <w:pPr>
        <w:widowControl/>
        <w:shd w:val="clear" w:color="auto" w:fill="FFFFFF"/>
        <w:spacing w:line="360" w:lineRule="auto"/>
        <w:ind w:firstLine="420"/>
        <w:jc w:val="left"/>
        <w:rPr>
          <w:rFonts w:ascii="宋体" w:hAnsi="宋体"/>
          <w:color w:val="auto"/>
          <w:kern w:val="44"/>
          <w:szCs w:val="21"/>
          <w:highlight w:val="none"/>
          <w:shd w:val="clear" w:color="auto" w:fill="FFFFFF"/>
        </w:rPr>
      </w:pPr>
      <w:r>
        <w:rPr>
          <w:rFonts w:hint="eastAsia" w:ascii="宋体" w:hAnsi="宋体"/>
          <w:b/>
          <w:bCs/>
          <w:color w:val="auto"/>
          <w:kern w:val="44"/>
          <w:szCs w:val="21"/>
          <w:highlight w:val="none"/>
          <w:shd w:val="clear" w:color="auto" w:fill="FFFFFF"/>
        </w:rPr>
        <w:t>需要承包人报送样品的材料或工程设备，样品的种类、名称、规格、数量要求：</w:t>
      </w:r>
      <w:r>
        <w:rPr>
          <w:rFonts w:hint="eastAsia" w:ascii="宋体" w:hAnsi="宋体"/>
          <w:color w:val="auto"/>
          <w:kern w:val="44"/>
          <w:szCs w:val="21"/>
          <w:highlight w:val="none"/>
          <w:shd w:val="clear" w:color="auto" w:fill="FFFFFF"/>
        </w:rPr>
        <w:t>主要材料涉及品种、款式、颜色等方面内容的，承包人应提交拟选用合格的材料样品送发包人选定。选定的样品应封存于现场，承包人应在现场为保存样品提供适当和固定的场所并保持适当和良好的储存环境条件，特别是主要装饰、安装工程材料样品至少封存到竣工结算审定完成后（根据工程设计实施情况，包括但不限于地面、天面、内外墙面装饰材料，防水材料，门窗，电线电缆，桥架，给排水管等材料）。</w:t>
      </w:r>
    </w:p>
    <w:p w14:paraId="0C025058">
      <w:pPr>
        <w:keepNext/>
        <w:keepLines/>
        <w:spacing w:line="360" w:lineRule="auto"/>
        <w:outlineLvl w:val="2"/>
        <w:rPr>
          <w:rFonts w:eastAsia="黑体"/>
          <w:b/>
          <w:bCs/>
          <w:color w:val="auto"/>
          <w:sz w:val="32"/>
          <w:szCs w:val="32"/>
          <w:highlight w:val="none"/>
          <w:lang w:val="zh-CN"/>
        </w:rPr>
      </w:pPr>
      <w:bookmarkStart w:id="357" w:name="_Toc185869659"/>
      <w:r>
        <w:rPr>
          <w:rFonts w:eastAsia="黑体"/>
          <w:b/>
          <w:bCs/>
          <w:color w:val="auto"/>
          <w:sz w:val="32"/>
          <w:szCs w:val="32"/>
          <w:highlight w:val="none"/>
          <w:lang w:val="zh-CN"/>
        </w:rPr>
        <w:t xml:space="preserve">8.8 </w:t>
      </w:r>
      <w:r>
        <w:rPr>
          <w:rFonts w:hint="eastAsia" w:eastAsia="黑体" w:cs="黑体"/>
          <w:b/>
          <w:bCs/>
          <w:color w:val="auto"/>
          <w:sz w:val="32"/>
          <w:szCs w:val="32"/>
          <w:highlight w:val="none"/>
          <w:lang w:val="zh-CN"/>
        </w:rPr>
        <w:t>施工设备和临时设施</w:t>
      </w:r>
      <w:bookmarkEnd w:id="357"/>
    </w:p>
    <w:p w14:paraId="11244BD2">
      <w:pPr>
        <w:autoSpaceDE w:val="0"/>
        <w:autoSpaceDN w:val="0"/>
        <w:adjustRightInd w:val="0"/>
        <w:spacing w:line="360" w:lineRule="auto"/>
        <w:ind w:firstLine="420" w:firstLineChars="200"/>
        <w:jc w:val="left"/>
        <w:rPr>
          <w:color w:val="auto"/>
          <w:szCs w:val="21"/>
          <w:highlight w:val="none"/>
        </w:rPr>
      </w:pPr>
      <w:r>
        <w:rPr>
          <w:color w:val="auto"/>
          <w:szCs w:val="21"/>
          <w:highlight w:val="none"/>
        </w:rPr>
        <w:t xml:space="preserve">8.8.1 </w:t>
      </w:r>
      <w:r>
        <w:rPr>
          <w:rFonts w:hint="eastAsia" w:hAnsi="宋体" w:cs="宋体"/>
          <w:color w:val="auto"/>
          <w:szCs w:val="21"/>
          <w:highlight w:val="none"/>
        </w:rPr>
        <w:t>承包人提供的施工设备和临时设施</w:t>
      </w:r>
    </w:p>
    <w:p w14:paraId="56107DD5">
      <w:pPr>
        <w:autoSpaceDE w:val="0"/>
        <w:autoSpaceDN w:val="0"/>
        <w:adjustRightInd w:val="0"/>
        <w:spacing w:line="360" w:lineRule="auto"/>
        <w:ind w:firstLine="420" w:firstLineChars="200"/>
        <w:jc w:val="left"/>
        <w:rPr>
          <w:color w:val="auto"/>
          <w:szCs w:val="21"/>
          <w:highlight w:val="none"/>
        </w:rPr>
      </w:pPr>
      <w:r>
        <w:rPr>
          <w:rFonts w:hint="eastAsia" w:hAnsi="宋体" w:cs="宋体"/>
          <w:color w:val="auto"/>
          <w:szCs w:val="21"/>
          <w:highlight w:val="none"/>
        </w:rPr>
        <w:t>除专用合同条款另有约定的其他独立承包人和监理人指示的他人提供条件外，承包人运入施工场地的所有施工设备以及在施工场地建设的临时设施仅限于用于合同工程。</w:t>
      </w:r>
      <w:r>
        <w:rPr>
          <w:rFonts w:hint="eastAsia" w:ascii="宋体" w:hAnsi="宋体"/>
          <w:b/>
          <w:bCs/>
          <w:color w:val="auto"/>
          <w:highlight w:val="none"/>
          <w:u w:val="single"/>
        </w:rPr>
        <w:t>免费提供给发包人、监理工程师和其他合同段的承包人使用。</w:t>
      </w:r>
      <w:r>
        <w:rPr>
          <w:rFonts w:hint="eastAsia" w:ascii="宋体" w:hAnsi="宋体" w:cs="宋体"/>
          <w:color w:val="auto"/>
          <w:szCs w:val="21"/>
          <w:highlight w:val="none"/>
        </w:rPr>
        <w:t>承包人用于本工程的主要机械设备清单见合同附件4。</w:t>
      </w:r>
    </w:p>
    <w:p w14:paraId="470EA457">
      <w:pPr>
        <w:autoSpaceDE w:val="0"/>
        <w:autoSpaceDN w:val="0"/>
        <w:adjustRightInd w:val="0"/>
        <w:spacing w:line="360" w:lineRule="auto"/>
        <w:ind w:firstLine="420" w:firstLineChars="200"/>
        <w:jc w:val="left"/>
        <w:rPr>
          <w:color w:val="auto"/>
          <w:szCs w:val="21"/>
          <w:highlight w:val="none"/>
        </w:rPr>
      </w:pPr>
      <w:r>
        <w:rPr>
          <w:rFonts w:hint="eastAsia" w:hAnsi="宋体" w:cs="宋体"/>
          <w:color w:val="auto"/>
          <w:szCs w:val="21"/>
          <w:highlight w:val="none"/>
        </w:rPr>
        <w:t>关于修建临时设施费用承担的约定：</w:t>
      </w:r>
    </w:p>
    <w:p w14:paraId="6DBEC4CD">
      <w:pPr>
        <w:numPr>
          <w:ilvl w:val="0"/>
          <w:numId w:val="4"/>
        </w:numPr>
        <w:autoSpaceDE w:val="0"/>
        <w:autoSpaceDN w:val="0"/>
        <w:adjustRightInd w:val="0"/>
        <w:spacing w:line="360" w:lineRule="auto"/>
        <w:ind w:firstLine="420" w:firstLineChars="200"/>
        <w:jc w:val="left"/>
        <w:rPr>
          <w:rFonts w:hAnsi="宋体"/>
          <w:color w:val="auto"/>
          <w:szCs w:val="21"/>
          <w:highlight w:val="none"/>
          <w:u w:val="single"/>
        </w:rPr>
      </w:pPr>
      <w:r>
        <w:rPr>
          <w:rFonts w:hint="eastAsia" w:hAnsi="宋体"/>
          <w:color w:val="auto"/>
          <w:szCs w:val="21"/>
          <w:highlight w:val="none"/>
          <w:u w:val="single"/>
        </w:rPr>
        <w:t>除专用合同条款另有约定外，</w:t>
      </w:r>
      <w:r>
        <w:rPr>
          <w:rFonts w:hint="eastAsia" w:ascii="宋体" w:hAnsi="宋体" w:cs="宋体"/>
          <w:color w:val="auto"/>
          <w:szCs w:val="21"/>
          <w:highlight w:val="none"/>
          <w:u w:val="single"/>
        </w:rPr>
        <w:t>承包人的临时用地（含项目部驻地等）租用费（含拆迁补偿）、临时用地的环保、恢复、临时用地的青苗补偿及地面附着物拆除等费用均由承包人负责</w:t>
      </w:r>
      <w:r>
        <w:rPr>
          <w:rFonts w:hint="eastAsia" w:hAnsi="宋体"/>
          <w:color w:val="auto"/>
          <w:szCs w:val="21"/>
          <w:highlight w:val="none"/>
          <w:u w:val="single"/>
        </w:rPr>
        <w:t>，费用在磋商报价中综合考虑。</w:t>
      </w:r>
    </w:p>
    <w:p w14:paraId="6EF79CB8">
      <w:pPr>
        <w:autoSpaceDE w:val="0"/>
        <w:autoSpaceDN w:val="0"/>
        <w:adjustRightInd w:val="0"/>
        <w:spacing w:line="360" w:lineRule="auto"/>
        <w:ind w:firstLine="420" w:firstLineChars="200"/>
        <w:jc w:val="left"/>
        <w:rPr>
          <w:rFonts w:hAnsi="宋体"/>
          <w:color w:val="auto"/>
          <w:szCs w:val="21"/>
          <w:highlight w:val="none"/>
          <w:u w:val="single"/>
        </w:rPr>
      </w:pPr>
      <w:r>
        <w:rPr>
          <w:rFonts w:hint="eastAsia" w:hAnsi="宋体"/>
          <w:color w:val="auto"/>
          <w:szCs w:val="21"/>
          <w:highlight w:val="none"/>
          <w:u w:val="single"/>
        </w:rPr>
        <w:t>（2）承包人负责合同实施期间其合同段内临时交通道路（含场内外连接公共交通道路）和交通设施的修建、维修、养护和交通管理工作，并承担一切费用。</w:t>
      </w:r>
    </w:p>
    <w:p w14:paraId="063DCFBD">
      <w:pPr>
        <w:autoSpaceDE w:val="0"/>
        <w:autoSpaceDN w:val="0"/>
        <w:adjustRightInd w:val="0"/>
        <w:spacing w:line="360" w:lineRule="auto"/>
        <w:jc w:val="left"/>
        <w:rPr>
          <w:rFonts w:hAnsi="宋体"/>
          <w:color w:val="auto"/>
          <w:szCs w:val="21"/>
          <w:highlight w:val="none"/>
          <w:u w:val="single"/>
        </w:rPr>
      </w:pPr>
      <w:r>
        <w:rPr>
          <w:rFonts w:hint="eastAsia" w:hAnsi="宋体"/>
          <w:color w:val="auto"/>
          <w:szCs w:val="21"/>
          <w:highlight w:val="none"/>
          <w:u w:val="single"/>
        </w:rPr>
        <w:t>（3）承包人修建的临时道路和交通设施，应免费提供给发包人、监理人和其他合同段的承包人使用，如共同使用的路基损坏严重，发包人或监理人将负责通知有关承包人共同出资修复，若使用频率相差悬殊，则按比例分摊</w:t>
      </w:r>
      <w:r>
        <w:rPr>
          <w:rFonts w:hint="eastAsia" w:hAnsi="宋体"/>
          <w:color w:val="auto"/>
          <w:szCs w:val="21"/>
          <w:highlight w:val="none"/>
        </w:rPr>
        <w:t>。</w:t>
      </w:r>
    </w:p>
    <w:p w14:paraId="36E3AF46">
      <w:pPr>
        <w:autoSpaceDE w:val="0"/>
        <w:autoSpaceDN w:val="0"/>
        <w:adjustRightInd w:val="0"/>
        <w:spacing w:line="360" w:lineRule="auto"/>
        <w:ind w:firstLine="420" w:firstLineChars="200"/>
        <w:jc w:val="left"/>
        <w:rPr>
          <w:color w:val="auto"/>
          <w:szCs w:val="21"/>
          <w:highlight w:val="none"/>
        </w:rPr>
      </w:pPr>
      <w:r>
        <w:rPr>
          <w:color w:val="auto"/>
          <w:szCs w:val="21"/>
          <w:highlight w:val="none"/>
        </w:rPr>
        <w:t xml:space="preserve">8.8.2 </w:t>
      </w:r>
      <w:r>
        <w:rPr>
          <w:rFonts w:hint="eastAsia" w:hAnsi="宋体" w:cs="宋体"/>
          <w:color w:val="auto"/>
          <w:szCs w:val="21"/>
          <w:highlight w:val="none"/>
        </w:rPr>
        <w:t>发包人提供的施工设备和临时设施</w:t>
      </w:r>
    </w:p>
    <w:p w14:paraId="59464F36">
      <w:pPr>
        <w:autoSpaceDE w:val="0"/>
        <w:autoSpaceDN w:val="0"/>
        <w:adjustRightInd w:val="0"/>
        <w:spacing w:line="360" w:lineRule="auto"/>
        <w:ind w:firstLine="420" w:firstLineChars="200"/>
        <w:jc w:val="left"/>
        <w:rPr>
          <w:rFonts w:ascii="宋体" w:hAnsi="宋体" w:cs="宋体"/>
          <w:color w:val="auto"/>
          <w:szCs w:val="21"/>
          <w:highlight w:val="none"/>
        </w:rPr>
      </w:pPr>
      <w:r>
        <w:rPr>
          <w:rFonts w:hint="eastAsia" w:hAnsi="宋体" w:cs="宋体"/>
          <w:color w:val="auto"/>
          <w:szCs w:val="22"/>
          <w:highlight w:val="none"/>
        </w:rPr>
        <w:t>发包人提供的施工设备和临时设施：</w:t>
      </w:r>
      <w:r>
        <w:rPr>
          <w:rFonts w:hint="eastAsia" w:ascii="宋体" w:hAnsi="宋体" w:cs="宋体"/>
          <w:b/>
          <w:bCs/>
          <w:color w:val="auto"/>
          <w:szCs w:val="21"/>
          <w:highlight w:val="none"/>
          <w:u w:val="single"/>
        </w:rPr>
        <w:t>除专用合同条款另有约定的其他独立承包人和监理人指示的他人提供条件外，承包人运入施工场地的所有施工设备以及在施工场地建设的临时设施仅限于</w:t>
      </w:r>
      <w:r>
        <w:rPr>
          <w:rFonts w:hint="eastAsia" w:ascii="宋体" w:hAnsi="宋体" w:cs="宋体"/>
          <w:b/>
          <w:bCs/>
          <w:color w:val="auto"/>
          <w:szCs w:val="21"/>
          <w:highlight w:val="none"/>
          <w:u w:val="single"/>
          <w:lang w:eastAsia="zh-CN"/>
        </w:rPr>
        <w:t>用于</w:t>
      </w:r>
      <w:r>
        <w:rPr>
          <w:rFonts w:hint="eastAsia" w:ascii="宋体" w:hAnsi="宋体" w:cs="宋体"/>
          <w:b/>
          <w:bCs/>
          <w:color w:val="auto"/>
          <w:szCs w:val="21"/>
          <w:highlight w:val="none"/>
          <w:u w:val="single"/>
        </w:rPr>
        <w:t>本合同工程</w:t>
      </w:r>
      <w:r>
        <w:rPr>
          <w:rFonts w:hint="eastAsia" w:ascii="宋体" w:hAnsi="宋体" w:cs="宋体"/>
          <w:color w:val="auto"/>
          <w:szCs w:val="21"/>
          <w:highlight w:val="none"/>
          <w:u w:val="single"/>
        </w:rPr>
        <w:t>，</w:t>
      </w:r>
      <w:r>
        <w:rPr>
          <w:rFonts w:hint="eastAsia" w:ascii="宋体" w:hAnsi="宋体" w:cs="宋体"/>
          <w:b/>
          <w:bCs/>
          <w:color w:val="auto"/>
          <w:szCs w:val="21"/>
          <w:highlight w:val="none"/>
          <w:u w:val="single"/>
        </w:rPr>
        <w:t>塔吊和井架免费提供给发包人监理工程师用于本工程项目相关配套工程</w:t>
      </w:r>
      <w:r>
        <w:rPr>
          <w:rFonts w:hint="eastAsia" w:ascii="宋体" w:hAnsi="宋体" w:cs="宋体"/>
          <w:color w:val="auto"/>
          <w:szCs w:val="21"/>
          <w:highlight w:val="none"/>
        </w:rPr>
        <w:t>。</w:t>
      </w:r>
    </w:p>
    <w:p w14:paraId="705972F0">
      <w:pPr>
        <w:autoSpaceDE w:val="0"/>
        <w:autoSpaceDN w:val="0"/>
        <w:adjustRightInd w:val="0"/>
        <w:spacing w:line="360" w:lineRule="auto"/>
        <w:ind w:firstLine="420" w:firstLineChars="200"/>
        <w:jc w:val="left"/>
        <w:rPr>
          <w:color w:val="auto"/>
          <w:szCs w:val="21"/>
          <w:highlight w:val="none"/>
        </w:rPr>
      </w:pPr>
      <w:r>
        <w:rPr>
          <w:rFonts w:hAnsi="宋体"/>
          <w:color w:val="auto"/>
          <w:szCs w:val="21"/>
          <w:highlight w:val="none"/>
        </w:rPr>
        <w:t>发包人提供的施工设备和临时设施的运行、维护、拆除、清运费用的承担人：</w:t>
      </w:r>
      <w:r>
        <w:rPr>
          <w:rFonts w:hint="eastAsia" w:ascii="宋体" w:hAnsi="宋体"/>
          <w:color w:val="auto"/>
          <w:szCs w:val="21"/>
          <w:highlight w:val="none"/>
          <w:u w:val="single"/>
        </w:rPr>
        <w:t>承包人</w:t>
      </w:r>
      <w:r>
        <w:rPr>
          <w:rFonts w:hint="eastAsia" w:hAnsi="宋体" w:cs="宋体"/>
          <w:color w:val="auto"/>
          <w:szCs w:val="21"/>
          <w:highlight w:val="none"/>
        </w:rPr>
        <w:t>。</w:t>
      </w:r>
    </w:p>
    <w:p w14:paraId="690EC426">
      <w:pPr>
        <w:keepNext/>
        <w:keepLines/>
        <w:spacing w:before="60" w:after="60" w:line="413" w:lineRule="auto"/>
        <w:outlineLvl w:val="1"/>
        <w:rPr>
          <w:rFonts w:ascii="Arial" w:hAnsi="Arial" w:eastAsia="黑体"/>
          <w:b/>
          <w:bCs/>
          <w:color w:val="auto"/>
          <w:sz w:val="32"/>
          <w:szCs w:val="32"/>
          <w:highlight w:val="none"/>
          <w:lang w:val="zh-CN"/>
        </w:rPr>
      </w:pPr>
      <w:bookmarkStart w:id="358" w:name="_Toc185869660"/>
      <w:r>
        <w:rPr>
          <w:rFonts w:ascii="Arial" w:hAnsi="Arial" w:eastAsia="黑体"/>
          <w:b/>
          <w:bCs/>
          <w:color w:val="auto"/>
          <w:sz w:val="32"/>
          <w:szCs w:val="32"/>
          <w:highlight w:val="none"/>
          <w:lang w:val="zh-CN"/>
        </w:rPr>
        <w:t xml:space="preserve">9. </w:t>
      </w:r>
      <w:r>
        <w:rPr>
          <w:rFonts w:hint="eastAsia" w:ascii="Arial" w:hAnsi="Arial" w:eastAsia="黑体" w:cs="黑体"/>
          <w:b/>
          <w:bCs/>
          <w:color w:val="auto"/>
          <w:sz w:val="32"/>
          <w:szCs w:val="32"/>
          <w:highlight w:val="none"/>
          <w:lang w:val="zh-CN"/>
        </w:rPr>
        <w:t>试验与检验</w:t>
      </w:r>
      <w:bookmarkEnd w:id="358"/>
    </w:p>
    <w:p w14:paraId="51BF2946">
      <w:pPr>
        <w:keepNext/>
        <w:keepLines/>
        <w:spacing w:line="360" w:lineRule="auto"/>
        <w:outlineLvl w:val="2"/>
        <w:rPr>
          <w:rFonts w:eastAsia="黑体"/>
          <w:b/>
          <w:bCs/>
          <w:color w:val="auto"/>
          <w:sz w:val="32"/>
          <w:szCs w:val="32"/>
          <w:highlight w:val="none"/>
          <w:lang w:val="zh-CN"/>
        </w:rPr>
      </w:pPr>
      <w:bookmarkStart w:id="359" w:name="_Toc185869661"/>
      <w:r>
        <w:rPr>
          <w:rFonts w:eastAsia="黑体"/>
          <w:b/>
          <w:bCs/>
          <w:color w:val="auto"/>
          <w:sz w:val="32"/>
          <w:szCs w:val="32"/>
          <w:highlight w:val="none"/>
          <w:lang w:val="zh-CN"/>
        </w:rPr>
        <w:t xml:space="preserve">9.1 </w:t>
      </w:r>
      <w:r>
        <w:rPr>
          <w:rFonts w:hint="eastAsia" w:eastAsia="黑体" w:cs="黑体"/>
          <w:b/>
          <w:bCs/>
          <w:color w:val="auto"/>
          <w:sz w:val="32"/>
          <w:szCs w:val="32"/>
          <w:highlight w:val="none"/>
          <w:lang w:val="zh-CN"/>
        </w:rPr>
        <w:t>试验设备与试验人员</w:t>
      </w:r>
      <w:bookmarkEnd w:id="359"/>
    </w:p>
    <w:p w14:paraId="3D2B405A">
      <w:pPr>
        <w:spacing w:line="360" w:lineRule="auto"/>
        <w:ind w:firstLine="420" w:firstLineChars="200"/>
        <w:jc w:val="left"/>
        <w:rPr>
          <w:color w:val="auto"/>
          <w:szCs w:val="21"/>
          <w:highlight w:val="none"/>
        </w:rPr>
      </w:pPr>
      <w:r>
        <w:rPr>
          <w:color w:val="auto"/>
          <w:szCs w:val="21"/>
          <w:highlight w:val="none"/>
        </w:rPr>
        <w:t xml:space="preserve">9.1.2 </w:t>
      </w:r>
      <w:r>
        <w:rPr>
          <w:rFonts w:hint="eastAsia" w:hAnsi="宋体" w:cs="宋体"/>
          <w:color w:val="auto"/>
          <w:szCs w:val="21"/>
          <w:highlight w:val="none"/>
        </w:rPr>
        <w:t>试验设备</w:t>
      </w:r>
    </w:p>
    <w:p w14:paraId="117042B9">
      <w:pPr>
        <w:spacing w:line="360" w:lineRule="auto"/>
        <w:ind w:firstLine="420" w:firstLineChars="200"/>
        <w:jc w:val="left"/>
        <w:rPr>
          <w:color w:val="auto"/>
          <w:szCs w:val="21"/>
          <w:highlight w:val="none"/>
          <w:u w:val="single"/>
        </w:rPr>
      </w:pPr>
      <w:r>
        <w:rPr>
          <w:rFonts w:hAnsi="宋体"/>
          <w:color w:val="auto"/>
          <w:szCs w:val="21"/>
          <w:highlight w:val="none"/>
        </w:rPr>
        <w:t>施工现场需要配置的试验场所：</w:t>
      </w:r>
      <w:r>
        <w:rPr>
          <w:color w:val="auto"/>
          <w:szCs w:val="21"/>
          <w:highlight w:val="none"/>
          <w:u w:val="single"/>
        </w:rPr>
        <w:t>按有关规定执行，其余均按本合同《通用条款》第 9.1.2款规定执行</w:t>
      </w:r>
      <w:r>
        <w:rPr>
          <w:rFonts w:hAnsi="宋体"/>
          <w:color w:val="auto"/>
          <w:szCs w:val="21"/>
          <w:highlight w:val="none"/>
        </w:rPr>
        <w:t>。</w:t>
      </w:r>
    </w:p>
    <w:p w14:paraId="44DF40A9">
      <w:pPr>
        <w:spacing w:line="360" w:lineRule="auto"/>
        <w:ind w:firstLine="420" w:firstLineChars="200"/>
        <w:jc w:val="left"/>
        <w:rPr>
          <w:color w:val="auto"/>
          <w:szCs w:val="21"/>
          <w:highlight w:val="none"/>
          <w:u w:val="single"/>
        </w:rPr>
      </w:pPr>
      <w:r>
        <w:rPr>
          <w:rFonts w:hAnsi="宋体"/>
          <w:color w:val="auto"/>
          <w:szCs w:val="21"/>
          <w:highlight w:val="none"/>
        </w:rPr>
        <w:t>施工现场需要配备的试验设备：</w:t>
      </w:r>
      <w:r>
        <w:rPr>
          <w:color w:val="auto"/>
          <w:szCs w:val="21"/>
          <w:highlight w:val="none"/>
          <w:u w:val="single"/>
        </w:rPr>
        <w:t>按有关规定执行，其余均按本合同《通用条款》第 9.1.2款规定执行</w:t>
      </w:r>
      <w:r>
        <w:rPr>
          <w:rFonts w:hAnsi="宋体"/>
          <w:color w:val="auto"/>
          <w:szCs w:val="21"/>
          <w:highlight w:val="none"/>
        </w:rPr>
        <w:t>。</w:t>
      </w:r>
    </w:p>
    <w:p w14:paraId="03AFD338">
      <w:pPr>
        <w:spacing w:line="360" w:lineRule="auto"/>
        <w:ind w:firstLine="420" w:firstLineChars="200"/>
        <w:jc w:val="left"/>
        <w:rPr>
          <w:color w:val="auto"/>
          <w:szCs w:val="22"/>
          <w:highlight w:val="none"/>
          <w:u w:val="single"/>
        </w:rPr>
      </w:pPr>
      <w:r>
        <w:rPr>
          <w:rFonts w:hAnsi="宋体"/>
          <w:color w:val="auto"/>
          <w:szCs w:val="21"/>
          <w:highlight w:val="none"/>
        </w:rPr>
        <w:t>施工现场需要具备的其他试验条件：</w:t>
      </w:r>
      <w:r>
        <w:rPr>
          <w:color w:val="auto"/>
          <w:szCs w:val="21"/>
          <w:highlight w:val="none"/>
          <w:u w:val="single"/>
        </w:rPr>
        <w:t>按有关规定执行，其余均按本合同《通用条款》第 9.1.2款规定执行</w:t>
      </w:r>
      <w:r>
        <w:rPr>
          <w:rFonts w:hAnsi="宋体"/>
          <w:color w:val="auto"/>
          <w:szCs w:val="21"/>
          <w:highlight w:val="none"/>
        </w:rPr>
        <w:t>。</w:t>
      </w:r>
    </w:p>
    <w:p w14:paraId="6DE7B379">
      <w:pPr>
        <w:keepNext/>
        <w:keepLines/>
        <w:spacing w:line="360" w:lineRule="auto"/>
        <w:outlineLvl w:val="2"/>
        <w:rPr>
          <w:rFonts w:eastAsia="黑体"/>
          <w:b/>
          <w:bCs/>
          <w:color w:val="auto"/>
          <w:sz w:val="32"/>
          <w:szCs w:val="32"/>
          <w:highlight w:val="none"/>
          <w:lang w:val="zh-CN"/>
        </w:rPr>
      </w:pPr>
      <w:bookmarkStart w:id="360" w:name="_Toc185869662"/>
      <w:r>
        <w:rPr>
          <w:rFonts w:eastAsia="黑体"/>
          <w:b/>
          <w:bCs/>
          <w:color w:val="auto"/>
          <w:sz w:val="32"/>
          <w:szCs w:val="32"/>
          <w:highlight w:val="none"/>
          <w:lang w:val="zh-CN"/>
        </w:rPr>
        <w:t xml:space="preserve">9.4 </w:t>
      </w:r>
      <w:r>
        <w:rPr>
          <w:rFonts w:hint="eastAsia" w:hAnsi="宋体" w:eastAsia="黑体" w:cs="黑体"/>
          <w:b/>
          <w:bCs/>
          <w:color w:val="auto"/>
          <w:sz w:val="32"/>
          <w:szCs w:val="32"/>
          <w:highlight w:val="none"/>
          <w:lang w:val="zh-CN"/>
        </w:rPr>
        <w:t>现场工艺试验</w:t>
      </w:r>
      <w:bookmarkEnd w:id="360"/>
    </w:p>
    <w:p w14:paraId="5C3FEFFB">
      <w:pPr>
        <w:spacing w:line="360" w:lineRule="auto"/>
        <w:ind w:firstLine="420" w:firstLineChars="200"/>
        <w:jc w:val="left"/>
        <w:rPr>
          <w:color w:val="auto"/>
          <w:szCs w:val="21"/>
          <w:highlight w:val="none"/>
        </w:rPr>
      </w:pPr>
      <w:r>
        <w:rPr>
          <w:rFonts w:hint="eastAsia" w:hAnsi="宋体" w:cs="宋体"/>
          <w:color w:val="auto"/>
          <w:szCs w:val="21"/>
          <w:highlight w:val="none"/>
        </w:rPr>
        <w:t>现场工艺试验的有关约定：</w:t>
      </w:r>
      <w:r>
        <w:rPr>
          <w:rFonts w:hint="eastAsia"/>
          <w:color w:val="auto"/>
          <w:szCs w:val="21"/>
          <w:highlight w:val="none"/>
          <w:u w:val="single"/>
        </w:rPr>
        <w:t>按照通用条款执行</w:t>
      </w:r>
      <w:r>
        <w:rPr>
          <w:rFonts w:hint="eastAsia" w:hAnsi="宋体" w:cs="宋体"/>
          <w:color w:val="auto"/>
          <w:szCs w:val="21"/>
          <w:highlight w:val="none"/>
        </w:rPr>
        <w:t>。</w:t>
      </w:r>
    </w:p>
    <w:p w14:paraId="7FBF1D6E">
      <w:pPr>
        <w:keepNext/>
        <w:keepLines/>
        <w:spacing w:line="360" w:lineRule="auto"/>
        <w:outlineLvl w:val="2"/>
        <w:rPr>
          <w:rFonts w:eastAsia="黑体"/>
          <w:b/>
          <w:bCs/>
          <w:color w:val="auto"/>
          <w:sz w:val="32"/>
          <w:szCs w:val="32"/>
          <w:highlight w:val="none"/>
          <w:lang w:val="zh-CN"/>
        </w:rPr>
      </w:pPr>
      <w:bookmarkStart w:id="361" w:name="_Toc185869663"/>
      <w:r>
        <w:rPr>
          <w:rFonts w:eastAsia="黑体"/>
          <w:b/>
          <w:bCs/>
          <w:color w:val="auto"/>
          <w:sz w:val="32"/>
          <w:szCs w:val="32"/>
          <w:highlight w:val="none"/>
          <w:lang w:val="zh-CN"/>
        </w:rPr>
        <w:t xml:space="preserve">9.5 </w:t>
      </w:r>
      <w:r>
        <w:rPr>
          <w:rFonts w:hint="eastAsia" w:hAnsi="宋体" w:eastAsia="黑体" w:cs="黑体"/>
          <w:b/>
          <w:bCs/>
          <w:color w:val="auto"/>
          <w:sz w:val="32"/>
          <w:szCs w:val="32"/>
          <w:highlight w:val="none"/>
          <w:lang w:val="zh-CN"/>
        </w:rPr>
        <w:t>检验费用</w:t>
      </w:r>
      <w:bookmarkEnd w:id="361"/>
    </w:p>
    <w:p w14:paraId="1EF58046">
      <w:pPr>
        <w:spacing w:line="360" w:lineRule="auto"/>
        <w:ind w:firstLine="411" w:firstLineChars="196"/>
        <w:rPr>
          <w:color w:val="auto"/>
          <w:szCs w:val="21"/>
          <w:highlight w:val="none"/>
        </w:rPr>
      </w:pPr>
      <w:r>
        <w:rPr>
          <w:rFonts w:hint="eastAsia" w:hAnsi="宋体" w:cs="宋体"/>
          <w:color w:val="auto"/>
          <w:szCs w:val="21"/>
          <w:highlight w:val="none"/>
        </w:rPr>
        <w:t>根据《建设工程质量检测管理办法》（建设部令第</w:t>
      </w:r>
      <w:r>
        <w:rPr>
          <w:color w:val="auto"/>
          <w:szCs w:val="21"/>
          <w:highlight w:val="none"/>
        </w:rPr>
        <w:t>141</w:t>
      </w:r>
      <w:r>
        <w:rPr>
          <w:rFonts w:hint="eastAsia" w:hAnsi="宋体" w:cs="宋体"/>
          <w:color w:val="auto"/>
          <w:szCs w:val="21"/>
          <w:highlight w:val="none"/>
        </w:rPr>
        <w:t>号）以及《广西壮族自治区建设工程质量检测管理规定》</w:t>
      </w:r>
      <w:r>
        <w:rPr>
          <w:rFonts w:hint="eastAsia" w:cs="宋体"/>
          <w:color w:val="auto"/>
          <w:szCs w:val="21"/>
          <w:highlight w:val="none"/>
        </w:rPr>
        <w:t>（</w:t>
      </w:r>
      <w:r>
        <w:rPr>
          <w:rFonts w:hint="eastAsia" w:hAnsi="宋体" w:cs="宋体"/>
          <w:color w:val="auto"/>
          <w:szCs w:val="21"/>
          <w:highlight w:val="none"/>
        </w:rPr>
        <w:t>桂建管</w:t>
      </w:r>
      <w:r>
        <w:rPr>
          <w:rFonts w:hint="eastAsia" w:cs="宋体"/>
          <w:color w:val="auto"/>
          <w:szCs w:val="21"/>
          <w:highlight w:val="none"/>
        </w:rPr>
        <w:t>〔</w:t>
      </w:r>
      <w:r>
        <w:rPr>
          <w:color w:val="auto"/>
          <w:szCs w:val="21"/>
          <w:highlight w:val="none"/>
        </w:rPr>
        <w:t>2013</w:t>
      </w:r>
      <w:r>
        <w:rPr>
          <w:rFonts w:hint="eastAsia" w:cs="宋体"/>
          <w:color w:val="auto"/>
          <w:szCs w:val="21"/>
          <w:highlight w:val="none"/>
        </w:rPr>
        <w:t>〕</w:t>
      </w:r>
      <w:r>
        <w:rPr>
          <w:color w:val="auto"/>
          <w:szCs w:val="21"/>
          <w:highlight w:val="none"/>
        </w:rPr>
        <w:t>11</w:t>
      </w:r>
      <w:r>
        <w:rPr>
          <w:rFonts w:hint="eastAsia" w:hAnsi="宋体" w:cs="宋体"/>
          <w:color w:val="auto"/>
          <w:szCs w:val="21"/>
          <w:highlight w:val="none"/>
        </w:rPr>
        <w:t>号</w:t>
      </w:r>
      <w:r>
        <w:rPr>
          <w:rFonts w:hint="eastAsia" w:cs="宋体"/>
          <w:color w:val="auto"/>
          <w:szCs w:val="21"/>
          <w:highlight w:val="none"/>
        </w:rPr>
        <w:t>）</w:t>
      </w:r>
      <w:r>
        <w:rPr>
          <w:rFonts w:hint="eastAsia" w:hAnsi="宋体" w:cs="宋体"/>
          <w:color w:val="auto"/>
          <w:szCs w:val="21"/>
          <w:highlight w:val="none"/>
        </w:rPr>
        <w:t>规定，工程质量检测业务由发包人委托有相应资质的检测机构检测。费用从发包人的项目建设经费中支出并直接支付给检测机构，不计入合同价款内。</w:t>
      </w:r>
    </w:p>
    <w:p w14:paraId="29AFEE05">
      <w:pPr>
        <w:keepNext/>
        <w:keepLines/>
        <w:spacing w:before="60" w:after="60" w:line="413" w:lineRule="auto"/>
        <w:outlineLvl w:val="1"/>
        <w:rPr>
          <w:rFonts w:ascii="Arial" w:hAnsi="Arial" w:eastAsia="黑体"/>
          <w:b/>
          <w:bCs/>
          <w:color w:val="auto"/>
          <w:sz w:val="32"/>
          <w:szCs w:val="32"/>
          <w:highlight w:val="none"/>
          <w:lang w:val="zh-CN"/>
        </w:rPr>
      </w:pPr>
      <w:bookmarkStart w:id="362" w:name="_Toc185869664"/>
      <w:r>
        <w:rPr>
          <w:rFonts w:ascii="Arial" w:hAnsi="Arial" w:eastAsia="黑体"/>
          <w:b/>
          <w:bCs/>
          <w:color w:val="auto"/>
          <w:sz w:val="32"/>
          <w:szCs w:val="32"/>
          <w:highlight w:val="none"/>
          <w:lang w:val="zh-CN"/>
        </w:rPr>
        <w:t xml:space="preserve">10. </w:t>
      </w:r>
      <w:r>
        <w:rPr>
          <w:rFonts w:hint="eastAsia" w:ascii="Arial" w:hAnsi="宋体" w:eastAsia="黑体" w:cs="黑体"/>
          <w:b/>
          <w:bCs/>
          <w:color w:val="auto"/>
          <w:sz w:val="32"/>
          <w:szCs w:val="32"/>
          <w:highlight w:val="none"/>
          <w:lang w:val="zh-CN"/>
        </w:rPr>
        <w:t>变更</w:t>
      </w:r>
      <w:bookmarkEnd w:id="362"/>
    </w:p>
    <w:p w14:paraId="1643A461">
      <w:pPr>
        <w:keepNext/>
        <w:keepLines/>
        <w:spacing w:line="360" w:lineRule="auto"/>
        <w:outlineLvl w:val="2"/>
        <w:rPr>
          <w:rFonts w:eastAsia="黑体"/>
          <w:b/>
          <w:bCs/>
          <w:color w:val="auto"/>
          <w:sz w:val="32"/>
          <w:szCs w:val="32"/>
          <w:highlight w:val="none"/>
          <w:lang w:val="zh-CN"/>
        </w:rPr>
      </w:pPr>
      <w:bookmarkStart w:id="363" w:name="_Toc185869665"/>
      <w:r>
        <w:rPr>
          <w:rFonts w:eastAsia="黑体"/>
          <w:b/>
          <w:bCs/>
          <w:color w:val="auto"/>
          <w:sz w:val="32"/>
          <w:szCs w:val="32"/>
          <w:highlight w:val="none"/>
          <w:lang w:val="zh-CN"/>
        </w:rPr>
        <w:t xml:space="preserve">10.1 </w:t>
      </w:r>
      <w:r>
        <w:rPr>
          <w:rFonts w:hint="eastAsia" w:hAnsi="宋体" w:eastAsia="黑体" w:cs="黑体"/>
          <w:b/>
          <w:bCs/>
          <w:color w:val="auto"/>
          <w:sz w:val="32"/>
          <w:szCs w:val="32"/>
          <w:highlight w:val="none"/>
          <w:lang w:val="zh-CN"/>
        </w:rPr>
        <w:t>变更的范围</w:t>
      </w:r>
      <w:bookmarkEnd w:id="363"/>
    </w:p>
    <w:p w14:paraId="25E3805C">
      <w:pPr>
        <w:pStyle w:val="29"/>
        <w:spacing w:line="360" w:lineRule="auto"/>
        <w:ind w:firstLine="441" w:firstLineChars="210"/>
        <w:rPr>
          <w:rFonts w:hint="eastAsia" w:ascii="Times New Roman" w:hAnsi="宋体"/>
          <w:bCs/>
          <w:color w:val="auto"/>
          <w:sz w:val="21"/>
          <w:szCs w:val="21"/>
          <w:highlight w:val="none"/>
        </w:rPr>
      </w:pPr>
      <w:r>
        <w:rPr>
          <w:rFonts w:hint="eastAsia" w:ascii="Times New Roman" w:hAnsi="宋体"/>
          <w:bCs/>
          <w:color w:val="auto"/>
          <w:sz w:val="21"/>
          <w:szCs w:val="21"/>
          <w:highlight w:val="none"/>
        </w:rPr>
        <w:t>关于变更的范围的约定：</w:t>
      </w:r>
      <w:r>
        <w:rPr>
          <w:rFonts w:hint="eastAsia" w:ascii="Times New Roman" w:hAnsi="宋体"/>
          <w:bCs/>
          <w:color w:val="auto"/>
          <w:sz w:val="21"/>
          <w:szCs w:val="21"/>
          <w:highlight w:val="none"/>
          <w:u w:val="single"/>
        </w:rPr>
        <w:t>按照通用条款执行</w:t>
      </w:r>
      <w:r>
        <w:rPr>
          <w:rFonts w:hint="eastAsia" w:ascii="Times New Roman" w:hAnsi="宋体"/>
          <w:bCs/>
          <w:color w:val="auto"/>
          <w:sz w:val="21"/>
          <w:szCs w:val="21"/>
          <w:highlight w:val="none"/>
        </w:rPr>
        <w:t>。</w:t>
      </w:r>
    </w:p>
    <w:p w14:paraId="3E97ADB7">
      <w:pPr>
        <w:pStyle w:val="4"/>
        <w:rPr>
          <w:color w:val="auto"/>
          <w:highlight w:val="none"/>
        </w:rPr>
      </w:pPr>
      <w:r>
        <w:rPr>
          <w:color w:val="auto"/>
          <w:highlight w:val="none"/>
        </w:rPr>
        <w:t xml:space="preserve">10.3 </w:t>
      </w:r>
      <w:r>
        <w:rPr>
          <w:rFonts w:hint="eastAsia" w:hAnsi="宋体" w:cs="黑体"/>
          <w:color w:val="auto"/>
          <w:highlight w:val="none"/>
        </w:rPr>
        <w:t>变更程序</w:t>
      </w:r>
      <w:bookmarkEnd w:id="301"/>
      <w:bookmarkEnd w:id="302"/>
      <w:bookmarkEnd w:id="303"/>
      <w:bookmarkEnd w:id="304"/>
      <w:bookmarkEnd w:id="305"/>
      <w:bookmarkEnd w:id="306"/>
      <w:bookmarkEnd w:id="307"/>
    </w:p>
    <w:p w14:paraId="60CC0133">
      <w:pPr>
        <w:autoSpaceDE w:val="0"/>
        <w:autoSpaceDN w:val="0"/>
        <w:adjustRightInd w:val="0"/>
        <w:spacing w:line="360" w:lineRule="auto"/>
        <w:ind w:firstLine="420" w:firstLineChars="200"/>
        <w:jc w:val="left"/>
        <w:rPr>
          <w:rFonts w:hint="eastAsia" w:hAnsi="宋体" w:cs="宋体"/>
          <w:color w:val="auto"/>
          <w:szCs w:val="21"/>
          <w:highlight w:val="none"/>
        </w:rPr>
      </w:pPr>
      <w:r>
        <w:rPr>
          <w:rFonts w:hint="eastAsia" w:hAnsi="宋体" w:cs="宋体"/>
          <w:color w:val="auto"/>
          <w:szCs w:val="21"/>
          <w:highlight w:val="none"/>
        </w:rPr>
        <w:t>10.3.1国有投资项目：</w:t>
      </w:r>
    </w:p>
    <w:p w14:paraId="192AF88A">
      <w:pPr>
        <w:autoSpaceDE w:val="0"/>
        <w:autoSpaceDN w:val="0"/>
        <w:adjustRightInd w:val="0"/>
        <w:spacing w:line="360" w:lineRule="auto"/>
        <w:ind w:firstLine="420" w:firstLineChars="200"/>
        <w:jc w:val="left"/>
        <w:rPr>
          <w:rFonts w:hint="eastAsia" w:hAnsi="宋体" w:cs="宋体"/>
          <w:color w:val="auto"/>
          <w:szCs w:val="21"/>
          <w:highlight w:val="none"/>
        </w:rPr>
      </w:pPr>
      <w:r>
        <w:rPr>
          <w:rFonts w:hint="eastAsia" w:hAnsi="宋体" w:cs="宋体"/>
          <w:color w:val="auto"/>
          <w:szCs w:val="21"/>
          <w:highlight w:val="none"/>
        </w:rPr>
        <w:t>⑴设计变更和工程签证，按各市政府或相关部门的规定办理。属不可抗力（自然灾害、突发事件等）造成变更的，按特事特办原则予以办理。</w:t>
      </w:r>
    </w:p>
    <w:p w14:paraId="0C2F5403">
      <w:pPr>
        <w:autoSpaceDE w:val="0"/>
        <w:autoSpaceDN w:val="0"/>
        <w:adjustRightInd w:val="0"/>
        <w:spacing w:line="360" w:lineRule="auto"/>
        <w:ind w:firstLine="420" w:firstLineChars="200"/>
        <w:jc w:val="left"/>
        <w:rPr>
          <w:rFonts w:hint="eastAsia" w:hAnsi="宋体" w:cs="宋体"/>
          <w:color w:val="auto"/>
          <w:szCs w:val="21"/>
          <w:highlight w:val="none"/>
        </w:rPr>
      </w:pPr>
      <w:r>
        <w:rPr>
          <w:rFonts w:hint="eastAsia" w:hAnsi="宋体" w:cs="宋体"/>
          <w:color w:val="auto"/>
          <w:szCs w:val="21"/>
          <w:highlight w:val="none"/>
        </w:rPr>
        <w:t>⑵建设单位在实施项目过程中，若发生单价变动，由发包人、承包人、监理或造价咨询等单位共同商定并签字确认。</w:t>
      </w:r>
    </w:p>
    <w:p w14:paraId="0C55CD7C">
      <w:pPr>
        <w:autoSpaceDE w:val="0"/>
        <w:autoSpaceDN w:val="0"/>
        <w:adjustRightInd w:val="0"/>
        <w:spacing w:line="360" w:lineRule="auto"/>
        <w:ind w:firstLine="420" w:firstLineChars="200"/>
        <w:jc w:val="left"/>
        <w:rPr>
          <w:rFonts w:hint="eastAsia" w:hAnsi="宋体" w:cs="宋体"/>
          <w:color w:val="auto"/>
          <w:szCs w:val="21"/>
          <w:highlight w:val="none"/>
        </w:rPr>
      </w:pPr>
      <w:r>
        <w:rPr>
          <w:rFonts w:hint="eastAsia" w:hAnsi="宋体" w:cs="宋体"/>
          <w:color w:val="auto"/>
          <w:szCs w:val="21"/>
          <w:highlight w:val="none"/>
        </w:rPr>
        <w:t>⑶ 当合同规定的合同价款调整情况发生后，承包人未在规定时间内通知发包人，或者未在规定时间内提出调整报告，发包人可以根据有关资料，决定是否调整和调整的金额，并书面通知承包人。</w:t>
      </w:r>
    </w:p>
    <w:p w14:paraId="762B94BD">
      <w:pPr>
        <w:spacing w:line="360" w:lineRule="auto"/>
        <w:jc w:val="left"/>
        <w:rPr>
          <w:color w:val="auto"/>
          <w:highlight w:val="none"/>
        </w:rPr>
      </w:pPr>
      <w:r>
        <w:rPr>
          <w:rFonts w:hint="eastAsia" w:hAnsi="宋体" w:cs="宋体"/>
          <w:color w:val="auto"/>
          <w:szCs w:val="21"/>
          <w:highlight w:val="none"/>
        </w:rPr>
        <w:t>10.3.2 非国有投资项目：</w:t>
      </w:r>
      <w:r>
        <w:rPr>
          <w:rFonts w:hint="eastAsia" w:hAnsi="宋体" w:cs="宋体"/>
          <w:color w:val="auto"/>
          <w:szCs w:val="21"/>
          <w:highlight w:val="none"/>
          <w:u w:val="single"/>
        </w:rPr>
        <w:t xml:space="preserve"> </w:t>
      </w:r>
      <w:r>
        <w:rPr>
          <w:rFonts w:hint="eastAsia" w:hAnsi="宋体" w:cs="宋体"/>
          <w:color w:val="auto"/>
          <w:szCs w:val="21"/>
          <w:highlight w:val="none"/>
          <w:u w:val="single"/>
          <w:lang w:val="en-US" w:eastAsia="zh-CN"/>
        </w:rPr>
        <w:t>/</w:t>
      </w:r>
      <w:r>
        <w:rPr>
          <w:color w:val="auto"/>
          <w:highlight w:val="none"/>
          <w:u w:val="single"/>
        </w:rPr>
        <w:t xml:space="preserve">    </w:t>
      </w:r>
      <w:r>
        <w:rPr>
          <w:rFonts w:hint="eastAsia" w:hAnsi="宋体" w:cs="宋体"/>
          <w:color w:val="auto"/>
          <w:highlight w:val="none"/>
        </w:rPr>
        <w:t>。</w:t>
      </w:r>
    </w:p>
    <w:p w14:paraId="723AC3DD">
      <w:pPr>
        <w:pStyle w:val="4"/>
        <w:rPr>
          <w:color w:val="auto"/>
          <w:highlight w:val="none"/>
        </w:rPr>
      </w:pPr>
      <w:bookmarkStart w:id="364" w:name="_Toc373227742"/>
      <w:bookmarkStart w:id="365" w:name="_Toc78449831"/>
      <w:bookmarkStart w:id="366" w:name="_Toc780640360"/>
      <w:bookmarkStart w:id="367" w:name="_Toc1645711468"/>
      <w:bookmarkStart w:id="368" w:name="_Toc373478389"/>
      <w:bookmarkStart w:id="369" w:name="_Toc407135245"/>
      <w:bookmarkStart w:id="370" w:name="_Toc389065308"/>
      <w:r>
        <w:rPr>
          <w:color w:val="auto"/>
          <w:highlight w:val="none"/>
        </w:rPr>
        <w:t xml:space="preserve">10.4 </w:t>
      </w:r>
      <w:r>
        <w:rPr>
          <w:rFonts w:hint="eastAsia" w:hAnsi="宋体" w:cs="黑体"/>
          <w:color w:val="auto"/>
          <w:highlight w:val="none"/>
        </w:rPr>
        <w:t>变更估价</w:t>
      </w:r>
      <w:bookmarkEnd w:id="364"/>
      <w:bookmarkEnd w:id="365"/>
      <w:bookmarkEnd w:id="366"/>
      <w:bookmarkEnd w:id="367"/>
      <w:bookmarkEnd w:id="368"/>
      <w:bookmarkEnd w:id="369"/>
      <w:bookmarkEnd w:id="370"/>
    </w:p>
    <w:p w14:paraId="3F849153">
      <w:pPr>
        <w:spacing w:line="360" w:lineRule="auto"/>
        <w:ind w:firstLine="420" w:firstLineChars="200"/>
        <w:jc w:val="left"/>
        <w:rPr>
          <w:color w:val="auto"/>
          <w:highlight w:val="none"/>
        </w:rPr>
      </w:pPr>
      <w:r>
        <w:rPr>
          <w:color w:val="auto"/>
          <w:highlight w:val="none"/>
        </w:rPr>
        <w:t xml:space="preserve">10.4.1 </w:t>
      </w:r>
      <w:r>
        <w:rPr>
          <w:rFonts w:hint="eastAsia" w:hAnsi="宋体" w:cs="宋体"/>
          <w:color w:val="auto"/>
          <w:highlight w:val="none"/>
        </w:rPr>
        <w:t>变更估价原则</w:t>
      </w:r>
    </w:p>
    <w:p w14:paraId="61C7EE53">
      <w:pPr>
        <w:spacing w:line="360" w:lineRule="auto"/>
        <w:ind w:firstLine="420" w:firstLineChars="200"/>
        <w:jc w:val="left"/>
        <w:rPr>
          <w:rFonts w:hAnsi="宋体"/>
          <w:color w:val="auto"/>
          <w:szCs w:val="22"/>
          <w:highlight w:val="none"/>
        </w:rPr>
      </w:pPr>
      <w:r>
        <w:rPr>
          <w:rFonts w:hint="eastAsia" w:hAnsi="宋体" w:cs="宋体"/>
          <w:color w:val="auto"/>
          <w:szCs w:val="22"/>
          <w:highlight w:val="none"/>
        </w:rPr>
        <w:t>关于变更估价的约定</w:t>
      </w:r>
      <w:r>
        <w:rPr>
          <w:rFonts w:hint="eastAsia" w:hAnsi="宋体" w:cs="宋体"/>
          <w:color w:val="auto"/>
          <w:szCs w:val="22"/>
          <w:highlight w:val="none"/>
          <w:lang w:eastAsia="zh-CN"/>
        </w:rPr>
        <w:t>：</w:t>
      </w:r>
      <w:r>
        <w:rPr>
          <w:color w:val="auto"/>
          <w:szCs w:val="22"/>
          <w:highlight w:val="none"/>
        </w:rPr>
        <w:t xml:space="preserve"> </w:t>
      </w:r>
      <w:r>
        <w:rPr>
          <w:rFonts w:hint="eastAsia" w:hAnsi="宋体" w:cs="宋体"/>
          <w:color w:val="auto"/>
          <w:szCs w:val="22"/>
          <w:highlight w:val="none"/>
          <w:u w:val="single"/>
        </w:rPr>
        <w:t>工程变更合同价款按下列方法进行：（</w:t>
      </w:r>
      <w:r>
        <w:rPr>
          <w:color w:val="auto"/>
          <w:szCs w:val="22"/>
          <w:highlight w:val="none"/>
          <w:u w:val="single"/>
        </w:rPr>
        <w:t>1</w:t>
      </w:r>
      <w:r>
        <w:rPr>
          <w:rFonts w:hint="eastAsia" w:hAnsi="宋体" w:cs="宋体"/>
          <w:color w:val="auto"/>
          <w:szCs w:val="22"/>
          <w:highlight w:val="none"/>
          <w:u w:val="single"/>
        </w:rPr>
        <w:t>）合同中已有相同清单项目的，按合同该清单项目价格进行计算；（</w:t>
      </w:r>
      <w:r>
        <w:rPr>
          <w:color w:val="auto"/>
          <w:szCs w:val="22"/>
          <w:highlight w:val="none"/>
          <w:u w:val="single"/>
        </w:rPr>
        <w:t>2</w:t>
      </w:r>
      <w:r>
        <w:rPr>
          <w:rFonts w:hint="eastAsia" w:hAnsi="宋体" w:cs="宋体"/>
          <w:color w:val="auto"/>
          <w:szCs w:val="22"/>
          <w:highlight w:val="none"/>
          <w:u w:val="single"/>
        </w:rPr>
        <w:t>）合同中只有类似清单项目的，参照该类似清单项目价格进行计算；（</w:t>
      </w:r>
      <w:r>
        <w:rPr>
          <w:color w:val="auto"/>
          <w:szCs w:val="22"/>
          <w:highlight w:val="none"/>
          <w:u w:val="single"/>
        </w:rPr>
        <w:t>3</w:t>
      </w:r>
      <w:r>
        <w:rPr>
          <w:rFonts w:hint="eastAsia" w:hAnsi="宋体" w:cs="宋体"/>
          <w:color w:val="auto"/>
          <w:szCs w:val="22"/>
          <w:highlight w:val="none"/>
          <w:u w:val="single"/>
        </w:rPr>
        <w:t>）合同中没有适用或类似清单项目的价格计算方法：有定额的套定额，并（</w:t>
      </w:r>
      <w:r>
        <w:rPr>
          <w:rFonts w:hint="eastAsia" w:ascii="MS Mincho" w:hAnsi="MS Mincho" w:eastAsia="MS Mincho" w:cs="MS Mincho"/>
          <w:color w:val="auto"/>
          <w:szCs w:val="22"/>
          <w:highlight w:val="none"/>
        </w:rPr>
        <w:t>☑</w:t>
      </w:r>
      <w:r>
        <w:rPr>
          <w:rFonts w:hint="eastAsia" w:hAnsi="宋体" w:cs="宋体"/>
          <w:color w:val="auto"/>
          <w:szCs w:val="22"/>
          <w:highlight w:val="none"/>
          <w:u w:val="single"/>
        </w:rPr>
        <w:t>乘以下浮系数</w:t>
      </w:r>
      <w:r>
        <w:rPr>
          <w:rFonts w:hint="eastAsia"/>
          <w:color w:val="auto"/>
          <w:szCs w:val="21"/>
          <w:highlight w:val="none"/>
          <w:u w:val="single"/>
        </w:rPr>
        <w:t>=</w:t>
      </w:r>
      <w:r>
        <w:rPr>
          <w:rFonts w:hint="eastAsia" w:ascii="宋体" w:hAnsi="宋体"/>
          <w:color w:val="auto"/>
          <w:szCs w:val="21"/>
          <w:highlight w:val="none"/>
          <w:u w:val="single"/>
        </w:rPr>
        <w:t>成交价</w:t>
      </w:r>
      <w:r>
        <w:rPr>
          <w:rFonts w:ascii="宋体" w:hAnsi="宋体"/>
          <w:color w:val="auto"/>
          <w:szCs w:val="21"/>
          <w:highlight w:val="none"/>
          <w:u w:val="single"/>
        </w:rPr>
        <w:t>/</w:t>
      </w:r>
      <w:r>
        <w:rPr>
          <w:rFonts w:hint="eastAsia" w:ascii="宋体" w:hAnsi="宋体"/>
          <w:color w:val="auto"/>
          <w:szCs w:val="21"/>
          <w:highlight w:val="none"/>
          <w:u w:val="single"/>
        </w:rPr>
        <w:t>控制价</w:t>
      </w:r>
      <w:r>
        <w:rPr>
          <w:color w:val="auto"/>
          <w:szCs w:val="22"/>
          <w:highlight w:val="none"/>
          <w:u w:val="single"/>
        </w:rPr>
        <w:t>%</w:t>
      </w:r>
      <w:r>
        <w:rPr>
          <w:rFonts w:hint="eastAsia" w:cs="宋体"/>
          <w:color w:val="auto"/>
          <w:szCs w:val="22"/>
          <w:highlight w:val="none"/>
          <w:u w:val="single"/>
        </w:rPr>
        <w:t>，</w:t>
      </w:r>
      <w:r>
        <w:rPr>
          <w:rFonts w:hint="eastAsia" w:ascii="宋体" w:hAnsi="MS Mincho" w:cs="MS Mincho"/>
          <w:color w:val="auto"/>
          <w:szCs w:val="21"/>
          <w:highlight w:val="none"/>
        </w:rPr>
        <w:t>□</w:t>
      </w:r>
      <w:r>
        <w:rPr>
          <w:rFonts w:hint="eastAsia" w:hAnsi="宋体" w:cs="宋体"/>
          <w:color w:val="auto"/>
          <w:szCs w:val="22"/>
          <w:highlight w:val="none"/>
          <w:u w:val="single"/>
        </w:rPr>
        <w:t>不乘下浮系数）计算，其中：材料设备价格按施工期间的《</w:t>
      </w:r>
      <w:r>
        <w:rPr>
          <w:rFonts w:hint="eastAsia"/>
          <w:color w:val="auto"/>
          <w:szCs w:val="22"/>
          <w:highlight w:val="none"/>
          <w:u w:val="single"/>
        </w:rPr>
        <w:t>南宁市</w:t>
      </w:r>
      <w:r>
        <w:rPr>
          <w:rFonts w:hint="eastAsia" w:hAnsi="宋体" w:cs="宋体"/>
          <w:color w:val="auto"/>
          <w:szCs w:val="22"/>
          <w:highlight w:val="none"/>
          <w:u w:val="single"/>
        </w:rPr>
        <w:t>建设工程造价信息》相应信息价的</w:t>
      </w:r>
      <w:r>
        <w:rPr>
          <w:rFonts w:hint="eastAsia"/>
          <w:color w:val="auto"/>
          <w:highlight w:val="none"/>
          <w:u w:val="single"/>
        </w:rPr>
        <w:t>算术</w:t>
      </w:r>
      <w:r>
        <w:rPr>
          <w:rFonts w:hint="eastAsia" w:hAnsi="宋体" w:cs="宋体"/>
          <w:color w:val="auto"/>
          <w:szCs w:val="22"/>
          <w:highlight w:val="none"/>
          <w:u w:val="single"/>
        </w:rPr>
        <w:t>平均值计算，《</w:t>
      </w:r>
      <w:r>
        <w:rPr>
          <w:rFonts w:hint="eastAsia"/>
          <w:color w:val="auto"/>
          <w:szCs w:val="22"/>
          <w:highlight w:val="none"/>
          <w:u w:val="single"/>
        </w:rPr>
        <w:t>南宁市</w:t>
      </w:r>
      <w:r>
        <w:rPr>
          <w:rFonts w:hint="eastAsia" w:hAnsi="宋体" w:cs="宋体"/>
          <w:color w:val="auto"/>
          <w:szCs w:val="22"/>
          <w:highlight w:val="none"/>
          <w:u w:val="single"/>
        </w:rPr>
        <w:t>建设工程造价信息》没有相应信息价的，由建设单位、施工单位、监理单位或造价咨询单位根据市场行情协商确定；无定额可套的，由建设单位、施工单位、监理单位或造价咨询单位根据市场行情协商确定包含除税金以外所有费用的税前综合价格</w:t>
      </w:r>
      <w:r>
        <w:rPr>
          <w:rFonts w:hint="eastAsia" w:hAnsi="宋体" w:cs="宋体"/>
          <w:color w:val="auto"/>
          <w:szCs w:val="22"/>
          <w:highlight w:val="none"/>
        </w:rPr>
        <w:t>。以上约定同时适用于招标工程量清单缺项以及工程量清单项目特征与图纸不符时的价款确定。</w:t>
      </w:r>
      <w:r>
        <w:rPr>
          <w:rFonts w:hAnsi="宋体"/>
          <w:bCs/>
          <w:color w:val="auto"/>
          <w:szCs w:val="21"/>
          <w:highlight w:val="none"/>
          <w:u w:val="single"/>
        </w:rPr>
        <w:t>对于</w:t>
      </w:r>
      <w:r>
        <w:rPr>
          <w:rFonts w:hint="eastAsia" w:hAnsi="宋体"/>
          <w:bCs/>
          <w:color w:val="auto"/>
          <w:szCs w:val="21"/>
          <w:highlight w:val="none"/>
          <w:u w:val="single"/>
        </w:rPr>
        <w:t>政府及</w:t>
      </w:r>
      <w:r>
        <w:rPr>
          <w:rFonts w:hAnsi="宋体"/>
          <w:bCs/>
          <w:color w:val="auto"/>
          <w:szCs w:val="21"/>
          <w:highlight w:val="none"/>
          <w:u w:val="single"/>
        </w:rPr>
        <w:t>国有资</w:t>
      </w:r>
      <w:r>
        <w:rPr>
          <w:rFonts w:hint="eastAsia" w:hAnsi="宋体"/>
          <w:bCs/>
          <w:color w:val="auto"/>
          <w:szCs w:val="21"/>
          <w:highlight w:val="none"/>
          <w:u w:val="single"/>
        </w:rPr>
        <w:t>金</w:t>
      </w:r>
      <w:r>
        <w:rPr>
          <w:rFonts w:hAnsi="宋体"/>
          <w:bCs/>
          <w:color w:val="auto"/>
          <w:szCs w:val="21"/>
          <w:highlight w:val="none"/>
          <w:u w:val="single"/>
        </w:rPr>
        <w:t>投资的项目，新增项目的单价必须经</w:t>
      </w:r>
      <w:r>
        <w:rPr>
          <w:rFonts w:hint="eastAsia" w:hAnsi="宋体"/>
          <w:bCs/>
          <w:color w:val="auto"/>
          <w:szCs w:val="21"/>
          <w:highlight w:val="none"/>
          <w:u w:val="single"/>
        </w:rPr>
        <w:t>发包人</w:t>
      </w:r>
      <w:r>
        <w:rPr>
          <w:rFonts w:hAnsi="宋体"/>
          <w:bCs/>
          <w:color w:val="auto"/>
          <w:szCs w:val="21"/>
          <w:highlight w:val="none"/>
          <w:u w:val="single"/>
        </w:rPr>
        <w:t>审定。</w:t>
      </w:r>
    </w:p>
    <w:p w14:paraId="70F95961">
      <w:pPr>
        <w:spacing w:line="360" w:lineRule="auto"/>
        <w:ind w:firstLine="420" w:firstLineChars="200"/>
        <w:jc w:val="left"/>
        <w:rPr>
          <w:rFonts w:hint="eastAsia" w:cs="宋体"/>
          <w:color w:val="auto"/>
          <w:highlight w:val="none"/>
          <w:u w:val="single"/>
        </w:rPr>
      </w:pPr>
      <w:r>
        <w:rPr>
          <w:rFonts w:hint="eastAsia"/>
          <w:color w:val="auto"/>
          <w:szCs w:val="21"/>
          <w:highlight w:val="none"/>
          <w:u w:val="single"/>
        </w:rPr>
        <w:t>工程变更导致实际完成的变更工程量与已标价清单或预算书中列明的该项目工程量有偏差时，其综合单价的确定按专用条款“1.13工程量清单错误的修正”执行。</w:t>
      </w:r>
    </w:p>
    <w:p w14:paraId="316A2DF8">
      <w:pPr>
        <w:pStyle w:val="4"/>
        <w:rPr>
          <w:color w:val="auto"/>
          <w:highlight w:val="none"/>
        </w:rPr>
      </w:pPr>
      <w:bookmarkStart w:id="371" w:name="_Toc650800266"/>
      <w:bookmarkStart w:id="372" w:name="_Toc78449832"/>
      <w:bookmarkStart w:id="373" w:name="_Toc389065309"/>
      <w:bookmarkStart w:id="374" w:name="_Toc1342657745"/>
      <w:bookmarkStart w:id="375" w:name="_Toc407135246"/>
      <w:bookmarkStart w:id="376" w:name="_Toc373478390"/>
      <w:bookmarkStart w:id="377" w:name="_Toc373227743"/>
      <w:r>
        <w:rPr>
          <w:color w:val="auto"/>
          <w:highlight w:val="none"/>
        </w:rPr>
        <w:t>1</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Start w:id="378" w:name="_Toc296503197"/>
      <w:bookmarkStart w:id="379" w:name="_Toc300934993"/>
      <w:bookmarkStart w:id="380" w:name="_Toc292559907"/>
      <w:bookmarkStart w:id="381" w:name="_Toc296944536"/>
      <w:bookmarkStart w:id="382" w:name="_Toc297216203"/>
      <w:bookmarkStart w:id="383" w:name="_Toc292559402"/>
      <w:bookmarkStart w:id="384" w:name="_Toc297048383"/>
      <w:bookmarkStart w:id="385" w:name="_Toc297123544"/>
      <w:bookmarkStart w:id="386" w:name="_Toc303539150"/>
      <w:bookmarkStart w:id="387" w:name="_Toc296891025"/>
      <w:bookmarkStart w:id="388" w:name="_Toc296891237"/>
      <w:bookmarkStart w:id="389" w:name="_Toc296346698"/>
      <w:bookmarkStart w:id="390" w:name="_Toc296347196"/>
      <w:bookmarkStart w:id="391" w:name="_Toc297120497"/>
      <w:bookmarkStart w:id="392" w:name="_Toc304295570"/>
      <w:bookmarkStart w:id="393" w:name="_Toc312678029"/>
      <w:bookmarkStart w:id="394" w:name="_Toc312677503"/>
      <w:r>
        <w:rPr>
          <w:color w:val="auto"/>
          <w:highlight w:val="none"/>
        </w:rPr>
        <w:t xml:space="preserve">0.5 </w:t>
      </w:r>
      <w:r>
        <w:rPr>
          <w:rFonts w:hint="eastAsia" w:cs="黑体"/>
          <w:color w:val="auto"/>
          <w:highlight w:val="none"/>
        </w:rPr>
        <w:t>承</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Start w:id="395" w:name="_Toc297216204"/>
      <w:bookmarkStart w:id="396" w:name="_Toc296347202"/>
      <w:bookmarkStart w:id="397" w:name="_Toc300934994"/>
      <w:bookmarkStart w:id="398" w:name="_Toc296503203"/>
      <w:bookmarkStart w:id="399" w:name="_Toc292559408"/>
      <w:bookmarkStart w:id="400" w:name="_Toc297120503"/>
      <w:bookmarkStart w:id="401" w:name="_Toc297123545"/>
      <w:bookmarkStart w:id="402" w:name="_Toc303539151"/>
      <w:bookmarkStart w:id="403" w:name="_Toc296944542"/>
      <w:bookmarkStart w:id="404" w:name="_Toc296891031"/>
      <w:bookmarkStart w:id="405" w:name="_Toc292559913"/>
      <w:bookmarkStart w:id="406" w:name="_Toc296346704"/>
      <w:bookmarkStart w:id="407" w:name="_Toc297048389"/>
      <w:bookmarkStart w:id="408" w:name="_Toc296891243"/>
      <w:r>
        <w:rPr>
          <w:rFonts w:hint="eastAsia" w:cs="黑体"/>
          <w:color w:val="auto"/>
          <w:highlight w:val="none"/>
        </w:rPr>
        <w:t>包人的合理化建议</w:t>
      </w:r>
      <w:bookmarkEnd w:id="371"/>
      <w:bookmarkEnd w:id="372"/>
      <w:bookmarkEnd w:id="373"/>
      <w:bookmarkEnd w:id="374"/>
      <w:bookmarkEnd w:id="375"/>
      <w:bookmarkEnd w:id="376"/>
      <w:bookmarkEnd w:id="377"/>
    </w:p>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14:paraId="31579351">
      <w:pPr>
        <w:spacing w:line="360" w:lineRule="auto"/>
        <w:ind w:firstLine="420" w:firstLineChars="200"/>
        <w:jc w:val="left"/>
        <w:rPr>
          <w:color w:val="auto"/>
          <w:szCs w:val="21"/>
          <w:highlight w:val="none"/>
        </w:rPr>
      </w:pPr>
      <w:bookmarkStart w:id="409" w:name="_Toc296944543"/>
      <w:bookmarkStart w:id="410" w:name="_Toc312677504"/>
      <w:bookmarkStart w:id="411" w:name="_Toc296891032"/>
      <w:bookmarkStart w:id="412" w:name="_Toc300934995"/>
      <w:bookmarkStart w:id="413" w:name="_Toc312678030"/>
      <w:bookmarkStart w:id="414" w:name="_Toc318581175"/>
      <w:bookmarkStart w:id="415" w:name="_Toc296891244"/>
      <w:bookmarkStart w:id="416" w:name="_Toc303539152"/>
      <w:bookmarkStart w:id="417" w:name="_Toc297120504"/>
      <w:bookmarkStart w:id="418" w:name="_Toc296503204"/>
      <w:bookmarkStart w:id="419" w:name="_Toc292559914"/>
      <w:bookmarkStart w:id="420" w:name="_Toc296347203"/>
      <w:bookmarkStart w:id="421" w:name="_Toc297123546"/>
      <w:bookmarkStart w:id="422" w:name="_Toc296346705"/>
      <w:bookmarkStart w:id="423" w:name="_Toc304295571"/>
      <w:bookmarkStart w:id="424" w:name="_Toc297216205"/>
      <w:bookmarkStart w:id="425" w:name="_Toc292559409"/>
      <w:bookmarkStart w:id="426" w:name="_Toc297048390"/>
      <w:r>
        <w:rPr>
          <w:rFonts w:hAnsi="宋体"/>
          <w:color w:val="auto"/>
          <w:szCs w:val="21"/>
          <w:highlight w:val="none"/>
        </w:rPr>
        <w:t>监理人审查承包人合理化建议的期限：</w:t>
      </w:r>
      <w:r>
        <w:rPr>
          <w:rFonts w:hint="eastAsia" w:ascii="宋体" w:hAnsi="宋体" w:cs="宋体"/>
          <w:color w:val="auto"/>
          <w:szCs w:val="21"/>
          <w:highlight w:val="none"/>
          <w:u w:val="single"/>
        </w:rPr>
        <w:t>监理人应在收到承包人提交的合理化建议后7天内审查完毕并报送发包人，发现其中存在技术上的缺陷，应通知承包人修改</w:t>
      </w:r>
      <w:r>
        <w:rPr>
          <w:rFonts w:hAnsi="宋体"/>
          <w:color w:val="auto"/>
          <w:szCs w:val="21"/>
          <w:highlight w:val="none"/>
        </w:rPr>
        <w:t>。</w:t>
      </w:r>
    </w:p>
    <w:p w14:paraId="10316B5C">
      <w:pPr>
        <w:spacing w:line="360" w:lineRule="auto"/>
        <w:ind w:firstLine="420" w:firstLineChars="200"/>
        <w:jc w:val="left"/>
        <w:rPr>
          <w:color w:val="auto"/>
          <w:szCs w:val="21"/>
          <w:highlight w:val="none"/>
        </w:rPr>
      </w:pPr>
      <w:r>
        <w:rPr>
          <w:rFonts w:hAnsi="宋体"/>
          <w:color w:val="auto"/>
          <w:szCs w:val="21"/>
          <w:highlight w:val="none"/>
        </w:rPr>
        <w:t>发包人审批承包人合理化建议的期限：</w:t>
      </w:r>
      <w:r>
        <w:rPr>
          <w:rFonts w:hint="eastAsia" w:ascii="宋体" w:hAnsi="宋体" w:cs="宋体"/>
          <w:color w:val="auto"/>
          <w:szCs w:val="21"/>
          <w:highlight w:val="none"/>
          <w:u w:val="single"/>
        </w:rPr>
        <w:t>发包人应在收到监理人报送的合理化建议后15日审批完毕</w:t>
      </w:r>
      <w:r>
        <w:rPr>
          <w:rFonts w:hAnsi="宋体"/>
          <w:color w:val="auto"/>
          <w:szCs w:val="21"/>
          <w:highlight w:val="none"/>
        </w:rPr>
        <w:t>。</w:t>
      </w:r>
    </w:p>
    <w:p w14:paraId="5CDA024C">
      <w:pPr>
        <w:spacing w:line="360" w:lineRule="auto"/>
        <w:ind w:firstLine="420" w:firstLineChars="200"/>
        <w:jc w:val="left"/>
        <w:rPr>
          <w:color w:val="auto"/>
          <w:highlight w:val="none"/>
          <w:u w:val="single"/>
        </w:rPr>
      </w:pPr>
      <w:r>
        <w:rPr>
          <w:rFonts w:hAnsi="宋体"/>
          <w:color w:val="auto"/>
          <w:szCs w:val="21"/>
          <w:highlight w:val="none"/>
        </w:rPr>
        <w:t>承包人提出的合理化建议降低了合同价格或者提高了工程经济效益的奖励的方法和金额为：</w:t>
      </w:r>
      <w:r>
        <w:rPr>
          <w:rFonts w:hint="eastAsia"/>
          <w:color w:val="auto"/>
          <w:szCs w:val="21"/>
          <w:highlight w:val="none"/>
          <w:u w:val="single"/>
        </w:rPr>
        <w:t>无</w:t>
      </w:r>
      <w:r>
        <w:rPr>
          <w:rFonts w:hint="eastAsia" w:hAnsi="宋体" w:cs="宋体"/>
          <w:color w:val="auto"/>
          <w:highlight w:val="none"/>
        </w:rPr>
        <w:t>。</w:t>
      </w:r>
    </w:p>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14:paraId="790ED571">
      <w:pPr>
        <w:pStyle w:val="4"/>
        <w:rPr>
          <w:color w:val="auto"/>
          <w:highlight w:val="none"/>
        </w:rPr>
      </w:pPr>
      <w:bookmarkStart w:id="427" w:name="_Toc2045792355"/>
      <w:bookmarkStart w:id="428" w:name="_Toc407135247"/>
      <w:bookmarkStart w:id="429" w:name="_Toc78449833"/>
      <w:bookmarkStart w:id="430" w:name="_Toc373478391"/>
      <w:bookmarkStart w:id="431" w:name="_Toc502454636"/>
      <w:bookmarkStart w:id="432" w:name="_Toc373227744"/>
      <w:bookmarkStart w:id="433" w:name="_Toc389065310"/>
      <w:r>
        <w:rPr>
          <w:color w:val="auto"/>
          <w:highlight w:val="none"/>
        </w:rPr>
        <w:t>1</w:t>
      </w:r>
      <w:bookmarkStart w:id="434" w:name="_Toc292559404"/>
      <w:bookmarkStart w:id="435" w:name="_Toc296346700"/>
      <w:bookmarkStart w:id="436" w:name="_Toc297048385"/>
      <w:bookmarkStart w:id="437" w:name="_Toc296891027"/>
      <w:bookmarkStart w:id="438" w:name="_Toc297123548"/>
      <w:bookmarkStart w:id="439" w:name="_Toc312677507"/>
      <w:bookmarkStart w:id="440" w:name="_Toc312678033"/>
      <w:bookmarkStart w:id="441" w:name="_Toc292559909"/>
      <w:bookmarkStart w:id="442" w:name="_Toc296503199"/>
      <w:bookmarkStart w:id="443" w:name="_Toc297120499"/>
      <w:bookmarkStart w:id="444" w:name="_Toc297216207"/>
      <w:bookmarkStart w:id="445" w:name="_Toc296944538"/>
      <w:bookmarkStart w:id="446" w:name="_Toc303539154"/>
      <w:bookmarkStart w:id="447" w:name="_Toc296891239"/>
      <w:bookmarkStart w:id="448" w:name="_Toc304295574"/>
      <w:bookmarkStart w:id="449" w:name="_Toc296347198"/>
      <w:bookmarkStart w:id="450" w:name="_Toc300934997"/>
      <w:r>
        <w:rPr>
          <w:color w:val="auto"/>
          <w:highlight w:val="none"/>
        </w:rPr>
        <w:t xml:space="preserve">0.7 </w:t>
      </w:r>
      <w:r>
        <w:rPr>
          <w:rFonts w:hint="eastAsia" w:hAnsi="宋体" w:cs="黑体"/>
          <w:color w:val="auto"/>
          <w:highlight w:val="none"/>
        </w:rPr>
        <w:t>暂估价</w:t>
      </w:r>
      <w:bookmarkEnd w:id="427"/>
      <w:bookmarkEnd w:id="428"/>
      <w:bookmarkEnd w:id="429"/>
      <w:bookmarkEnd w:id="430"/>
      <w:bookmarkEnd w:id="431"/>
      <w:bookmarkEnd w:id="432"/>
      <w:bookmarkEnd w:id="433"/>
    </w:p>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14:paraId="2366D862">
      <w:pPr>
        <w:spacing w:line="360" w:lineRule="auto"/>
        <w:ind w:firstLine="420" w:firstLineChars="200"/>
        <w:jc w:val="left"/>
        <w:rPr>
          <w:color w:val="auto"/>
          <w:highlight w:val="none"/>
        </w:rPr>
      </w:pPr>
      <w:r>
        <w:rPr>
          <w:rFonts w:hint="eastAsia" w:hAnsi="宋体" w:cs="宋体"/>
          <w:color w:val="auto"/>
          <w:kern w:val="0"/>
          <w:highlight w:val="none"/>
        </w:rPr>
        <w:t>暂</w:t>
      </w:r>
      <w:bookmarkStart w:id="451" w:name="_Toc312677508"/>
      <w:bookmarkStart w:id="452" w:name="_Toc312678034"/>
      <w:bookmarkStart w:id="453" w:name="_Toc318581176"/>
      <w:r>
        <w:rPr>
          <w:rFonts w:hint="eastAsia" w:hAnsi="宋体" w:cs="宋体"/>
          <w:color w:val="auto"/>
          <w:kern w:val="0"/>
          <w:highlight w:val="none"/>
        </w:rPr>
        <w:t>估价材料和工程设备的明细详见已标价工程量清单《</w:t>
      </w:r>
      <w:r>
        <w:rPr>
          <w:rFonts w:hint="eastAsia" w:cs="宋体"/>
          <w:color w:val="auto"/>
          <w:highlight w:val="none"/>
        </w:rPr>
        <w:t>材料（工程设备）暂估价格及调整表》</w:t>
      </w:r>
      <w:r>
        <w:rPr>
          <w:rFonts w:hint="eastAsia" w:hAnsi="宋体" w:cs="宋体"/>
          <w:color w:val="auto"/>
          <w:kern w:val="0"/>
          <w:highlight w:val="none"/>
        </w:rPr>
        <w:t>（表</w:t>
      </w:r>
      <w:r>
        <w:rPr>
          <w:rFonts w:hAnsi="宋体"/>
          <w:color w:val="auto"/>
          <w:kern w:val="0"/>
          <w:highlight w:val="none"/>
        </w:rPr>
        <w:t>12-2</w:t>
      </w:r>
      <w:r>
        <w:rPr>
          <w:rFonts w:hint="eastAsia" w:hAnsi="宋体" w:cs="宋体"/>
          <w:color w:val="auto"/>
          <w:kern w:val="0"/>
          <w:highlight w:val="none"/>
        </w:rPr>
        <w:t>）和《</w:t>
      </w:r>
      <w:r>
        <w:rPr>
          <w:rFonts w:hint="eastAsia" w:cs="宋体"/>
          <w:color w:val="auto"/>
          <w:highlight w:val="none"/>
        </w:rPr>
        <w:t>专业工程暂估价表》（</w:t>
      </w:r>
      <w:r>
        <w:rPr>
          <w:rFonts w:hint="eastAsia" w:hAnsi="宋体" w:cs="宋体"/>
          <w:color w:val="auto"/>
          <w:kern w:val="0"/>
          <w:highlight w:val="none"/>
        </w:rPr>
        <w:t>表</w:t>
      </w:r>
      <w:r>
        <w:rPr>
          <w:rFonts w:hAnsi="宋体"/>
          <w:color w:val="auto"/>
          <w:kern w:val="0"/>
          <w:highlight w:val="none"/>
        </w:rPr>
        <w:t>12-3</w:t>
      </w:r>
      <w:r>
        <w:rPr>
          <w:rFonts w:hint="eastAsia" w:hAnsi="宋体" w:cs="宋体"/>
          <w:color w:val="auto"/>
          <w:kern w:val="0"/>
          <w:highlight w:val="none"/>
        </w:rPr>
        <w:t>）。</w:t>
      </w:r>
    </w:p>
    <w:bookmarkEnd w:id="451"/>
    <w:bookmarkEnd w:id="452"/>
    <w:bookmarkEnd w:id="453"/>
    <w:p w14:paraId="44A3676E">
      <w:pPr>
        <w:spacing w:line="360" w:lineRule="auto"/>
        <w:ind w:firstLine="420" w:firstLineChars="200"/>
        <w:jc w:val="left"/>
        <w:rPr>
          <w:color w:val="auto"/>
          <w:highlight w:val="none"/>
        </w:rPr>
      </w:pPr>
      <w:r>
        <w:rPr>
          <w:color w:val="auto"/>
          <w:highlight w:val="none"/>
        </w:rPr>
        <w:t>1</w:t>
      </w:r>
      <w:bookmarkStart w:id="454" w:name="_Toc318581177"/>
      <w:bookmarkStart w:id="455" w:name="_Toc312678035"/>
      <w:bookmarkStart w:id="456" w:name="_Toc312677509"/>
      <w:r>
        <w:rPr>
          <w:color w:val="auto"/>
          <w:highlight w:val="none"/>
        </w:rPr>
        <w:t xml:space="preserve">0.7.1 </w:t>
      </w:r>
      <w:r>
        <w:rPr>
          <w:rFonts w:hint="eastAsia" w:hAnsi="宋体" w:cs="宋体"/>
          <w:color w:val="auto"/>
          <w:highlight w:val="none"/>
        </w:rPr>
        <w:t>依法必须招标的暂估价项目</w:t>
      </w:r>
    </w:p>
    <w:bookmarkEnd w:id="454"/>
    <w:bookmarkEnd w:id="455"/>
    <w:bookmarkEnd w:id="456"/>
    <w:p w14:paraId="5204505D">
      <w:pPr>
        <w:spacing w:line="360" w:lineRule="auto"/>
        <w:ind w:firstLine="420" w:firstLineChars="200"/>
        <w:jc w:val="left"/>
        <w:rPr>
          <w:color w:val="auto"/>
          <w:highlight w:val="none"/>
        </w:rPr>
      </w:pPr>
      <w:r>
        <w:rPr>
          <w:rFonts w:hint="eastAsia" w:hAnsi="宋体" w:cs="宋体"/>
          <w:color w:val="auto"/>
          <w:highlight w:val="none"/>
        </w:rPr>
        <w:t>对于依法必须招标的暂估价项目的确认和批准采取第</w:t>
      </w:r>
      <w:r>
        <w:rPr>
          <w:color w:val="auto"/>
          <w:highlight w:val="none"/>
          <w:u w:val="single"/>
        </w:rPr>
        <w:t xml:space="preserve">  </w:t>
      </w:r>
      <w:r>
        <w:rPr>
          <w:rFonts w:hint="eastAsia"/>
          <w:color w:val="auto"/>
          <w:highlight w:val="none"/>
          <w:u w:val="single"/>
          <w:lang w:val="en-US" w:eastAsia="zh-CN"/>
        </w:rPr>
        <w:t>/</w:t>
      </w:r>
      <w:r>
        <w:rPr>
          <w:color w:val="auto"/>
          <w:highlight w:val="none"/>
          <w:u w:val="single"/>
        </w:rPr>
        <w:t xml:space="preserve">  </w:t>
      </w:r>
      <w:r>
        <w:rPr>
          <w:rFonts w:hint="eastAsia" w:hAnsi="宋体" w:cs="宋体"/>
          <w:color w:val="auto"/>
          <w:highlight w:val="none"/>
        </w:rPr>
        <w:t>种方式确定。</w:t>
      </w:r>
    </w:p>
    <w:p w14:paraId="2F1F8007">
      <w:pPr>
        <w:spacing w:line="360" w:lineRule="auto"/>
        <w:ind w:firstLine="420" w:firstLineChars="200"/>
        <w:jc w:val="left"/>
        <w:rPr>
          <w:color w:val="auto"/>
          <w:highlight w:val="none"/>
        </w:rPr>
      </w:pPr>
      <w:r>
        <w:rPr>
          <w:color w:val="auto"/>
          <w:highlight w:val="none"/>
        </w:rPr>
        <w:t xml:space="preserve">10.7.2 </w:t>
      </w:r>
      <w:r>
        <w:rPr>
          <w:rFonts w:hint="eastAsia" w:hAnsi="宋体" w:cs="宋体"/>
          <w:color w:val="auto"/>
          <w:highlight w:val="none"/>
        </w:rPr>
        <w:t>不属于依法必须招标的暂估价项目</w:t>
      </w:r>
    </w:p>
    <w:p w14:paraId="7F42DE66">
      <w:pPr>
        <w:spacing w:line="360" w:lineRule="auto"/>
        <w:ind w:firstLine="420" w:firstLineChars="200"/>
        <w:jc w:val="left"/>
        <w:rPr>
          <w:color w:val="auto"/>
          <w:highlight w:val="none"/>
        </w:rPr>
      </w:pPr>
      <w:r>
        <w:rPr>
          <w:rFonts w:hint="eastAsia" w:hAnsi="宋体" w:cs="宋体"/>
          <w:color w:val="auto"/>
          <w:highlight w:val="none"/>
        </w:rPr>
        <w:t>对于不属于依法必须招标的暂估价项目的确认和批准采取第</w:t>
      </w:r>
      <w:r>
        <w:rPr>
          <w:color w:val="auto"/>
          <w:highlight w:val="none"/>
          <w:u w:val="single"/>
        </w:rPr>
        <w:t xml:space="preserve"> </w:t>
      </w:r>
      <w:r>
        <w:rPr>
          <w:rFonts w:hint="eastAsia"/>
          <w:color w:val="auto"/>
          <w:highlight w:val="none"/>
          <w:u w:val="single"/>
          <w:lang w:val="en-US" w:eastAsia="zh-CN"/>
        </w:rPr>
        <w:t>/</w:t>
      </w:r>
      <w:r>
        <w:rPr>
          <w:color w:val="auto"/>
          <w:highlight w:val="none"/>
          <w:u w:val="single"/>
        </w:rPr>
        <w:t xml:space="preserve">  </w:t>
      </w:r>
      <w:r>
        <w:rPr>
          <w:color w:val="auto"/>
          <w:highlight w:val="none"/>
        </w:rPr>
        <w:t xml:space="preserve"> </w:t>
      </w:r>
      <w:r>
        <w:rPr>
          <w:rFonts w:hint="eastAsia" w:hAnsi="宋体" w:cs="宋体"/>
          <w:color w:val="auto"/>
          <w:highlight w:val="none"/>
        </w:rPr>
        <w:t>种方式确定。</w:t>
      </w:r>
    </w:p>
    <w:p w14:paraId="549AAA08">
      <w:pPr>
        <w:spacing w:line="360" w:lineRule="auto"/>
        <w:ind w:firstLine="420" w:firstLineChars="200"/>
        <w:jc w:val="left"/>
        <w:rPr>
          <w:color w:val="auto"/>
          <w:kern w:val="0"/>
          <w:highlight w:val="none"/>
        </w:rPr>
      </w:pPr>
      <w:r>
        <w:rPr>
          <w:rFonts w:hint="eastAsia" w:hAnsi="宋体" w:cs="宋体"/>
          <w:color w:val="auto"/>
          <w:highlight w:val="none"/>
        </w:rPr>
        <w:t>第</w:t>
      </w:r>
      <w:r>
        <w:rPr>
          <w:color w:val="auto"/>
          <w:highlight w:val="none"/>
        </w:rPr>
        <w:t>3</w:t>
      </w:r>
      <w:r>
        <w:rPr>
          <w:rFonts w:hint="eastAsia" w:hAnsi="宋体" w:cs="宋体"/>
          <w:color w:val="auto"/>
          <w:highlight w:val="none"/>
        </w:rPr>
        <w:t>种方式：</w:t>
      </w:r>
      <w:r>
        <w:rPr>
          <w:rFonts w:hint="eastAsia" w:hAnsi="宋体" w:cs="宋体"/>
          <w:color w:val="auto"/>
          <w:kern w:val="0"/>
          <w:highlight w:val="none"/>
        </w:rPr>
        <w:t>承包人直接实施的暂估价项目</w:t>
      </w:r>
    </w:p>
    <w:p w14:paraId="207B354C">
      <w:pPr>
        <w:spacing w:line="360" w:lineRule="auto"/>
        <w:ind w:firstLine="420" w:firstLineChars="200"/>
        <w:jc w:val="left"/>
        <w:rPr>
          <w:color w:val="auto"/>
          <w:highlight w:val="none"/>
        </w:rPr>
      </w:pPr>
      <w:r>
        <w:rPr>
          <w:rFonts w:hint="eastAsia" w:hAnsi="宋体" w:cs="宋体"/>
          <w:color w:val="auto"/>
          <w:highlight w:val="none"/>
        </w:rPr>
        <w:t>承包人直接实施的暂估价项目的约定：</w:t>
      </w:r>
      <w:r>
        <w:rPr>
          <w:color w:val="auto"/>
          <w:highlight w:val="none"/>
          <w:u w:val="single"/>
        </w:rPr>
        <w:t xml:space="preserve">    </w:t>
      </w:r>
      <w:r>
        <w:rPr>
          <w:rFonts w:hint="eastAsia"/>
          <w:color w:val="auto"/>
          <w:highlight w:val="none"/>
          <w:u w:val="single"/>
          <w:lang w:val="en-US" w:eastAsia="zh-CN"/>
        </w:rPr>
        <w:t>无</w:t>
      </w:r>
      <w:r>
        <w:rPr>
          <w:color w:val="auto"/>
          <w:highlight w:val="none"/>
          <w:u w:val="single"/>
        </w:rPr>
        <w:t xml:space="preserve">   </w:t>
      </w:r>
      <w:r>
        <w:rPr>
          <w:rFonts w:hint="eastAsia" w:hAnsi="宋体" w:cs="宋体"/>
          <w:color w:val="auto"/>
          <w:highlight w:val="none"/>
        </w:rPr>
        <w:t>。</w:t>
      </w:r>
    </w:p>
    <w:p w14:paraId="29FC2399">
      <w:pPr>
        <w:pStyle w:val="4"/>
        <w:rPr>
          <w:color w:val="auto"/>
          <w:highlight w:val="none"/>
        </w:rPr>
      </w:pPr>
      <w:bookmarkStart w:id="457" w:name="_Toc373227745"/>
      <w:bookmarkStart w:id="458" w:name="_Toc78449834"/>
      <w:bookmarkStart w:id="459" w:name="_Toc2032108729"/>
      <w:bookmarkStart w:id="460" w:name="_Toc373478392"/>
      <w:bookmarkStart w:id="461" w:name="_Toc389065311"/>
      <w:bookmarkStart w:id="462" w:name="_Toc2131098822"/>
      <w:bookmarkStart w:id="463" w:name="_Toc407135248"/>
      <w:r>
        <w:rPr>
          <w:color w:val="auto"/>
          <w:highlight w:val="none"/>
        </w:rPr>
        <w:t xml:space="preserve">10.8 </w:t>
      </w:r>
      <w:r>
        <w:rPr>
          <w:rFonts w:hint="eastAsia" w:hAnsi="宋体" w:cs="黑体"/>
          <w:color w:val="auto"/>
          <w:highlight w:val="none"/>
        </w:rPr>
        <w:t>暂列金额</w:t>
      </w:r>
      <w:bookmarkEnd w:id="457"/>
      <w:bookmarkEnd w:id="458"/>
      <w:bookmarkEnd w:id="459"/>
      <w:bookmarkEnd w:id="460"/>
      <w:bookmarkEnd w:id="461"/>
      <w:bookmarkEnd w:id="462"/>
      <w:bookmarkEnd w:id="463"/>
    </w:p>
    <w:p w14:paraId="41EFF42E">
      <w:pPr>
        <w:autoSpaceDE w:val="0"/>
        <w:autoSpaceDN w:val="0"/>
        <w:adjustRightInd w:val="0"/>
        <w:spacing w:line="360" w:lineRule="auto"/>
        <w:ind w:firstLine="420" w:firstLineChars="200"/>
        <w:jc w:val="left"/>
        <w:rPr>
          <w:color w:val="auto"/>
          <w:highlight w:val="none"/>
          <w:u w:val="single"/>
        </w:rPr>
      </w:pPr>
      <w:r>
        <w:rPr>
          <w:rFonts w:hint="eastAsia" w:hAnsi="宋体" w:cs="宋体"/>
          <w:color w:val="auto"/>
          <w:kern w:val="0"/>
          <w:highlight w:val="none"/>
        </w:rPr>
        <w:t>合同当事人关于暂列金额使用的约定：</w:t>
      </w:r>
      <w:r>
        <w:rPr>
          <w:color w:val="auto"/>
          <w:highlight w:val="none"/>
          <w:u w:val="single"/>
        </w:rPr>
        <w:t xml:space="preserve">    </w:t>
      </w:r>
      <w:r>
        <w:rPr>
          <w:rFonts w:hint="eastAsia"/>
          <w:color w:val="auto"/>
          <w:highlight w:val="none"/>
          <w:u w:val="single"/>
          <w:lang w:val="en-US" w:eastAsia="zh-CN"/>
        </w:rPr>
        <w:t>无</w:t>
      </w:r>
      <w:r>
        <w:rPr>
          <w:color w:val="auto"/>
          <w:highlight w:val="none"/>
          <w:u w:val="single"/>
        </w:rPr>
        <w:t xml:space="preserve">  </w:t>
      </w:r>
      <w:r>
        <w:rPr>
          <w:rFonts w:hint="eastAsia" w:hAnsi="宋体" w:cs="宋体"/>
          <w:color w:val="auto"/>
          <w:kern w:val="0"/>
          <w:highlight w:val="none"/>
        </w:rPr>
        <w:t>。</w:t>
      </w:r>
    </w:p>
    <w:p w14:paraId="51C029F2">
      <w:pPr>
        <w:pStyle w:val="3"/>
        <w:numPr>
          <w:ilvl w:val="0"/>
          <w:numId w:val="5"/>
        </w:numPr>
        <w:rPr>
          <w:color w:val="auto"/>
          <w:highlight w:val="none"/>
        </w:rPr>
      </w:pPr>
      <w:bookmarkStart w:id="464" w:name="_Toc78449835"/>
      <w:bookmarkStart w:id="465" w:name="_Toc136736539"/>
      <w:bookmarkStart w:id="466" w:name="_Toc407135249"/>
      <w:bookmarkStart w:id="467" w:name="_Toc373227746"/>
      <w:bookmarkStart w:id="468" w:name="_Toc373478393"/>
      <w:bookmarkStart w:id="469" w:name="_Toc1190723452"/>
      <w:bookmarkStart w:id="470" w:name="_Toc389065312"/>
      <w:bookmarkStart w:id="471" w:name="_Toc351203643"/>
      <w:r>
        <w:rPr>
          <w:rFonts w:hint="eastAsia" w:hAnsi="宋体" w:cs="黑体"/>
          <w:color w:val="auto"/>
          <w:highlight w:val="none"/>
        </w:rPr>
        <w:t>价格调整</w:t>
      </w:r>
      <w:bookmarkEnd w:id="464"/>
      <w:bookmarkEnd w:id="465"/>
      <w:bookmarkEnd w:id="466"/>
      <w:bookmarkEnd w:id="467"/>
      <w:bookmarkEnd w:id="468"/>
      <w:bookmarkEnd w:id="469"/>
      <w:bookmarkEnd w:id="470"/>
      <w:bookmarkEnd w:id="471"/>
    </w:p>
    <w:p w14:paraId="3F4C8080">
      <w:pPr>
        <w:pStyle w:val="4"/>
        <w:rPr>
          <w:color w:val="auto"/>
          <w:highlight w:val="none"/>
        </w:rPr>
      </w:pPr>
      <w:bookmarkStart w:id="472" w:name="_Toc373227747"/>
      <w:bookmarkStart w:id="473" w:name="_Toc78449836"/>
      <w:bookmarkStart w:id="474" w:name="_Toc373478394"/>
      <w:bookmarkStart w:id="475" w:name="_Toc42268484"/>
      <w:bookmarkStart w:id="476" w:name="_Toc407135250"/>
      <w:bookmarkStart w:id="477" w:name="_Toc1501386015"/>
      <w:bookmarkStart w:id="478" w:name="_Toc389065313"/>
      <w:bookmarkStart w:id="479" w:name="_Toc297048387"/>
      <w:bookmarkStart w:id="480" w:name="_Toc292559406"/>
      <w:bookmarkStart w:id="481" w:name="_Toc300935000"/>
      <w:bookmarkStart w:id="482" w:name="_Toc296891241"/>
      <w:bookmarkStart w:id="483" w:name="_Toc296347200"/>
      <w:bookmarkStart w:id="484" w:name="_Toc296346702"/>
      <w:bookmarkStart w:id="485" w:name="_Toc296891029"/>
      <w:bookmarkStart w:id="486" w:name="_Toc297123550"/>
      <w:bookmarkStart w:id="487" w:name="_Toc296503201"/>
      <w:bookmarkStart w:id="488" w:name="_Toc297120501"/>
      <w:bookmarkStart w:id="489" w:name="_Toc292559911"/>
      <w:bookmarkStart w:id="490" w:name="_Toc304295577"/>
      <w:bookmarkStart w:id="491" w:name="_Toc297216209"/>
      <w:bookmarkStart w:id="492" w:name="_Toc296944540"/>
      <w:bookmarkStart w:id="493" w:name="_Toc312678039"/>
      <w:bookmarkStart w:id="494" w:name="_Toc303539157"/>
      <w:r>
        <w:rPr>
          <w:color w:val="auto"/>
          <w:highlight w:val="none"/>
        </w:rPr>
        <w:t xml:space="preserve">11.1 </w:t>
      </w:r>
      <w:r>
        <w:rPr>
          <w:rFonts w:hint="eastAsia" w:cs="黑体"/>
          <w:color w:val="auto"/>
          <w:highlight w:val="none"/>
        </w:rPr>
        <w:t>市场价格波动引起的调整</w:t>
      </w:r>
      <w:bookmarkEnd w:id="472"/>
      <w:bookmarkEnd w:id="473"/>
      <w:bookmarkEnd w:id="474"/>
      <w:bookmarkEnd w:id="475"/>
      <w:bookmarkEnd w:id="476"/>
      <w:bookmarkEnd w:id="477"/>
      <w:bookmarkEnd w:id="478"/>
    </w:p>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14:paraId="65AE12D6">
      <w:pPr>
        <w:spacing w:line="360" w:lineRule="auto"/>
        <w:ind w:firstLine="420" w:firstLineChars="200"/>
        <w:jc w:val="left"/>
        <w:rPr>
          <w:color w:val="auto"/>
          <w:highlight w:val="none"/>
        </w:rPr>
      </w:pPr>
      <w:r>
        <w:rPr>
          <w:rFonts w:hint="eastAsia" w:hAnsi="宋体" w:cs="宋体"/>
          <w:color w:val="auto"/>
          <w:kern w:val="0"/>
          <w:highlight w:val="none"/>
        </w:rPr>
        <w:t>市场价格波动是否调整合同价格的约定：</w:t>
      </w:r>
      <w:r>
        <w:rPr>
          <w:rFonts w:hint="eastAsia"/>
          <w:color w:val="auto"/>
          <w:highlight w:val="none"/>
          <w:u w:val="single"/>
          <w:lang w:eastAsia="zh-CN"/>
        </w:rPr>
        <w:t>否</w:t>
      </w:r>
      <w:r>
        <w:rPr>
          <w:color w:val="auto"/>
          <w:highlight w:val="none"/>
          <w:u w:val="single"/>
        </w:rPr>
        <w:t xml:space="preserve">  </w:t>
      </w:r>
      <w:r>
        <w:rPr>
          <w:rFonts w:hint="eastAsia" w:hAnsi="宋体" w:cs="宋体"/>
          <w:color w:val="auto"/>
          <w:highlight w:val="none"/>
        </w:rPr>
        <w:t>。</w:t>
      </w:r>
    </w:p>
    <w:p w14:paraId="7F54E414">
      <w:pPr>
        <w:spacing w:line="360" w:lineRule="auto"/>
        <w:ind w:firstLine="420" w:firstLineChars="200"/>
        <w:jc w:val="left"/>
        <w:rPr>
          <w:color w:val="auto"/>
          <w:highlight w:val="none"/>
        </w:rPr>
      </w:pPr>
      <w:r>
        <w:rPr>
          <w:rFonts w:hint="eastAsia" w:hAnsi="宋体" w:cs="宋体"/>
          <w:color w:val="auto"/>
          <w:highlight w:val="none"/>
        </w:rPr>
        <w:t>因市场价格波动调整合同价格，采用以下第</w:t>
      </w:r>
      <w:r>
        <w:rPr>
          <w:color w:val="auto"/>
          <w:highlight w:val="none"/>
          <w:u w:val="single"/>
        </w:rPr>
        <w:t xml:space="preserve">    </w:t>
      </w:r>
      <w:r>
        <w:rPr>
          <w:rFonts w:hint="eastAsia" w:hAnsi="宋体" w:cs="宋体"/>
          <w:color w:val="auto"/>
          <w:highlight w:val="none"/>
        </w:rPr>
        <w:t>种方式对合同价格进行调整：</w:t>
      </w:r>
    </w:p>
    <w:p w14:paraId="35FA534C">
      <w:pPr>
        <w:spacing w:line="360" w:lineRule="auto"/>
        <w:ind w:firstLine="420" w:firstLineChars="200"/>
        <w:jc w:val="left"/>
        <w:rPr>
          <w:color w:val="auto"/>
          <w:highlight w:val="none"/>
        </w:rPr>
      </w:pPr>
      <w:r>
        <w:rPr>
          <w:rFonts w:hint="eastAsia" w:hAnsi="宋体" w:cs="宋体"/>
          <w:color w:val="auto"/>
          <w:highlight w:val="none"/>
        </w:rPr>
        <w:t>第</w:t>
      </w:r>
      <w:r>
        <w:rPr>
          <w:color w:val="auto"/>
          <w:highlight w:val="none"/>
        </w:rPr>
        <w:t>1</w:t>
      </w:r>
      <w:r>
        <w:rPr>
          <w:rFonts w:hint="eastAsia" w:hAnsi="宋体" w:cs="宋体"/>
          <w:color w:val="auto"/>
          <w:highlight w:val="none"/>
        </w:rPr>
        <w:t>种方式：采用价格指数进行价格调整。</w:t>
      </w:r>
    </w:p>
    <w:p w14:paraId="3E12F339">
      <w:pPr>
        <w:spacing w:line="360" w:lineRule="auto"/>
        <w:ind w:firstLine="420" w:firstLineChars="200"/>
        <w:jc w:val="left"/>
        <w:rPr>
          <w:color w:val="auto"/>
          <w:highlight w:val="none"/>
          <w:u w:val="single"/>
        </w:rPr>
      </w:pPr>
      <w:r>
        <w:rPr>
          <w:rFonts w:hint="eastAsia" w:hAnsi="宋体" w:cs="宋体"/>
          <w:color w:val="auto"/>
          <w:highlight w:val="none"/>
        </w:rPr>
        <w:t>关于各可调因子、定值和变值权重，以及基本价格指数及其来源的约定：</w:t>
      </w:r>
      <w:r>
        <w:rPr>
          <w:color w:val="auto"/>
          <w:highlight w:val="none"/>
          <w:u w:val="single"/>
        </w:rPr>
        <w:t xml:space="preserve">                </w:t>
      </w:r>
      <w:r>
        <w:rPr>
          <w:rFonts w:hint="eastAsia" w:hAnsi="宋体" w:cs="宋体"/>
          <w:color w:val="auto"/>
          <w:highlight w:val="none"/>
        </w:rPr>
        <w:t>；</w:t>
      </w:r>
      <w:r>
        <w:rPr>
          <w:color w:val="auto"/>
          <w:highlight w:val="none"/>
        </w:rPr>
        <w:t xml:space="preserve">  </w:t>
      </w:r>
    </w:p>
    <w:p w14:paraId="4BF9BA10">
      <w:pPr>
        <w:spacing w:line="360" w:lineRule="auto"/>
        <w:ind w:firstLine="420" w:firstLineChars="200"/>
        <w:jc w:val="left"/>
        <w:rPr>
          <w:rFonts w:hAnsi="宋体"/>
          <w:color w:val="auto"/>
          <w:highlight w:val="none"/>
        </w:rPr>
      </w:pPr>
      <w:r>
        <w:rPr>
          <w:rFonts w:hint="eastAsia" w:hAnsi="宋体" w:cs="宋体"/>
          <w:color w:val="auto"/>
          <w:highlight w:val="none"/>
        </w:rPr>
        <w:t>第</w:t>
      </w:r>
      <w:r>
        <w:rPr>
          <w:color w:val="auto"/>
          <w:highlight w:val="none"/>
        </w:rPr>
        <w:t>2</w:t>
      </w:r>
      <w:r>
        <w:rPr>
          <w:rFonts w:hint="eastAsia" w:hAnsi="宋体" w:cs="宋体"/>
          <w:color w:val="auto"/>
          <w:highlight w:val="none"/>
        </w:rPr>
        <w:t>种方式：采用造价信息进行价格调整。</w:t>
      </w:r>
    </w:p>
    <w:p w14:paraId="295D39CD">
      <w:pPr>
        <w:spacing w:line="360" w:lineRule="auto"/>
        <w:ind w:firstLine="420" w:firstLineChars="200"/>
        <w:jc w:val="left"/>
        <w:rPr>
          <w:rFonts w:hAnsi="宋体"/>
          <w:color w:val="auto"/>
          <w:highlight w:val="none"/>
        </w:rPr>
      </w:pPr>
      <w:r>
        <w:rPr>
          <w:rFonts w:hint="eastAsia" w:hAnsi="宋体" w:cs="宋体"/>
          <w:color w:val="auto"/>
          <w:highlight w:val="none"/>
        </w:rPr>
        <w:t>（</w:t>
      </w:r>
      <w:r>
        <w:rPr>
          <w:color w:val="auto"/>
          <w:highlight w:val="none"/>
        </w:rPr>
        <w:t>1</w:t>
      </w:r>
      <w:r>
        <w:rPr>
          <w:rFonts w:hint="eastAsia" w:hAnsi="宋体" w:cs="宋体"/>
          <w:color w:val="auto"/>
          <w:highlight w:val="none"/>
        </w:rPr>
        <w:t>）允许调整主要材料和</w:t>
      </w:r>
      <w:r>
        <w:rPr>
          <w:rFonts w:hint="default" w:hAnsi="宋体" w:cs="宋体"/>
          <w:color w:val="auto"/>
          <w:highlight w:val="none"/>
          <w:lang w:val="en"/>
        </w:rPr>
        <w:t>工程</w:t>
      </w:r>
      <w:r>
        <w:rPr>
          <w:rFonts w:hint="eastAsia" w:hAnsi="宋体" w:cs="宋体"/>
          <w:color w:val="auto"/>
          <w:highlight w:val="none"/>
        </w:rPr>
        <w:t>设备、基期价格、风险系数、投标报价详见《</w:t>
      </w:r>
      <w:r>
        <w:rPr>
          <w:rFonts w:hint="default" w:hAnsi="宋体" w:cs="宋体"/>
          <w:color w:val="auto"/>
          <w:highlight w:val="none"/>
          <w:lang w:val="en" w:eastAsia="zh-CN"/>
        </w:rPr>
        <w:t>允许调整</w:t>
      </w:r>
      <w:r>
        <w:rPr>
          <w:rFonts w:hint="eastAsia" w:hAnsi="宋体" w:cs="宋体"/>
          <w:color w:val="auto"/>
          <w:highlight w:val="none"/>
        </w:rPr>
        <w:t>主要材料和</w:t>
      </w:r>
      <w:r>
        <w:rPr>
          <w:rFonts w:hint="default" w:hAnsi="宋体" w:cs="宋体"/>
          <w:color w:val="auto"/>
          <w:highlight w:val="none"/>
          <w:lang w:val="en"/>
        </w:rPr>
        <w:t>工程</w:t>
      </w:r>
      <w:r>
        <w:rPr>
          <w:rFonts w:hint="eastAsia" w:hAnsi="宋体" w:cs="宋体"/>
          <w:color w:val="auto"/>
          <w:highlight w:val="none"/>
        </w:rPr>
        <w:t>设备一览表》</w:t>
      </w:r>
      <w:r>
        <w:rPr>
          <w:rFonts w:hint="eastAsia" w:ascii="宋体" w:hAnsi="宋体"/>
          <w:color w:val="auto"/>
          <w:kern w:val="0"/>
          <w:sz w:val="20"/>
          <w:highlight w:val="none"/>
        </w:rPr>
        <w:t>（表</w:t>
      </w:r>
      <w:r>
        <w:rPr>
          <w:rFonts w:ascii="宋体" w:hAnsi="宋体"/>
          <w:color w:val="auto"/>
          <w:kern w:val="0"/>
          <w:sz w:val="20"/>
          <w:highlight w:val="none"/>
        </w:rPr>
        <w:t>-22</w:t>
      </w:r>
      <w:r>
        <w:rPr>
          <w:rFonts w:hint="eastAsia" w:ascii="宋体" w:hAnsi="宋体"/>
          <w:color w:val="auto"/>
          <w:kern w:val="0"/>
          <w:sz w:val="20"/>
          <w:highlight w:val="none"/>
        </w:rPr>
        <w:t>）</w:t>
      </w:r>
      <w:r>
        <w:rPr>
          <w:rFonts w:hint="eastAsia" w:ascii="宋体" w:hAnsi="宋体"/>
          <w:color w:val="auto"/>
          <w:kern w:val="0"/>
          <w:sz w:val="20"/>
          <w:highlight w:val="none"/>
          <w:lang w:eastAsia="zh-CN"/>
        </w:rPr>
        <w:t>，</w:t>
      </w:r>
      <w:r>
        <w:rPr>
          <w:rFonts w:hint="eastAsia" w:hAnsi="宋体" w:cs="宋体"/>
          <w:color w:val="auto"/>
          <w:highlight w:val="none"/>
        </w:rPr>
        <w:t>价</w:t>
      </w:r>
      <w:r>
        <w:rPr>
          <w:rFonts w:hAnsi="宋体" w:cs="宋体"/>
          <w:color w:val="auto"/>
          <w:highlight w:val="none"/>
        </w:rPr>
        <w:t>差</w:t>
      </w:r>
      <w:r>
        <w:rPr>
          <w:rFonts w:hint="eastAsia" w:ascii="Calibri" w:hAnsi="宋体" w:cs="宋体"/>
          <w:color w:val="auto"/>
          <w:highlight w:val="none"/>
        </w:rPr>
        <w:t>调整部分仅计算税金，除此表列明的材料、设备外，其余材料设备价差原则上不予调整。</w:t>
      </w:r>
    </w:p>
    <w:p w14:paraId="5FBE5DDA">
      <w:pPr>
        <w:spacing w:line="360" w:lineRule="auto"/>
        <w:ind w:firstLine="420" w:firstLineChars="200"/>
        <w:jc w:val="left"/>
        <w:rPr>
          <w:rFonts w:hAnsi="宋体"/>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）主要材料和</w:t>
      </w:r>
      <w:r>
        <w:rPr>
          <w:rFonts w:hint="default" w:hAnsi="宋体" w:cs="宋体"/>
          <w:color w:val="auto"/>
          <w:highlight w:val="none"/>
          <w:lang w:val="en"/>
        </w:rPr>
        <w:t>工程</w:t>
      </w:r>
      <w:r>
        <w:rPr>
          <w:rFonts w:hint="eastAsia" w:hAnsi="宋体" w:cs="宋体"/>
          <w:color w:val="auto"/>
          <w:highlight w:val="none"/>
        </w:rPr>
        <w:t>设备确认价：</w:t>
      </w:r>
    </w:p>
    <w:p w14:paraId="1DDD80BA">
      <w:pPr>
        <w:spacing w:line="360" w:lineRule="auto"/>
        <w:ind w:firstLine="420" w:firstLineChars="200"/>
        <w:jc w:val="left"/>
        <w:rPr>
          <w:color w:val="auto"/>
          <w:highlight w:val="none"/>
        </w:rPr>
      </w:pPr>
      <w:r>
        <w:rPr>
          <w:rFonts w:hint="eastAsia" w:hAnsi="宋体" w:cs="宋体"/>
          <w:color w:val="auto"/>
          <w:highlight w:val="none"/>
        </w:rPr>
        <w:t>按施工期间《</w:t>
      </w:r>
      <w:r>
        <w:rPr>
          <w:color w:val="auto"/>
          <w:highlight w:val="none"/>
          <w:u w:val="single"/>
        </w:rPr>
        <w:t xml:space="preserve">       </w:t>
      </w:r>
      <w:r>
        <w:rPr>
          <w:rFonts w:hint="eastAsia" w:hAnsi="宋体" w:cs="宋体"/>
          <w:color w:val="auto"/>
          <w:highlight w:val="none"/>
        </w:rPr>
        <w:t>市建设工程造价信息》材料信息价的加权平均价计算，信息价没有的按通用条款规定确定。</w:t>
      </w:r>
    </w:p>
    <w:p w14:paraId="59AD1A13">
      <w:pPr>
        <w:spacing w:line="360" w:lineRule="auto"/>
        <w:ind w:firstLine="420" w:firstLineChars="200"/>
        <w:jc w:val="left"/>
        <w:rPr>
          <w:rFonts w:hAnsi="宋体"/>
          <w:color w:val="auto"/>
          <w:highlight w:val="none"/>
        </w:rPr>
      </w:pPr>
      <w:r>
        <w:rPr>
          <w:rFonts w:hint="eastAsia" w:hAnsi="宋体" w:cs="宋体"/>
          <w:color w:val="auto"/>
          <w:highlight w:val="none"/>
        </w:rPr>
        <w:t>（</w:t>
      </w:r>
      <w:r>
        <w:rPr>
          <w:color w:val="auto"/>
          <w:highlight w:val="none"/>
        </w:rPr>
        <w:t>3</w:t>
      </w:r>
      <w:r>
        <w:rPr>
          <w:rFonts w:hint="eastAsia" w:hAnsi="宋体" w:cs="宋体"/>
          <w:color w:val="auto"/>
          <w:highlight w:val="none"/>
        </w:rPr>
        <w:t>）价差计算方法：</w:t>
      </w:r>
    </w:p>
    <w:p w14:paraId="1A4E0B15">
      <w:pPr>
        <w:spacing w:line="360" w:lineRule="auto"/>
        <w:ind w:firstLine="420" w:firstLineChars="200"/>
        <w:jc w:val="left"/>
        <w:rPr>
          <w:rFonts w:hAnsi="宋体"/>
          <w:color w:val="auto"/>
          <w:highlight w:val="none"/>
        </w:rPr>
      </w:pPr>
      <w:r>
        <w:rPr>
          <w:rFonts w:hint="eastAsia" w:hAnsi="宋体" w:cs="宋体"/>
          <w:color w:val="auto"/>
          <w:highlight w:val="none"/>
        </w:rPr>
        <w:t>①《</w:t>
      </w:r>
      <w:r>
        <w:rPr>
          <w:rFonts w:hint="default" w:hAnsi="宋体" w:cs="宋体"/>
          <w:color w:val="auto"/>
          <w:highlight w:val="none"/>
          <w:lang w:val="en" w:eastAsia="zh-CN"/>
        </w:rPr>
        <w:t>允许调整</w:t>
      </w:r>
      <w:r>
        <w:rPr>
          <w:rFonts w:hint="eastAsia" w:hAnsi="宋体" w:cs="宋体"/>
          <w:color w:val="auto"/>
          <w:highlight w:val="none"/>
        </w:rPr>
        <w:t>主要材料和</w:t>
      </w:r>
      <w:r>
        <w:rPr>
          <w:rFonts w:hint="eastAsia" w:hAnsi="宋体" w:cs="宋体"/>
          <w:color w:val="auto"/>
          <w:highlight w:val="none"/>
          <w:lang w:eastAsia="zh-CN"/>
        </w:rPr>
        <w:t>工程</w:t>
      </w:r>
      <w:r>
        <w:rPr>
          <w:rFonts w:hint="eastAsia" w:hAnsi="宋体" w:cs="宋体"/>
          <w:color w:val="auto"/>
          <w:highlight w:val="none"/>
        </w:rPr>
        <w:t>设备一览表》中载明的材料和设备投标报价低于基准价格的：合同履行期间材料和设备单价涨幅以基准价格为基础超过约定的风险范围时，或材料和设备单价跌幅以投标报价为基础超过约定的风险范围时，对其超过部分进行价差调整，价差计算公式：价格上涨价差=确认价-基准价*（1+风险系数），价格下跌价差=确认价-投标报价*（1+风险系数）。</w:t>
      </w:r>
    </w:p>
    <w:p w14:paraId="39389F40">
      <w:pPr>
        <w:spacing w:line="360" w:lineRule="auto"/>
        <w:ind w:firstLine="420" w:firstLineChars="200"/>
        <w:jc w:val="left"/>
        <w:rPr>
          <w:rFonts w:hAnsi="宋体"/>
          <w:color w:val="auto"/>
          <w:highlight w:val="none"/>
        </w:rPr>
      </w:pPr>
      <w:r>
        <w:rPr>
          <w:rFonts w:hint="eastAsia" w:hAnsi="宋体" w:cs="宋体"/>
          <w:color w:val="auto"/>
          <w:highlight w:val="none"/>
        </w:rPr>
        <w:t>②承包人在《</w:t>
      </w:r>
      <w:r>
        <w:rPr>
          <w:rFonts w:hint="default" w:hAnsi="宋体" w:cs="宋体"/>
          <w:color w:val="auto"/>
          <w:highlight w:val="none"/>
          <w:lang w:val="en" w:eastAsia="zh-CN"/>
        </w:rPr>
        <w:t>允许调整</w:t>
      </w:r>
      <w:r>
        <w:rPr>
          <w:rFonts w:hint="eastAsia" w:hAnsi="宋体" w:cs="宋体"/>
          <w:color w:val="auto"/>
          <w:highlight w:val="none"/>
        </w:rPr>
        <w:t>主要材料和</w:t>
      </w:r>
      <w:r>
        <w:rPr>
          <w:rFonts w:hint="eastAsia" w:hAnsi="宋体" w:cs="宋体"/>
          <w:color w:val="auto"/>
          <w:highlight w:val="none"/>
          <w:lang w:eastAsia="zh-CN"/>
        </w:rPr>
        <w:t>工程</w:t>
      </w:r>
      <w:r>
        <w:rPr>
          <w:rFonts w:hint="eastAsia" w:hAnsi="宋体" w:cs="宋体"/>
          <w:color w:val="auto"/>
          <w:highlight w:val="none"/>
        </w:rPr>
        <w:t>设备一览表》中载明的材料和设备投标报价高于基准价格的：合同履行期间材料和设备单价跌幅以基准价格为基础超过约定的风险范围时，或材料和设备单价涨幅以投标报价为基础超过约定的风险范围时，对其超过部分进行价差调整。价差计算公式：价格上涨价差=确认价-投标报价*（1+风险系数），价格下跌价差=确认价-基准价*（1+风险系数。）</w:t>
      </w:r>
    </w:p>
    <w:p w14:paraId="285129EC">
      <w:pPr>
        <w:spacing w:line="360" w:lineRule="auto"/>
        <w:ind w:firstLine="420" w:firstLineChars="200"/>
        <w:jc w:val="left"/>
        <w:rPr>
          <w:color w:val="auto"/>
          <w:highlight w:val="none"/>
        </w:rPr>
      </w:pPr>
      <w:r>
        <w:rPr>
          <w:rFonts w:hint="eastAsia" w:hAnsi="宋体" w:cs="宋体"/>
          <w:color w:val="auto"/>
          <w:highlight w:val="none"/>
        </w:rPr>
        <w:t>③承包人在《</w:t>
      </w:r>
      <w:r>
        <w:rPr>
          <w:rFonts w:hint="default" w:hAnsi="宋体" w:cs="宋体"/>
          <w:color w:val="auto"/>
          <w:highlight w:val="none"/>
          <w:lang w:val="en" w:eastAsia="zh-CN"/>
        </w:rPr>
        <w:t>允许调整</w:t>
      </w:r>
      <w:r>
        <w:rPr>
          <w:rFonts w:hint="eastAsia" w:hAnsi="宋体" w:cs="宋体"/>
          <w:color w:val="auto"/>
          <w:highlight w:val="none"/>
        </w:rPr>
        <w:t>主要材料和</w:t>
      </w:r>
      <w:r>
        <w:rPr>
          <w:rFonts w:hint="eastAsia" w:hAnsi="宋体" w:cs="宋体"/>
          <w:color w:val="auto"/>
          <w:highlight w:val="none"/>
          <w:lang w:eastAsia="zh-CN"/>
        </w:rPr>
        <w:t>工程</w:t>
      </w:r>
      <w:r>
        <w:rPr>
          <w:rFonts w:hint="eastAsia" w:hAnsi="宋体" w:cs="宋体"/>
          <w:color w:val="auto"/>
          <w:highlight w:val="none"/>
        </w:rPr>
        <w:t>设备一览表》中载明的材料和设备单价等于基准单价的：合同履行期间材料和设备单价涨跌幅以基准单价为基础超过约定的风险范围时，对其超过部分进行价差调整。价差计算公式：上涨或下跌价差=确认价-基准单价*（1+风险系数））</w:t>
      </w:r>
    </w:p>
    <w:p w14:paraId="7ABCBBF1">
      <w:pPr>
        <w:spacing w:line="360" w:lineRule="auto"/>
        <w:ind w:firstLine="645"/>
        <w:jc w:val="left"/>
        <w:rPr>
          <w:color w:val="auto"/>
          <w:highlight w:val="none"/>
        </w:rPr>
      </w:pPr>
      <w:r>
        <w:rPr>
          <w:rFonts w:hint="eastAsia" w:hAnsi="宋体" w:cs="宋体"/>
          <w:color w:val="auto"/>
          <w:highlight w:val="none"/>
        </w:rPr>
        <w:t>第</w:t>
      </w:r>
      <w:r>
        <w:rPr>
          <w:rFonts w:hAnsi="宋体"/>
          <w:color w:val="auto"/>
          <w:highlight w:val="none"/>
        </w:rPr>
        <w:t>3</w:t>
      </w:r>
      <w:r>
        <w:rPr>
          <w:rFonts w:hint="eastAsia" w:hAnsi="宋体" w:cs="宋体"/>
          <w:color w:val="auto"/>
          <w:highlight w:val="none"/>
        </w:rPr>
        <w:t>种方式：</w:t>
      </w:r>
      <w:r>
        <w:rPr>
          <w:color w:val="auto"/>
          <w:highlight w:val="none"/>
          <w:u w:val="single"/>
        </w:rPr>
        <w:t xml:space="preserve">                                                            </w:t>
      </w:r>
      <w:r>
        <w:rPr>
          <w:color w:val="auto"/>
          <w:highlight w:val="none"/>
        </w:rPr>
        <w:t xml:space="preserve"> </w:t>
      </w:r>
      <w:r>
        <w:rPr>
          <w:rFonts w:hint="eastAsia" w:cs="宋体"/>
          <w:color w:val="auto"/>
          <w:highlight w:val="none"/>
        </w:rPr>
        <w:t>。</w:t>
      </w:r>
    </w:p>
    <w:bookmarkEnd w:id="325"/>
    <w:bookmarkEnd w:id="326"/>
    <w:bookmarkEnd w:id="327"/>
    <w:bookmarkEnd w:id="328"/>
    <w:bookmarkEnd w:id="329"/>
    <w:bookmarkEnd w:id="330"/>
    <w:p w14:paraId="7B879574">
      <w:pPr>
        <w:pStyle w:val="3"/>
        <w:rPr>
          <w:color w:val="auto"/>
          <w:highlight w:val="none"/>
        </w:rPr>
      </w:pPr>
      <w:bookmarkStart w:id="495" w:name="_Toc296346706"/>
      <w:bookmarkStart w:id="496" w:name="_Toc296503205"/>
      <w:bookmarkStart w:id="497" w:name="_Toc292559410"/>
      <w:bookmarkStart w:id="498" w:name="_Toc297120505"/>
      <w:bookmarkStart w:id="499" w:name="_Toc296891033"/>
      <w:bookmarkStart w:id="500" w:name="_Toc297048391"/>
      <w:bookmarkStart w:id="501" w:name="_Toc296944544"/>
      <w:bookmarkStart w:id="502" w:name="_Toc292559915"/>
      <w:bookmarkStart w:id="503" w:name="_Toc296347204"/>
      <w:bookmarkStart w:id="504" w:name="_Toc296891245"/>
      <w:bookmarkStart w:id="505" w:name="_Toc407135251"/>
      <w:bookmarkStart w:id="506" w:name="_Toc373227748"/>
      <w:bookmarkStart w:id="507" w:name="_Toc1720046426"/>
      <w:bookmarkStart w:id="508" w:name="_Toc373478395"/>
      <w:bookmarkStart w:id="509" w:name="_Toc351203644"/>
      <w:bookmarkStart w:id="510" w:name="_Toc78449837"/>
      <w:bookmarkStart w:id="511" w:name="_Toc1935657796"/>
      <w:bookmarkStart w:id="512" w:name="_Toc312678040"/>
      <w:bookmarkStart w:id="513" w:name="_Toc304295579"/>
      <w:bookmarkStart w:id="514" w:name="_Toc297123552"/>
      <w:bookmarkStart w:id="515" w:name="_Toc297216211"/>
      <w:bookmarkStart w:id="516" w:name="_Toc303539159"/>
      <w:bookmarkStart w:id="517" w:name="_Toc300935002"/>
      <w:r>
        <w:rPr>
          <w:color w:val="auto"/>
          <w:highlight w:val="none"/>
        </w:rPr>
        <w:t xml:space="preserve">12. </w:t>
      </w:r>
      <w:bookmarkEnd w:id="495"/>
      <w:bookmarkEnd w:id="496"/>
      <w:bookmarkEnd w:id="497"/>
      <w:bookmarkEnd w:id="498"/>
      <w:bookmarkEnd w:id="499"/>
      <w:bookmarkEnd w:id="500"/>
      <w:bookmarkEnd w:id="501"/>
      <w:bookmarkEnd w:id="502"/>
      <w:bookmarkEnd w:id="503"/>
      <w:bookmarkEnd w:id="504"/>
      <w:r>
        <w:rPr>
          <w:rFonts w:hint="eastAsia" w:cs="黑体"/>
          <w:color w:val="auto"/>
          <w:highlight w:val="none"/>
        </w:rPr>
        <w:t>合同价格、计量与支付</w:t>
      </w:r>
      <w:bookmarkEnd w:id="505"/>
      <w:bookmarkEnd w:id="506"/>
      <w:bookmarkEnd w:id="507"/>
      <w:bookmarkEnd w:id="508"/>
      <w:bookmarkEnd w:id="509"/>
      <w:bookmarkEnd w:id="510"/>
      <w:bookmarkEnd w:id="511"/>
    </w:p>
    <w:bookmarkEnd w:id="512"/>
    <w:bookmarkEnd w:id="513"/>
    <w:bookmarkEnd w:id="514"/>
    <w:bookmarkEnd w:id="515"/>
    <w:bookmarkEnd w:id="516"/>
    <w:bookmarkEnd w:id="517"/>
    <w:p w14:paraId="6164ECC7">
      <w:pPr>
        <w:pStyle w:val="4"/>
        <w:rPr>
          <w:color w:val="auto"/>
          <w:highlight w:val="none"/>
        </w:rPr>
      </w:pPr>
      <w:bookmarkStart w:id="518" w:name="_Toc267251461"/>
      <w:bookmarkStart w:id="519" w:name="_Toc292559411"/>
      <w:bookmarkStart w:id="520" w:name="_Toc292559916"/>
      <w:bookmarkStart w:id="521" w:name="_Toc296944545"/>
      <w:bookmarkStart w:id="522" w:name="_Toc296347205"/>
      <w:bookmarkStart w:id="523" w:name="_Toc296891034"/>
      <w:bookmarkStart w:id="524" w:name="_Toc297048392"/>
      <w:bookmarkStart w:id="525" w:name="_Toc297120506"/>
      <w:bookmarkStart w:id="526" w:name="_Toc296346707"/>
      <w:bookmarkStart w:id="527" w:name="_Toc296891246"/>
      <w:bookmarkStart w:id="528" w:name="_Toc296503206"/>
      <w:bookmarkStart w:id="529" w:name="_Toc389065314"/>
      <w:bookmarkStart w:id="530" w:name="_Toc373478396"/>
      <w:bookmarkStart w:id="531" w:name="_Toc1395756356"/>
      <w:bookmarkStart w:id="532" w:name="_Toc1894565429"/>
      <w:bookmarkStart w:id="533" w:name="_Toc407135252"/>
      <w:bookmarkStart w:id="534" w:name="_Toc78449838"/>
      <w:bookmarkStart w:id="535" w:name="_Toc373227749"/>
      <w:bookmarkStart w:id="536" w:name="_Toc304295580"/>
      <w:bookmarkStart w:id="537" w:name="_Toc297123553"/>
      <w:bookmarkStart w:id="538" w:name="_Toc300935003"/>
      <w:bookmarkStart w:id="539" w:name="_Toc297216212"/>
      <w:bookmarkStart w:id="540" w:name="_Toc303539160"/>
      <w:bookmarkStart w:id="541" w:name="_Toc312678041"/>
      <w:r>
        <w:rPr>
          <w:color w:val="auto"/>
          <w:highlight w:val="none"/>
        </w:rPr>
        <w:t xml:space="preserve">12.1 </w:t>
      </w:r>
      <w:r>
        <w:rPr>
          <w:rFonts w:hint="eastAsia" w:hAnsi="宋体" w:cs="黑体"/>
          <w:color w:val="auto"/>
          <w:highlight w:val="none"/>
        </w:rPr>
        <w:t>合</w:t>
      </w:r>
      <w:bookmarkEnd w:id="518"/>
      <w:bookmarkEnd w:id="519"/>
      <w:bookmarkEnd w:id="520"/>
      <w:r>
        <w:rPr>
          <w:rFonts w:hint="eastAsia" w:hAnsi="宋体" w:cs="黑体"/>
          <w:color w:val="auto"/>
          <w:highlight w:val="none"/>
        </w:rPr>
        <w:t>同价</w:t>
      </w:r>
      <w:bookmarkEnd w:id="521"/>
      <w:bookmarkEnd w:id="522"/>
      <w:bookmarkEnd w:id="523"/>
      <w:bookmarkEnd w:id="524"/>
      <w:bookmarkEnd w:id="525"/>
      <w:bookmarkEnd w:id="526"/>
      <w:bookmarkEnd w:id="527"/>
      <w:bookmarkEnd w:id="528"/>
      <w:r>
        <w:rPr>
          <w:rFonts w:hint="eastAsia" w:hAnsi="宋体" w:cs="黑体"/>
          <w:color w:val="auto"/>
          <w:highlight w:val="none"/>
        </w:rPr>
        <w:t>格形式</w:t>
      </w:r>
      <w:bookmarkEnd w:id="529"/>
      <w:bookmarkEnd w:id="530"/>
      <w:bookmarkEnd w:id="531"/>
      <w:bookmarkEnd w:id="532"/>
      <w:bookmarkEnd w:id="533"/>
      <w:bookmarkEnd w:id="534"/>
      <w:bookmarkEnd w:id="535"/>
    </w:p>
    <w:bookmarkEnd w:id="536"/>
    <w:bookmarkEnd w:id="537"/>
    <w:bookmarkEnd w:id="538"/>
    <w:bookmarkEnd w:id="539"/>
    <w:bookmarkEnd w:id="540"/>
    <w:bookmarkEnd w:id="541"/>
    <w:p w14:paraId="69254400">
      <w:pPr>
        <w:spacing w:line="360" w:lineRule="auto"/>
        <w:ind w:firstLine="420" w:firstLineChars="200"/>
        <w:jc w:val="left"/>
        <w:rPr>
          <w:rFonts w:hAnsi="宋体"/>
          <w:color w:val="auto"/>
          <w:highlight w:val="none"/>
        </w:rPr>
      </w:pPr>
      <w:bookmarkStart w:id="542" w:name="_Toc373478397"/>
      <w:bookmarkStart w:id="543" w:name="_Toc389065315"/>
      <w:bookmarkStart w:id="544" w:name="_Toc373227750"/>
      <w:bookmarkStart w:id="545" w:name="_Toc297216213"/>
      <w:bookmarkStart w:id="546" w:name="_Toc297123554"/>
      <w:bookmarkStart w:id="547" w:name="_Toc304295581"/>
      <w:bookmarkStart w:id="548" w:name="_Toc303539161"/>
      <w:bookmarkStart w:id="549" w:name="_Toc312678042"/>
      <w:bookmarkStart w:id="550" w:name="_Toc300935004"/>
      <w:bookmarkStart w:id="551" w:name="_Toc292559917"/>
      <w:bookmarkStart w:id="552" w:name="_Toc296891247"/>
      <w:bookmarkStart w:id="553" w:name="_Toc297048393"/>
      <w:bookmarkStart w:id="554" w:name="_Toc297120507"/>
      <w:bookmarkStart w:id="555" w:name="_Toc296346708"/>
      <w:bookmarkStart w:id="556" w:name="_Toc296944546"/>
      <w:bookmarkStart w:id="557" w:name="_Toc296503207"/>
      <w:bookmarkStart w:id="558" w:name="_Toc296347206"/>
      <w:bookmarkStart w:id="559" w:name="_Toc296891035"/>
      <w:bookmarkStart w:id="560" w:name="_Toc292559412"/>
      <w:r>
        <w:rPr>
          <w:rFonts w:hint="eastAsia" w:hAnsi="宋体" w:cs="宋体"/>
          <w:color w:val="auto"/>
          <w:highlight w:val="none"/>
        </w:rPr>
        <w:t>本工程采用</w:t>
      </w:r>
      <w:r>
        <w:rPr>
          <w:rFonts w:hAnsi="宋体"/>
          <w:color w:val="auto"/>
          <w:highlight w:val="none"/>
          <w:u w:val="single"/>
        </w:rPr>
        <w:t xml:space="preserve">    </w:t>
      </w:r>
      <w:r>
        <w:rPr>
          <w:rFonts w:hint="eastAsia" w:hAnsi="宋体"/>
          <w:color w:val="auto"/>
          <w:highlight w:val="none"/>
          <w:u w:val="single"/>
          <w:lang w:eastAsia="zh-CN"/>
        </w:rPr>
        <w:t>（</w:t>
      </w:r>
      <w:r>
        <w:rPr>
          <w:rFonts w:hint="eastAsia" w:hAnsi="宋体"/>
          <w:color w:val="auto"/>
          <w:highlight w:val="none"/>
          <w:u w:val="single"/>
          <w:lang w:val="en-US" w:eastAsia="zh-CN"/>
        </w:rPr>
        <w:t>1</w:t>
      </w:r>
      <w:r>
        <w:rPr>
          <w:rFonts w:hint="eastAsia" w:hAnsi="宋体"/>
          <w:color w:val="auto"/>
          <w:highlight w:val="none"/>
          <w:u w:val="single"/>
          <w:lang w:eastAsia="zh-CN"/>
        </w:rPr>
        <w:t>）单价合同</w:t>
      </w:r>
      <w:r>
        <w:rPr>
          <w:rFonts w:hAnsi="宋体"/>
          <w:color w:val="auto"/>
          <w:highlight w:val="none"/>
          <w:u w:val="single"/>
        </w:rPr>
        <w:t xml:space="preserve">   </w:t>
      </w:r>
      <w:r>
        <w:rPr>
          <w:rFonts w:hint="eastAsia" w:hAnsi="宋体" w:cs="宋体"/>
          <w:color w:val="auto"/>
          <w:highlight w:val="none"/>
        </w:rPr>
        <w:t>合同价格形式，合同价格包含增值税，本工程计价时采用的增值税计税方法为：</w:t>
      </w:r>
      <w:r>
        <w:rPr>
          <w:rFonts w:hint="eastAsia" w:ascii="宋体" w:hAnsi="宋体" w:cs="宋体"/>
          <w:color w:val="auto"/>
          <w:highlight w:val="none"/>
          <w:lang w:eastAsia="zh-CN"/>
        </w:rPr>
        <w:t>☑</w:t>
      </w:r>
      <w:r>
        <w:rPr>
          <w:rFonts w:hint="eastAsia" w:hAnsi="宋体" w:cs="宋体"/>
          <w:color w:val="auto"/>
          <w:highlight w:val="none"/>
        </w:rPr>
        <w:t xml:space="preserve">一般计税法   </w:t>
      </w:r>
      <w:r>
        <w:rPr>
          <w:rFonts w:hint="eastAsia" w:ascii="宋体" w:hAnsi="宋体" w:cs="宋体"/>
          <w:color w:val="auto"/>
          <w:highlight w:val="none"/>
        </w:rPr>
        <w:t>□</w:t>
      </w:r>
      <w:r>
        <w:rPr>
          <w:rFonts w:hint="eastAsia" w:hAnsi="宋体" w:cs="宋体"/>
          <w:color w:val="auto"/>
          <w:highlight w:val="none"/>
        </w:rPr>
        <w:t>简易计税法。</w:t>
      </w:r>
    </w:p>
    <w:p w14:paraId="53782A3B">
      <w:pPr>
        <w:spacing w:line="360" w:lineRule="auto"/>
        <w:ind w:firstLine="420" w:firstLineChars="200"/>
        <w:jc w:val="left"/>
        <w:rPr>
          <w:rFonts w:hAnsi="宋体"/>
          <w:color w:val="auto"/>
          <w:highlight w:val="none"/>
        </w:rPr>
      </w:pPr>
      <w:r>
        <w:rPr>
          <w:rFonts w:hint="eastAsia" w:hAnsi="宋体" w:cs="宋体"/>
          <w:color w:val="auto"/>
          <w:highlight w:val="none"/>
        </w:rPr>
        <w:t>（</w:t>
      </w:r>
      <w:r>
        <w:rPr>
          <w:rFonts w:hAnsi="宋体"/>
          <w:color w:val="auto"/>
          <w:highlight w:val="none"/>
        </w:rPr>
        <w:t>1</w:t>
      </w:r>
      <w:r>
        <w:rPr>
          <w:rFonts w:hint="eastAsia" w:hAnsi="宋体" w:cs="宋体"/>
          <w:color w:val="auto"/>
          <w:highlight w:val="none"/>
        </w:rPr>
        <w:t>）单价合同。</w:t>
      </w:r>
    </w:p>
    <w:p w14:paraId="25C539DB">
      <w:pPr>
        <w:spacing w:line="360" w:lineRule="auto"/>
        <w:ind w:firstLine="420" w:firstLineChars="200"/>
        <w:jc w:val="left"/>
        <w:rPr>
          <w:rFonts w:hAnsi="宋体"/>
          <w:color w:val="auto"/>
          <w:highlight w:val="none"/>
        </w:rPr>
      </w:pPr>
      <w:r>
        <w:rPr>
          <w:rFonts w:hint="eastAsia" w:hAnsi="宋体" w:cs="宋体"/>
          <w:color w:val="auto"/>
          <w:highlight w:val="none"/>
        </w:rPr>
        <w:t>采用综合单价合同方式时，工程量按建设单位、监理单位、施工单位三方确认的竣工图结算。</w:t>
      </w:r>
    </w:p>
    <w:p w14:paraId="7D2E0113">
      <w:pPr>
        <w:spacing w:line="360" w:lineRule="auto"/>
        <w:ind w:firstLine="420" w:firstLineChars="200"/>
        <w:jc w:val="left"/>
        <w:rPr>
          <w:rFonts w:hAnsi="宋体"/>
          <w:color w:val="auto"/>
          <w:highlight w:val="none"/>
        </w:rPr>
      </w:pPr>
      <w:r>
        <w:rPr>
          <w:rFonts w:hint="eastAsia" w:hAnsi="宋体" w:cs="宋体"/>
          <w:color w:val="auto"/>
          <w:highlight w:val="none"/>
        </w:rPr>
        <w:t>综合单价包含的风险范围：</w:t>
      </w:r>
      <w:r>
        <w:rPr>
          <w:rFonts w:hint="eastAsia" w:hAnsi="宋体" w:cs="宋体"/>
          <w:color w:val="auto"/>
          <w:highlight w:val="none"/>
          <w:u w:val="single"/>
        </w:rPr>
        <w:t>除工程变更、项目特征不符、工程量清单缺项、工程量偏差、政策性调整、市场价格波动。</w:t>
      </w:r>
    </w:p>
    <w:p w14:paraId="04D29972">
      <w:pPr>
        <w:spacing w:line="360" w:lineRule="auto"/>
        <w:ind w:firstLine="420" w:firstLineChars="200"/>
        <w:jc w:val="left"/>
        <w:rPr>
          <w:rFonts w:hAnsi="宋体" w:cs="宋体"/>
          <w:color w:val="auto"/>
          <w:highlight w:val="none"/>
        </w:rPr>
      </w:pPr>
      <w:r>
        <w:rPr>
          <w:rFonts w:hint="eastAsia" w:hAnsi="宋体" w:cs="宋体"/>
          <w:color w:val="auto"/>
          <w:highlight w:val="none"/>
        </w:rPr>
        <w:t>风险范围以外合同价格的调整方法：</w:t>
      </w:r>
    </w:p>
    <w:p w14:paraId="3A2E1020">
      <w:pPr>
        <w:spacing w:line="360" w:lineRule="auto"/>
        <w:ind w:firstLine="420" w:firstLineChars="200"/>
        <w:jc w:val="left"/>
        <w:rPr>
          <w:b/>
          <w:bCs/>
          <w:color w:val="auto"/>
          <w:szCs w:val="21"/>
          <w:highlight w:val="none"/>
        </w:rPr>
      </w:pPr>
      <w:r>
        <w:rPr>
          <w:color w:val="auto"/>
          <w:szCs w:val="21"/>
          <w:highlight w:val="none"/>
        </w:rPr>
        <w:t>①</w:t>
      </w:r>
      <w:r>
        <w:rPr>
          <w:b/>
          <w:bCs/>
          <w:color w:val="auto"/>
          <w:szCs w:val="21"/>
          <w:highlight w:val="none"/>
        </w:rPr>
        <w:t>本合同实施期间因工程变更、项目特征不符、工程量清单缺项引起工程项目、工程量变化的，其工程量按实际发生并监理工程师及发包人确认，变更合同价款按下列方法进行：工程量清单中有相同细目的按成交人磋商时的成交单价进行结算，工程量清单中有类似细目的参考类似成交单价结算；工程量清单中没有适用或类似于变更工程的价格，则有定额的套定额计算，执行本采购文件工程计价参考依据，并乘以下浮系数（成交价/控制价）结算，其中材料价格有信息价的按施工期间信息价的</w:t>
      </w:r>
      <w:r>
        <w:rPr>
          <w:rFonts w:hint="eastAsia"/>
          <w:b/>
          <w:bCs/>
          <w:color w:val="auto"/>
          <w:szCs w:val="21"/>
          <w:highlight w:val="none"/>
          <w:lang w:eastAsia="zh-CN"/>
        </w:rPr>
        <w:t>算术平均</w:t>
      </w:r>
      <w:r>
        <w:rPr>
          <w:b/>
          <w:bCs/>
          <w:color w:val="auto"/>
          <w:szCs w:val="21"/>
          <w:highlight w:val="none"/>
        </w:rPr>
        <w:t>价计取，无信息价的由发包人、监理单位及承包人根据市场价格协商议定；新增项目无定额可套的，由发包人、监理单位及承包人根据市场协商确定；新增结算单价=综合单价×（成交价/控制价）。</w:t>
      </w:r>
    </w:p>
    <w:p w14:paraId="1995B4E4">
      <w:pPr>
        <w:spacing w:line="360" w:lineRule="auto"/>
        <w:ind w:firstLine="422" w:firstLineChars="200"/>
        <w:jc w:val="left"/>
        <w:rPr>
          <w:b/>
          <w:bCs/>
          <w:color w:val="auto"/>
          <w:szCs w:val="21"/>
          <w:highlight w:val="none"/>
        </w:rPr>
      </w:pPr>
      <w:r>
        <w:rPr>
          <w:b/>
          <w:bCs/>
          <w:color w:val="auto"/>
          <w:szCs w:val="21"/>
          <w:highlight w:val="none"/>
        </w:rPr>
        <w:t>②工程量偏差：如果承包人实际完成工程量与招标工程量偏差超过15%以上且该单项造价超过合同总价1%以上的，则超过15%以上增加部分工程量或减少后剩余部分工程量的综合单价按以下方法计算：有定额的套定额计算，执行本采购文件工程计价参考依据，并乘以下浮系数（成交价/控制价）结算，其中材料价格有信息价的按施工期间信息价的</w:t>
      </w:r>
      <w:r>
        <w:rPr>
          <w:rFonts w:hint="eastAsia"/>
          <w:b/>
          <w:bCs/>
          <w:color w:val="auto"/>
          <w:szCs w:val="21"/>
          <w:highlight w:val="none"/>
          <w:lang w:eastAsia="zh-CN"/>
        </w:rPr>
        <w:t>算术平均</w:t>
      </w:r>
      <w:r>
        <w:rPr>
          <w:b/>
          <w:bCs/>
          <w:color w:val="auto"/>
          <w:szCs w:val="21"/>
          <w:highlight w:val="none"/>
        </w:rPr>
        <w:t>价计取，无信息价的由发包人、监理单位及承包人根据市场价格协商议定。</w:t>
      </w:r>
    </w:p>
    <w:p w14:paraId="51E3FE0F">
      <w:pPr>
        <w:spacing w:line="360" w:lineRule="auto"/>
        <w:ind w:firstLine="422" w:firstLineChars="200"/>
        <w:jc w:val="left"/>
        <w:rPr>
          <w:color w:val="auto"/>
          <w:szCs w:val="21"/>
          <w:highlight w:val="none"/>
        </w:rPr>
      </w:pPr>
      <w:r>
        <w:rPr>
          <w:b/>
          <w:bCs/>
          <w:color w:val="auto"/>
          <w:szCs w:val="21"/>
          <w:highlight w:val="none"/>
        </w:rPr>
        <w:t>③政策性调整：</w:t>
      </w:r>
      <w:r>
        <w:rPr>
          <w:color w:val="auto"/>
          <w:szCs w:val="21"/>
          <w:highlight w:val="none"/>
        </w:rPr>
        <w:t>按自治区</w:t>
      </w:r>
      <w:r>
        <w:rPr>
          <w:rFonts w:hint="eastAsia"/>
          <w:color w:val="auto"/>
          <w:szCs w:val="21"/>
          <w:highlight w:val="none"/>
          <w:lang w:eastAsia="zh-CN"/>
        </w:rPr>
        <w:t>住房和城乡建设厅</w:t>
      </w:r>
      <w:r>
        <w:rPr>
          <w:color w:val="auto"/>
          <w:szCs w:val="21"/>
          <w:highlight w:val="none"/>
        </w:rPr>
        <w:t>或工程所在地住房城乡建设主管部门颁布的文件执行。</w:t>
      </w:r>
    </w:p>
    <w:p w14:paraId="3642D225">
      <w:pPr>
        <w:spacing w:line="360" w:lineRule="auto"/>
        <w:ind w:firstLine="422" w:firstLineChars="200"/>
        <w:jc w:val="left"/>
        <w:rPr>
          <w:b/>
          <w:bCs/>
          <w:color w:val="auto"/>
          <w:szCs w:val="21"/>
          <w:highlight w:val="none"/>
        </w:rPr>
      </w:pPr>
      <w:r>
        <w:rPr>
          <w:b/>
          <w:bCs/>
          <w:color w:val="auto"/>
          <w:szCs w:val="21"/>
          <w:highlight w:val="none"/>
        </w:rPr>
        <w:t>④材料及设备价格风险：无</w:t>
      </w:r>
    </w:p>
    <w:p w14:paraId="66AB68A6">
      <w:pPr>
        <w:spacing w:line="360" w:lineRule="auto"/>
        <w:ind w:firstLine="422" w:firstLineChars="200"/>
        <w:jc w:val="left"/>
        <w:rPr>
          <w:b/>
          <w:bCs/>
          <w:color w:val="auto"/>
          <w:szCs w:val="21"/>
          <w:highlight w:val="none"/>
        </w:rPr>
      </w:pPr>
      <w:r>
        <w:rPr>
          <w:b/>
          <w:bCs/>
          <w:color w:val="auto"/>
          <w:szCs w:val="21"/>
          <w:highlight w:val="none"/>
        </w:rPr>
        <w:t>材料及设备风险的约定：无</w:t>
      </w:r>
    </w:p>
    <w:p w14:paraId="5735C40A">
      <w:pPr>
        <w:spacing w:line="360" w:lineRule="auto"/>
        <w:ind w:firstLine="422" w:firstLineChars="200"/>
        <w:jc w:val="left"/>
        <w:rPr>
          <w:b/>
          <w:bCs/>
          <w:color w:val="auto"/>
          <w:szCs w:val="21"/>
          <w:highlight w:val="none"/>
        </w:rPr>
      </w:pPr>
      <w:r>
        <w:rPr>
          <w:b/>
          <w:bCs/>
          <w:color w:val="auto"/>
          <w:szCs w:val="21"/>
          <w:highlight w:val="none"/>
        </w:rPr>
        <w:t>⑤</w:t>
      </w:r>
      <w:r>
        <w:rPr>
          <w:rFonts w:hint="eastAsia"/>
          <w:b/>
          <w:bCs/>
          <w:color w:val="auto"/>
          <w:szCs w:val="21"/>
          <w:highlight w:val="none"/>
          <w:lang w:eastAsia="zh-CN"/>
        </w:rPr>
        <w:t>其他</w:t>
      </w:r>
      <w:r>
        <w:rPr>
          <w:b/>
          <w:bCs/>
          <w:color w:val="auto"/>
          <w:szCs w:val="21"/>
          <w:highlight w:val="none"/>
        </w:rPr>
        <w:t>：措施项目费调整原则按《</w:t>
      </w:r>
      <w:r>
        <w:rPr>
          <w:rFonts w:hint="eastAsia"/>
          <w:b/>
          <w:bCs/>
          <w:color w:val="auto"/>
          <w:szCs w:val="21"/>
          <w:highlight w:val="none"/>
          <w:lang w:eastAsia="zh-CN"/>
        </w:rPr>
        <w:t>（</w:t>
      </w:r>
      <w:r>
        <w:rPr>
          <w:b/>
          <w:bCs/>
          <w:color w:val="auto"/>
          <w:szCs w:val="21"/>
          <w:highlight w:val="none"/>
        </w:rPr>
        <w:t>GB50500-2013</w:t>
      </w:r>
      <w:r>
        <w:rPr>
          <w:rFonts w:hint="eastAsia"/>
          <w:b/>
          <w:bCs/>
          <w:color w:val="auto"/>
          <w:szCs w:val="21"/>
          <w:highlight w:val="none"/>
          <w:lang w:eastAsia="zh-CN"/>
        </w:rPr>
        <w:t>）</w:t>
      </w:r>
      <w:r>
        <w:rPr>
          <w:b/>
          <w:bCs/>
          <w:color w:val="auto"/>
          <w:szCs w:val="21"/>
          <w:highlight w:val="none"/>
        </w:rPr>
        <w:t>建设工程工程量清单计价规范</w:t>
      </w:r>
      <w:r>
        <w:rPr>
          <w:rFonts w:hint="eastAsia"/>
          <w:b/>
          <w:bCs/>
          <w:color w:val="auto"/>
          <w:szCs w:val="21"/>
          <w:highlight w:val="none"/>
          <w:lang w:eastAsia="zh-CN"/>
        </w:rPr>
        <w:t>－</w:t>
      </w:r>
      <w:r>
        <w:rPr>
          <w:b/>
          <w:bCs/>
          <w:color w:val="auto"/>
          <w:szCs w:val="21"/>
          <w:highlight w:val="none"/>
        </w:rPr>
        <w:t>广西壮族自治区实施细则》第9.3.2款执行。无约定的参照我区现行《建设工程工程量清单计价规范</w:t>
      </w:r>
      <w:r>
        <w:rPr>
          <w:rFonts w:hint="eastAsia"/>
          <w:b/>
          <w:bCs/>
          <w:color w:val="auto"/>
          <w:szCs w:val="21"/>
          <w:highlight w:val="none"/>
          <w:lang w:eastAsia="zh-CN"/>
        </w:rPr>
        <w:t>》等</w:t>
      </w:r>
      <w:r>
        <w:rPr>
          <w:b/>
          <w:bCs/>
          <w:color w:val="auto"/>
          <w:szCs w:val="21"/>
          <w:highlight w:val="none"/>
        </w:rPr>
        <w:t>相关规定执行。</w:t>
      </w:r>
    </w:p>
    <w:p w14:paraId="64B53921">
      <w:pPr>
        <w:spacing w:line="360" w:lineRule="auto"/>
        <w:ind w:firstLine="420" w:firstLineChars="200"/>
        <w:jc w:val="left"/>
        <w:rPr>
          <w:rFonts w:hAnsi="宋体"/>
          <w:color w:val="auto"/>
          <w:highlight w:val="none"/>
        </w:rPr>
      </w:pPr>
      <w:r>
        <w:rPr>
          <w:color w:val="auto"/>
          <w:highlight w:val="none"/>
        </w:rPr>
        <w:t>本工程最终结算以</w:t>
      </w:r>
      <w:r>
        <w:rPr>
          <w:color w:val="auto"/>
          <w:szCs w:val="21"/>
          <w:highlight w:val="none"/>
        </w:rPr>
        <w:t>业主有关部门</w:t>
      </w:r>
      <w:r>
        <w:rPr>
          <w:color w:val="auto"/>
          <w:highlight w:val="none"/>
        </w:rPr>
        <w:t>审定为准。</w:t>
      </w:r>
    </w:p>
    <w:p w14:paraId="7B19DFA2">
      <w:pPr>
        <w:spacing w:line="360" w:lineRule="auto"/>
        <w:ind w:firstLine="420" w:firstLineChars="200"/>
        <w:jc w:val="left"/>
        <w:rPr>
          <w:rFonts w:hAnsi="宋体"/>
          <w:color w:val="auto"/>
          <w:highlight w:val="none"/>
        </w:rPr>
      </w:pPr>
      <w:r>
        <w:rPr>
          <w:rFonts w:hint="eastAsia" w:hAnsi="宋体" w:cs="宋体"/>
          <w:color w:val="auto"/>
          <w:highlight w:val="none"/>
        </w:rPr>
        <w:t>（</w:t>
      </w:r>
      <w:r>
        <w:rPr>
          <w:rFonts w:hAnsi="宋体"/>
          <w:color w:val="auto"/>
          <w:highlight w:val="none"/>
        </w:rPr>
        <w:t>2</w:t>
      </w:r>
      <w:r>
        <w:rPr>
          <w:rFonts w:hint="eastAsia" w:hAnsi="宋体" w:cs="宋体"/>
          <w:color w:val="auto"/>
          <w:highlight w:val="none"/>
        </w:rPr>
        <w:t>）总价合同。</w:t>
      </w:r>
    </w:p>
    <w:p w14:paraId="3EFEEF79">
      <w:pPr>
        <w:spacing w:line="360" w:lineRule="auto"/>
        <w:ind w:firstLine="420" w:firstLineChars="200"/>
        <w:jc w:val="left"/>
        <w:rPr>
          <w:rFonts w:hAnsi="宋体"/>
          <w:color w:val="auto"/>
          <w:highlight w:val="none"/>
        </w:rPr>
      </w:pPr>
      <w:r>
        <w:rPr>
          <w:rFonts w:hint="eastAsia" w:hAnsi="宋体" w:cs="宋体"/>
          <w:color w:val="auto"/>
          <w:highlight w:val="none"/>
        </w:rPr>
        <w:t>总价包含的风险范围：包含除工程变更、政策性调整、</w:t>
      </w:r>
      <w:r>
        <w:rPr>
          <w:rFonts w:hint="eastAsia" w:hAnsi="宋体" w:cs="宋体"/>
          <w:color w:val="auto"/>
          <w:highlight w:val="none"/>
          <w:u w:val="single"/>
        </w:rPr>
        <w:t>市场价格波动。除工程变更外，结算时不再对招标施工图对应的工程量重新计量</w:t>
      </w:r>
      <w:r>
        <w:rPr>
          <w:rFonts w:hAnsi="宋体"/>
          <w:color w:val="auto"/>
          <w:highlight w:val="none"/>
          <w:u w:val="single"/>
        </w:rPr>
        <w:t xml:space="preserve">    </w:t>
      </w:r>
      <w:r>
        <w:rPr>
          <w:rFonts w:hint="eastAsia" w:hAnsi="宋体" w:cs="宋体"/>
          <w:color w:val="auto"/>
          <w:highlight w:val="none"/>
        </w:rPr>
        <w:t>。</w:t>
      </w:r>
    </w:p>
    <w:p w14:paraId="3F9F1052">
      <w:pPr>
        <w:spacing w:line="360" w:lineRule="auto"/>
        <w:ind w:firstLine="420" w:firstLineChars="200"/>
        <w:jc w:val="left"/>
        <w:rPr>
          <w:rFonts w:hint="eastAsia" w:cs="宋体"/>
          <w:color w:val="auto"/>
          <w:highlight w:val="none"/>
        </w:rPr>
      </w:pPr>
      <w:r>
        <w:rPr>
          <w:rFonts w:hint="eastAsia" w:cs="宋体"/>
          <w:color w:val="auto"/>
          <w:highlight w:val="none"/>
        </w:rPr>
        <w:t>风险范围以外合同价格的调整方法：</w:t>
      </w:r>
    </w:p>
    <w:p w14:paraId="452BFF7C">
      <w:pPr>
        <w:spacing w:line="360" w:lineRule="auto"/>
        <w:ind w:firstLine="420" w:firstLineChars="200"/>
        <w:jc w:val="left"/>
        <w:rPr>
          <w:rFonts w:hint="eastAsia" w:cs="宋体"/>
          <w:color w:val="auto"/>
          <w:highlight w:val="none"/>
        </w:rPr>
      </w:pPr>
      <w:r>
        <w:rPr>
          <w:rFonts w:hint="eastAsia" w:cs="宋体"/>
          <w:color w:val="auto"/>
          <w:highlight w:val="none"/>
          <w:lang w:eastAsia="zh-CN"/>
        </w:rPr>
        <w:t>①</w:t>
      </w:r>
      <w:r>
        <w:rPr>
          <w:rFonts w:hint="eastAsia" w:cs="宋体"/>
          <w:color w:val="auto"/>
          <w:highlight w:val="none"/>
        </w:rPr>
        <w:t>工程变更：按10.4.1变更估价原则的约定调整。</w:t>
      </w:r>
    </w:p>
    <w:p w14:paraId="20D93603">
      <w:pPr>
        <w:spacing w:line="360" w:lineRule="auto"/>
        <w:ind w:firstLine="420" w:firstLineChars="200"/>
        <w:jc w:val="left"/>
        <w:rPr>
          <w:rFonts w:hint="eastAsia" w:cs="宋体"/>
          <w:color w:val="auto"/>
          <w:highlight w:val="none"/>
        </w:rPr>
      </w:pPr>
      <w:r>
        <w:rPr>
          <w:rFonts w:hint="eastAsia" w:cs="宋体"/>
          <w:color w:val="auto"/>
          <w:highlight w:val="none"/>
        </w:rPr>
        <w:t>②政策性调整：按国家、自治区</w:t>
      </w:r>
      <w:r>
        <w:rPr>
          <w:rFonts w:hint="eastAsia" w:cs="宋体"/>
          <w:color w:val="auto"/>
          <w:highlight w:val="none"/>
          <w:lang w:eastAsia="zh-CN"/>
        </w:rPr>
        <w:t>住房和城乡建设厅</w:t>
      </w:r>
      <w:r>
        <w:rPr>
          <w:rFonts w:hint="eastAsia" w:cs="宋体"/>
          <w:color w:val="auto"/>
          <w:highlight w:val="none"/>
        </w:rPr>
        <w:t>或工程所在地市级住房城乡建设主管部门颁布的文件执行。</w:t>
      </w:r>
    </w:p>
    <w:p w14:paraId="4A0C86CA">
      <w:pPr>
        <w:spacing w:line="360" w:lineRule="auto"/>
        <w:ind w:firstLine="420" w:firstLineChars="200"/>
        <w:jc w:val="left"/>
        <w:rPr>
          <w:rFonts w:hAnsi="宋体" w:cs="宋体"/>
          <w:color w:val="auto"/>
          <w:highlight w:val="none"/>
        </w:rPr>
      </w:pPr>
      <w:r>
        <w:rPr>
          <w:rFonts w:hint="eastAsia" w:hAnsi="宋体" w:cs="宋体"/>
          <w:color w:val="auto"/>
          <w:highlight w:val="none"/>
        </w:rPr>
        <w:t>③市场波动引起的调整：按</w:t>
      </w:r>
      <w:r>
        <w:rPr>
          <w:rFonts w:hAnsi="宋体" w:cs="宋体"/>
          <w:color w:val="auto"/>
          <w:highlight w:val="none"/>
        </w:rPr>
        <w:t>11.1</w:t>
      </w:r>
      <w:r>
        <w:rPr>
          <w:rFonts w:hint="eastAsia" w:hAnsi="宋体" w:cs="宋体"/>
          <w:color w:val="auto"/>
          <w:highlight w:val="none"/>
        </w:rPr>
        <w:t>的约定调整。</w:t>
      </w:r>
    </w:p>
    <w:p w14:paraId="58E21F56">
      <w:pPr>
        <w:spacing w:line="360" w:lineRule="auto"/>
        <w:ind w:firstLine="420" w:firstLineChars="200"/>
        <w:jc w:val="left"/>
        <w:rPr>
          <w:rFonts w:hAnsi="宋体"/>
          <w:color w:val="auto"/>
          <w:highlight w:val="none"/>
        </w:rPr>
      </w:pPr>
      <w:r>
        <w:rPr>
          <w:rFonts w:hAnsi="宋体" w:cs="宋体"/>
          <w:color w:val="auto"/>
          <w:highlight w:val="none"/>
        </w:rPr>
        <w:fldChar w:fldCharType="begin"/>
      </w:r>
      <w:r>
        <w:rPr>
          <w:rFonts w:hAnsi="宋体" w:cs="宋体"/>
          <w:color w:val="auto"/>
          <w:highlight w:val="none"/>
        </w:rPr>
        <w:instrText xml:space="preserve"> </w:instrText>
      </w:r>
      <w:r>
        <w:rPr>
          <w:rFonts w:hint="eastAsia" w:hAnsi="宋体" w:cs="宋体"/>
          <w:color w:val="auto"/>
          <w:highlight w:val="none"/>
        </w:rPr>
        <w:instrText xml:space="preserve">= 4 \* GB3</w:instrText>
      </w:r>
      <w:r>
        <w:rPr>
          <w:rFonts w:hAnsi="宋体" w:cs="宋体"/>
          <w:color w:val="auto"/>
          <w:highlight w:val="none"/>
        </w:rPr>
        <w:instrText xml:space="preserve"> </w:instrText>
      </w:r>
      <w:r>
        <w:rPr>
          <w:rFonts w:hAnsi="宋体" w:cs="宋体"/>
          <w:color w:val="auto"/>
          <w:highlight w:val="none"/>
        </w:rPr>
        <w:fldChar w:fldCharType="separate"/>
      </w:r>
      <w:r>
        <w:rPr>
          <w:rFonts w:hint="eastAsia" w:hAnsi="宋体" w:cs="宋体"/>
          <w:color w:val="auto"/>
          <w:highlight w:val="none"/>
        </w:rPr>
        <w:t>④</w:t>
      </w:r>
      <w:r>
        <w:rPr>
          <w:rFonts w:hint="eastAsia" w:hAnsi="宋体" w:cs="宋体"/>
          <w:color w:val="auto"/>
          <w:highlight w:val="none"/>
          <w:lang w:eastAsia="zh-CN"/>
        </w:rPr>
        <w:t>其他</w:t>
      </w:r>
      <w:r>
        <w:rPr>
          <w:rFonts w:hAnsi="宋体" w:cs="宋体"/>
          <w:color w:val="auto"/>
          <w:highlight w:val="none"/>
        </w:rPr>
        <w:fldChar w:fldCharType="end"/>
      </w:r>
      <w:r>
        <w:rPr>
          <w:rFonts w:hint="eastAsia" w:hAnsi="宋体" w:cs="宋体"/>
          <w:color w:val="auto"/>
          <w:highlight w:val="none"/>
        </w:rPr>
        <w:t>：</w:t>
      </w:r>
      <w:r>
        <w:rPr>
          <w:rFonts w:hAnsi="宋体"/>
          <w:color w:val="auto"/>
          <w:highlight w:val="none"/>
          <w:u w:val="single"/>
        </w:rPr>
        <w:t xml:space="preserve">  </w:t>
      </w:r>
      <w:r>
        <w:rPr>
          <w:rFonts w:hint="eastAsia" w:hAnsi="宋体"/>
          <w:color w:val="auto"/>
          <w:highlight w:val="none"/>
          <w:u w:val="single"/>
          <w:lang w:val="en-US" w:eastAsia="zh-CN"/>
        </w:rPr>
        <w:t>/</w:t>
      </w:r>
      <w:r>
        <w:rPr>
          <w:rFonts w:hAnsi="宋体"/>
          <w:color w:val="auto"/>
          <w:highlight w:val="none"/>
          <w:u w:val="single"/>
        </w:rPr>
        <w:t xml:space="preserve">  </w:t>
      </w:r>
      <w:r>
        <w:rPr>
          <w:rFonts w:hint="eastAsia" w:hAnsi="宋体" w:cs="宋体"/>
          <w:color w:val="auto"/>
          <w:highlight w:val="none"/>
        </w:rPr>
        <w:t>。</w:t>
      </w:r>
    </w:p>
    <w:p w14:paraId="04BF47C5">
      <w:pPr>
        <w:spacing w:line="360" w:lineRule="auto"/>
        <w:ind w:firstLine="420" w:firstLineChars="200"/>
        <w:jc w:val="left"/>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）其他价格方式：</w:t>
      </w:r>
      <w:r>
        <w:rPr>
          <w:color w:val="auto"/>
          <w:highlight w:val="none"/>
          <w:u w:val="single"/>
        </w:rPr>
        <w:t xml:space="preserve">  </w:t>
      </w:r>
      <w:r>
        <w:rPr>
          <w:rFonts w:hint="eastAsia"/>
          <w:color w:val="auto"/>
          <w:highlight w:val="none"/>
          <w:u w:val="single"/>
          <w:lang w:val="en-US" w:eastAsia="zh-CN"/>
        </w:rPr>
        <w:t>/</w:t>
      </w:r>
      <w:r>
        <w:rPr>
          <w:color w:val="auto"/>
          <w:highlight w:val="none"/>
          <w:u w:val="single"/>
        </w:rPr>
        <w:t xml:space="preserve">  </w:t>
      </w:r>
      <w:r>
        <w:rPr>
          <w:rFonts w:hint="eastAsia" w:cs="宋体"/>
          <w:color w:val="auto"/>
          <w:highlight w:val="none"/>
        </w:rPr>
        <w:t>。</w:t>
      </w:r>
    </w:p>
    <w:p w14:paraId="6884C5EC">
      <w:pPr>
        <w:pStyle w:val="4"/>
        <w:rPr>
          <w:color w:val="auto"/>
          <w:highlight w:val="none"/>
        </w:rPr>
      </w:pPr>
      <w:bookmarkStart w:id="561" w:name="_Toc1681900246"/>
      <w:bookmarkStart w:id="562" w:name="_Toc1338560546"/>
      <w:bookmarkStart w:id="563" w:name="_Toc407135253"/>
      <w:bookmarkStart w:id="564" w:name="_Toc78449839"/>
      <w:r>
        <w:rPr>
          <w:color w:val="auto"/>
          <w:highlight w:val="none"/>
        </w:rPr>
        <w:t xml:space="preserve">12.2 </w:t>
      </w:r>
      <w:r>
        <w:rPr>
          <w:rFonts w:hint="eastAsia" w:hAnsi="宋体" w:cs="黑体"/>
          <w:color w:val="auto"/>
          <w:highlight w:val="none"/>
        </w:rPr>
        <w:t>预付款</w:t>
      </w:r>
      <w:bookmarkEnd w:id="542"/>
      <w:bookmarkEnd w:id="543"/>
      <w:bookmarkEnd w:id="544"/>
      <w:bookmarkEnd w:id="561"/>
      <w:bookmarkEnd w:id="562"/>
      <w:bookmarkEnd w:id="563"/>
      <w:bookmarkEnd w:id="564"/>
    </w:p>
    <w:bookmarkEnd w:id="545"/>
    <w:bookmarkEnd w:id="546"/>
    <w:bookmarkEnd w:id="547"/>
    <w:bookmarkEnd w:id="548"/>
    <w:bookmarkEnd w:id="549"/>
    <w:bookmarkEnd w:id="550"/>
    <w:p w14:paraId="4B02826E">
      <w:pPr>
        <w:spacing w:line="360" w:lineRule="auto"/>
        <w:ind w:firstLine="420" w:firstLineChars="200"/>
        <w:jc w:val="left"/>
        <w:rPr>
          <w:color w:val="auto"/>
          <w:highlight w:val="none"/>
        </w:rPr>
      </w:pPr>
      <w:r>
        <w:rPr>
          <w:color w:val="auto"/>
          <w:highlight w:val="none"/>
        </w:rPr>
        <w:t xml:space="preserve">12.2.1 </w:t>
      </w:r>
      <w:r>
        <w:rPr>
          <w:rFonts w:hint="eastAsia" w:hAnsi="宋体" w:cs="宋体"/>
          <w:color w:val="auto"/>
          <w:highlight w:val="none"/>
        </w:rPr>
        <w:t>预付款的支付</w:t>
      </w:r>
    </w:p>
    <w:p w14:paraId="73E12494">
      <w:pPr>
        <w:spacing w:line="360" w:lineRule="auto"/>
        <w:ind w:firstLine="420" w:firstLineChars="200"/>
        <w:jc w:val="left"/>
        <w:rPr>
          <w:color w:val="auto"/>
          <w:highlight w:val="none"/>
        </w:rPr>
      </w:pPr>
      <w:r>
        <w:rPr>
          <w:rFonts w:hint="eastAsia" w:hAnsi="宋体" w:cs="宋体"/>
          <w:color w:val="auto"/>
          <w:highlight w:val="none"/>
        </w:rPr>
        <w:t>预付款支付比例或金额：</w:t>
      </w:r>
      <w:r>
        <w:rPr>
          <w:color w:val="auto"/>
          <w:highlight w:val="none"/>
          <w:u w:val="single"/>
        </w:rPr>
        <w:t xml:space="preserve">  </w:t>
      </w:r>
      <w:r>
        <w:rPr>
          <w:rFonts w:hint="eastAsia"/>
          <w:color w:val="auto"/>
          <w:highlight w:val="none"/>
          <w:u w:val="single"/>
        </w:rPr>
        <w:t>合同总价（扣除发包人材料设备价款、暂列金额、暂估专业工程）30%</w:t>
      </w:r>
      <w:r>
        <w:rPr>
          <w:rFonts w:hint="eastAsia"/>
          <w:color w:val="auto"/>
          <w:highlight w:val="none"/>
          <w:u w:val="single"/>
          <w:lang w:val="en-US" w:eastAsia="zh-CN"/>
        </w:rPr>
        <w:t xml:space="preserve">  </w:t>
      </w:r>
      <w:r>
        <w:rPr>
          <w:rFonts w:hint="eastAsia" w:hAnsi="宋体" w:cs="宋体"/>
          <w:color w:val="auto"/>
          <w:highlight w:val="none"/>
        </w:rPr>
        <w:t>。</w:t>
      </w:r>
    </w:p>
    <w:p w14:paraId="6D995AAE">
      <w:pPr>
        <w:spacing w:line="360" w:lineRule="auto"/>
        <w:ind w:firstLine="420" w:firstLineChars="200"/>
        <w:jc w:val="left"/>
        <w:rPr>
          <w:color w:val="auto"/>
          <w:highlight w:val="none"/>
        </w:rPr>
      </w:pPr>
      <w:r>
        <w:rPr>
          <w:rFonts w:hint="eastAsia" w:hAnsi="宋体" w:cs="宋体"/>
          <w:color w:val="auto"/>
          <w:highlight w:val="none"/>
        </w:rPr>
        <w:t>预付款支付期限：</w:t>
      </w:r>
      <w:r>
        <w:rPr>
          <w:rFonts w:hint="eastAsia" w:hAnsi="宋体" w:cs="宋体"/>
          <w:color w:val="auto"/>
          <w:highlight w:val="none"/>
          <w:u w:val="single"/>
        </w:rPr>
        <w:t>自</w:t>
      </w:r>
      <w:r>
        <w:rPr>
          <w:rFonts w:hint="eastAsia" w:hAnsi="宋体" w:cs="宋体"/>
          <w:color w:val="auto"/>
          <w:highlight w:val="none"/>
          <w:u w:val="single"/>
          <w:lang w:val="en-US" w:eastAsia="zh-CN"/>
        </w:rPr>
        <w:t>进场施工</w:t>
      </w:r>
      <w:r>
        <w:rPr>
          <w:rFonts w:hint="eastAsia" w:hAnsi="宋体" w:cs="宋体"/>
          <w:color w:val="auto"/>
          <w:highlight w:val="none"/>
          <w:u w:val="single"/>
        </w:rPr>
        <w:t>之日起</w:t>
      </w:r>
      <w:r>
        <w:rPr>
          <w:rFonts w:hint="eastAsia" w:hAnsi="宋体" w:cs="宋体"/>
          <w:color w:val="auto"/>
          <w:highlight w:val="none"/>
          <w:u w:val="single"/>
          <w:lang w:val="en-US" w:eastAsia="zh-CN"/>
        </w:rPr>
        <w:t>15</w:t>
      </w:r>
      <w:r>
        <w:rPr>
          <w:rFonts w:hint="eastAsia" w:hAnsi="宋体" w:cs="宋体"/>
          <w:color w:val="auto"/>
          <w:highlight w:val="none"/>
          <w:u w:val="single"/>
        </w:rPr>
        <w:t>个工作日内支付</w:t>
      </w:r>
      <w:r>
        <w:rPr>
          <w:rFonts w:hint="eastAsia" w:hAnsi="宋体" w:cs="宋体"/>
          <w:color w:val="auto"/>
          <w:highlight w:val="none"/>
        </w:rPr>
        <w:t>。</w:t>
      </w:r>
    </w:p>
    <w:p w14:paraId="41EF9BD4">
      <w:pPr>
        <w:spacing w:line="360" w:lineRule="auto"/>
        <w:ind w:firstLine="420" w:firstLineChars="200"/>
        <w:jc w:val="left"/>
        <w:rPr>
          <w:color w:val="auto"/>
          <w:highlight w:val="none"/>
        </w:rPr>
      </w:pPr>
      <w:r>
        <w:rPr>
          <w:rFonts w:hint="eastAsia" w:hAnsi="宋体" w:cs="宋体"/>
          <w:color w:val="auto"/>
          <w:highlight w:val="none"/>
        </w:rPr>
        <w:t>预付款扣回的方式：</w:t>
      </w:r>
      <w:r>
        <w:rPr>
          <w:rFonts w:hint="eastAsia"/>
          <w:color w:val="auto"/>
          <w:highlight w:val="none"/>
          <w:u w:val="single"/>
          <w:lang w:val="en-US" w:eastAsia="zh-CN"/>
        </w:rPr>
        <w:t xml:space="preserve">   /  </w:t>
      </w:r>
      <w:r>
        <w:rPr>
          <w:rFonts w:hint="eastAsia" w:hAnsi="宋体" w:cs="宋体"/>
          <w:color w:val="auto"/>
          <w:highlight w:val="none"/>
        </w:rPr>
        <w:t>。</w:t>
      </w:r>
    </w:p>
    <w:p w14:paraId="340ACCC3">
      <w:pPr>
        <w:spacing w:line="360" w:lineRule="auto"/>
        <w:ind w:firstLine="420" w:firstLineChars="200"/>
        <w:jc w:val="left"/>
        <w:rPr>
          <w:color w:val="auto"/>
          <w:highlight w:val="none"/>
        </w:rPr>
      </w:pPr>
      <w:r>
        <w:rPr>
          <w:color w:val="auto"/>
          <w:highlight w:val="none"/>
        </w:rPr>
        <w:t xml:space="preserve">12.2.2 </w:t>
      </w:r>
      <w:r>
        <w:rPr>
          <w:rFonts w:hint="eastAsia" w:hAnsi="宋体" w:cs="宋体"/>
          <w:color w:val="auto"/>
          <w:highlight w:val="none"/>
        </w:rPr>
        <w:t>预付款担保</w:t>
      </w:r>
    </w:p>
    <w:p w14:paraId="4970B396">
      <w:pPr>
        <w:spacing w:line="360" w:lineRule="auto"/>
        <w:ind w:firstLine="420" w:firstLineChars="200"/>
        <w:jc w:val="left"/>
        <w:rPr>
          <w:color w:val="auto"/>
          <w:highlight w:val="none"/>
        </w:rPr>
      </w:pPr>
      <w:r>
        <w:rPr>
          <w:rFonts w:hint="eastAsia" w:hAnsi="宋体" w:cs="宋体"/>
          <w:color w:val="auto"/>
          <w:highlight w:val="none"/>
        </w:rPr>
        <w:t>承包人提交预付款担保的期限：</w:t>
      </w:r>
      <w:r>
        <w:rPr>
          <w:color w:val="auto"/>
          <w:highlight w:val="none"/>
          <w:u w:val="single"/>
        </w:rPr>
        <w:t xml:space="preserve">  </w:t>
      </w:r>
      <w:r>
        <w:rPr>
          <w:rFonts w:hint="eastAsia"/>
          <w:color w:val="auto"/>
          <w:highlight w:val="none"/>
          <w:u w:val="single"/>
          <w:lang w:val="en-US" w:eastAsia="zh-CN"/>
        </w:rPr>
        <w:t>/</w:t>
      </w:r>
      <w:r>
        <w:rPr>
          <w:color w:val="auto"/>
          <w:highlight w:val="none"/>
          <w:u w:val="single"/>
        </w:rPr>
        <w:t xml:space="preserve">   </w:t>
      </w:r>
      <w:r>
        <w:rPr>
          <w:rFonts w:hint="eastAsia" w:hAnsi="宋体" w:cs="宋体"/>
          <w:color w:val="auto"/>
          <w:highlight w:val="none"/>
        </w:rPr>
        <w:t>。</w:t>
      </w:r>
    </w:p>
    <w:p w14:paraId="09E94ECD">
      <w:pPr>
        <w:spacing w:line="360" w:lineRule="auto"/>
        <w:ind w:firstLine="420" w:firstLineChars="200"/>
        <w:jc w:val="left"/>
        <w:rPr>
          <w:rFonts w:hint="eastAsia" w:ascii="Times New Roman" w:hAnsi="宋体" w:eastAsia="宋体" w:cs="宋体"/>
          <w:color w:val="auto"/>
          <w:highlight w:val="none"/>
        </w:rPr>
      </w:pPr>
      <w:r>
        <w:rPr>
          <w:rFonts w:hint="eastAsia" w:hAnsi="宋体" w:cs="宋体"/>
          <w:color w:val="auto"/>
          <w:highlight w:val="none"/>
        </w:rPr>
        <w:t>预付款担保的形式为：</w:t>
      </w:r>
      <w:r>
        <w:rPr>
          <w:rFonts w:hint="eastAsia"/>
          <w:color w:val="auto"/>
          <w:highlight w:val="none"/>
          <w:u w:val="none"/>
          <w:lang w:eastAsia="zh-CN"/>
        </w:rPr>
        <w:t>可以是</w:t>
      </w:r>
      <w:r>
        <w:rPr>
          <w:rFonts w:hint="eastAsia" w:ascii="Times New Roman" w:hAnsi="宋体" w:eastAsia="宋体" w:cs="宋体"/>
          <w:color w:val="auto"/>
          <w:highlight w:val="none"/>
        </w:rPr>
        <w:t>银行转账、电汇或网上支付、保函（银行保函、电子保函、保证保险保函、工程担保保函）等</w:t>
      </w:r>
      <w:r>
        <w:rPr>
          <w:rFonts w:hint="eastAsia" w:ascii="Times New Roman" w:hAnsi="宋体" w:eastAsia="宋体" w:cs="宋体"/>
          <w:color w:val="auto"/>
          <w:highlight w:val="none"/>
          <w:lang w:eastAsia="zh-CN"/>
        </w:rPr>
        <w:t>形</w:t>
      </w:r>
      <w:r>
        <w:rPr>
          <w:rFonts w:hint="eastAsia" w:ascii="Times New Roman" w:hAnsi="宋体" w:eastAsia="宋体" w:cs="宋体"/>
          <w:color w:val="auto"/>
          <w:highlight w:val="none"/>
        </w:rPr>
        <w:t>式。工程担保保证人应将出具的保函相关信息录入“广西建筑市场监管云”平台（http://gxjzsc.caihcloud.com），以实现保函查询及验真功能</w:t>
      </w:r>
      <w:r>
        <w:rPr>
          <w:rFonts w:hint="eastAsia" w:ascii="Times New Roman" w:hAnsi="宋体" w:eastAsia="宋体" w:cs="宋体"/>
          <w:color w:val="auto"/>
          <w:highlight w:val="none"/>
          <w:lang w:eastAsia="zh-CN"/>
        </w:rPr>
        <w:t>。</w:t>
      </w:r>
    </w:p>
    <w:p w14:paraId="69FAA4DB">
      <w:pPr>
        <w:spacing w:line="360" w:lineRule="auto"/>
        <w:ind w:firstLine="420" w:firstLineChars="200"/>
        <w:jc w:val="left"/>
        <w:rPr>
          <w:color w:val="auto"/>
          <w:highlight w:val="none"/>
        </w:rPr>
      </w:pPr>
      <w:r>
        <w:rPr>
          <w:rFonts w:hint="eastAsia" w:ascii="宋体" w:hAnsi="宋体" w:cs="宋体"/>
          <w:color w:val="auto"/>
          <w:highlight w:val="none"/>
        </w:rPr>
        <w:t>预付款担保格式见合同附件8。预付款支付申请（核准）表见合同附件10</w:t>
      </w:r>
    </w:p>
    <w:bookmarkEnd w:id="551"/>
    <w:bookmarkEnd w:id="552"/>
    <w:bookmarkEnd w:id="553"/>
    <w:bookmarkEnd w:id="554"/>
    <w:bookmarkEnd w:id="555"/>
    <w:bookmarkEnd w:id="556"/>
    <w:bookmarkEnd w:id="557"/>
    <w:bookmarkEnd w:id="558"/>
    <w:bookmarkEnd w:id="559"/>
    <w:bookmarkEnd w:id="560"/>
    <w:p w14:paraId="02F6D002">
      <w:pPr>
        <w:pStyle w:val="4"/>
        <w:rPr>
          <w:color w:val="auto"/>
          <w:highlight w:val="none"/>
        </w:rPr>
      </w:pPr>
      <w:bookmarkStart w:id="565" w:name="_Toc1494831447"/>
      <w:bookmarkStart w:id="566" w:name="_Toc373227751"/>
      <w:bookmarkStart w:id="567" w:name="_Toc407135254"/>
      <w:bookmarkStart w:id="568" w:name="_Toc373478398"/>
      <w:bookmarkStart w:id="569" w:name="_Toc78449840"/>
      <w:bookmarkStart w:id="570" w:name="_Toc1307224940"/>
      <w:bookmarkStart w:id="571" w:name="_Toc389065316"/>
      <w:r>
        <w:rPr>
          <w:color w:val="auto"/>
          <w:highlight w:val="none"/>
        </w:rPr>
        <w:t xml:space="preserve">12.3 </w:t>
      </w:r>
      <w:r>
        <w:rPr>
          <w:rFonts w:hint="eastAsia" w:hAnsi="宋体" w:cs="黑体"/>
          <w:color w:val="auto"/>
          <w:highlight w:val="none"/>
        </w:rPr>
        <w:t>计量</w:t>
      </w:r>
      <w:bookmarkEnd w:id="565"/>
      <w:bookmarkEnd w:id="566"/>
      <w:bookmarkEnd w:id="567"/>
      <w:bookmarkEnd w:id="568"/>
      <w:bookmarkEnd w:id="569"/>
      <w:bookmarkEnd w:id="570"/>
      <w:bookmarkEnd w:id="571"/>
    </w:p>
    <w:p w14:paraId="4F1D3E49">
      <w:pPr>
        <w:spacing w:line="360" w:lineRule="auto"/>
        <w:ind w:firstLine="420" w:firstLineChars="200"/>
        <w:jc w:val="left"/>
        <w:rPr>
          <w:color w:val="auto"/>
          <w:highlight w:val="none"/>
        </w:rPr>
      </w:pPr>
      <w:r>
        <w:rPr>
          <w:color w:val="auto"/>
          <w:highlight w:val="none"/>
        </w:rPr>
        <w:t xml:space="preserve">12.3.1 </w:t>
      </w:r>
      <w:r>
        <w:rPr>
          <w:rFonts w:hint="eastAsia" w:hAnsi="宋体" w:cs="宋体"/>
          <w:color w:val="auto"/>
          <w:highlight w:val="none"/>
        </w:rPr>
        <w:t>计量原则</w:t>
      </w:r>
    </w:p>
    <w:p w14:paraId="25C9C08D">
      <w:pPr>
        <w:spacing w:line="360" w:lineRule="auto"/>
        <w:ind w:firstLine="420" w:firstLineChars="200"/>
        <w:jc w:val="left"/>
        <w:rPr>
          <w:color w:val="auto"/>
          <w:highlight w:val="none"/>
        </w:rPr>
      </w:pPr>
      <w:r>
        <w:rPr>
          <w:rFonts w:hint="eastAsia" w:hAnsi="宋体" w:cs="宋体"/>
          <w:color w:val="auto"/>
          <w:highlight w:val="none"/>
        </w:rPr>
        <w:t>工程量计算规则：</w:t>
      </w:r>
      <w:r>
        <w:rPr>
          <w:rFonts w:hint="eastAsia" w:hAnsi="宋体" w:cs="宋体"/>
          <w:color w:val="auto"/>
          <w:highlight w:val="none"/>
          <w:u w:val="single"/>
        </w:rPr>
        <w:t>工程的计量均以《建设工程工程量清单计价规范》（</w:t>
      </w:r>
      <w:r>
        <w:rPr>
          <w:color w:val="auto"/>
          <w:highlight w:val="none"/>
          <w:u w:val="single"/>
        </w:rPr>
        <w:t>GB50500</w:t>
      </w:r>
      <w:r>
        <w:rPr>
          <w:rFonts w:hint="eastAsia" w:hAnsi="宋体" w:cs="宋体"/>
          <w:color w:val="auto"/>
          <w:highlight w:val="none"/>
          <w:u w:val="single"/>
        </w:rPr>
        <w:t>－</w:t>
      </w:r>
      <w:r>
        <w:rPr>
          <w:color w:val="auto"/>
          <w:highlight w:val="none"/>
          <w:u w:val="single"/>
        </w:rPr>
        <w:t>2013</w:t>
      </w:r>
      <w:r>
        <w:rPr>
          <w:rFonts w:hint="eastAsia" w:hAnsi="宋体" w:cs="宋体"/>
          <w:color w:val="auto"/>
          <w:highlight w:val="none"/>
          <w:u w:val="single"/>
        </w:rPr>
        <w:t>）及广西壮族自治区实施细则、《建设工程工程量清单计算规范》（</w:t>
      </w:r>
      <w:r>
        <w:rPr>
          <w:color w:val="auto"/>
          <w:highlight w:val="none"/>
          <w:u w:val="single"/>
        </w:rPr>
        <w:t>GB50854~50862</w:t>
      </w:r>
      <w:r>
        <w:rPr>
          <w:rFonts w:hint="eastAsia" w:hAnsi="宋体" w:cs="宋体"/>
          <w:color w:val="auto"/>
          <w:highlight w:val="none"/>
          <w:u w:val="single"/>
        </w:rPr>
        <w:t>－</w:t>
      </w:r>
      <w:r>
        <w:rPr>
          <w:color w:val="auto"/>
          <w:highlight w:val="none"/>
          <w:u w:val="single"/>
        </w:rPr>
        <w:t>2013</w:t>
      </w:r>
      <w:r>
        <w:rPr>
          <w:rFonts w:hint="eastAsia" w:hAnsi="宋体" w:cs="宋体"/>
          <w:color w:val="auto"/>
          <w:highlight w:val="none"/>
          <w:u w:val="single"/>
        </w:rPr>
        <w:t>）及广西实施细则、本工程补充项目清单为准。</w:t>
      </w:r>
      <w:r>
        <w:rPr>
          <w:rFonts w:hint="eastAsia" w:ascii="宋体" w:hAnsi="宋体"/>
          <w:b/>
          <w:bCs/>
          <w:color w:val="auto"/>
          <w:highlight w:val="none"/>
          <w:u w:val="single"/>
        </w:rPr>
        <w:t>如有不明之处，应以造价管理部门指定的计量方法为准。</w:t>
      </w:r>
      <w:r>
        <w:rPr>
          <w:rFonts w:hint="eastAsia" w:ascii="宋体" w:hAnsi="宋体"/>
          <w:color w:val="auto"/>
          <w:highlight w:val="none"/>
          <w:u w:val="single"/>
        </w:rPr>
        <w:t>除合同另有约定外，承包人实际完成的工程量按约定的工程量计算规则和有合同约束力的图纸进行计量。</w:t>
      </w:r>
    </w:p>
    <w:p w14:paraId="4FE3D4A6">
      <w:pPr>
        <w:spacing w:line="360" w:lineRule="auto"/>
        <w:ind w:firstLine="420" w:firstLineChars="200"/>
        <w:jc w:val="left"/>
        <w:rPr>
          <w:color w:val="auto"/>
          <w:highlight w:val="none"/>
        </w:rPr>
      </w:pPr>
      <w:r>
        <w:rPr>
          <w:color w:val="auto"/>
          <w:highlight w:val="none"/>
        </w:rPr>
        <w:t xml:space="preserve">12.3.2 </w:t>
      </w:r>
      <w:r>
        <w:rPr>
          <w:rFonts w:hint="eastAsia" w:hAnsi="宋体" w:cs="宋体"/>
          <w:color w:val="auto"/>
          <w:highlight w:val="none"/>
        </w:rPr>
        <w:t>计量周期</w:t>
      </w:r>
    </w:p>
    <w:p w14:paraId="0D37A53A">
      <w:pPr>
        <w:spacing w:line="360" w:lineRule="auto"/>
        <w:ind w:firstLine="420" w:firstLineChars="200"/>
        <w:jc w:val="left"/>
        <w:rPr>
          <w:color w:val="auto"/>
          <w:highlight w:val="none"/>
        </w:rPr>
      </w:pPr>
      <w:r>
        <w:rPr>
          <w:rFonts w:hint="eastAsia" w:hAnsi="宋体" w:cs="宋体"/>
          <w:color w:val="auto"/>
          <w:highlight w:val="none"/>
        </w:rPr>
        <w:t>关于计量周期的约定：</w:t>
      </w:r>
      <w:r>
        <w:rPr>
          <w:rFonts w:hint="eastAsia" w:hAnsi="宋体" w:cs="宋体"/>
          <w:color w:val="auto"/>
          <w:highlight w:val="none"/>
          <w:u w:val="single"/>
        </w:rPr>
        <w:t>每月</w:t>
      </w:r>
      <w:r>
        <w:rPr>
          <w:color w:val="auto"/>
          <w:highlight w:val="none"/>
          <w:u w:val="single"/>
        </w:rPr>
        <w:t>25</w:t>
      </w:r>
      <w:r>
        <w:rPr>
          <w:rFonts w:hint="eastAsia" w:hAnsi="宋体" w:cs="宋体"/>
          <w:color w:val="auto"/>
          <w:highlight w:val="none"/>
          <w:u w:val="single"/>
        </w:rPr>
        <w:t>日前</w:t>
      </w:r>
      <w:r>
        <w:rPr>
          <w:rFonts w:hint="eastAsia" w:hAnsi="宋体" w:cs="宋体"/>
          <w:color w:val="auto"/>
          <w:highlight w:val="none"/>
        </w:rPr>
        <w:t>。</w:t>
      </w:r>
    </w:p>
    <w:p w14:paraId="111FF3A2">
      <w:pPr>
        <w:spacing w:line="360" w:lineRule="auto"/>
        <w:ind w:firstLine="420" w:firstLineChars="200"/>
        <w:jc w:val="left"/>
        <w:outlineLvl w:val="0"/>
        <w:rPr>
          <w:color w:val="auto"/>
          <w:highlight w:val="none"/>
        </w:rPr>
      </w:pPr>
      <w:r>
        <w:rPr>
          <w:color w:val="auto"/>
          <w:highlight w:val="none"/>
        </w:rPr>
        <w:t xml:space="preserve">12.3.3 </w:t>
      </w:r>
      <w:r>
        <w:rPr>
          <w:rFonts w:hint="eastAsia" w:hAnsi="宋体" w:cs="宋体"/>
          <w:color w:val="auto"/>
          <w:highlight w:val="none"/>
        </w:rPr>
        <w:t>单价合同的计量</w:t>
      </w:r>
    </w:p>
    <w:p w14:paraId="73390864">
      <w:pPr>
        <w:spacing w:line="360" w:lineRule="auto"/>
        <w:ind w:firstLine="420" w:firstLineChars="200"/>
        <w:jc w:val="left"/>
        <w:rPr>
          <w:color w:val="auto"/>
          <w:highlight w:val="none"/>
        </w:rPr>
      </w:pPr>
      <w:r>
        <w:rPr>
          <w:rFonts w:hint="eastAsia" w:hAnsi="宋体" w:cs="宋体"/>
          <w:color w:val="auto"/>
          <w:highlight w:val="none"/>
        </w:rPr>
        <w:t>关于单价合同计量的约定：</w:t>
      </w:r>
    </w:p>
    <w:p w14:paraId="71A6459D">
      <w:pPr>
        <w:spacing w:line="360" w:lineRule="auto"/>
        <w:ind w:firstLine="441" w:firstLineChars="210"/>
        <w:rPr>
          <w:color w:val="auto"/>
          <w:highlight w:val="none"/>
        </w:rPr>
      </w:pPr>
      <w:r>
        <w:rPr>
          <w:rFonts w:hint="eastAsia"/>
          <w:color w:val="auto"/>
          <w:highlight w:val="none"/>
          <w:lang w:eastAsia="zh-CN"/>
        </w:rPr>
        <w:t>（1）</w:t>
      </w:r>
      <w:r>
        <w:rPr>
          <w:color w:val="auto"/>
          <w:highlight w:val="none"/>
        </w:rPr>
        <w:t xml:space="preserve"> </w:t>
      </w:r>
      <w:r>
        <w:rPr>
          <w:rFonts w:hint="eastAsia" w:hAnsi="宋体" w:cs="宋体"/>
          <w:color w:val="auto"/>
          <w:highlight w:val="none"/>
        </w:rPr>
        <w:t>工程量清单所列的工程量，不能作为承包人按合同履行其责任依据，实际施工中发生的工程量增加或减少并不影响承包人履行合同的责任，工程结算以完成的实际工程量为准。</w:t>
      </w:r>
    </w:p>
    <w:p w14:paraId="742CE3A9">
      <w:pPr>
        <w:spacing w:line="360" w:lineRule="auto"/>
        <w:ind w:firstLine="441" w:firstLineChars="210"/>
        <w:rPr>
          <w:color w:val="auto"/>
          <w:highlight w:val="none"/>
        </w:rPr>
      </w:pPr>
      <w:r>
        <w:rPr>
          <w:rFonts w:hint="eastAsia"/>
          <w:color w:val="auto"/>
          <w:highlight w:val="none"/>
          <w:lang w:eastAsia="zh-CN"/>
        </w:rPr>
        <w:t>（2）</w:t>
      </w:r>
      <w:r>
        <w:rPr>
          <w:color w:val="auto"/>
          <w:highlight w:val="none"/>
        </w:rPr>
        <w:t xml:space="preserve"> </w:t>
      </w:r>
      <w:r>
        <w:rPr>
          <w:rFonts w:hint="eastAsia" w:hAnsi="宋体" w:cs="宋体"/>
          <w:color w:val="auto"/>
          <w:highlight w:val="none"/>
        </w:rPr>
        <w:t>除另有规定外，工程师应按照合同通过计量来核实确定已完成的工程量和价款，承包人应得到该价款扣除保留金后的金额。当工程师要对已完工的工程量进行计量时，应适时地通知承包人参加。</w:t>
      </w:r>
    </w:p>
    <w:p w14:paraId="7BF54C17">
      <w:pPr>
        <w:spacing w:line="360" w:lineRule="auto"/>
        <w:ind w:firstLine="420" w:firstLineChars="200"/>
        <w:jc w:val="left"/>
        <w:rPr>
          <w:color w:val="auto"/>
          <w:highlight w:val="none"/>
        </w:rPr>
      </w:pPr>
      <w:r>
        <w:rPr>
          <w:color w:val="auto"/>
          <w:highlight w:val="none"/>
        </w:rPr>
        <w:t xml:space="preserve">12.3.4 </w:t>
      </w:r>
      <w:r>
        <w:rPr>
          <w:rFonts w:hint="eastAsia" w:hAnsi="宋体" w:cs="宋体"/>
          <w:color w:val="auto"/>
          <w:highlight w:val="none"/>
        </w:rPr>
        <w:t>总价合同的计量</w:t>
      </w:r>
    </w:p>
    <w:p w14:paraId="47212A28">
      <w:pPr>
        <w:spacing w:line="360" w:lineRule="auto"/>
        <w:ind w:firstLine="420" w:firstLineChars="200"/>
        <w:jc w:val="left"/>
        <w:rPr>
          <w:rFonts w:cs="宋体"/>
          <w:color w:val="auto"/>
          <w:highlight w:val="none"/>
        </w:rPr>
      </w:pPr>
      <w:r>
        <w:rPr>
          <w:rFonts w:hint="eastAsia" w:ascii="Calibri" w:hAnsi="宋体" w:cs="宋体"/>
          <w:color w:val="auto"/>
          <w:highlight w:val="none"/>
        </w:rPr>
        <w:t>（1）总价合同计量约定：</w:t>
      </w:r>
      <w:r>
        <w:rPr>
          <w:rFonts w:hint="eastAsia" w:hAnsi="宋体" w:cs="宋体"/>
          <w:color w:val="auto"/>
          <w:highlight w:val="none"/>
        </w:rPr>
        <w:t>进度款按支付分解表支付</w:t>
      </w:r>
      <w:r>
        <w:rPr>
          <w:rFonts w:hint="eastAsia" w:ascii="宋体" w:hAnsi="宋体" w:cs="宋体"/>
          <w:color w:val="auto"/>
          <w:kern w:val="0"/>
          <w:highlight w:val="none"/>
        </w:rPr>
        <w:t>，</w:t>
      </w:r>
      <w:r>
        <w:rPr>
          <w:rFonts w:hint="eastAsia" w:cs="宋体"/>
          <w:color w:val="auto"/>
          <w:highlight w:val="none"/>
        </w:rPr>
        <w:t>支付分解表在招标完成后签合同之前制定，具体详见本专用合同条款12.4.6。</w:t>
      </w:r>
    </w:p>
    <w:p w14:paraId="32CB524F">
      <w:pPr>
        <w:spacing w:line="360" w:lineRule="auto"/>
        <w:ind w:firstLine="420" w:firstLineChars="200"/>
        <w:jc w:val="left"/>
        <w:rPr>
          <w:color w:val="auto"/>
          <w:highlight w:val="none"/>
        </w:rPr>
      </w:pPr>
      <w:r>
        <w:rPr>
          <w:color w:val="auto"/>
          <w:highlight w:val="none"/>
        </w:rPr>
        <w:t xml:space="preserve">12.3.6 </w:t>
      </w:r>
      <w:r>
        <w:rPr>
          <w:rFonts w:hint="eastAsia" w:hAnsi="宋体" w:cs="宋体"/>
          <w:color w:val="auto"/>
          <w:highlight w:val="none"/>
        </w:rPr>
        <w:t>其他价格形式合同的计量</w:t>
      </w:r>
    </w:p>
    <w:p w14:paraId="517E2B77">
      <w:pPr>
        <w:spacing w:line="360" w:lineRule="auto"/>
        <w:ind w:firstLine="420" w:firstLineChars="200"/>
        <w:jc w:val="left"/>
        <w:rPr>
          <w:color w:val="auto"/>
          <w:highlight w:val="none"/>
          <w:u w:val="single"/>
        </w:rPr>
      </w:pPr>
      <w:r>
        <w:rPr>
          <w:rFonts w:hint="eastAsia" w:hAnsi="宋体" w:cs="宋体"/>
          <w:color w:val="auto"/>
          <w:highlight w:val="none"/>
        </w:rPr>
        <w:t>其他价格形式的计量方式和程序：</w:t>
      </w:r>
      <w:r>
        <w:rPr>
          <w:color w:val="auto"/>
          <w:highlight w:val="none"/>
          <w:u w:val="single"/>
        </w:rPr>
        <w:t xml:space="preserve">  </w:t>
      </w:r>
      <w:r>
        <w:rPr>
          <w:rFonts w:hint="eastAsia"/>
          <w:color w:val="auto"/>
          <w:highlight w:val="none"/>
          <w:u w:val="single"/>
          <w:lang w:val="en-US" w:eastAsia="zh-CN"/>
        </w:rPr>
        <w:t>/</w:t>
      </w:r>
      <w:r>
        <w:rPr>
          <w:color w:val="auto"/>
          <w:highlight w:val="none"/>
          <w:u w:val="single"/>
        </w:rPr>
        <w:t xml:space="preserve"> </w:t>
      </w:r>
      <w:r>
        <w:rPr>
          <w:rFonts w:hint="eastAsia" w:hAnsi="宋体" w:cs="宋体"/>
          <w:color w:val="auto"/>
          <w:highlight w:val="none"/>
        </w:rPr>
        <w:t>。</w:t>
      </w:r>
    </w:p>
    <w:p w14:paraId="4F69FEBC">
      <w:pPr>
        <w:pStyle w:val="4"/>
        <w:rPr>
          <w:color w:val="auto"/>
          <w:highlight w:val="none"/>
        </w:rPr>
      </w:pPr>
      <w:bookmarkStart w:id="572" w:name="_Toc373227752"/>
      <w:bookmarkStart w:id="573" w:name="_Toc78449841"/>
      <w:bookmarkStart w:id="574" w:name="_Toc1155368667"/>
      <w:bookmarkStart w:id="575" w:name="_Toc407135255"/>
      <w:bookmarkStart w:id="576" w:name="_Toc1711431123"/>
      <w:bookmarkStart w:id="577" w:name="_Toc373478399"/>
      <w:bookmarkStart w:id="578" w:name="_Toc389065317"/>
      <w:r>
        <w:rPr>
          <w:color w:val="auto"/>
          <w:highlight w:val="none"/>
        </w:rPr>
        <w:t xml:space="preserve">12.4 </w:t>
      </w:r>
      <w:r>
        <w:rPr>
          <w:rFonts w:hint="eastAsia" w:cs="黑体"/>
          <w:color w:val="auto"/>
          <w:highlight w:val="none"/>
        </w:rPr>
        <w:t>工程进度款支付</w:t>
      </w:r>
      <w:bookmarkEnd w:id="572"/>
      <w:bookmarkEnd w:id="573"/>
      <w:bookmarkEnd w:id="574"/>
      <w:bookmarkEnd w:id="575"/>
      <w:bookmarkEnd w:id="576"/>
      <w:bookmarkEnd w:id="577"/>
      <w:bookmarkEnd w:id="578"/>
    </w:p>
    <w:p w14:paraId="62191CC2">
      <w:pPr>
        <w:spacing w:line="360" w:lineRule="auto"/>
        <w:ind w:firstLine="420" w:firstLineChars="200"/>
        <w:jc w:val="left"/>
        <w:rPr>
          <w:color w:val="auto"/>
          <w:highlight w:val="none"/>
        </w:rPr>
      </w:pPr>
      <w:bookmarkStart w:id="579" w:name="支付条件2"/>
      <w:bookmarkStart w:id="580" w:name="_Toc296347210"/>
      <w:bookmarkStart w:id="581" w:name="_Toc297048397"/>
      <w:bookmarkStart w:id="582" w:name="_Toc292559416"/>
      <w:bookmarkStart w:id="583" w:name="_Toc296891039"/>
      <w:bookmarkStart w:id="584" w:name="_Toc297216215"/>
      <w:bookmarkStart w:id="585" w:name="_Toc296891251"/>
      <w:bookmarkStart w:id="586" w:name="_Toc303539163"/>
      <w:bookmarkStart w:id="587" w:name="_Toc292559921"/>
      <w:bookmarkStart w:id="588" w:name="_Toc296944550"/>
      <w:bookmarkStart w:id="589" w:name="_Toc296346712"/>
      <w:bookmarkStart w:id="590" w:name="_Toc297123556"/>
      <w:bookmarkStart w:id="591" w:name="_Toc296503211"/>
      <w:bookmarkStart w:id="592" w:name="_Toc300935006"/>
      <w:bookmarkStart w:id="593" w:name="_Toc297120511"/>
      <w:r>
        <w:rPr>
          <w:color w:val="auto"/>
          <w:highlight w:val="none"/>
        </w:rPr>
        <w:t xml:space="preserve">12.4.1 </w:t>
      </w:r>
      <w:r>
        <w:rPr>
          <w:rFonts w:hint="eastAsia" w:hAnsi="宋体" w:cs="宋体"/>
          <w:color w:val="auto"/>
          <w:highlight w:val="none"/>
        </w:rPr>
        <w:t>付款周期</w:t>
      </w:r>
    </w:p>
    <w:p w14:paraId="25BA5588">
      <w:pPr>
        <w:spacing w:line="360" w:lineRule="auto"/>
        <w:ind w:left="630" w:leftChars="200" w:hanging="210" w:hangingChars="100"/>
        <w:jc w:val="left"/>
        <w:rPr>
          <w:rFonts w:hint="eastAsia" w:hAnsi="宋体" w:cs="宋体"/>
          <w:color w:val="auto"/>
          <w:highlight w:val="none"/>
          <w:u w:val="single"/>
        </w:rPr>
      </w:pPr>
      <w:r>
        <w:rPr>
          <w:rFonts w:hAnsi="宋体" w:cs="宋体"/>
          <w:color w:val="auto"/>
          <w:highlight w:val="none"/>
        </w:rPr>
        <w:fldChar w:fldCharType="begin"/>
      </w:r>
      <w:r>
        <w:rPr>
          <w:rFonts w:hAnsi="宋体" w:cs="宋体"/>
          <w:color w:val="auto"/>
          <w:highlight w:val="none"/>
        </w:rPr>
        <w:instrText xml:space="preserve"> </w:instrText>
      </w:r>
      <w:r>
        <w:rPr>
          <w:rFonts w:hint="eastAsia" w:hAnsi="宋体" w:cs="宋体"/>
          <w:color w:val="auto"/>
          <w:highlight w:val="none"/>
        </w:rPr>
        <w:instrText xml:space="preserve">= 1 \* GB3</w:instrText>
      </w:r>
      <w:r>
        <w:rPr>
          <w:rFonts w:hAnsi="宋体" w:cs="宋体"/>
          <w:color w:val="auto"/>
          <w:highlight w:val="none"/>
        </w:rPr>
        <w:instrText xml:space="preserve"> </w:instrText>
      </w:r>
      <w:r>
        <w:rPr>
          <w:rFonts w:hAnsi="宋体" w:cs="宋体"/>
          <w:color w:val="auto"/>
          <w:highlight w:val="none"/>
        </w:rPr>
        <w:fldChar w:fldCharType="separate"/>
      </w:r>
      <w:r>
        <w:rPr>
          <w:rFonts w:hint="eastAsia" w:hAnsi="宋体" w:cs="宋体"/>
          <w:color w:val="auto"/>
          <w:highlight w:val="none"/>
        </w:rPr>
        <w:t>①</w:t>
      </w:r>
      <w:r>
        <w:rPr>
          <w:rFonts w:hAnsi="宋体" w:cs="宋体"/>
          <w:color w:val="auto"/>
          <w:highlight w:val="none"/>
        </w:rPr>
        <w:fldChar w:fldCharType="end"/>
      </w:r>
      <w:r>
        <w:rPr>
          <w:rFonts w:hint="eastAsia" w:hAnsi="宋体" w:cs="宋体"/>
          <w:color w:val="auto"/>
          <w:highlight w:val="none"/>
          <w:u w:val="single"/>
        </w:rPr>
        <w:t>本项目预付款为签订合同总价的30%，自</w:t>
      </w:r>
      <w:r>
        <w:rPr>
          <w:rFonts w:hint="eastAsia" w:hAnsi="宋体" w:cs="宋体"/>
          <w:color w:val="auto"/>
          <w:highlight w:val="none"/>
          <w:u w:val="single"/>
          <w:lang w:val="en-US" w:eastAsia="zh-CN"/>
        </w:rPr>
        <w:t>进场施工</w:t>
      </w:r>
      <w:r>
        <w:rPr>
          <w:rFonts w:hint="eastAsia" w:hAnsi="宋体" w:cs="宋体"/>
          <w:color w:val="auto"/>
          <w:highlight w:val="none"/>
          <w:u w:val="single"/>
        </w:rPr>
        <w:t>之日起</w:t>
      </w:r>
      <w:r>
        <w:rPr>
          <w:rFonts w:hint="eastAsia" w:hAnsi="宋体" w:cs="宋体"/>
          <w:color w:val="auto"/>
          <w:highlight w:val="none"/>
          <w:u w:val="single"/>
          <w:lang w:val="en-US" w:eastAsia="zh-CN"/>
        </w:rPr>
        <w:t>15</w:t>
      </w:r>
      <w:r>
        <w:rPr>
          <w:rFonts w:hint="eastAsia" w:hAnsi="宋体" w:cs="宋体"/>
          <w:color w:val="auto"/>
          <w:highlight w:val="none"/>
          <w:u w:val="single"/>
        </w:rPr>
        <w:t>个工作日内支付。</w:t>
      </w:r>
    </w:p>
    <w:p w14:paraId="3F116505">
      <w:pPr>
        <w:spacing w:line="360" w:lineRule="auto"/>
        <w:ind w:left="630" w:leftChars="200" w:hanging="210" w:hangingChars="100"/>
        <w:jc w:val="left"/>
        <w:rPr>
          <w:rFonts w:hint="eastAsia" w:hAnsi="宋体" w:eastAsia="宋体" w:cs="宋体"/>
          <w:color w:val="auto"/>
          <w:highlight w:val="none"/>
          <w:u w:val="single"/>
          <w:lang w:eastAsia="zh-CN"/>
        </w:rPr>
      </w:pPr>
      <w:r>
        <w:rPr>
          <w:rFonts w:hint="eastAsia" w:hAnsi="宋体" w:eastAsia="宋体" w:cs="宋体"/>
          <w:color w:val="auto"/>
          <w:highlight w:val="none"/>
          <w:u w:val="single"/>
        </w:rPr>
        <w:fldChar w:fldCharType="begin"/>
      </w:r>
      <w:r>
        <w:rPr>
          <w:rFonts w:hint="eastAsia" w:hAnsi="宋体" w:eastAsia="宋体" w:cs="宋体"/>
          <w:color w:val="auto"/>
          <w:highlight w:val="none"/>
          <w:u w:val="single"/>
        </w:rPr>
        <w:instrText xml:space="preserve"> = 2 \* GB3 </w:instrText>
      </w:r>
      <w:r>
        <w:rPr>
          <w:rFonts w:hint="eastAsia" w:hAnsi="宋体" w:eastAsia="宋体" w:cs="宋体"/>
          <w:color w:val="auto"/>
          <w:highlight w:val="none"/>
          <w:u w:val="single"/>
        </w:rPr>
        <w:fldChar w:fldCharType="separate"/>
      </w:r>
      <w:r>
        <w:rPr>
          <w:rFonts w:hint="eastAsia" w:hAnsi="宋体" w:eastAsia="宋体" w:cs="宋体"/>
          <w:color w:val="auto"/>
          <w:highlight w:val="none"/>
          <w:u w:val="single"/>
        </w:rPr>
        <w:t>②</w:t>
      </w:r>
      <w:r>
        <w:rPr>
          <w:rFonts w:hint="eastAsia" w:hAnsi="宋体" w:eastAsia="宋体" w:cs="宋体"/>
          <w:color w:val="auto"/>
          <w:highlight w:val="none"/>
          <w:u w:val="single"/>
        </w:rPr>
        <w:fldChar w:fldCharType="end"/>
      </w:r>
      <w:r>
        <w:rPr>
          <w:rFonts w:hint="eastAsia" w:hAnsi="宋体" w:eastAsia="宋体" w:cs="宋体"/>
          <w:color w:val="auto"/>
          <w:highlight w:val="none"/>
          <w:u w:val="single"/>
        </w:rPr>
        <w:t>工程竣工初步验收合格，发包人支付至合同总价的80%</w:t>
      </w:r>
    </w:p>
    <w:p w14:paraId="22B269D4">
      <w:pPr>
        <w:spacing w:line="360" w:lineRule="auto"/>
        <w:ind w:left="430" w:leftChars="200" w:hanging="10" w:firstLineChars="0"/>
        <w:jc w:val="left"/>
        <w:rPr>
          <w:rFonts w:hint="eastAsia" w:hAnsi="宋体" w:eastAsia="宋体" w:cs="宋体"/>
          <w:color w:val="auto"/>
          <w:highlight w:val="none"/>
          <w:u w:val="single"/>
          <w:lang w:val="en-US" w:eastAsia="zh-CN"/>
        </w:rPr>
      </w:pPr>
      <w:r>
        <w:rPr>
          <w:rFonts w:hint="eastAsia" w:hAnsi="宋体" w:eastAsia="宋体" w:cs="宋体"/>
          <w:color w:val="auto"/>
          <w:highlight w:val="none"/>
          <w:u w:val="single"/>
        </w:rPr>
        <w:fldChar w:fldCharType="begin"/>
      </w:r>
      <w:r>
        <w:rPr>
          <w:rFonts w:hint="eastAsia" w:hAnsi="宋体" w:eastAsia="宋体" w:cs="宋体"/>
          <w:color w:val="auto"/>
          <w:highlight w:val="none"/>
          <w:u w:val="single"/>
        </w:rPr>
        <w:instrText xml:space="preserve"> = 3 \* GB3 </w:instrText>
      </w:r>
      <w:r>
        <w:rPr>
          <w:rFonts w:hint="eastAsia" w:hAnsi="宋体" w:eastAsia="宋体" w:cs="宋体"/>
          <w:color w:val="auto"/>
          <w:highlight w:val="none"/>
          <w:u w:val="single"/>
        </w:rPr>
        <w:fldChar w:fldCharType="separate"/>
      </w:r>
      <w:r>
        <w:rPr>
          <w:rFonts w:hint="eastAsia" w:hAnsi="宋体" w:eastAsia="宋体" w:cs="宋体"/>
          <w:color w:val="auto"/>
          <w:highlight w:val="none"/>
          <w:u w:val="single"/>
        </w:rPr>
        <w:t>③</w:t>
      </w:r>
      <w:r>
        <w:rPr>
          <w:rFonts w:hint="eastAsia" w:hAnsi="宋体" w:eastAsia="宋体" w:cs="宋体"/>
          <w:color w:val="auto"/>
          <w:highlight w:val="none"/>
          <w:u w:val="single"/>
        </w:rPr>
        <w:fldChar w:fldCharType="end"/>
      </w:r>
      <w:bookmarkEnd w:id="579"/>
      <w:r>
        <w:rPr>
          <w:rFonts w:hint="eastAsia" w:hAnsi="宋体" w:eastAsia="宋体" w:cs="宋体"/>
          <w:color w:val="auto"/>
          <w:highlight w:val="none"/>
          <w:u w:val="single"/>
          <w:lang w:eastAsia="zh-CN"/>
        </w:rPr>
        <w:t>工程结算经发包人审定后，承包人须向发包人缴纳结算总价的</w:t>
      </w:r>
      <w:r>
        <w:rPr>
          <w:rFonts w:hint="eastAsia" w:hAnsi="宋体" w:cs="宋体"/>
          <w:color w:val="auto"/>
          <w:highlight w:val="none"/>
          <w:u w:val="single"/>
          <w:lang w:val="en-US" w:eastAsia="zh-CN"/>
        </w:rPr>
        <w:t>3</w:t>
      </w:r>
      <w:r>
        <w:rPr>
          <w:rFonts w:hint="eastAsia" w:hAnsi="宋体" w:eastAsia="宋体" w:cs="宋体"/>
          <w:color w:val="auto"/>
          <w:highlight w:val="none"/>
          <w:u w:val="single"/>
          <w:lang w:eastAsia="zh-CN"/>
        </w:rPr>
        <w:t>%作为质量保证金</w:t>
      </w:r>
      <w:r>
        <w:rPr>
          <w:rFonts w:hint="eastAsia" w:hAnsi="宋体" w:cs="宋体"/>
          <w:color w:val="auto"/>
          <w:highlight w:val="none"/>
          <w:u w:val="single"/>
          <w:lang w:eastAsia="zh-CN"/>
        </w:rPr>
        <w:t>，</w:t>
      </w:r>
      <w:r>
        <w:rPr>
          <w:rFonts w:hint="eastAsia" w:hAnsi="宋体" w:eastAsia="宋体" w:cs="宋体"/>
          <w:color w:val="auto"/>
          <w:highlight w:val="none"/>
          <w:u w:val="single"/>
          <w:lang w:eastAsia="zh-CN"/>
        </w:rPr>
        <w:t>收到质量保证金之日起15个工作日内发包人支付至结算总价的100%</w:t>
      </w:r>
      <w:r>
        <w:rPr>
          <w:rFonts w:hint="eastAsia" w:hAnsi="宋体" w:eastAsia="宋体" w:cs="宋体"/>
          <w:color w:val="auto"/>
          <w:highlight w:val="none"/>
          <w:u w:val="single"/>
          <w:lang w:val="en-US" w:eastAsia="zh-CN"/>
        </w:rPr>
        <w:t>.</w:t>
      </w:r>
    </w:p>
    <w:p w14:paraId="52085B2B">
      <w:pPr>
        <w:spacing w:line="360" w:lineRule="auto"/>
        <w:ind w:left="430" w:leftChars="200" w:hanging="10" w:firstLineChars="0"/>
        <w:jc w:val="left"/>
        <w:rPr>
          <w:rFonts w:hint="eastAsia" w:hAnsi="宋体" w:eastAsia="宋体" w:cs="宋体"/>
          <w:color w:val="auto"/>
          <w:highlight w:val="none"/>
          <w:u w:val="single"/>
          <w:lang w:eastAsia="zh-CN"/>
        </w:rPr>
      </w:pPr>
      <w:r>
        <w:rPr>
          <w:rFonts w:hint="eastAsia" w:hAnsi="宋体" w:eastAsia="宋体" w:cs="宋体"/>
          <w:color w:val="auto"/>
          <w:highlight w:val="none"/>
          <w:u w:val="single"/>
          <w:lang w:eastAsia="zh-CN"/>
        </w:rPr>
        <w:t>发包人每次付款前，承包人应向发包人出具合法、有效、足额的增值税发票，否则发包人有权延迟支付。</w:t>
      </w:r>
    </w:p>
    <w:p w14:paraId="28166ACE">
      <w:pPr>
        <w:spacing w:line="360" w:lineRule="auto"/>
        <w:ind w:firstLine="420" w:firstLineChars="200"/>
        <w:jc w:val="left"/>
        <w:rPr>
          <w:color w:val="auto"/>
          <w:highlight w:val="none"/>
        </w:rPr>
      </w:pPr>
      <w:r>
        <w:rPr>
          <w:color w:val="auto"/>
          <w:highlight w:val="none"/>
        </w:rPr>
        <w:t xml:space="preserve">12.4.2 </w:t>
      </w:r>
      <w:r>
        <w:rPr>
          <w:rFonts w:hint="eastAsia" w:hAnsi="宋体" w:cs="宋体"/>
          <w:color w:val="auto"/>
          <w:highlight w:val="none"/>
        </w:rPr>
        <w:t>进度付款申请单的编制</w:t>
      </w:r>
    </w:p>
    <w:p w14:paraId="078B6D1D">
      <w:pPr>
        <w:spacing w:line="360" w:lineRule="auto"/>
        <w:ind w:firstLine="420" w:firstLineChars="200"/>
        <w:jc w:val="left"/>
        <w:rPr>
          <w:color w:val="auto"/>
          <w:highlight w:val="none"/>
          <w:u w:val="single"/>
        </w:rPr>
      </w:pPr>
      <w:r>
        <w:rPr>
          <w:rFonts w:hint="eastAsia" w:hAnsi="宋体" w:cs="宋体"/>
          <w:color w:val="auto"/>
          <w:highlight w:val="none"/>
        </w:rPr>
        <w:t>关于进度付款申请单编制的约定：</w:t>
      </w:r>
      <w:r>
        <w:rPr>
          <w:color w:val="auto"/>
          <w:highlight w:val="none"/>
          <w:u w:val="single"/>
        </w:rPr>
        <w:t xml:space="preserve">  </w:t>
      </w:r>
      <w:r>
        <w:rPr>
          <w:rFonts w:hint="eastAsia"/>
          <w:color w:val="auto"/>
          <w:szCs w:val="21"/>
          <w:highlight w:val="none"/>
          <w:u w:val="single"/>
        </w:rPr>
        <w:t>每月25日前，按发包人提供的工程款进度付款申请材料格式和内容填报</w:t>
      </w:r>
      <w:r>
        <w:rPr>
          <w:color w:val="auto"/>
          <w:highlight w:val="none"/>
          <w:u w:val="single"/>
        </w:rPr>
        <w:t xml:space="preserve">   </w:t>
      </w:r>
      <w:r>
        <w:rPr>
          <w:rFonts w:hint="eastAsia" w:hAnsi="宋体" w:cs="宋体"/>
          <w:color w:val="auto"/>
          <w:highlight w:val="none"/>
        </w:rPr>
        <w:t>。</w:t>
      </w:r>
    </w:p>
    <w:p w14:paraId="3D345944">
      <w:pPr>
        <w:spacing w:line="360" w:lineRule="auto"/>
        <w:ind w:firstLine="420" w:firstLineChars="200"/>
        <w:jc w:val="left"/>
        <w:rPr>
          <w:color w:val="auto"/>
          <w:highlight w:val="none"/>
        </w:rPr>
      </w:pPr>
      <w:r>
        <w:rPr>
          <w:color w:val="auto"/>
          <w:highlight w:val="none"/>
        </w:rPr>
        <w:t>1</w:t>
      </w:r>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r>
        <w:rPr>
          <w:color w:val="auto"/>
          <w:highlight w:val="none"/>
        </w:rPr>
        <w:t xml:space="preserve">2.4.3 </w:t>
      </w:r>
      <w:r>
        <w:rPr>
          <w:rFonts w:hint="eastAsia" w:hAnsi="宋体" w:cs="宋体"/>
          <w:color w:val="auto"/>
          <w:highlight w:val="none"/>
        </w:rPr>
        <w:t>进度付款申请单的提交</w:t>
      </w:r>
    </w:p>
    <w:p w14:paraId="55D42D7C">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1</w:t>
      </w:r>
      <w:r>
        <w:rPr>
          <w:rFonts w:hint="eastAsia" w:hAnsi="宋体" w:cs="宋体"/>
          <w:color w:val="auto"/>
          <w:highlight w:val="none"/>
        </w:rPr>
        <w:t>）单价合同进度付款申请单提交的约定：</w:t>
      </w:r>
      <w:r>
        <w:rPr>
          <w:color w:val="auto"/>
          <w:highlight w:val="none"/>
          <w:u w:val="single"/>
        </w:rPr>
        <w:t xml:space="preserve">       </w:t>
      </w:r>
      <w:r>
        <w:rPr>
          <w:rFonts w:hint="eastAsia"/>
          <w:color w:val="auto"/>
          <w:highlight w:val="none"/>
          <w:u w:val="single"/>
          <w:lang w:val="en-US" w:eastAsia="zh-CN"/>
        </w:rPr>
        <w:t>/</w:t>
      </w:r>
      <w:r>
        <w:rPr>
          <w:color w:val="auto"/>
          <w:highlight w:val="none"/>
          <w:u w:val="single"/>
        </w:rPr>
        <w:t xml:space="preserve">      </w:t>
      </w:r>
      <w:r>
        <w:rPr>
          <w:rFonts w:hint="eastAsia" w:hAnsi="宋体" w:cs="宋体"/>
          <w:color w:val="auto"/>
          <w:highlight w:val="none"/>
        </w:rPr>
        <w:t>。</w:t>
      </w:r>
    </w:p>
    <w:p w14:paraId="53D4345B">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）总价合同进度付款申请单提交的约定：</w:t>
      </w:r>
      <w:r>
        <w:rPr>
          <w:color w:val="auto"/>
          <w:highlight w:val="none"/>
          <w:u w:val="single"/>
        </w:rPr>
        <w:t xml:space="preserve">   </w:t>
      </w:r>
      <w:r>
        <w:rPr>
          <w:rFonts w:hint="eastAsia" w:hAnsi="宋体"/>
          <w:bCs/>
          <w:color w:val="auto"/>
          <w:szCs w:val="21"/>
          <w:highlight w:val="none"/>
          <w:u w:val="single"/>
        </w:rPr>
        <w:t>申请工程进度款时，承包人应配合发包人提供以下资料</w:t>
      </w:r>
      <w:r>
        <w:rPr>
          <w:rFonts w:hint="eastAsia"/>
          <w:bCs/>
          <w:color w:val="auto"/>
          <w:szCs w:val="21"/>
          <w:highlight w:val="none"/>
          <w:u w:val="single"/>
        </w:rPr>
        <w:t>①《工程用款支付证书》；②已完工程量计算书；③监理审核计算书；④其他需要补充说明的材料；⑤若乙方账户变动，则须提交账户变更信息</w:t>
      </w:r>
      <w:r>
        <w:rPr>
          <w:color w:val="auto"/>
          <w:highlight w:val="none"/>
          <w:u w:val="single"/>
        </w:rPr>
        <w:t xml:space="preserve">  </w:t>
      </w:r>
      <w:r>
        <w:rPr>
          <w:rFonts w:hint="eastAsia" w:hAnsi="宋体" w:cs="宋体"/>
          <w:color w:val="auto"/>
          <w:highlight w:val="none"/>
        </w:rPr>
        <w:t>。</w:t>
      </w:r>
    </w:p>
    <w:p w14:paraId="5A19FD24">
      <w:pPr>
        <w:spacing w:line="360" w:lineRule="auto"/>
        <w:ind w:firstLine="420" w:firstLineChars="200"/>
        <w:jc w:val="left"/>
        <w:rPr>
          <w:color w:val="auto"/>
          <w:highlight w:val="none"/>
          <w:u w:val="single"/>
        </w:rPr>
      </w:pPr>
      <w:r>
        <w:rPr>
          <w:rFonts w:hint="eastAsia" w:hAnsi="宋体" w:cs="宋体"/>
          <w:color w:val="auto"/>
          <w:highlight w:val="none"/>
        </w:rPr>
        <w:t>（</w:t>
      </w:r>
      <w:r>
        <w:rPr>
          <w:color w:val="auto"/>
          <w:highlight w:val="none"/>
        </w:rPr>
        <w:t>3</w:t>
      </w:r>
      <w:r>
        <w:rPr>
          <w:rFonts w:hint="eastAsia" w:hAnsi="宋体" w:cs="宋体"/>
          <w:color w:val="auto"/>
          <w:highlight w:val="none"/>
        </w:rPr>
        <w:t>）其他价格形式合同进度付款申请单提交的约定：</w:t>
      </w:r>
      <w:r>
        <w:rPr>
          <w:color w:val="auto"/>
          <w:highlight w:val="none"/>
          <w:u w:val="single"/>
        </w:rPr>
        <w:t xml:space="preserve">        </w:t>
      </w:r>
      <w:r>
        <w:rPr>
          <w:rFonts w:hint="eastAsia"/>
          <w:color w:val="auto"/>
          <w:highlight w:val="none"/>
          <w:u w:val="single"/>
          <w:lang w:val="en-US" w:eastAsia="zh-CN"/>
        </w:rPr>
        <w:t>/</w:t>
      </w:r>
      <w:r>
        <w:rPr>
          <w:color w:val="auto"/>
          <w:highlight w:val="none"/>
          <w:u w:val="single"/>
        </w:rPr>
        <w:t xml:space="preserve">       </w:t>
      </w:r>
      <w:r>
        <w:rPr>
          <w:rFonts w:hint="eastAsia" w:hAnsi="宋体" w:cs="宋体"/>
          <w:color w:val="auto"/>
          <w:highlight w:val="none"/>
        </w:rPr>
        <w:t>。</w:t>
      </w:r>
    </w:p>
    <w:p w14:paraId="2B0D800C">
      <w:pPr>
        <w:spacing w:line="360" w:lineRule="auto"/>
        <w:ind w:firstLine="420" w:firstLineChars="200"/>
        <w:jc w:val="left"/>
        <w:rPr>
          <w:color w:val="auto"/>
          <w:highlight w:val="none"/>
        </w:rPr>
      </w:pPr>
      <w:r>
        <w:rPr>
          <w:color w:val="auto"/>
          <w:highlight w:val="none"/>
        </w:rPr>
        <w:t xml:space="preserve">12.4.4 </w:t>
      </w:r>
      <w:r>
        <w:rPr>
          <w:rFonts w:hint="eastAsia" w:hAnsi="宋体" w:cs="宋体"/>
          <w:color w:val="auto"/>
          <w:highlight w:val="none"/>
        </w:rPr>
        <w:t>进度款审核和支付</w:t>
      </w:r>
    </w:p>
    <w:p w14:paraId="7BE03819">
      <w:pPr>
        <w:spacing w:line="360" w:lineRule="auto"/>
        <w:ind w:firstLine="420" w:firstLineChars="200"/>
        <w:jc w:val="left"/>
        <w:rPr>
          <w:color w:val="auto"/>
          <w:highlight w:val="none"/>
          <w:u w:val="single"/>
        </w:rPr>
      </w:pPr>
      <w:r>
        <w:rPr>
          <w:rFonts w:hint="eastAsia" w:hAnsi="宋体" w:cs="宋体"/>
          <w:color w:val="auto"/>
          <w:highlight w:val="none"/>
        </w:rPr>
        <w:t>（</w:t>
      </w:r>
      <w:r>
        <w:rPr>
          <w:color w:val="auto"/>
          <w:highlight w:val="none"/>
        </w:rPr>
        <w:t>1</w:t>
      </w:r>
      <w:r>
        <w:rPr>
          <w:rFonts w:hint="eastAsia" w:hAnsi="宋体" w:cs="宋体"/>
          <w:color w:val="auto"/>
          <w:highlight w:val="none"/>
        </w:rPr>
        <w:t>）监理人审查并报送发包人的期限：</w:t>
      </w:r>
      <w:r>
        <w:rPr>
          <w:color w:val="auto"/>
          <w:highlight w:val="none"/>
          <w:u w:val="single"/>
        </w:rPr>
        <w:t xml:space="preserve">        </w:t>
      </w:r>
      <w:r>
        <w:rPr>
          <w:rFonts w:hint="eastAsia"/>
          <w:color w:val="auto"/>
          <w:highlight w:val="none"/>
          <w:u w:val="single"/>
          <w:lang w:val="en-US" w:eastAsia="zh-CN"/>
        </w:rPr>
        <w:t>/</w:t>
      </w:r>
      <w:r>
        <w:rPr>
          <w:color w:val="auto"/>
          <w:highlight w:val="none"/>
          <w:u w:val="single"/>
        </w:rPr>
        <w:t xml:space="preserve">          </w:t>
      </w:r>
      <w:r>
        <w:rPr>
          <w:rFonts w:hint="eastAsia" w:hAnsi="宋体" w:cs="宋体"/>
          <w:color w:val="auto"/>
          <w:highlight w:val="none"/>
        </w:rPr>
        <w:t>。</w:t>
      </w:r>
    </w:p>
    <w:p w14:paraId="08BE1D59">
      <w:pPr>
        <w:spacing w:line="360" w:lineRule="auto"/>
        <w:ind w:firstLine="420" w:firstLineChars="200"/>
        <w:jc w:val="left"/>
        <w:rPr>
          <w:color w:val="auto"/>
          <w:highlight w:val="none"/>
          <w:u w:val="single"/>
        </w:rPr>
      </w:pPr>
      <w:r>
        <w:rPr>
          <w:rFonts w:hint="eastAsia" w:hAnsi="宋体" w:cs="宋体"/>
          <w:color w:val="auto"/>
          <w:highlight w:val="none"/>
        </w:rPr>
        <w:t>发包人完成审批并签发进度款支付证书的期限：</w:t>
      </w:r>
      <w:r>
        <w:rPr>
          <w:color w:val="auto"/>
          <w:highlight w:val="none"/>
          <w:u w:val="single"/>
        </w:rPr>
        <w:t xml:space="preserve">      </w:t>
      </w:r>
      <w:r>
        <w:rPr>
          <w:rFonts w:hint="eastAsia"/>
          <w:color w:val="auto"/>
          <w:highlight w:val="none"/>
          <w:u w:val="single"/>
          <w:lang w:val="en-US" w:eastAsia="zh-CN"/>
        </w:rPr>
        <w:t>/</w:t>
      </w:r>
      <w:r>
        <w:rPr>
          <w:color w:val="auto"/>
          <w:highlight w:val="none"/>
          <w:u w:val="single"/>
        </w:rPr>
        <w:t xml:space="preserve">       </w:t>
      </w:r>
      <w:r>
        <w:rPr>
          <w:rFonts w:hint="eastAsia" w:hAnsi="宋体" w:cs="宋体"/>
          <w:color w:val="auto"/>
          <w:highlight w:val="none"/>
        </w:rPr>
        <w:t>。</w:t>
      </w:r>
    </w:p>
    <w:p w14:paraId="58ED7D6C">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）发包人支付进度款的期限：</w:t>
      </w:r>
      <w:r>
        <w:rPr>
          <w:color w:val="auto"/>
          <w:highlight w:val="none"/>
          <w:u w:val="single"/>
        </w:rPr>
        <w:t xml:space="preserve">    </w:t>
      </w:r>
      <w:r>
        <w:rPr>
          <w:rFonts w:hint="eastAsia"/>
          <w:color w:val="auto"/>
          <w:highlight w:val="none"/>
          <w:u w:val="single"/>
          <w:lang w:val="en-US" w:eastAsia="zh-CN"/>
        </w:rPr>
        <w:t>/</w:t>
      </w:r>
      <w:r>
        <w:rPr>
          <w:color w:val="auto"/>
          <w:highlight w:val="none"/>
          <w:u w:val="single"/>
        </w:rPr>
        <w:t xml:space="preserve">    </w:t>
      </w:r>
      <w:r>
        <w:rPr>
          <w:rFonts w:hint="eastAsia" w:hAnsi="宋体" w:cs="宋体"/>
          <w:color w:val="auto"/>
          <w:highlight w:val="none"/>
        </w:rPr>
        <w:t>。</w:t>
      </w:r>
    </w:p>
    <w:p w14:paraId="76D0B28F">
      <w:pPr>
        <w:spacing w:line="360" w:lineRule="auto"/>
        <w:ind w:firstLine="525" w:firstLineChars="250"/>
        <w:jc w:val="left"/>
        <w:rPr>
          <w:color w:val="auto"/>
          <w:highlight w:val="none"/>
        </w:rPr>
      </w:pPr>
      <w:r>
        <w:rPr>
          <w:rFonts w:hint="eastAsia" w:hAnsi="宋体" w:cs="宋体"/>
          <w:color w:val="auto"/>
          <w:highlight w:val="none"/>
        </w:rPr>
        <w:t>发包人逾期支付进度款的违约金的计算方式：</w:t>
      </w:r>
      <w:r>
        <w:rPr>
          <w:color w:val="auto"/>
          <w:highlight w:val="none"/>
          <w:u w:val="single"/>
        </w:rPr>
        <w:t xml:space="preserve">     </w:t>
      </w:r>
      <w:r>
        <w:rPr>
          <w:rFonts w:hint="eastAsia"/>
          <w:color w:val="auto"/>
          <w:highlight w:val="none"/>
          <w:u w:val="single"/>
          <w:lang w:val="en-US" w:eastAsia="zh-CN"/>
        </w:rPr>
        <w:t>/</w:t>
      </w:r>
      <w:r>
        <w:rPr>
          <w:color w:val="auto"/>
          <w:highlight w:val="none"/>
          <w:u w:val="single"/>
        </w:rPr>
        <w:t xml:space="preserve">   </w:t>
      </w:r>
      <w:r>
        <w:rPr>
          <w:rFonts w:hint="eastAsia" w:hAnsi="宋体" w:cs="宋体"/>
          <w:color w:val="auto"/>
          <w:highlight w:val="none"/>
        </w:rPr>
        <w:t>。</w:t>
      </w:r>
    </w:p>
    <w:p w14:paraId="68ECE34C">
      <w:pPr>
        <w:spacing w:line="360" w:lineRule="auto"/>
        <w:ind w:firstLine="630" w:firstLineChars="300"/>
        <w:rPr>
          <w:rFonts w:hAnsi="宋体" w:cs="宋体"/>
          <w:color w:val="auto"/>
          <w:highlight w:val="none"/>
        </w:rPr>
      </w:pPr>
      <w:r>
        <w:rPr>
          <w:rFonts w:hint="eastAsia" w:hAnsi="宋体" w:cs="宋体"/>
          <w:color w:val="auto"/>
          <w:highlight w:val="none"/>
        </w:rPr>
        <w:t>进度款支付方式：</w:t>
      </w:r>
      <w:r>
        <w:rPr>
          <w:rFonts w:hint="eastAsia" w:hAnsi="宋体" w:cs="宋体"/>
          <w:color w:val="auto"/>
          <w:highlight w:val="none"/>
          <w:u w:val="single"/>
        </w:rPr>
        <w:t>银行转账</w:t>
      </w:r>
      <w:r>
        <w:rPr>
          <w:rFonts w:hint="eastAsia" w:hAnsi="宋体" w:cs="宋体"/>
          <w:color w:val="auto"/>
          <w:highlight w:val="none"/>
        </w:rPr>
        <w:t>。</w:t>
      </w:r>
      <w:r>
        <w:rPr>
          <w:rFonts w:hint="eastAsia"/>
          <w:color w:val="auto"/>
          <w:highlight w:val="none"/>
        </w:rPr>
        <w:t>进度款支付申请（核准）表见合同附件11。</w:t>
      </w:r>
    </w:p>
    <w:p w14:paraId="46F747A3">
      <w:pPr>
        <w:spacing w:line="360" w:lineRule="auto"/>
        <w:ind w:firstLine="525" w:firstLineChars="250"/>
        <w:jc w:val="left"/>
        <w:rPr>
          <w:rFonts w:hint="eastAsia" w:hAnsi="宋体"/>
          <w:color w:val="auto"/>
          <w:highlight w:val="none"/>
        </w:rPr>
      </w:pPr>
      <w:r>
        <w:rPr>
          <w:rFonts w:hint="eastAsia" w:hAnsi="宋体"/>
          <w:color w:val="auto"/>
          <w:highlight w:val="none"/>
        </w:rPr>
        <w:t>（3） 农民工工资支付</w:t>
      </w:r>
    </w:p>
    <w:p w14:paraId="03B98166">
      <w:pPr>
        <w:spacing w:line="360" w:lineRule="auto"/>
        <w:ind w:firstLine="525" w:firstLineChars="250"/>
        <w:jc w:val="left"/>
        <w:rPr>
          <w:rFonts w:hint="eastAsia" w:hAnsi="宋体" w:cs="宋体"/>
          <w:color w:val="auto"/>
          <w:kern w:val="0"/>
          <w:highlight w:val="none"/>
        </w:rPr>
      </w:pPr>
      <w:r>
        <w:rPr>
          <w:rFonts w:hint="eastAsia" w:hAnsi="宋体" w:cs="宋体"/>
          <w:color w:val="auto"/>
          <w:kern w:val="0"/>
          <w:highlight w:val="none"/>
        </w:rPr>
        <w:t>1）人工费用是指发包人向承包人专用账户拨付的专项用于支付农民工工资的工程款。农民工工资专用账户是指承包人在工程建设项目所在地银行业金融机构（简称银行）开立的，专项用于支付农民工工资的专用存款账户。</w:t>
      </w:r>
    </w:p>
    <w:p w14:paraId="64DD1589">
      <w:pPr>
        <w:spacing w:line="360" w:lineRule="auto"/>
        <w:ind w:firstLine="525" w:firstLineChars="250"/>
        <w:jc w:val="left"/>
        <w:rPr>
          <w:rFonts w:hint="eastAsia" w:hAnsi="宋体" w:cs="宋体"/>
          <w:color w:val="auto"/>
          <w:kern w:val="0"/>
          <w:highlight w:val="none"/>
        </w:rPr>
      </w:pPr>
      <w:r>
        <w:rPr>
          <w:rFonts w:hint="eastAsia" w:hAnsi="宋体" w:cs="宋体"/>
          <w:color w:val="auto"/>
          <w:kern w:val="0"/>
          <w:highlight w:val="none"/>
        </w:rPr>
        <w:t>2）人工费</w:t>
      </w:r>
      <w:r>
        <w:rPr>
          <w:rFonts w:hint="eastAsia" w:hAnsi="宋体" w:cs="宋体"/>
          <w:color w:val="auto"/>
          <w:kern w:val="0"/>
          <w:highlight w:val="none"/>
          <w:lang w:eastAsia="zh-CN"/>
        </w:rPr>
        <w:t>应</w:t>
      </w:r>
      <w:r>
        <w:rPr>
          <w:rFonts w:hint="eastAsia" w:hAnsi="宋体" w:cs="宋体"/>
          <w:color w:val="auto"/>
          <w:kern w:val="0"/>
          <w:highlight w:val="none"/>
        </w:rPr>
        <w:t>与工程进度款</w:t>
      </w:r>
      <w:r>
        <w:rPr>
          <w:rFonts w:hint="eastAsia" w:hAnsi="宋体" w:cs="宋体"/>
          <w:color w:val="auto"/>
          <w:kern w:val="0"/>
          <w:highlight w:val="none"/>
          <w:lang w:eastAsia="zh-CN"/>
        </w:rPr>
        <w:t>分账管理</w:t>
      </w:r>
      <w:r>
        <w:rPr>
          <w:rFonts w:hint="eastAsia" w:hAnsi="宋体" w:cs="宋体"/>
          <w:color w:val="auto"/>
          <w:kern w:val="0"/>
          <w:highlight w:val="none"/>
        </w:rPr>
        <w:t>。必须按时足额支付，人工费拨付周期不得超过1个月，最少每月支付一次，无工程款申请的月份</w:t>
      </w:r>
      <w:r>
        <w:rPr>
          <w:rFonts w:hint="eastAsia" w:hAnsi="宋体" w:cs="宋体"/>
          <w:color w:val="auto"/>
          <w:kern w:val="0"/>
          <w:highlight w:val="none"/>
          <w:lang w:eastAsia="zh-CN"/>
        </w:rPr>
        <w:t>，由</w:t>
      </w:r>
      <w:r>
        <w:rPr>
          <w:rFonts w:hint="eastAsia" w:hAnsi="宋体" w:cs="宋体"/>
          <w:color w:val="auto"/>
          <w:kern w:val="0"/>
          <w:highlight w:val="none"/>
        </w:rPr>
        <w:t>承包人单独上报人工费划拨申请；若因发包人未按照合同约定划拨工程款项导致拖欠工资的，由发包人以未结清的工程款项为限先行垫付所拖欠的工资；承包人向发包人申请工程进度款时必须把农民工工资部分单独列明，如果未单独列明，监理单位不得签支付证书等支付工程款的手续，发包人单位不得审批和支付工程款。发包人必须把工程款</w:t>
      </w:r>
      <w:r>
        <w:rPr>
          <w:rFonts w:hint="eastAsia" w:hAnsi="宋体" w:cs="宋体"/>
          <w:color w:val="auto"/>
          <w:kern w:val="0"/>
          <w:highlight w:val="none"/>
          <w:lang w:eastAsia="zh-CN"/>
        </w:rPr>
        <w:t>分账</w:t>
      </w:r>
      <w:r>
        <w:rPr>
          <w:rFonts w:hint="eastAsia" w:hAnsi="宋体" w:cs="宋体"/>
          <w:color w:val="auto"/>
          <w:kern w:val="0"/>
          <w:highlight w:val="none"/>
        </w:rPr>
        <w:t>出来的人工费转入承包人农民工工资支付专用账户，转入农民工工资支付专用账户环节必须有银行流水凭证。</w:t>
      </w:r>
    </w:p>
    <w:p w14:paraId="05D89565">
      <w:pPr>
        <w:spacing w:line="360" w:lineRule="auto"/>
        <w:ind w:firstLine="525" w:firstLineChars="250"/>
        <w:jc w:val="left"/>
        <w:rPr>
          <w:rFonts w:hint="eastAsia" w:hAnsi="宋体" w:cs="宋体"/>
          <w:color w:val="auto"/>
          <w:kern w:val="0"/>
          <w:highlight w:val="none"/>
        </w:rPr>
      </w:pPr>
      <w:r>
        <w:rPr>
          <w:rFonts w:hint="eastAsia" w:hAnsi="宋体" w:cs="宋体"/>
          <w:color w:val="auto"/>
          <w:kern w:val="0"/>
          <w:highlight w:val="none"/>
        </w:rPr>
        <w:t>3）发包人依据工程进度，审核承包人申报的工程进度款，按照与承包人约定的人工费支付比例</w:t>
      </w:r>
      <w:r>
        <w:rPr>
          <w:rFonts w:hint="eastAsia" w:hAnsi="宋体" w:cs="宋体"/>
          <w:color w:val="auto"/>
          <w:kern w:val="0"/>
          <w:highlight w:val="none"/>
          <w:lang w:val="en-US" w:eastAsia="zh-CN"/>
        </w:rPr>
        <w:t>20</w:t>
      </w:r>
      <w:r>
        <w:rPr>
          <w:rFonts w:hint="eastAsia" w:hAnsi="宋体" w:cs="宋体"/>
          <w:color w:val="auto"/>
          <w:kern w:val="0"/>
          <w:highlight w:val="none"/>
        </w:rPr>
        <w:t xml:space="preserve"> %</w:t>
      </w:r>
      <w:r>
        <w:rPr>
          <w:rFonts w:hint="eastAsia" w:hAnsi="宋体" w:cs="宋体"/>
          <w:color w:val="auto"/>
          <w:kern w:val="0"/>
          <w:highlight w:val="none"/>
          <w:lang w:eastAsia="zh-CN"/>
        </w:rPr>
        <w:t>（房建项目不少于</w:t>
      </w:r>
      <w:r>
        <w:rPr>
          <w:rFonts w:hint="eastAsia" w:hAnsi="宋体" w:cs="宋体"/>
          <w:color w:val="auto"/>
          <w:kern w:val="0"/>
          <w:highlight w:val="none"/>
          <w:lang w:val="en-US" w:eastAsia="zh-CN"/>
        </w:rPr>
        <w:t>20%，市政项目不少于15%）</w:t>
      </w:r>
      <w:r>
        <w:rPr>
          <w:rFonts w:hint="eastAsia" w:hAnsi="宋体" w:cs="宋体"/>
          <w:color w:val="auto"/>
          <w:kern w:val="0"/>
          <w:highlight w:val="none"/>
        </w:rPr>
        <w:t>，将人工费及时足额拨付至承包人的农民工工资专用账户，其余工程进度款项由发包人支付到承包人的单位基本户。</w:t>
      </w:r>
    </w:p>
    <w:p w14:paraId="6A7CA0F5">
      <w:pPr>
        <w:spacing w:line="360" w:lineRule="auto"/>
        <w:ind w:firstLine="525" w:firstLineChars="250"/>
        <w:jc w:val="left"/>
        <w:rPr>
          <w:rFonts w:hint="eastAsia" w:hAnsi="宋体" w:cs="宋体"/>
          <w:color w:val="auto"/>
          <w:kern w:val="0"/>
          <w:highlight w:val="none"/>
        </w:rPr>
      </w:pPr>
      <w:r>
        <w:rPr>
          <w:rFonts w:hint="eastAsia" w:hAnsi="宋体" w:cs="宋体"/>
          <w:color w:val="auto"/>
          <w:kern w:val="0"/>
          <w:highlight w:val="none"/>
        </w:rPr>
        <w:t>4）工程建设领域总包单位对农民工工资支付负总责，推行分包单位农民工工资委托总包单位代发制度（以下简称总包代发制度）。工程建设项目</w:t>
      </w:r>
      <w:r>
        <w:rPr>
          <w:rFonts w:hint="eastAsia" w:hAnsi="宋体" w:cs="宋体"/>
          <w:color w:val="auto"/>
          <w:kern w:val="0"/>
          <w:highlight w:val="none"/>
          <w:lang w:eastAsia="zh-CN"/>
        </w:rPr>
        <w:t>实行</w:t>
      </w:r>
      <w:r>
        <w:rPr>
          <w:rFonts w:hint="eastAsia" w:hAnsi="宋体" w:cs="宋体"/>
          <w:color w:val="auto"/>
          <w:kern w:val="0"/>
          <w:highlight w:val="none"/>
        </w:rPr>
        <w:t xml:space="preserve">总包代发制度的，总包单位与分包单位签订委托工资支付协议。 </w:t>
      </w:r>
    </w:p>
    <w:p w14:paraId="6C2F423E">
      <w:pPr>
        <w:spacing w:line="360" w:lineRule="auto"/>
        <w:ind w:firstLine="525" w:firstLineChars="250"/>
        <w:jc w:val="left"/>
        <w:rPr>
          <w:rFonts w:hint="eastAsia" w:hAnsi="宋体" w:cs="宋体"/>
          <w:color w:val="auto"/>
          <w:kern w:val="0"/>
          <w:highlight w:val="none"/>
        </w:rPr>
      </w:pPr>
      <w:r>
        <w:rPr>
          <w:rFonts w:hint="eastAsia" w:hAnsi="宋体" w:cs="宋体"/>
          <w:color w:val="auto"/>
          <w:kern w:val="0"/>
          <w:highlight w:val="none"/>
        </w:rPr>
        <w:t>5）凡未向付款单位提供农民工工资专用账户的，或者请款单位在申请工程进度款时未将人工费单列的，付款单位有权拒绝支付工程进度款。</w:t>
      </w:r>
    </w:p>
    <w:p w14:paraId="328207F7">
      <w:pPr>
        <w:spacing w:line="360" w:lineRule="auto"/>
        <w:ind w:firstLine="525" w:firstLineChars="250"/>
        <w:jc w:val="left"/>
        <w:rPr>
          <w:rFonts w:hint="eastAsia" w:hAnsi="宋体" w:cs="宋体"/>
          <w:color w:val="auto"/>
          <w:kern w:val="0"/>
          <w:highlight w:val="none"/>
        </w:rPr>
      </w:pPr>
      <w:r>
        <w:rPr>
          <w:rFonts w:hint="eastAsia" w:hAnsi="宋体" w:cs="宋体"/>
          <w:color w:val="auto"/>
          <w:kern w:val="0"/>
          <w:highlight w:val="none"/>
        </w:rPr>
        <w:t>6）人工费使用要求：专款专用，除发放农民工工资外，不得用于其他用途。</w:t>
      </w:r>
    </w:p>
    <w:p w14:paraId="4AD8DD27">
      <w:pPr>
        <w:spacing w:line="360" w:lineRule="auto"/>
        <w:ind w:firstLine="525" w:firstLineChars="250"/>
        <w:jc w:val="left"/>
        <w:rPr>
          <w:rFonts w:hint="eastAsia" w:hAnsi="宋体" w:cs="宋体"/>
          <w:color w:val="auto"/>
          <w:kern w:val="0"/>
          <w:highlight w:val="none"/>
        </w:rPr>
      </w:pPr>
      <w:r>
        <w:rPr>
          <w:rFonts w:hint="eastAsia" w:hAnsi="宋体" w:cs="宋体"/>
          <w:color w:val="auto"/>
          <w:kern w:val="0"/>
          <w:highlight w:val="none"/>
        </w:rPr>
        <w:t>7）承包人将人工费支付情况定期报告发包人和监理单位，并提供相应的材料接受建设行政主管部门和劳动保障行政主管部门对此事项监管。</w:t>
      </w:r>
    </w:p>
    <w:p w14:paraId="3EA2614E">
      <w:pPr>
        <w:autoSpaceDE w:val="0"/>
        <w:autoSpaceDN w:val="0"/>
        <w:adjustRightInd w:val="0"/>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8）人工费支付专用账户：××××公司农民工工资支付专用账户。账号：</w:t>
      </w:r>
      <w:r>
        <w:rPr>
          <w:rFonts w:hint="eastAsia" w:hAnsi="宋体" w:cs="宋体"/>
          <w:color w:val="auto"/>
          <w:kern w:val="0"/>
          <w:highlight w:val="none"/>
          <w:u w:val="single"/>
        </w:rPr>
        <w:t xml:space="preserve">  </w:t>
      </w:r>
      <w:r>
        <w:rPr>
          <w:rFonts w:hAnsi="宋体" w:cs="宋体"/>
          <w:color w:val="auto"/>
          <w:kern w:val="0"/>
          <w:highlight w:val="none"/>
          <w:u w:val="single"/>
        </w:rPr>
        <w:t xml:space="preserve"> </w:t>
      </w:r>
      <w:r>
        <w:rPr>
          <w:rFonts w:hint="eastAsia" w:hAnsi="宋体" w:cs="宋体"/>
          <w:color w:val="auto"/>
          <w:kern w:val="0"/>
          <w:highlight w:val="none"/>
          <w:u w:val="single"/>
        </w:rPr>
        <w:t xml:space="preserve">  </w:t>
      </w:r>
      <w:r>
        <w:rPr>
          <w:rFonts w:hAnsi="宋体" w:cs="宋体"/>
          <w:color w:val="auto"/>
          <w:kern w:val="0"/>
          <w:highlight w:val="none"/>
          <w:u w:val="single"/>
        </w:rPr>
        <w:t xml:space="preserve"> </w:t>
      </w:r>
      <w:r>
        <w:rPr>
          <w:rFonts w:hint="eastAsia" w:hAnsi="宋体" w:cs="宋体"/>
          <w:color w:val="auto"/>
          <w:kern w:val="0"/>
          <w:highlight w:val="none"/>
          <w:u w:val="single"/>
        </w:rPr>
        <w:t xml:space="preserve"> </w:t>
      </w:r>
      <w:r>
        <w:rPr>
          <w:rFonts w:hAnsi="宋体" w:cs="宋体"/>
          <w:color w:val="auto"/>
          <w:kern w:val="0"/>
          <w:highlight w:val="none"/>
          <w:u w:val="single"/>
        </w:rPr>
        <w:t xml:space="preserve">  </w:t>
      </w:r>
      <w:r>
        <w:rPr>
          <w:rFonts w:hint="eastAsia" w:hAnsi="宋体" w:cs="宋体"/>
          <w:color w:val="auto"/>
          <w:kern w:val="0"/>
          <w:highlight w:val="none"/>
          <w:u w:val="single"/>
        </w:rPr>
        <w:t xml:space="preserve">  </w:t>
      </w:r>
      <w:r>
        <w:rPr>
          <w:rFonts w:hAnsi="宋体" w:cs="宋体"/>
          <w:color w:val="auto"/>
          <w:kern w:val="0"/>
          <w:highlight w:val="none"/>
        </w:rPr>
        <w:t>。</w:t>
      </w:r>
    </w:p>
    <w:p w14:paraId="4687BC43">
      <w:pPr>
        <w:spacing w:line="360" w:lineRule="auto"/>
        <w:ind w:firstLine="525" w:firstLineChars="250"/>
        <w:jc w:val="left"/>
        <w:rPr>
          <w:rFonts w:hAnsi="宋体"/>
          <w:color w:val="auto"/>
          <w:highlight w:val="none"/>
        </w:rPr>
      </w:pPr>
      <w:r>
        <w:rPr>
          <w:color w:val="auto"/>
          <w:highlight w:val="none"/>
        </w:rPr>
        <w:t xml:space="preserve">12.4.6 </w:t>
      </w:r>
      <w:r>
        <w:rPr>
          <w:rFonts w:hint="eastAsia" w:hAnsi="宋体" w:cs="宋体"/>
          <w:color w:val="auto"/>
          <w:highlight w:val="none"/>
        </w:rPr>
        <w:t>支付分解表的编制</w:t>
      </w:r>
    </w:p>
    <w:p w14:paraId="096B6C22">
      <w:pPr>
        <w:spacing w:line="360" w:lineRule="auto"/>
        <w:ind w:firstLine="525" w:firstLineChars="250"/>
        <w:jc w:val="left"/>
        <w:rPr>
          <w:color w:val="auto"/>
          <w:highlight w:val="none"/>
          <w:u w:val="single"/>
        </w:rPr>
      </w:pPr>
      <w:r>
        <w:rPr>
          <w:rFonts w:hint="eastAsia"/>
          <w:color w:val="auto"/>
          <w:highlight w:val="none"/>
        </w:rPr>
        <w:t>（</w:t>
      </w:r>
      <w:r>
        <w:rPr>
          <w:color w:val="auto"/>
          <w:highlight w:val="none"/>
        </w:rPr>
        <w:t>1</w:t>
      </w:r>
      <w:r>
        <w:rPr>
          <w:rFonts w:hint="eastAsia"/>
          <w:color w:val="auto"/>
          <w:highlight w:val="none"/>
        </w:rPr>
        <w:t>）</w:t>
      </w:r>
      <w:r>
        <w:rPr>
          <w:rFonts w:hAnsi="宋体"/>
          <w:color w:val="auto"/>
          <w:highlight w:val="none"/>
        </w:rPr>
        <w:t xml:space="preserve"> </w:t>
      </w:r>
      <w:r>
        <w:rPr>
          <w:rFonts w:hint="eastAsia" w:hAnsi="宋体" w:cs="宋体"/>
          <w:color w:val="auto"/>
          <w:highlight w:val="none"/>
        </w:rPr>
        <w:t>总价合同支付分解表的编制与审批：</w:t>
      </w:r>
      <w:r>
        <w:rPr>
          <w:color w:val="auto"/>
          <w:highlight w:val="none"/>
          <w:u w:val="single"/>
        </w:rPr>
        <w:t xml:space="preserve">  </w:t>
      </w:r>
      <w:r>
        <w:rPr>
          <w:rFonts w:hint="eastAsia"/>
          <w:color w:val="auto"/>
          <w:highlight w:val="none"/>
          <w:u w:val="single"/>
        </w:rPr>
        <w:t>总价合同支付</w:t>
      </w:r>
      <w:r>
        <w:rPr>
          <w:rFonts w:hint="eastAsia"/>
          <w:color w:val="auto"/>
          <w:highlight w:val="none"/>
          <w:u w:val="single"/>
          <w:lang w:eastAsia="zh-CN"/>
        </w:rPr>
        <w:t>分</w:t>
      </w:r>
      <w:r>
        <w:rPr>
          <w:rFonts w:hint="eastAsia"/>
          <w:color w:val="auto"/>
          <w:highlight w:val="none"/>
          <w:u w:val="single"/>
        </w:rPr>
        <w:t>解表在招标完成后由发包人和承包人共同编制</w:t>
      </w:r>
      <w:r>
        <w:rPr>
          <w:rFonts w:hint="eastAsia"/>
          <w:color w:val="auto"/>
          <w:highlight w:val="none"/>
          <w:u w:val="single"/>
          <w:lang w:eastAsia="zh-CN"/>
        </w:rPr>
        <w:t>，由</w:t>
      </w:r>
      <w:r>
        <w:rPr>
          <w:rFonts w:hint="eastAsia"/>
          <w:color w:val="auto"/>
          <w:highlight w:val="none"/>
          <w:u w:val="single"/>
        </w:rPr>
        <w:t>发包人审批，并作为本合同内容，具体详见合同附件14。</w:t>
      </w:r>
    </w:p>
    <w:p w14:paraId="0C83E97B">
      <w:pPr>
        <w:spacing w:line="360" w:lineRule="auto"/>
        <w:ind w:firstLine="525" w:firstLineChars="250"/>
        <w:jc w:val="left"/>
        <w:rPr>
          <w:color w:val="auto"/>
          <w:highlight w:val="none"/>
          <w:u w:val="single"/>
        </w:rPr>
      </w:pPr>
      <w:r>
        <w:rPr>
          <w:rFonts w:hint="eastAsia"/>
          <w:color w:val="auto"/>
          <w:highlight w:val="none"/>
        </w:rPr>
        <w:t>（2）</w:t>
      </w:r>
      <w:r>
        <w:rPr>
          <w:rFonts w:hint="eastAsia" w:hAnsi="宋体" w:cs="宋体"/>
          <w:color w:val="auto"/>
          <w:highlight w:val="none"/>
        </w:rPr>
        <w:t>单价合同的总价项目支付分解表的编制与审批：总价项目不采用支付分解表的方式计算，而按《建设工程工程量清单计价规范（</w:t>
      </w:r>
      <w:r>
        <w:rPr>
          <w:rFonts w:hAnsi="宋体"/>
          <w:color w:val="auto"/>
          <w:highlight w:val="none"/>
        </w:rPr>
        <w:t>GB50500-2013</w:t>
      </w:r>
      <w:r>
        <w:rPr>
          <w:rFonts w:hint="eastAsia" w:hAnsi="宋体" w:cs="宋体"/>
          <w:color w:val="auto"/>
          <w:highlight w:val="none"/>
        </w:rPr>
        <w:t>）广西壮族自治区实施细则》的规定执行。</w:t>
      </w:r>
    </w:p>
    <w:bookmarkEnd w:id="331"/>
    <w:p w14:paraId="6993BA7C">
      <w:pPr>
        <w:pStyle w:val="3"/>
        <w:rPr>
          <w:color w:val="auto"/>
          <w:highlight w:val="none"/>
        </w:rPr>
      </w:pPr>
      <w:bookmarkStart w:id="594" w:name="_Toc2003466256"/>
      <w:bookmarkStart w:id="595" w:name="_Toc78449842"/>
      <w:bookmarkStart w:id="596" w:name="_Toc373478400"/>
      <w:bookmarkStart w:id="597" w:name="_Toc728899116"/>
      <w:bookmarkStart w:id="598" w:name="_Toc373227753"/>
      <w:bookmarkStart w:id="599" w:name="_Toc407135256"/>
      <w:bookmarkStart w:id="600" w:name="_Toc351203645"/>
      <w:bookmarkStart w:id="601" w:name="_Toc389065318"/>
      <w:bookmarkStart w:id="602" w:name="_Toc297216223"/>
      <w:bookmarkStart w:id="603" w:name="_Toc292559929"/>
      <w:bookmarkStart w:id="604" w:name="_Toc297123564"/>
      <w:bookmarkStart w:id="605" w:name="_Toc296346720"/>
      <w:bookmarkStart w:id="606" w:name="_Toc304295593"/>
      <w:bookmarkStart w:id="607" w:name="_Toc300935015"/>
      <w:bookmarkStart w:id="608" w:name="_Toc297120519"/>
      <w:bookmarkStart w:id="609" w:name="_Toc292559424"/>
      <w:bookmarkStart w:id="610" w:name="_Toc303539172"/>
      <w:bookmarkStart w:id="611" w:name="_Toc296503219"/>
      <w:bookmarkStart w:id="612" w:name="_Toc296891047"/>
      <w:bookmarkStart w:id="613" w:name="_Toc297048405"/>
      <w:bookmarkStart w:id="614" w:name="_Toc296891259"/>
      <w:bookmarkStart w:id="615" w:name="_Toc312678053"/>
      <w:bookmarkStart w:id="616" w:name="_Toc296347218"/>
      <w:bookmarkStart w:id="617" w:name="_Toc296944558"/>
      <w:r>
        <w:rPr>
          <w:color w:val="auto"/>
          <w:highlight w:val="none"/>
        </w:rPr>
        <w:t xml:space="preserve">13. </w:t>
      </w:r>
      <w:r>
        <w:rPr>
          <w:rFonts w:hint="eastAsia" w:cs="黑体"/>
          <w:color w:val="auto"/>
          <w:highlight w:val="none"/>
        </w:rPr>
        <w:t>验收和工程试车</w:t>
      </w:r>
      <w:bookmarkEnd w:id="594"/>
      <w:bookmarkEnd w:id="595"/>
      <w:bookmarkEnd w:id="596"/>
      <w:bookmarkEnd w:id="597"/>
      <w:bookmarkEnd w:id="598"/>
      <w:bookmarkEnd w:id="599"/>
      <w:bookmarkEnd w:id="600"/>
      <w:bookmarkEnd w:id="601"/>
    </w:p>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14:paraId="32D95E3E">
      <w:pPr>
        <w:pStyle w:val="4"/>
        <w:rPr>
          <w:color w:val="auto"/>
          <w:highlight w:val="none"/>
        </w:rPr>
      </w:pPr>
      <w:bookmarkStart w:id="618" w:name="_Toc834489126"/>
      <w:bookmarkStart w:id="619" w:name="_Toc407135257"/>
      <w:bookmarkStart w:id="620" w:name="_Toc78449843"/>
      <w:bookmarkStart w:id="621" w:name="_Toc373227754"/>
      <w:bookmarkStart w:id="622" w:name="_Toc740353520"/>
      <w:bookmarkStart w:id="623" w:name="_Toc389065319"/>
      <w:bookmarkStart w:id="624" w:name="_Toc373478401"/>
      <w:r>
        <w:rPr>
          <w:color w:val="auto"/>
          <w:highlight w:val="none"/>
        </w:rPr>
        <w:t xml:space="preserve">13.1 </w:t>
      </w:r>
      <w:r>
        <w:rPr>
          <w:rFonts w:hint="eastAsia" w:cs="黑体"/>
          <w:color w:val="auto"/>
          <w:highlight w:val="none"/>
        </w:rPr>
        <w:t>分部分项工程验收</w:t>
      </w:r>
      <w:bookmarkEnd w:id="618"/>
      <w:bookmarkEnd w:id="619"/>
      <w:bookmarkEnd w:id="620"/>
      <w:bookmarkEnd w:id="621"/>
      <w:bookmarkEnd w:id="622"/>
      <w:bookmarkEnd w:id="623"/>
      <w:bookmarkEnd w:id="624"/>
    </w:p>
    <w:p w14:paraId="7EB60BC3">
      <w:pPr>
        <w:spacing w:line="360" w:lineRule="auto"/>
        <w:ind w:firstLine="420" w:firstLineChars="200"/>
        <w:jc w:val="left"/>
        <w:rPr>
          <w:color w:val="auto"/>
          <w:highlight w:val="none"/>
        </w:rPr>
      </w:pPr>
      <w:r>
        <w:rPr>
          <w:color w:val="auto"/>
          <w:highlight w:val="none"/>
        </w:rPr>
        <w:t>13.1.2</w:t>
      </w:r>
      <w:r>
        <w:rPr>
          <w:rFonts w:hint="eastAsia" w:hAnsi="宋体" w:cs="宋体"/>
          <w:color w:val="auto"/>
          <w:highlight w:val="none"/>
        </w:rPr>
        <w:t>监理人不能按时进行验收时，应提前</w:t>
      </w:r>
      <w:r>
        <w:rPr>
          <w:color w:val="auto"/>
          <w:highlight w:val="none"/>
          <w:u w:val="single"/>
        </w:rPr>
        <w:t xml:space="preserve">  </w:t>
      </w:r>
      <w:r>
        <w:rPr>
          <w:rFonts w:hint="eastAsia"/>
          <w:color w:val="auto"/>
          <w:highlight w:val="none"/>
          <w:u w:val="single"/>
          <w:lang w:val="en-US" w:eastAsia="zh-CN"/>
        </w:rPr>
        <w:t xml:space="preserve">24 </w:t>
      </w:r>
      <w:r>
        <w:rPr>
          <w:color w:val="auto"/>
          <w:highlight w:val="none"/>
          <w:u w:val="single"/>
        </w:rPr>
        <w:t xml:space="preserve"> </w:t>
      </w:r>
      <w:r>
        <w:rPr>
          <w:rFonts w:hint="eastAsia" w:hAnsi="宋体" w:cs="宋体"/>
          <w:color w:val="auto"/>
          <w:highlight w:val="none"/>
        </w:rPr>
        <w:t>小时提交书面延期要求。</w:t>
      </w:r>
    </w:p>
    <w:p w14:paraId="79D98BE7">
      <w:pPr>
        <w:spacing w:line="360" w:lineRule="auto"/>
        <w:ind w:firstLine="420" w:firstLineChars="200"/>
        <w:jc w:val="left"/>
        <w:rPr>
          <w:b/>
          <w:bCs/>
          <w:color w:val="auto"/>
          <w:highlight w:val="none"/>
        </w:rPr>
      </w:pPr>
      <w:r>
        <w:rPr>
          <w:rFonts w:hint="eastAsia" w:hAnsi="宋体" w:cs="宋体"/>
          <w:color w:val="auto"/>
          <w:highlight w:val="none"/>
        </w:rPr>
        <w:t>关于延期最长不得超过：</w:t>
      </w:r>
      <w:r>
        <w:rPr>
          <w:color w:val="auto"/>
          <w:highlight w:val="none"/>
          <w:u w:val="single"/>
        </w:rPr>
        <w:t xml:space="preserve">  </w:t>
      </w:r>
      <w:r>
        <w:rPr>
          <w:rFonts w:hint="eastAsia"/>
          <w:color w:val="auto"/>
          <w:highlight w:val="none"/>
          <w:u w:val="single"/>
          <w:lang w:val="en-US" w:eastAsia="zh-CN"/>
        </w:rPr>
        <w:t>48</w:t>
      </w:r>
      <w:r>
        <w:rPr>
          <w:color w:val="auto"/>
          <w:highlight w:val="none"/>
          <w:u w:val="single"/>
        </w:rPr>
        <w:t xml:space="preserve"> </w:t>
      </w:r>
      <w:r>
        <w:rPr>
          <w:rFonts w:hint="eastAsia" w:hAnsi="宋体" w:cs="宋体"/>
          <w:color w:val="auto"/>
          <w:highlight w:val="none"/>
        </w:rPr>
        <w:t>小时。</w:t>
      </w:r>
    </w:p>
    <w:p w14:paraId="30D1711E">
      <w:pPr>
        <w:pStyle w:val="4"/>
        <w:rPr>
          <w:color w:val="auto"/>
          <w:highlight w:val="none"/>
        </w:rPr>
      </w:pPr>
      <w:bookmarkStart w:id="625" w:name="_Toc1578431234"/>
      <w:bookmarkStart w:id="626" w:name="_Toc373478402"/>
      <w:bookmarkStart w:id="627" w:name="_Toc389065320"/>
      <w:bookmarkStart w:id="628" w:name="_Toc407135258"/>
      <w:bookmarkStart w:id="629" w:name="_Toc78449844"/>
      <w:bookmarkStart w:id="630" w:name="_Toc373227755"/>
      <w:bookmarkStart w:id="631" w:name="_Toc1062221039"/>
      <w:bookmarkStart w:id="632" w:name="_Toc296944562"/>
      <w:bookmarkStart w:id="633" w:name="_Toc297120523"/>
      <w:bookmarkStart w:id="634" w:name="_Toc297216224"/>
      <w:bookmarkStart w:id="635" w:name="_Toc296891263"/>
      <w:bookmarkStart w:id="636" w:name="_Toc296347222"/>
      <w:bookmarkStart w:id="637" w:name="_Toc303539173"/>
      <w:bookmarkStart w:id="638" w:name="_Toc304295596"/>
      <w:bookmarkStart w:id="639" w:name="_Toc296346724"/>
      <w:bookmarkStart w:id="640" w:name="_Toc296891051"/>
      <w:bookmarkStart w:id="641" w:name="_Toc296503223"/>
      <w:bookmarkStart w:id="642" w:name="_Toc292559933"/>
      <w:bookmarkStart w:id="643" w:name="_Toc312678056"/>
      <w:bookmarkStart w:id="644" w:name="_Toc297123565"/>
      <w:bookmarkStart w:id="645" w:name="_Toc292559428"/>
      <w:bookmarkStart w:id="646" w:name="_Toc300935016"/>
      <w:bookmarkStart w:id="647" w:name="_Toc297048409"/>
      <w:bookmarkStart w:id="648" w:name="_Toc267251475"/>
      <w:bookmarkStart w:id="649" w:name="_Toc267251472"/>
      <w:bookmarkStart w:id="650" w:name="_Toc267251474"/>
      <w:bookmarkStart w:id="651" w:name="_Toc267251473"/>
      <w:bookmarkStart w:id="652" w:name="_Toc267251471"/>
      <w:bookmarkStart w:id="653" w:name="_Toc267251470"/>
      <w:bookmarkStart w:id="654" w:name="_Toc267251476"/>
      <w:r>
        <w:rPr>
          <w:color w:val="auto"/>
          <w:highlight w:val="none"/>
        </w:rPr>
        <w:t xml:space="preserve">13.2 </w:t>
      </w:r>
      <w:r>
        <w:rPr>
          <w:rFonts w:hint="eastAsia" w:hAnsi="宋体" w:cs="黑体"/>
          <w:color w:val="auto"/>
          <w:highlight w:val="none"/>
        </w:rPr>
        <w:t>竣工验收</w:t>
      </w:r>
      <w:bookmarkEnd w:id="625"/>
      <w:bookmarkEnd w:id="626"/>
      <w:bookmarkEnd w:id="627"/>
      <w:bookmarkEnd w:id="628"/>
      <w:bookmarkEnd w:id="629"/>
      <w:bookmarkEnd w:id="630"/>
      <w:bookmarkEnd w:id="631"/>
    </w:p>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14:paraId="3F88899F">
      <w:pPr>
        <w:spacing w:line="360" w:lineRule="auto"/>
        <w:ind w:firstLine="420" w:firstLineChars="200"/>
        <w:jc w:val="left"/>
        <w:rPr>
          <w:color w:val="auto"/>
          <w:szCs w:val="21"/>
          <w:highlight w:val="none"/>
        </w:rPr>
      </w:pPr>
      <w:bookmarkStart w:id="655" w:name="_Toc280868708"/>
      <w:bookmarkStart w:id="656" w:name="_Toc280868709"/>
      <w:r>
        <w:rPr>
          <w:color w:val="auto"/>
          <w:szCs w:val="21"/>
          <w:highlight w:val="none"/>
        </w:rPr>
        <w:t>13.2.1</w:t>
      </w:r>
      <w:r>
        <w:rPr>
          <w:rFonts w:hint="eastAsia" w:hAnsi="宋体" w:cs="宋体"/>
          <w:color w:val="auto"/>
          <w:szCs w:val="21"/>
          <w:highlight w:val="none"/>
        </w:rPr>
        <w:t>竣工验收条件</w:t>
      </w:r>
    </w:p>
    <w:p w14:paraId="593EE949">
      <w:pPr>
        <w:spacing w:line="360" w:lineRule="auto"/>
        <w:ind w:firstLine="420" w:firstLineChars="200"/>
        <w:rPr>
          <w:color w:val="auto"/>
          <w:spacing w:val="-6"/>
          <w:szCs w:val="21"/>
          <w:highlight w:val="none"/>
        </w:rPr>
      </w:pPr>
      <w:r>
        <w:rPr>
          <w:rFonts w:hint="eastAsia" w:cs="宋体"/>
          <w:color w:val="auto"/>
          <w:szCs w:val="21"/>
          <w:highlight w:val="none"/>
        </w:rPr>
        <w:t>（</w:t>
      </w:r>
      <w:r>
        <w:rPr>
          <w:color w:val="auto"/>
          <w:szCs w:val="21"/>
          <w:highlight w:val="none"/>
        </w:rPr>
        <w:t>3</w:t>
      </w:r>
      <w:r>
        <w:rPr>
          <w:rFonts w:hint="eastAsia" w:cs="宋体"/>
          <w:color w:val="auto"/>
          <w:szCs w:val="21"/>
          <w:highlight w:val="none"/>
        </w:rPr>
        <w:t>）</w:t>
      </w:r>
      <w:r>
        <w:rPr>
          <w:rFonts w:hint="eastAsia" w:hAnsi="宋体" w:cs="宋体"/>
          <w:color w:val="auto"/>
          <w:szCs w:val="21"/>
          <w:highlight w:val="none"/>
        </w:rPr>
        <w:t>承包人负责整理和提交的竣工验收资料应当符合工程所在地建设行政主管部门和</w:t>
      </w:r>
      <w:r>
        <w:rPr>
          <w:rFonts w:hint="eastAsia" w:hAnsi="宋体" w:cs="宋体"/>
          <w:color w:val="auto"/>
          <w:szCs w:val="21"/>
          <w:highlight w:val="none"/>
          <w:lang w:eastAsia="zh-CN"/>
        </w:rPr>
        <w:t>（</w:t>
      </w:r>
      <w:r>
        <w:rPr>
          <w:rFonts w:hint="eastAsia" w:hAnsi="宋体" w:cs="宋体"/>
          <w:color w:val="auto"/>
          <w:szCs w:val="21"/>
          <w:highlight w:val="none"/>
        </w:rPr>
        <w:t>或</w:t>
      </w:r>
      <w:r>
        <w:rPr>
          <w:rFonts w:hint="eastAsia" w:hAnsi="宋体" w:cs="宋体"/>
          <w:color w:val="auto"/>
          <w:szCs w:val="21"/>
          <w:highlight w:val="none"/>
          <w:lang w:eastAsia="zh-CN"/>
        </w:rPr>
        <w:t>）</w:t>
      </w:r>
      <w:r>
        <w:rPr>
          <w:rFonts w:hint="eastAsia" w:hAnsi="宋体" w:cs="宋体"/>
          <w:color w:val="auto"/>
          <w:szCs w:val="21"/>
          <w:highlight w:val="none"/>
        </w:rPr>
        <w:t>城市</w:t>
      </w:r>
      <w:r>
        <w:rPr>
          <w:rFonts w:hint="eastAsia" w:hAnsi="宋体" w:cs="宋体"/>
          <w:color w:val="auto"/>
          <w:spacing w:val="-6"/>
          <w:szCs w:val="21"/>
          <w:highlight w:val="none"/>
        </w:rPr>
        <w:t>建设档案管理机构有关施工资料的要求，具体内容包括：</w:t>
      </w:r>
      <w:r>
        <w:rPr>
          <w:rFonts w:hint="eastAsia"/>
          <w:color w:val="auto"/>
          <w:spacing w:val="-6"/>
          <w:szCs w:val="21"/>
          <w:highlight w:val="none"/>
          <w:u w:val="single"/>
        </w:rPr>
        <w:t>提供完整的（含现场照片、录像）竣工资料</w:t>
      </w:r>
      <w:r>
        <w:rPr>
          <w:rFonts w:hint="eastAsia" w:hAnsi="宋体" w:cs="宋体"/>
          <w:color w:val="auto"/>
          <w:spacing w:val="-6"/>
          <w:szCs w:val="21"/>
          <w:highlight w:val="none"/>
        </w:rPr>
        <w:t>。</w:t>
      </w:r>
    </w:p>
    <w:p w14:paraId="01374A1B">
      <w:pPr>
        <w:spacing w:line="360" w:lineRule="auto"/>
        <w:ind w:firstLine="420" w:firstLineChars="200"/>
        <w:rPr>
          <w:color w:val="auto"/>
          <w:szCs w:val="21"/>
          <w:highlight w:val="none"/>
        </w:rPr>
      </w:pPr>
      <w:r>
        <w:rPr>
          <w:rFonts w:hint="eastAsia" w:hAnsi="宋体" w:cs="宋体"/>
          <w:color w:val="auto"/>
          <w:szCs w:val="21"/>
          <w:highlight w:val="none"/>
        </w:rPr>
        <w:t>竣工验收资料的份数：</w:t>
      </w:r>
      <w:r>
        <w:rPr>
          <w:rFonts w:hint="eastAsia"/>
          <w:color w:val="auto"/>
          <w:szCs w:val="21"/>
          <w:highlight w:val="none"/>
          <w:u w:val="single"/>
        </w:rPr>
        <w:t>一式陆份及竣工验收报告</w:t>
      </w:r>
      <w:r>
        <w:rPr>
          <w:rFonts w:hint="eastAsia" w:hAnsi="宋体" w:cs="宋体"/>
          <w:color w:val="auto"/>
          <w:szCs w:val="21"/>
          <w:highlight w:val="none"/>
        </w:rPr>
        <w:t>。</w:t>
      </w:r>
    </w:p>
    <w:p w14:paraId="798BF93C">
      <w:pPr>
        <w:spacing w:line="360" w:lineRule="auto"/>
        <w:ind w:firstLine="420" w:firstLineChars="200"/>
        <w:jc w:val="left"/>
        <w:rPr>
          <w:color w:val="auto"/>
          <w:szCs w:val="21"/>
          <w:highlight w:val="none"/>
        </w:rPr>
      </w:pPr>
      <w:r>
        <w:rPr>
          <w:rFonts w:hint="eastAsia" w:hAnsi="宋体" w:cs="宋体"/>
          <w:color w:val="auto"/>
          <w:szCs w:val="21"/>
          <w:highlight w:val="none"/>
        </w:rPr>
        <w:t>承包人提供竣工图的约定：</w:t>
      </w:r>
      <w:r>
        <w:rPr>
          <w:rFonts w:hint="eastAsia" w:hAnsi="宋体" w:cs="宋体"/>
          <w:color w:val="auto"/>
          <w:szCs w:val="21"/>
          <w:highlight w:val="none"/>
          <w:u w:val="single"/>
        </w:rPr>
        <w:t>竣工验收正式通过后</w:t>
      </w:r>
      <w:r>
        <w:rPr>
          <w:color w:val="auto"/>
          <w:szCs w:val="21"/>
          <w:highlight w:val="none"/>
          <w:u w:val="single"/>
        </w:rPr>
        <w:t>5</w:t>
      </w:r>
      <w:r>
        <w:rPr>
          <w:rFonts w:hint="eastAsia" w:hAnsi="宋体" w:cs="宋体"/>
          <w:color w:val="auto"/>
          <w:szCs w:val="21"/>
          <w:highlight w:val="none"/>
          <w:u w:val="single"/>
        </w:rPr>
        <w:t>天（工程造价在</w:t>
      </w:r>
      <w:r>
        <w:rPr>
          <w:color w:val="auto"/>
          <w:szCs w:val="21"/>
          <w:highlight w:val="none"/>
          <w:u w:val="single"/>
        </w:rPr>
        <w:t>500</w:t>
      </w:r>
      <w:r>
        <w:rPr>
          <w:rFonts w:hint="eastAsia" w:hAnsi="宋体" w:cs="宋体"/>
          <w:color w:val="auto"/>
          <w:szCs w:val="21"/>
          <w:highlight w:val="none"/>
          <w:u w:val="single"/>
        </w:rPr>
        <w:t>万元以下含</w:t>
      </w:r>
      <w:r>
        <w:rPr>
          <w:color w:val="auto"/>
          <w:szCs w:val="21"/>
          <w:highlight w:val="none"/>
          <w:u w:val="single"/>
        </w:rPr>
        <w:t>500</w:t>
      </w:r>
      <w:r>
        <w:rPr>
          <w:rFonts w:hint="eastAsia" w:hAnsi="宋体" w:cs="宋体"/>
          <w:color w:val="auto"/>
          <w:szCs w:val="21"/>
          <w:highlight w:val="none"/>
          <w:u w:val="single"/>
        </w:rPr>
        <w:t>万元）、</w:t>
      </w:r>
      <w:r>
        <w:rPr>
          <w:color w:val="auto"/>
          <w:szCs w:val="21"/>
          <w:highlight w:val="none"/>
          <w:u w:val="single"/>
        </w:rPr>
        <w:t>10</w:t>
      </w:r>
      <w:r>
        <w:rPr>
          <w:rFonts w:hint="eastAsia" w:hAnsi="宋体" w:cs="宋体"/>
          <w:color w:val="auto"/>
          <w:szCs w:val="21"/>
          <w:highlight w:val="none"/>
          <w:u w:val="single"/>
        </w:rPr>
        <w:t>天（工程造价在</w:t>
      </w:r>
      <w:r>
        <w:rPr>
          <w:color w:val="auto"/>
          <w:szCs w:val="21"/>
          <w:highlight w:val="none"/>
          <w:u w:val="single"/>
        </w:rPr>
        <w:t>500</w:t>
      </w:r>
      <w:r>
        <w:rPr>
          <w:rFonts w:hint="eastAsia" w:hAnsi="宋体" w:cs="宋体"/>
          <w:color w:val="auto"/>
          <w:szCs w:val="21"/>
          <w:highlight w:val="none"/>
          <w:u w:val="single"/>
        </w:rPr>
        <w:t>万元至</w:t>
      </w:r>
      <w:r>
        <w:rPr>
          <w:color w:val="auto"/>
          <w:szCs w:val="21"/>
          <w:highlight w:val="none"/>
          <w:u w:val="single"/>
        </w:rPr>
        <w:t>1000</w:t>
      </w:r>
      <w:r>
        <w:rPr>
          <w:rFonts w:hint="eastAsia" w:hAnsi="宋体" w:cs="宋体"/>
          <w:color w:val="auto"/>
          <w:szCs w:val="21"/>
          <w:highlight w:val="none"/>
          <w:u w:val="single"/>
        </w:rPr>
        <w:t>万元之间含</w:t>
      </w:r>
      <w:r>
        <w:rPr>
          <w:color w:val="auto"/>
          <w:szCs w:val="21"/>
          <w:highlight w:val="none"/>
          <w:u w:val="single"/>
        </w:rPr>
        <w:t>1000</w:t>
      </w:r>
      <w:r>
        <w:rPr>
          <w:rFonts w:hint="eastAsia" w:hAnsi="宋体" w:cs="宋体"/>
          <w:color w:val="auto"/>
          <w:szCs w:val="21"/>
          <w:highlight w:val="none"/>
          <w:u w:val="single"/>
        </w:rPr>
        <w:t>万元）、</w:t>
      </w:r>
      <w:r>
        <w:rPr>
          <w:color w:val="auto"/>
          <w:szCs w:val="21"/>
          <w:highlight w:val="none"/>
          <w:u w:val="single"/>
        </w:rPr>
        <w:t>15</w:t>
      </w:r>
      <w:r>
        <w:rPr>
          <w:rFonts w:hint="eastAsia" w:hAnsi="宋体" w:cs="宋体"/>
          <w:color w:val="auto"/>
          <w:szCs w:val="21"/>
          <w:highlight w:val="none"/>
          <w:u w:val="single"/>
        </w:rPr>
        <w:t>天（工程造价在</w:t>
      </w:r>
      <w:r>
        <w:rPr>
          <w:color w:val="auto"/>
          <w:szCs w:val="21"/>
          <w:highlight w:val="none"/>
          <w:u w:val="single"/>
        </w:rPr>
        <w:t>1000</w:t>
      </w:r>
      <w:r>
        <w:rPr>
          <w:rFonts w:hint="eastAsia" w:hAnsi="宋体" w:cs="宋体"/>
          <w:color w:val="auto"/>
          <w:szCs w:val="21"/>
          <w:highlight w:val="none"/>
          <w:u w:val="single"/>
        </w:rPr>
        <w:t>万元以上），提供竣工图的数量分别为</w:t>
      </w:r>
      <w:r>
        <w:rPr>
          <w:color w:val="auto"/>
          <w:szCs w:val="21"/>
          <w:highlight w:val="none"/>
          <w:u w:val="single"/>
        </w:rPr>
        <w:t>2</w:t>
      </w:r>
      <w:r>
        <w:rPr>
          <w:rFonts w:hint="eastAsia" w:hAnsi="宋体" w:cs="宋体"/>
          <w:color w:val="auto"/>
          <w:szCs w:val="21"/>
          <w:highlight w:val="none"/>
          <w:u w:val="single"/>
        </w:rPr>
        <w:t>套、</w:t>
      </w:r>
      <w:r>
        <w:rPr>
          <w:color w:val="auto"/>
          <w:szCs w:val="21"/>
          <w:highlight w:val="none"/>
          <w:u w:val="single"/>
        </w:rPr>
        <w:t>4</w:t>
      </w:r>
      <w:r>
        <w:rPr>
          <w:rFonts w:hint="eastAsia" w:hAnsi="宋体" w:cs="宋体"/>
          <w:color w:val="auto"/>
          <w:szCs w:val="21"/>
          <w:highlight w:val="none"/>
          <w:u w:val="single"/>
        </w:rPr>
        <w:t>套、</w:t>
      </w:r>
      <w:r>
        <w:rPr>
          <w:color w:val="auto"/>
          <w:szCs w:val="21"/>
          <w:highlight w:val="none"/>
          <w:u w:val="single"/>
        </w:rPr>
        <w:t>6</w:t>
      </w:r>
      <w:r>
        <w:rPr>
          <w:rFonts w:hint="eastAsia" w:hAnsi="宋体" w:cs="宋体"/>
          <w:color w:val="auto"/>
          <w:szCs w:val="21"/>
          <w:highlight w:val="none"/>
          <w:u w:val="single"/>
        </w:rPr>
        <w:t>套。</w:t>
      </w:r>
    </w:p>
    <w:p w14:paraId="11805EE1">
      <w:pPr>
        <w:spacing w:line="360" w:lineRule="auto"/>
        <w:ind w:firstLine="420" w:firstLineChars="200"/>
        <w:jc w:val="left"/>
        <w:rPr>
          <w:color w:val="auto"/>
          <w:szCs w:val="21"/>
          <w:highlight w:val="none"/>
        </w:rPr>
      </w:pPr>
      <w:r>
        <w:rPr>
          <w:color w:val="auto"/>
          <w:szCs w:val="21"/>
          <w:highlight w:val="none"/>
        </w:rPr>
        <w:t>13.2.2</w:t>
      </w:r>
      <w:r>
        <w:rPr>
          <w:rFonts w:hint="eastAsia" w:hAnsi="宋体" w:cs="宋体"/>
          <w:color w:val="auto"/>
          <w:szCs w:val="21"/>
          <w:highlight w:val="none"/>
        </w:rPr>
        <w:t>竣工验收程序</w:t>
      </w:r>
    </w:p>
    <w:p w14:paraId="723AC786">
      <w:pPr>
        <w:spacing w:line="360" w:lineRule="auto"/>
        <w:ind w:firstLine="420" w:firstLineChars="200"/>
        <w:jc w:val="left"/>
        <w:rPr>
          <w:rFonts w:hAnsi="宋体" w:cs="宋体"/>
          <w:color w:val="auto"/>
          <w:szCs w:val="21"/>
          <w:highlight w:val="none"/>
        </w:rPr>
      </w:pPr>
      <w:r>
        <w:rPr>
          <w:rFonts w:hint="eastAsia" w:hAnsi="宋体" w:cs="宋体"/>
          <w:color w:val="auto"/>
          <w:kern w:val="0"/>
          <w:szCs w:val="21"/>
          <w:highlight w:val="none"/>
        </w:rPr>
        <w:t>关于竣工验收程序的约定：</w:t>
      </w:r>
      <w:r>
        <w:rPr>
          <w:rFonts w:hint="eastAsia"/>
          <w:color w:val="auto"/>
          <w:szCs w:val="21"/>
          <w:highlight w:val="none"/>
          <w:u w:val="single"/>
        </w:rPr>
        <w:t>（1）发包人收到竣工验收报告后尽快协调有关部门组织有关单位验收，并在验收后14天内给予认可或提出修改意见。承包人按要求修改，并承担由自身原因造成修改的费用</w:t>
      </w:r>
      <w:r>
        <w:rPr>
          <w:rFonts w:hint="eastAsia" w:hAnsi="宋体" w:cs="宋体"/>
          <w:color w:val="auto"/>
          <w:szCs w:val="21"/>
          <w:highlight w:val="none"/>
        </w:rPr>
        <w:t>。</w:t>
      </w:r>
    </w:p>
    <w:p w14:paraId="59EA734B">
      <w:pPr>
        <w:spacing w:line="360" w:lineRule="auto"/>
        <w:ind w:firstLine="420" w:firstLineChars="200"/>
        <w:jc w:val="left"/>
        <w:rPr>
          <w:color w:val="auto"/>
          <w:szCs w:val="21"/>
          <w:highlight w:val="none"/>
          <w:u w:val="single"/>
        </w:rPr>
      </w:pPr>
      <w:r>
        <w:rPr>
          <w:rFonts w:hint="eastAsia"/>
          <w:color w:val="auto"/>
          <w:szCs w:val="21"/>
          <w:highlight w:val="none"/>
          <w:u w:val="single"/>
        </w:rPr>
        <w:t>（2）发包人收到承包人送交的竣工验收报告后无特殊情况不组织验收，或验收后14天内不提出修改意见，视为竣工验收报告已被认可。</w:t>
      </w:r>
    </w:p>
    <w:p w14:paraId="3A6909E2">
      <w:pPr>
        <w:spacing w:line="360" w:lineRule="auto"/>
        <w:ind w:firstLine="420" w:firstLineChars="200"/>
        <w:jc w:val="left"/>
        <w:rPr>
          <w:color w:val="auto"/>
          <w:szCs w:val="21"/>
          <w:highlight w:val="none"/>
          <w:u w:val="single"/>
        </w:rPr>
      </w:pPr>
      <w:r>
        <w:rPr>
          <w:rFonts w:hint="eastAsia"/>
          <w:color w:val="auto"/>
          <w:szCs w:val="21"/>
          <w:highlight w:val="none"/>
          <w:u w:val="single"/>
        </w:rPr>
        <w:t>（3）发包人收到承包人竣工验收报告后至组织验收移交前工程保管及一切意外责任仍由承包人负责</w:t>
      </w:r>
      <w:r>
        <w:rPr>
          <w:rFonts w:hAnsi="宋体"/>
          <w:color w:val="auto"/>
          <w:szCs w:val="21"/>
          <w:highlight w:val="none"/>
        </w:rPr>
        <w:t>。</w:t>
      </w:r>
    </w:p>
    <w:p w14:paraId="6BEF273E">
      <w:pPr>
        <w:spacing w:line="360" w:lineRule="auto"/>
        <w:ind w:firstLine="420" w:firstLineChars="200"/>
        <w:jc w:val="left"/>
        <w:rPr>
          <w:color w:val="auto"/>
          <w:szCs w:val="21"/>
          <w:highlight w:val="none"/>
        </w:rPr>
      </w:pPr>
      <w:r>
        <w:rPr>
          <w:rFonts w:hint="eastAsia" w:hAnsi="宋体" w:cs="宋体"/>
          <w:color w:val="auto"/>
          <w:kern w:val="0"/>
          <w:szCs w:val="21"/>
          <w:highlight w:val="none"/>
        </w:rPr>
        <w:t>发包人不按照本项约定组织竣工验收、颁发工程接收证书的违约金的计算方法：</w:t>
      </w:r>
      <w:r>
        <w:rPr>
          <w:rFonts w:hint="eastAsia"/>
          <w:color w:val="auto"/>
          <w:szCs w:val="21"/>
          <w:highlight w:val="none"/>
          <w:u w:val="single"/>
        </w:rPr>
        <w:t>无</w:t>
      </w:r>
      <w:r>
        <w:rPr>
          <w:rFonts w:hint="eastAsia" w:hAnsi="宋体" w:cs="宋体"/>
          <w:color w:val="auto"/>
          <w:szCs w:val="21"/>
          <w:highlight w:val="none"/>
        </w:rPr>
        <w:t>。</w:t>
      </w:r>
    </w:p>
    <w:p w14:paraId="1924C063">
      <w:pPr>
        <w:spacing w:line="360" w:lineRule="auto"/>
        <w:ind w:firstLine="420" w:firstLineChars="200"/>
        <w:jc w:val="left"/>
        <w:rPr>
          <w:color w:val="auto"/>
          <w:szCs w:val="21"/>
          <w:highlight w:val="none"/>
        </w:rPr>
      </w:pPr>
      <w:r>
        <w:rPr>
          <w:color w:val="auto"/>
          <w:szCs w:val="21"/>
          <w:highlight w:val="none"/>
        </w:rPr>
        <w:t>13.2.5</w:t>
      </w:r>
      <w:r>
        <w:rPr>
          <w:rFonts w:hint="eastAsia" w:hAnsi="宋体" w:cs="宋体"/>
          <w:color w:val="auto"/>
          <w:szCs w:val="21"/>
          <w:highlight w:val="none"/>
        </w:rPr>
        <w:t>移交、接收全部与部分工程</w:t>
      </w:r>
    </w:p>
    <w:p w14:paraId="0BF889C8">
      <w:pPr>
        <w:spacing w:line="360" w:lineRule="auto"/>
        <w:ind w:firstLine="420" w:firstLineChars="200"/>
        <w:jc w:val="left"/>
        <w:rPr>
          <w:color w:val="auto"/>
          <w:kern w:val="0"/>
          <w:szCs w:val="21"/>
          <w:highlight w:val="none"/>
        </w:rPr>
      </w:pPr>
      <w:r>
        <w:rPr>
          <w:rFonts w:hint="eastAsia" w:hAnsi="宋体" w:cs="宋体"/>
          <w:color w:val="auto"/>
          <w:kern w:val="0"/>
          <w:szCs w:val="21"/>
          <w:highlight w:val="none"/>
        </w:rPr>
        <w:t>承包人向发包人移交工程的期限：</w:t>
      </w:r>
      <w:r>
        <w:rPr>
          <w:rFonts w:hint="eastAsia" w:hAnsi="宋体"/>
          <w:color w:val="auto"/>
          <w:kern w:val="0"/>
          <w:szCs w:val="21"/>
          <w:highlight w:val="none"/>
          <w:u w:val="single"/>
        </w:rPr>
        <w:t>在工程竣工保修期满并对验收发现的问题完成整改后</w:t>
      </w:r>
      <w:r>
        <w:rPr>
          <w:rFonts w:hint="eastAsia" w:hAnsi="宋体" w:cs="宋体"/>
          <w:color w:val="auto"/>
          <w:szCs w:val="21"/>
          <w:highlight w:val="none"/>
        </w:rPr>
        <w:t>。</w:t>
      </w:r>
    </w:p>
    <w:p w14:paraId="588D5AF9">
      <w:pPr>
        <w:spacing w:line="360" w:lineRule="auto"/>
        <w:ind w:firstLine="420" w:firstLineChars="200"/>
        <w:jc w:val="left"/>
        <w:rPr>
          <w:rFonts w:hint="eastAsia"/>
          <w:color w:val="auto"/>
          <w:szCs w:val="21"/>
          <w:highlight w:val="none"/>
          <w:u w:val="single"/>
          <w:lang w:eastAsia="zh-CN"/>
        </w:rPr>
      </w:pPr>
      <w:r>
        <w:rPr>
          <w:rFonts w:hint="eastAsia" w:hAnsi="宋体" w:cs="宋体"/>
          <w:color w:val="auto"/>
          <w:kern w:val="0"/>
          <w:szCs w:val="21"/>
          <w:highlight w:val="none"/>
        </w:rPr>
        <w:t>发包人未按本合同约定接收全部或部分工程的，违约金的计算方法为：</w:t>
      </w:r>
      <w:r>
        <w:rPr>
          <w:rFonts w:hint="eastAsia"/>
          <w:color w:val="auto"/>
          <w:szCs w:val="21"/>
          <w:highlight w:val="none"/>
          <w:u w:val="single"/>
        </w:rPr>
        <w:t>无</w:t>
      </w:r>
      <w:r>
        <w:rPr>
          <w:rFonts w:hint="eastAsia"/>
          <w:color w:val="auto"/>
          <w:szCs w:val="21"/>
          <w:highlight w:val="none"/>
          <w:u w:val="single"/>
          <w:lang w:eastAsia="zh-CN"/>
        </w:rPr>
        <w:t>。</w:t>
      </w:r>
    </w:p>
    <w:p w14:paraId="18966B93">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rPr>
          <w:rFonts w:hint="eastAsia" w:eastAsia="宋体" w:cs="Times New Roman"/>
          <w:b/>
          <w:bCs/>
          <w:color w:val="auto"/>
          <w:sz w:val="24"/>
          <w:szCs w:val="24"/>
          <w:highlight w:val="none"/>
          <w:lang w:val="en-US" w:eastAsia="zh-CN"/>
        </w:rPr>
      </w:pPr>
      <w:r>
        <w:rPr>
          <w:rFonts w:hint="eastAsia" w:eastAsia="宋体" w:cs="Times New Roman"/>
          <w:b/>
          <w:bCs/>
          <w:color w:val="auto"/>
          <w:sz w:val="24"/>
          <w:szCs w:val="24"/>
          <w:highlight w:val="none"/>
          <w:lang w:val="en-US" w:eastAsia="zh-CN"/>
        </w:rPr>
        <w:t>本合同中涉及设备的验收标准：</w:t>
      </w:r>
    </w:p>
    <w:p w14:paraId="43DD9699">
      <w:pPr>
        <w:keepNext w:val="0"/>
        <w:keepLines w:val="0"/>
        <w:pageBreakBefore w:val="0"/>
        <w:widowControl w:val="0"/>
        <w:kinsoku/>
        <w:wordWrap/>
        <w:overflowPunct/>
        <w:topLinePunct w:val="0"/>
        <w:autoSpaceDE/>
        <w:autoSpaceDN/>
        <w:bidi w:val="0"/>
        <w:adjustRightInd/>
        <w:snapToGrid/>
        <w:spacing w:line="360" w:lineRule="auto"/>
        <w:textAlignment w:val="auto"/>
        <w:rPr>
          <w:rStyle w:val="57"/>
          <w:rFonts w:hint="eastAsia" w:ascii="宋体" w:hAnsi="宋体" w:eastAsia="宋体" w:cs="宋体"/>
          <w:color w:val="auto"/>
          <w:kern w:val="2"/>
          <w:sz w:val="24"/>
          <w:szCs w:val="24"/>
          <w:highlight w:val="none"/>
          <w:lang w:val="en-US" w:eastAsia="zh-CN" w:bidi="ar-SA"/>
        </w:rPr>
      </w:pPr>
      <w:r>
        <w:rPr>
          <w:rStyle w:val="57"/>
          <w:rFonts w:hint="eastAsia" w:ascii="宋体" w:hAnsi="宋体" w:eastAsia="宋体" w:cs="宋体"/>
          <w:color w:val="auto"/>
          <w:kern w:val="2"/>
          <w:sz w:val="24"/>
          <w:szCs w:val="24"/>
          <w:highlight w:val="none"/>
          <w:lang w:val="en-US" w:eastAsia="zh-CN" w:bidi="ar-SA"/>
        </w:rPr>
        <w:t>（1）所供产品的规格、数量、功能、材质、颜色等符合招标文件采购需求及采购合同约定的要求。</w:t>
      </w:r>
    </w:p>
    <w:p w14:paraId="7B5F6D9A">
      <w:pPr>
        <w:keepNext w:val="0"/>
        <w:keepLines w:val="0"/>
        <w:pageBreakBefore w:val="0"/>
        <w:widowControl w:val="0"/>
        <w:kinsoku/>
        <w:wordWrap/>
        <w:overflowPunct/>
        <w:topLinePunct w:val="0"/>
        <w:autoSpaceDE/>
        <w:autoSpaceDN/>
        <w:bidi w:val="0"/>
        <w:adjustRightInd/>
        <w:snapToGrid/>
        <w:spacing w:line="360" w:lineRule="auto"/>
        <w:textAlignment w:val="auto"/>
        <w:rPr>
          <w:rStyle w:val="57"/>
          <w:rFonts w:hint="eastAsia" w:ascii="宋体" w:hAnsi="宋体" w:eastAsia="宋体" w:cs="宋体"/>
          <w:color w:val="auto"/>
          <w:kern w:val="2"/>
          <w:sz w:val="24"/>
          <w:szCs w:val="24"/>
          <w:highlight w:val="none"/>
          <w:lang w:val="en-US" w:eastAsia="zh-CN" w:bidi="ar-SA"/>
        </w:rPr>
      </w:pPr>
      <w:r>
        <w:rPr>
          <w:rStyle w:val="57"/>
          <w:rFonts w:hint="eastAsia" w:ascii="宋体" w:hAnsi="宋体" w:eastAsia="宋体" w:cs="宋体"/>
          <w:color w:val="auto"/>
          <w:kern w:val="2"/>
          <w:sz w:val="24"/>
          <w:szCs w:val="24"/>
          <w:highlight w:val="none"/>
          <w:lang w:val="en-US" w:eastAsia="zh-CN" w:bidi="ar-SA"/>
        </w:rPr>
        <w:t>（2）所供产品的外观完好，无严重碰撞、表皮脱落、五金件生锈等明显瑕疵。</w:t>
      </w:r>
    </w:p>
    <w:p w14:paraId="193DBD80">
      <w:pPr>
        <w:keepNext w:val="0"/>
        <w:keepLines w:val="0"/>
        <w:pageBreakBefore w:val="0"/>
        <w:widowControl w:val="0"/>
        <w:kinsoku/>
        <w:wordWrap/>
        <w:overflowPunct/>
        <w:topLinePunct w:val="0"/>
        <w:autoSpaceDE/>
        <w:autoSpaceDN/>
        <w:bidi w:val="0"/>
        <w:adjustRightInd/>
        <w:snapToGrid/>
        <w:spacing w:line="360" w:lineRule="auto"/>
        <w:textAlignment w:val="auto"/>
        <w:rPr>
          <w:rStyle w:val="57"/>
          <w:rFonts w:hint="eastAsia" w:ascii="宋体" w:hAnsi="宋体" w:eastAsia="宋体" w:cs="宋体"/>
          <w:color w:val="auto"/>
          <w:kern w:val="2"/>
          <w:sz w:val="24"/>
          <w:szCs w:val="24"/>
          <w:highlight w:val="none"/>
          <w:lang w:val="en-US" w:eastAsia="zh-CN" w:bidi="ar-SA"/>
        </w:rPr>
      </w:pPr>
      <w:r>
        <w:rPr>
          <w:rStyle w:val="57"/>
          <w:rFonts w:hint="eastAsia" w:ascii="宋体" w:hAnsi="宋体" w:eastAsia="宋体" w:cs="宋体"/>
          <w:color w:val="auto"/>
          <w:kern w:val="2"/>
          <w:sz w:val="24"/>
          <w:szCs w:val="24"/>
          <w:highlight w:val="none"/>
          <w:lang w:val="en-US" w:eastAsia="zh-CN" w:bidi="ar-SA"/>
        </w:rPr>
        <w:t>（3）所供产品结构牢固，无安全隐患。</w:t>
      </w:r>
    </w:p>
    <w:p w14:paraId="1E30FA64">
      <w:pPr>
        <w:keepNext w:val="0"/>
        <w:keepLines w:val="0"/>
        <w:pageBreakBefore w:val="0"/>
        <w:widowControl w:val="0"/>
        <w:kinsoku/>
        <w:wordWrap/>
        <w:overflowPunct/>
        <w:topLinePunct w:val="0"/>
        <w:autoSpaceDE/>
        <w:autoSpaceDN/>
        <w:bidi w:val="0"/>
        <w:adjustRightInd/>
        <w:snapToGrid/>
        <w:spacing w:line="360" w:lineRule="auto"/>
        <w:textAlignment w:val="auto"/>
        <w:rPr>
          <w:rStyle w:val="57"/>
          <w:rFonts w:hint="eastAsia" w:ascii="宋体" w:hAnsi="宋体" w:eastAsia="宋体" w:cs="宋体"/>
          <w:color w:val="auto"/>
          <w:kern w:val="2"/>
          <w:sz w:val="24"/>
          <w:szCs w:val="24"/>
          <w:highlight w:val="none"/>
          <w:lang w:val="en-US" w:eastAsia="zh-CN" w:bidi="ar-SA"/>
        </w:rPr>
      </w:pPr>
      <w:r>
        <w:rPr>
          <w:rStyle w:val="57"/>
          <w:rFonts w:hint="eastAsia" w:ascii="宋体" w:hAnsi="宋体" w:eastAsia="宋体" w:cs="宋体"/>
          <w:color w:val="auto"/>
          <w:kern w:val="2"/>
          <w:sz w:val="24"/>
          <w:szCs w:val="24"/>
          <w:highlight w:val="none"/>
          <w:lang w:val="en-US" w:eastAsia="zh-CN" w:bidi="ar-SA"/>
        </w:rPr>
        <w:t>（4）如有抽检要求的，检测结果符合招标文件采购需求及采购合同约定的要求。</w:t>
      </w:r>
    </w:p>
    <w:p w14:paraId="4773EE26">
      <w:pPr>
        <w:keepNext w:val="0"/>
        <w:keepLines w:val="0"/>
        <w:pageBreakBefore w:val="0"/>
        <w:widowControl w:val="0"/>
        <w:kinsoku/>
        <w:wordWrap/>
        <w:overflowPunct/>
        <w:topLinePunct w:val="0"/>
        <w:autoSpaceDE/>
        <w:autoSpaceDN/>
        <w:bidi w:val="0"/>
        <w:adjustRightInd/>
        <w:snapToGrid/>
        <w:spacing w:line="360" w:lineRule="auto"/>
        <w:textAlignment w:val="auto"/>
        <w:rPr>
          <w:rStyle w:val="57"/>
          <w:rFonts w:hint="eastAsia" w:ascii="宋体" w:hAnsi="宋体" w:eastAsia="宋体" w:cs="宋体"/>
          <w:color w:val="auto"/>
          <w:kern w:val="2"/>
          <w:sz w:val="24"/>
          <w:szCs w:val="24"/>
          <w:highlight w:val="none"/>
          <w:lang w:val="en-US" w:eastAsia="zh-CN" w:bidi="ar-SA"/>
        </w:rPr>
      </w:pPr>
      <w:r>
        <w:rPr>
          <w:rStyle w:val="57"/>
          <w:rFonts w:hint="eastAsia" w:ascii="宋体" w:hAnsi="宋体" w:eastAsia="宋体" w:cs="宋体"/>
          <w:color w:val="auto"/>
          <w:kern w:val="2"/>
          <w:sz w:val="24"/>
          <w:szCs w:val="24"/>
          <w:highlight w:val="none"/>
          <w:lang w:val="en-US" w:eastAsia="zh-CN" w:bidi="ar-SA"/>
        </w:rPr>
        <w:t>（5）所有产品均已运输至指定地点，并安装调试完毕。</w:t>
      </w:r>
    </w:p>
    <w:p w14:paraId="640CCC85">
      <w:pPr>
        <w:spacing w:line="360" w:lineRule="auto"/>
        <w:rPr>
          <w:rStyle w:val="57"/>
          <w:rFonts w:hint="eastAsia" w:ascii="宋体" w:hAnsi="宋体" w:eastAsia="宋体" w:cs="宋体"/>
          <w:color w:val="auto"/>
          <w:kern w:val="2"/>
          <w:sz w:val="24"/>
          <w:szCs w:val="24"/>
          <w:highlight w:val="none"/>
          <w:lang w:val="en-US" w:eastAsia="zh-CN" w:bidi="ar-SA"/>
        </w:rPr>
      </w:pPr>
      <w:r>
        <w:rPr>
          <w:rStyle w:val="57"/>
          <w:rFonts w:hint="eastAsia" w:ascii="宋体" w:hAnsi="宋体" w:eastAsia="宋体" w:cs="宋体"/>
          <w:color w:val="auto"/>
          <w:kern w:val="2"/>
          <w:sz w:val="24"/>
          <w:szCs w:val="24"/>
          <w:highlight w:val="none"/>
          <w:lang w:val="en-US" w:eastAsia="zh-CN" w:bidi="ar-SA"/>
        </w:rPr>
        <w:t>（6）招标文件采购需求及采购合同约定的附件、工具、技术资料等齐全；提供产品使用说明书、合格证。</w:t>
      </w:r>
    </w:p>
    <w:p w14:paraId="24582E84">
      <w:pPr>
        <w:spacing w:line="360" w:lineRule="auto"/>
        <w:rPr>
          <w:rStyle w:val="57"/>
          <w:rFonts w:hint="eastAsia" w:ascii="宋体" w:hAnsi="宋体" w:eastAsia="宋体" w:cs="宋体"/>
          <w:color w:val="auto"/>
          <w:kern w:val="2"/>
          <w:sz w:val="24"/>
          <w:szCs w:val="24"/>
          <w:highlight w:val="none"/>
          <w:lang w:val="en-US" w:eastAsia="zh-CN" w:bidi="ar-SA"/>
        </w:rPr>
      </w:pPr>
      <w:r>
        <w:rPr>
          <w:rStyle w:val="57"/>
          <w:rFonts w:hint="eastAsia" w:ascii="宋体" w:hAnsi="宋体" w:eastAsia="宋体" w:cs="宋体"/>
          <w:color w:val="auto"/>
          <w:kern w:val="2"/>
          <w:sz w:val="24"/>
          <w:szCs w:val="24"/>
          <w:highlight w:val="none"/>
          <w:lang w:val="en-US" w:eastAsia="zh-CN" w:bidi="ar-SA"/>
        </w:rPr>
        <w:t>（7）货物应是全新的、未经改装的、合格的、满足本项目需求及要求的货物，货物应均是原厂原装可溯源的，不得使用兼容货物。所有零部件、配件必须是未经使用的全新的并符合国家有关质量安全标准的产品。</w:t>
      </w:r>
    </w:p>
    <w:p w14:paraId="7C0D1FFC">
      <w:pPr>
        <w:spacing w:line="360" w:lineRule="auto"/>
        <w:rPr>
          <w:rStyle w:val="57"/>
          <w:rFonts w:hint="eastAsia" w:ascii="宋体" w:hAnsi="宋体" w:eastAsia="宋体" w:cs="宋体"/>
          <w:color w:val="auto"/>
          <w:kern w:val="2"/>
          <w:sz w:val="24"/>
          <w:szCs w:val="24"/>
          <w:highlight w:val="none"/>
          <w:lang w:val="en-US" w:eastAsia="zh-CN" w:bidi="ar-SA"/>
        </w:rPr>
      </w:pPr>
      <w:r>
        <w:rPr>
          <w:rStyle w:val="57"/>
          <w:rFonts w:hint="eastAsia" w:ascii="宋体" w:hAnsi="宋体" w:eastAsia="宋体" w:cs="宋体"/>
          <w:color w:val="auto"/>
          <w:kern w:val="2"/>
          <w:sz w:val="24"/>
          <w:szCs w:val="24"/>
          <w:highlight w:val="none"/>
          <w:lang w:val="en-US" w:eastAsia="zh-CN" w:bidi="ar-SA"/>
        </w:rPr>
        <w:t>（8）承包人必须提供安装、配线以及软硬件的测试和调整服务。系统安装之前，应先对用户人员进行现场培训。开始安装时，应让用户的硬软件和系统集成人员参与安装、检测和排除故障。承包人在施工、安装、调试等全过程中接受发包人的监督。    （9）在承包人承诺的质保期内，设备保修包换所需要的配件均是原厂原装可溯源的，不得使用兼容货物。</w:t>
      </w:r>
    </w:p>
    <w:p w14:paraId="69E3BD3E">
      <w:pPr>
        <w:spacing w:line="360" w:lineRule="auto"/>
        <w:rPr>
          <w:rStyle w:val="57"/>
          <w:rFonts w:hint="eastAsia" w:ascii="宋体" w:hAnsi="宋体" w:eastAsia="宋体" w:cs="宋体"/>
          <w:color w:val="auto"/>
          <w:kern w:val="2"/>
          <w:sz w:val="24"/>
          <w:szCs w:val="24"/>
          <w:highlight w:val="none"/>
          <w:lang w:val="en-US" w:eastAsia="zh-CN" w:bidi="ar-SA"/>
        </w:rPr>
      </w:pPr>
      <w:r>
        <w:rPr>
          <w:rStyle w:val="57"/>
          <w:rFonts w:hint="eastAsia" w:ascii="宋体" w:hAnsi="宋体" w:eastAsia="宋体" w:cs="宋体"/>
          <w:color w:val="auto"/>
          <w:kern w:val="2"/>
          <w:sz w:val="24"/>
          <w:szCs w:val="24"/>
          <w:highlight w:val="none"/>
          <w:lang w:val="en-US" w:eastAsia="zh-CN" w:bidi="ar-SA"/>
        </w:rPr>
        <w:t>（10）售后服务按厂家承诺执行。承包人超过厂家承诺标准的，按承包人提交的售后服务承诺书执行。承包人定期回访以及对设备进行维护；质保期后承包人需提供维修维护服。设备整整体安装调试完成并完成培训后放能进行验收。</w:t>
      </w:r>
    </w:p>
    <w:p w14:paraId="06CC6407">
      <w:pPr>
        <w:spacing w:line="360" w:lineRule="auto"/>
        <w:ind w:firstLine="241" w:firstLineChars="100"/>
        <w:rPr>
          <w:rStyle w:val="57"/>
          <w:rFonts w:hint="eastAsia" w:ascii="宋体" w:hAnsi="宋体" w:eastAsia="宋体" w:cs="宋体"/>
          <w:b/>
          <w:bCs/>
          <w:color w:val="auto"/>
          <w:kern w:val="2"/>
          <w:sz w:val="24"/>
          <w:szCs w:val="24"/>
          <w:highlight w:val="none"/>
          <w:lang w:val="en-US" w:eastAsia="zh-CN" w:bidi="ar-SA"/>
        </w:rPr>
      </w:pPr>
      <w:r>
        <w:rPr>
          <w:rStyle w:val="57"/>
          <w:rFonts w:hint="eastAsia" w:ascii="宋体" w:hAnsi="宋体" w:eastAsia="宋体" w:cs="宋体"/>
          <w:b/>
          <w:bCs/>
          <w:color w:val="auto"/>
          <w:kern w:val="2"/>
          <w:sz w:val="24"/>
          <w:szCs w:val="24"/>
          <w:highlight w:val="none"/>
          <w:lang w:val="en-US" w:eastAsia="zh-CN" w:bidi="ar-SA"/>
        </w:rPr>
        <w:t>验收要求：</w:t>
      </w:r>
    </w:p>
    <w:p w14:paraId="6DAA188D">
      <w:pPr>
        <w:spacing w:line="360" w:lineRule="auto"/>
        <w:rPr>
          <w:rStyle w:val="57"/>
          <w:rFonts w:hint="eastAsia" w:ascii="宋体" w:hAnsi="宋体" w:eastAsia="宋体" w:cs="宋体"/>
          <w:color w:val="auto"/>
          <w:kern w:val="2"/>
          <w:sz w:val="24"/>
          <w:szCs w:val="24"/>
          <w:highlight w:val="none"/>
          <w:lang w:val="en-US" w:eastAsia="zh-CN" w:bidi="ar-SA"/>
        </w:rPr>
      </w:pPr>
      <w:r>
        <w:rPr>
          <w:rStyle w:val="57"/>
          <w:rFonts w:hint="eastAsia" w:ascii="宋体" w:hAnsi="宋体" w:eastAsia="宋体" w:cs="宋体"/>
          <w:color w:val="auto"/>
          <w:kern w:val="2"/>
          <w:sz w:val="24"/>
          <w:szCs w:val="24"/>
          <w:highlight w:val="none"/>
          <w:lang w:val="en-US" w:eastAsia="zh-CN" w:bidi="ar-SA"/>
        </w:rPr>
        <w:t>（1）发包人可以根据项目具体情况自行组织验收，或者委托第三方机构或部门开展项目履约验收工作，验收过程中所产生的一切费用均由承包人承担。</w:t>
      </w:r>
    </w:p>
    <w:p w14:paraId="50107A9D">
      <w:pPr>
        <w:spacing w:line="360" w:lineRule="auto"/>
        <w:rPr>
          <w:rStyle w:val="57"/>
          <w:rFonts w:hint="eastAsia" w:ascii="宋体" w:hAnsi="宋体" w:eastAsia="宋体" w:cs="宋体"/>
          <w:color w:val="auto"/>
          <w:kern w:val="2"/>
          <w:sz w:val="24"/>
          <w:szCs w:val="24"/>
          <w:highlight w:val="none"/>
          <w:lang w:val="en-US" w:eastAsia="zh-CN" w:bidi="ar-SA"/>
        </w:rPr>
      </w:pPr>
      <w:r>
        <w:rPr>
          <w:rStyle w:val="57"/>
          <w:rFonts w:hint="eastAsia" w:ascii="宋体" w:hAnsi="宋体" w:eastAsia="宋体" w:cs="宋体"/>
          <w:color w:val="auto"/>
          <w:kern w:val="2"/>
          <w:sz w:val="24"/>
          <w:szCs w:val="24"/>
          <w:highlight w:val="none"/>
          <w:lang w:val="en-US" w:eastAsia="zh-CN" w:bidi="ar-SA"/>
        </w:rPr>
        <w:t>（2）本项目验收如委托第三方机构组织实施的，由验收小组对照招标文件的技术参数要求核对检验，如不符合招标文件的技术参数要求的，按合同约定执行，承包人承担所有责任和费用。发包人保留进一步追究责任的权利。</w:t>
      </w:r>
    </w:p>
    <w:p w14:paraId="26DF9DAC">
      <w:pPr>
        <w:spacing w:line="360" w:lineRule="auto"/>
        <w:rPr>
          <w:rStyle w:val="57"/>
          <w:rFonts w:hint="eastAsia" w:ascii="宋体" w:hAnsi="宋体" w:eastAsia="宋体" w:cs="宋体"/>
          <w:color w:val="auto"/>
          <w:kern w:val="2"/>
          <w:sz w:val="24"/>
          <w:szCs w:val="24"/>
          <w:highlight w:val="none"/>
          <w:lang w:val="en-US" w:eastAsia="zh-CN" w:bidi="ar-SA"/>
        </w:rPr>
      </w:pPr>
      <w:r>
        <w:rPr>
          <w:rStyle w:val="57"/>
          <w:rFonts w:hint="eastAsia" w:ascii="宋体" w:hAnsi="宋体" w:eastAsia="宋体" w:cs="宋体"/>
          <w:color w:val="auto"/>
          <w:kern w:val="2"/>
          <w:sz w:val="24"/>
          <w:szCs w:val="24"/>
          <w:highlight w:val="none"/>
          <w:lang w:val="en-US" w:eastAsia="zh-CN" w:bidi="ar-SA"/>
        </w:rPr>
        <w:t>①验收活动开始前，承包人应对货物作出全面检查和对验收文件进行整理，并列出清单，作为发包人收货验收和使用的技术条件依据。</w:t>
      </w:r>
    </w:p>
    <w:p w14:paraId="703D31A3">
      <w:pPr>
        <w:spacing w:line="360" w:lineRule="auto"/>
        <w:rPr>
          <w:rStyle w:val="57"/>
          <w:rFonts w:hint="eastAsia" w:ascii="宋体" w:hAnsi="宋体" w:eastAsia="宋体" w:cs="宋体"/>
          <w:color w:val="auto"/>
          <w:kern w:val="2"/>
          <w:sz w:val="24"/>
          <w:szCs w:val="24"/>
          <w:highlight w:val="none"/>
          <w:lang w:val="en-US" w:eastAsia="zh-CN" w:bidi="ar-SA"/>
        </w:rPr>
      </w:pPr>
      <w:r>
        <w:rPr>
          <w:rStyle w:val="57"/>
          <w:rFonts w:hint="eastAsia" w:ascii="宋体" w:hAnsi="宋体" w:eastAsia="宋体" w:cs="宋体"/>
          <w:color w:val="auto"/>
          <w:kern w:val="2"/>
          <w:sz w:val="24"/>
          <w:szCs w:val="24"/>
          <w:highlight w:val="none"/>
          <w:lang w:val="en-US" w:eastAsia="zh-CN" w:bidi="ar-SA"/>
        </w:rPr>
        <w:t>②因验收不合格的，需要再次组织验收的，由此产生相关成本费用由承包人承担。</w:t>
      </w:r>
    </w:p>
    <w:p w14:paraId="77DD6F30">
      <w:pPr>
        <w:spacing w:line="360" w:lineRule="auto"/>
        <w:rPr>
          <w:rStyle w:val="57"/>
          <w:rFonts w:hint="eastAsia" w:ascii="宋体" w:hAnsi="宋体" w:eastAsia="宋体" w:cs="宋体"/>
          <w:color w:val="auto"/>
          <w:kern w:val="2"/>
          <w:sz w:val="24"/>
          <w:szCs w:val="24"/>
          <w:highlight w:val="none"/>
          <w:lang w:val="en-US" w:eastAsia="zh-CN" w:bidi="ar-SA"/>
        </w:rPr>
      </w:pPr>
      <w:r>
        <w:rPr>
          <w:rStyle w:val="57"/>
          <w:rFonts w:hint="eastAsia" w:ascii="宋体" w:hAnsi="宋体" w:eastAsia="宋体" w:cs="宋体"/>
          <w:color w:val="auto"/>
          <w:kern w:val="2"/>
          <w:sz w:val="24"/>
          <w:szCs w:val="24"/>
          <w:highlight w:val="none"/>
          <w:lang w:val="en-US" w:eastAsia="zh-CN" w:bidi="ar-SA"/>
        </w:rPr>
        <w:t>（3）验收时承包人提供验收文档，具体如下：技术方案、实施方案、售后服务方案、培训方案、系统部署文档、测试文档、使用说明书、电子文档等。</w:t>
      </w:r>
    </w:p>
    <w:p w14:paraId="4761FFC9">
      <w:pPr>
        <w:spacing w:line="360" w:lineRule="auto"/>
        <w:rPr>
          <w:rStyle w:val="57"/>
          <w:rFonts w:hint="eastAsia" w:ascii="宋体" w:hAnsi="宋体" w:eastAsia="宋体" w:cs="宋体"/>
          <w:color w:val="auto"/>
          <w:kern w:val="2"/>
          <w:sz w:val="24"/>
          <w:szCs w:val="24"/>
          <w:highlight w:val="none"/>
          <w:lang w:val="en-US" w:eastAsia="zh-CN" w:bidi="ar-SA"/>
        </w:rPr>
      </w:pPr>
      <w:r>
        <w:rPr>
          <w:rStyle w:val="57"/>
          <w:rFonts w:hint="eastAsia" w:ascii="宋体" w:hAnsi="宋体" w:eastAsia="宋体" w:cs="宋体"/>
          <w:color w:val="auto"/>
          <w:kern w:val="2"/>
          <w:sz w:val="24"/>
          <w:szCs w:val="24"/>
          <w:highlight w:val="none"/>
          <w:lang w:val="en-US" w:eastAsia="zh-CN" w:bidi="ar-SA"/>
        </w:rPr>
        <w:t>（4）发包人与承包人签订合前，发包人根据招标文件要求对所有要求出具的检测报告、证明材料的原件进行核查。交货时，承包人必须按技术参数及承包人违约，发包人有权终止合同拒收货物，并追究供应商责任，同时报财政部门备案。</w:t>
      </w:r>
    </w:p>
    <w:p w14:paraId="161A43CD">
      <w:pPr>
        <w:spacing w:line="360" w:lineRule="auto"/>
        <w:rPr>
          <w:rStyle w:val="57"/>
          <w:rFonts w:hint="eastAsia" w:ascii="宋体" w:hAnsi="宋体" w:eastAsia="宋体" w:cs="宋体"/>
          <w:color w:val="auto"/>
          <w:kern w:val="2"/>
          <w:sz w:val="24"/>
          <w:szCs w:val="24"/>
          <w:highlight w:val="none"/>
          <w:lang w:val="en-US" w:eastAsia="zh-CN" w:bidi="ar-SA"/>
        </w:rPr>
      </w:pPr>
      <w:r>
        <w:rPr>
          <w:rStyle w:val="57"/>
          <w:rFonts w:hint="eastAsia" w:ascii="宋体" w:hAnsi="宋体" w:eastAsia="宋体" w:cs="宋体"/>
          <w:color w:val="auto"/>
          <w:kern w:val="2"/>
          <w:sz w:val="24"/>
          <w:szCs w:val="24"/>
          <w:highlight w:val="none"/>
          <w:lang w:val="en-US" w:eastAsia="zh-CN" w:bidi="ar-SA"/>
        </w:rPr>
        <w:t>（5）为了保证本次货物的质量，承包人在全部货物交货安装前，发包人有权对供货设备测试预验收，以确认产品的技术指标和性能是否达到招标文件中所规定以及投标文件所承诺的技术功能要求，若测试结果不能满足采购文件参数要求以及投标文件所承诺的技术功能要求，发包人有权单方面终止合同，并追究承包人责任。</w:t>
      </w:r>
    </w:p>
    <w:p w14:paraId="357ACBB6">
      <w:pPr>
        <w:spacing w:line="360" w:lineRule="auto"/>
        <w:rPr>
          <w:rStyle w:val="57"/>
          <w:rFonts w:hint="eastAsia" w:ascii="宋体" w:hAnsi="宋体" w:eastAsia="宋体" w:cs="宋体"/>
          <w:color w:val="auto"/>
          <w:kern w:val="2"/>
          <w:sz w:val="24"/>
          <w:szCs w:val="24"/>
          <w:highlight w:val="none"/>
          <w:lang w:val="en-US" w:eastAsia="zh-CN" w:bidi="ar-SA"/>
        </w:rPr>
      </w:pPr>
      <w:r>
        <w:rPr>
          <w:rStyle w:val="57"/>
          <w:rFonts w:hint="eastAsia" w:ascii="宋体" w:hAnsi="宋体" w:eastAsia="宋体" w:cs="宋体"/>
          <w:color w:val="auto"/>
          <w:kern w:val="2"/>
          <w:sz w:val="24"/>
          <w:szCs w:val="24"/>
          <w:highlight w:val="none"/>
          <w:lang w:val="en-US" w:eastAsia="zh-CN" w:bidi="ar-SA"/>
        </w:rPr>
        <w:t>（6）项目验收过程中，需委托第三方检测机构介入的，费用由承包人另行承担。）</w:t>
      </w:r>
    </w:p>
    <w:p w14:paraId="4EFC5999">
      <w:pPr>
        <w:spacing w:line="360" w:lineRule="auto"/>
        <w:rPr>
          <w:rStyle w:val="57"/>
          <w:rFonts w:hint="eastAsia" w:ascii="宋体" w:hAnsi="宋体" w:eastAsia="宋体" w:cs="宋体"/>
          <w:color w:val="auto"/>
          <w:kern w:val="2"/>
          <w:sz w:val="24"/>
          <w:szCs w:val="24"/>
          <w:highlight w:val="none"/>
          <w:lang w:val="en-US" w:eastAsia="zh-CN" w:bidi="ar-SA"/>
        </w:rPr>
      </w:pPr>
      <w:r>
        <w:rPr>
          <w:rStyle w:val="57"/>
          <w:rFonts w:hint="eastAsia" w:ascii="宋体" w:hAnsi="宋体" w:eastAsia="宋体" w:cs="宋体"/>
          <w:b/>
          <w:bCs/>
          <w:color w:val="auto"/>
          <w:kern w:val="2"/>
          <w:sz w:val="24"/>
          <w:szCs w:val="24"/>
          <w:highlight w:val="none"/>
          <w:lang w:val="en-US" w:eastAsia="zh-CN" w:bidi="ar-SA"/>
        </w:rPr>
        <w:t>验收违约责任</w:t>
      </w:r>
    </w:p>
    <w:p w14:paraId="5B9869BC">
      <w:pPr>
        <w:spacing w:line="360" w:lineRule="auto"/>
        <w:rPr>
          <w:rStyle w:val="57"/>
          <w:rFonts w:hint="eastAsia" w:ascii="宋体" w:hAnsi="宋体" w:eastAsia="宋体" w:cs="宋体"/>
          <w:color w:val="auto"/>
          <w:kern w:val="2"/>
          <w:sz w:val="24"/>
          <w:szCs w:val="24"/>
          <w:highlight w:val="none"/>
          <w:lang w:val="en-US" w:eastAsia="zh-CN" w:bidi="ar-SA"/>
        </w:rPr>
      </w:pPr>
      <w:r>
        <w:rPr>
          <w:rStyle w:val="57"/>
          <w:rFonts w:hint="eastAsia" w:ascii="宋体" w:hAnsi="宋体" w:eastAsia="宋体" w:cs="宋体"/>
          <w:color w:val="auto"/>
          <w:kern w:val="2"/>
          <w:sz w:val="24"/>
          <w:szCs w:val="24"/>
          <w:highlight w:val="none"/>
          <w:lang w:val="en-US" w:eastAsia="zh-CN" w:bidi="ar-SA"/>
        </w:rPr>
        <w:t xml:space="preserve">   1）除不可抗力外，如果承包人没有按照本合同约定的期限、地点和方式交付标的物，发包人可要求承包人支付违约金，违约金按每迟延交付标的物一日的应交付而未交付标的物价格的万分之五计算，最高限额为本合同总价的 5 %；迟延超过30日的，发包人有权在要求承包人支付违约金的同时，书面通知承包人解除本合同，承包人应退回全部已收取的合同价款并按合同总金额的5%向发包人支付违约金；</w:t>
      </w:r>
    </w:p>
    <w:p w14:paraId="5522C419">
      <w:pPr>
        <w:spacing w:line="360" w:lineRule="auto"/>
        <w:ind w:firstLine="240" w:firstLineChars="100"/>
        <w:rPr>
          <w:rStyle w:val="57"/>
          <w:rFonts w:hint="eastAsia" w:ascii="宋体" w:hAnsi="宋体" w:eastAsia="宋体" w:cs="宋体"/>
          <w:color w:val="auto"/>
          <w:kern w:val="2"/>
          <w:sz w:val="24"/>
          <w:szCs w:val="24"/>
          <w:highlight w:val="none"/>
          <w:lang w:val="en-US" w:eastAsia="zh-CN" w:bidi="ar-SA"/>
        </w:rPr>
      </w:pPr>
      <w:r>
        <w:rPr>
          <w:rStyle w:val="57"/>
          <w:rFonts w:hint="eastAsia" w:ascii="宋体" w:hAnsi="宋体" w:eastAsia="宋体" w:cs="宋体"/>
          <w:color w:val="auto"/>
          <w:kern w:val="2"/>
          <w:sz w:val="24"/>
          <w:szCs w:val="24"/>
          <w:highlight w:val="none"/>
          <w:lang w:val="en-US" w:eastAsia="zh-CN" w:bidi="ar-SA"/>
        </w:rPr>
        <w:t>2）除不可抗力外，承包人未能履行本合同约定的其他主要义务，经催告后在合理期限内仍未履行的，或者有其他违约行为致使不能实现合同目的的，或者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发包人可以书面通知承包人解除本合同；</w:t>
      </w:r>
    </w:p>
    <w:p w14:paraId="151BB1EE">
      <w:pPr>
        <w:spacing w:line="360" w:lineRule="auto"/>
        <w:ind w:firstLine="240" w:firstLineChars="100"/>
        <w:rPr>
          <w:rStyle w:val="57"/>
          <w:rFonts w:hint="eastAsia" w:ascii="宋体" w:hAnsi="宋体" w:eastAsia="宋体" w:cs="宋体"/>
          <w:color w:val="auto"/>
          <w:kern w:val="2"/>
          <w:sz w:val="24"/>
          <w:szCs w:val="24"/>
          <w:highlight w:val="none"/>
          <w:lang w:val="en-US" w:eastAsia="zh-CN" w:bidi="ar-SA"/>
        </w:rPr>
      </w:pPr>
      <w:r>
        <w:rPr>
          <w:rStyle w:val="57"/>
          <w:rFonts w:hint="eastAsia" w:ascii="宋体" w:hAnsi="宋体" w:eastAsia="宋体" w:cs="宋体"/>
          <w:color w:val="auto"/>
          <w:kern w:val="2"/>
          <w:sz w:val="24"/>
          <w:szCs w:val="24"/>
          <w:highlight w:val="none"/>
          <w:lang w:val="en-US" w:eastAsia="zh-CN" w:bidi="ar-SA"/>
        </w:rPr>
        <w:t>3）承包人在质保期内未按承诺提供售后等货物的，每发生一次向发包人支付 5000元的违约金。</w:t>
      </w:r>
    </w:p>
    <w:p w14:paraId="469F5952">
      <w:pPr>
        <w:spacing w:line="360" w:lineRule="auto"/>
        <w:ind w:firstLine="240" w:firstLineChars="100"/>
        <w:rPr>
          <w:rStyle w:val="57"/>
          <w:rFonts w:hint="eastAsia" w:ascii="宋体" w:hAnsi="宋体" w:eastAsia="宋体" w:cs="宋体"/>
          <w:color w:val="auto"/>
          <w:kern w:val="2"/>
          <w:sz w:val="24"/>
          <w:szCs w:val="24"/>
          <w:highlight w:val="none"/>
          <w:lang w:val="en-US" w:eastAsia="zh-CN" w:bidi="ar-SA"/>
        </w:rPr>
      </w:pPr>
      <w:r>
        <w:rPr>
          <w:rStyle w:val="57"/>
          <w:rFonts w:hint="eastAsia" w:ascii="宋体" w:hAnsi="宋体" w:eastAsia="宋体" w:cs="宋体"/>
          <w:color w:val="auto"/>
          <w:kern w:val="2"/>
          <w:sz w:val="24"/>
          <w:szCs w:val="24"/>
          <w:highlight w:val="none"/>
          <w:lang w:val="en-US" w:eastAsia="zh-CN" w:bidi="ar-SA"/>
        </w:rPr>
        <w:t>4）承包人应保证发包人在使用该标的物或其任何一部分时不受任何第三方提出的侵犯其著作权、商标权、专利权等知识产权方面的起诉；如果任何第三方提出侵权指控，承包人须与该第三方交涉并承担由此发生的一切责任、费用和赔偿的约定，导致发包人无法实现合同目的的，发包人有权解除本合同，承包人应退回全部已收取的合同价款并按合同总金额的20%向发包人支付违约金；</w:t>
      </w:r>
    </w:p>
    <w:p w14:paraId="37BBC704">
      <w:pPr>
        <w:pStyle w:val="255"/>
        <w:pageBreakBefore w:val="0"/>
        <w:kinsoku/>
        <w:overflowPunct/>
        <w:topLinePunct w:val="0"/>
        <w:bidi w:val="0"/>
        <w:spacing w:line="420" w:lineRule="exact"/>
        <w:ind w:firstLine="480" w:firstLineChars="200"/>
        <w:jc w:val="left"/>
        <w:textAlignment w:val="auto"/>
        <w:rPr>
          <w:rStyle w:val="57"/>
          <w:rFonts w:hint="eastAsia" w:ascii="宋体" w:hAnsi="宋体" w:eastAsia="宋体" w:cs="宋体"/>
          <w:color w:val="auto"/>
          <w:sz w:val="24"/>
          <w:szCs w:val="24"/>
          <w:highlight w:val="none"/>
          <w:u w:val="single"/>
        </w:rPr>
      </w:pPr>
      <w:r>
        <w:rPr>
          <w:rStyle w:val="57"/>
          <w:rFonts w:hint="eastAsia" w:ascii="宋体" w:hAnsi="宋体" w:eastAsia="宋体" w:cs="宋体"/>
          <w:color w:val="auto"/>
          <w:kern w:val="2"/>
          <w:sz w:val="24"/>
          <w:szCs w:val="24"/>
          <w:highlight w:val="none"/>
          <w:lang w:val="en-US" w:eastAsia="zh-CN" w:bidi="ar-SA"/>
        </w:rPr>
        <w:t>5）发包人按照前述约定要求承包人支付违约金的同时，仍有权要求承包人继续履行合同、采取补救措施，并有权按照实际损失情况要求承包人赔偿损失；发包人按照前述约定要求解除本合同的同时，仍有权要求承包人支付违约金和按照发包人实际损失情况要求发包人赔偿损失。</w:t>
      </w:r>
    </w:p>
    <w:p w14:paraId="7D78CEDA">
      <w:pPr>
        <w:spacing w:line="360" w:lineRule="auto"/>
        <w:ind w:firstLine="420" w:firstLineChars="200"/>
        <w:jc w:val="left"/>
        <w:rPr>
          <w:rFonts w:hint="eastAsia"/>
          <w:color w:val="auto"/>
          <w:szCs w:val="21"/>
          <w:highlight w:val="none"/>
          <w:u w:val="single"/>
          <w:lang w:eastAsia="zh-CN"/>
        </w:rPr>
      </w:pPr>
    </w:p>
    <w:p w14:paraId="04A06D8E">
      <w:pPr>
        <w:pStyle w:val="4"/>
        <w:rPr>
          <w:color w:val="auto"/>
          <w:highlight w:val="none"/>
        </w:rPr>
      </w:pPr>
      <w:bookmarkStart w:id="657" w:name="_Toc373478403"/>
      <w:bookmarkStart w:id="658" w:name="_Toc407135259"/>
      <w:bookmarkStart w:id="659" w:name="_Toc2090321864"/>
      <w:bookmarkStart w:id="660" w:name="_Toc1470255881"/>
      <w:bookmarkStart w:id="661" w:name="_Toc389065321"/>
      <w:bookmarkStart w:id="662" w:name="_Toc373227756"/>
      <w:bookmarkStart w:id="663" w:name="_Toc78449845"/>
      <w:r>
        <w:rPr>
          <w:color w:val="auto"/>
          <w:highlight w:val="none"/>
        </w:rPr>
        <w:t xml:space="preserve">13.3 </w:t>
      </w:r>
      <w:r>
        <w:rPr>
          <w:rFonts w:hint="eastAsia" w:hAnsi="宋体" w:cs="黑体"/>
          <w:color w:val="auto"/>
          <w:highlight w:val="none"/>
        </w:rPr>
        <w:t>工程试车</w:t>
      </w:r>
      <w:bookmarkEnd w:id="657"/>
      <w:bookmarkEnd w:id="658"/>
      <w:bookmarkEnd w:id="659"/>
      <w:bookmarkEnd w:id="660"/>
      <w:bookmarkEnd w:id="661"/>
      <w:bookmarkEnd w:id="662"/>
      <w:bookmarkEnd w:id="663"/>
    </w:p>
    <w:bookmarkEnd w:id="655"/>
    <w:p w14:paraId="74F5C9CA">
      <w:pPr>
        <w:spacing w:line="360" w:lineRule="auto"/>
        <w:ind w:firstLine="420" w:firstLineChars="200"/>
        <w:jc w:val="left"/>
        <w:rPr>
          <w:color w:val="auto"/>
          <w:kern w:val="0"/>
          <w:szCs w:val="21"/>
          <w:highlight w:val="none"/>
        </w:rPr>
      </w:pPr>
      <w:r>
        <w:rPr>
          <w:color w:val="auto"/>
          <w:kern w:val="0"/>
          <w:szCs w:val="21"/>
          <w:highlight w:val="none"/>
        </w:rPr>
        <w:t xml:space="preserve">13.3.1 </w:t>
      </w:r>
      <w:r>
        <w:rPr>
          <w:rFonts w:hint="eastAsia" w:hAnsi="宋体" w:cs="宋体"/>
          <w:color w:val="auto"/>
          <w:kern w:val="0"/>
          <w:szCs w:val="21"/>
          <w:highlight w:val="none"/>
        </w:rPr>
        <w:t>试车程序</w:t>
      </w:r>
    </w:p>
    <w:p w14:paraId="23ECB3EC">
      <w:pPr>
        <w:spacing w:line="360" w:lineRule="auto"/>
        <w:ind w:firstLine="420" w:firstLineChars="200"/>
        <w:jc w:val="left"/>
        <w:rPr>
          <w:color w:val="auto"/>
          <w:szCs w:val="21"/>
          <w:highlight w:val="none"/>
          <w:u w:val="single"/>
        </w:rPr>
      </w:pPr>
      <w:r>
        <w:rPr>
          <w:rFonts w:hAnsi="宋体"/>
          <w:color w:val="auto"/>
          <w:kern w:val="0"/>
          <w:szCs w:val="21"/>
          <w:highlight w:val="none"/>
        </w:rPr>
        <w:t>工程试车内容：</w:t>
      </w:r>
      <w:r>
        <w:rPr>
          <w:rFonts w:hint="eastAsia"/>
          <w:color w:val="auto"/>
          <w:szCs w:val="21"/>
          <w:highlight w:val="none"/>
          <w:u w:val="single"/>
        </w:rPr>
        <w:t>按通用条款</w:t>
      </w:r>
      <w:r>
        <w:rPr>
          <w:rFonts w:hAnsi="宋体"/>
          <w:color w:val="auto"/>
          <w:szCs w:val="21"/>
          <w:highlight w:val="none"/>
        </w:rPr>
        <w:t>。</w:t>
      </w:r>
    </w:p>
    <w:p w14:paraId="0AEBBFBD">
      <w:pPr>
        <w:spacing w:line="360" w:lineRule="auto"/>
        <w:ind w:firstLine="420" w:firstLineChars="200"/>
        <w:jc w:val="left"/>
        <w:rPr>
          <w:color w:val="auto"/>
          <w:kern w:val="0"/>
          <w:szCs w:val="21"/>
          <w:highlight w:val="none"/>
        </w:rPr>
      </w:pPr>
      <w:r>
        <w:rPr>
          <w:rFonts w:hAnsi="宋体"/>
          <w:color w:val="auto"/>
          <w:kern w:val="0"/>
          <w:szCs w:val="21"/>
          <w:highlight w:val="none"/>
        </w:rPr>
        <w:t>（</w:t>
      </w:r>
      <w:r>
        <w:rPr>
          <w:color w:val="auto"/>
          <w:kern w:val="0"/>
          <w:szCs w:val="21"/>
          <w:highlight w:val="none"/>
        </w:rPr>
        <w:t>1</w:t>
      </w:r>
      <w:r>
        <w:rPr>
          <w:rFonts w:hAnsi="宋体"/>
          <w:color w:val="auto"/>
          <w:kern w:val="0"/>
          <w:szCs w:val="21"/>
          <w:highlight w:val="none"/>
        </w:rPr>
        <w:t>）单机无负荷试车费用由</w:t>
      </w:r>
      <w:r>
        <w:rPr>
          <w:rFonts w:hint="eastAsia"/>
          <w:color w:val="auto"/>
          <w:szCs w:val="21"/>
          <w:highlight w:val="none"/>
          <w:u w:val="single"/>
        </w:rPr>
        <w:t>承包人</w:t>
      </w:r>
      <w:r>
        <w:rPr>
          <w:rFonts w:hAnsi="宋体"/>
          <w:color w:val="auto"/>
          <w:kern w:val="0"/>
          <w:szCs w:val="21"/>
          <w:highlight w:val="none"/>
        </w:rPr>
        <w:t>承担；</w:t>
      </w:r>
    </w:p>
    <w:p w14:paraId="08FE45E6">
      <w:pPr>
        <w:spacing w:line="360" w:lineRule="auto"/>
        <w:ind w:firstLine="420" w:firstLineChars="200"/>
        <w:jc w:val="left"/>
        <w:rPr>
          <w:color w:val="auto"/>
          <w:kern w:val="0"/>
          <w:szCs w:val="21"/>
          <w:highlight w:val="none"/>
        </w:rPr>
      </w:pPr>
      <w:r>
        <w:rPr>
          <w:rFonts w:hAnsi="宋体"/>
          <w:color w:val="auto"/>
          <w:kern w:val="0"/>
          <w:szCs w:val="21"/>
          <w:highlight w:val="none"/>
        </w:rPr>
        <w:t>（</w:t>
      </w:r>
      <w:r>
        <w:rPr>
          <w:color w:val="auto"/>
          <w:kern w:val="0"/>
          <w:szCs w:val="21"/>
          <w:highlight w:val="none"/>
        </w:rPr>
        <w:t>2</w:t>
      </w:r>
      <w:r>
        <w:rPr>
          <w:rFonts w:hAnsi="宋体"/>
          <w:color w:val="auto"/>
          <w:kern w:val="0"/>
          <w:szCs w:val="21"/>
          <w:highlight w:val="none"/>
        </w:rPr>
        <w:t>）无负荷联动试车费用由</w:t>
      </w:r>
      <w:r>
        <w:rPr>
          <w:rFonts w:hint="eastAsia"/>
          <w:color w:val="auto"/>
          <w:szCs w:val="21"/>
          <w:highlight w:val="none"/>
          <w:u w:val="single"/>
        </w:rPr>
        <w:t>承包人</w:t>
      </w:r>
      <w:r>
        <w:rPr>
          <w:rFonts w:hAnsi="宋体"/>
          <w:color w:val="auto"/>
          <w:kern w:val="0"/>
          <w:szCs w:val="21"/>
          <w:highlight w:val="none"/>
        </w:rPr>
        <w:t>承担</w:t>
      </w:r>
      <w:r>
        <w:rPr>
          <w:rFonts w:hint="eastAsia" w:hAnsi="宋体" w:cs="宋体"/>
          <w:color w:val="auto"/>
          <w:kern w:val="0"/>
          <w:szCs w:val="21"/>
          <w:highlight w:val="none"/>
        </w:rPr>
        <w:t>。</w:t>
      </w:r>
    </w:p>
    <w:p w14:paraId="7F083FE6">
      <w:pPr>
        <w:spacing w:line="360" w:lineRule="auto"/>
        <w:ind w:firstLine="420" w:firstLineChars="200"/>
        <w:jc w:val="left"/>
        <w:rPr>
          <w:color w:val="auto"/>
          <w:kern w:val="0"/>
          <w:szCs w:val="21"/>
          <w:highlight w:val="none"/>
        </w:rPr>
      </w:pPr>
      <w:r>
        <w:rPr>
          <w:color w:val="auto"/>
          <w:kern w:val="0"/>
          <w:szCs w:val="21"/>
          <w:highlight w:val="none"/>
        </w:rPr>
        <w:t xml:space="preserve">13.3.3 </w:t>
      </w:r>
      <w:r>
        <w:rPr>
          <w:rFonts w:hint="eastAsia" w:hAnsi="宋体" w:cs="宋体"/>
          <w:color w:val="auto"/>
          <w:kern w:val="0"/>
          <w:szCs w:val="21"/>
          <w:highlight w:val="none"/>
        </w:rPr>
        <w:t>投料试车</w:t>
      </w:r>
    </w:p>
    <w:p w14:paraId="62E76DFE">
      <w:pPr>
        <w:spacing w:line="360" w:lineRule="auto"/>
        <w:ind w:firstLine="420" w:firstLineChars="200"/>
        <w:jc w:val="left"/>
        <w:rPr>
          <w:color w:val="auto"/>
          <w:highlight w:val="none"/>
          <w:u w:val="single"/>
        </w:rPr>
      </w:pPr>
      <w:r>
        <w:rPr>
          <w:rFonts w:hint="eastAsia" w:hAnsi="宋体" w:cs="宋体"/>
          <w:color w:val="auto"/>
          <w:kern w:val="0"/>
          <w:szCs w:val="21"/>
          <w:highlight w:val="none"/>
        </w:rPr>
        <w:t>关于投料试车相关事项的约定：</w:t>
      </w:r>
      <w:r>
        <w:rPr>
          <w:rFonts w:hint="eastAsia"/>
          <w:color w:val="auto"/>
          <w:szCs w:val="21"/>
          <w:highlight w:val="none"/>
          <w:u w:val="single"/>
        </w:rPr>
        <w:t>按通用条款</w:t>
      </w:r>
      <w:r>
        <w:rPr>
          <w:rFonts w:hint="eastAsia" w:hAnsi="宋体" w:cs="宋体"/>
          <w:color w:val="auto"/>
          <w:szCs w:val="21"/>
          <w:highlight w:val="none"/>
        </w:rPr>
        <w:t>。</w:t>
      </w:r>
    </w:p>
    <w:p w14:paraId="1CA3CD34">
      <w:pPr>
        <w:pStyle w:val="4"/>
        <w:rPr>
          <w:color w:val="auto"/>
          <w:highlight w:val="none"/>
        </w:rPr>
      </w:pPr>
      <w:bookmarkStart w:id="664" w:name="_Toc78449846"/>
      <w:bookmarkStart w:id="665" w:name="_Toc389065322"/>
      <w:bookmarkStart w:id="666" w:name="_Toc373478404"/>
      <w:bookmarkStart w:id="667" w:name="_Toc373227757"/>
      <w:bookmarkStart w:id="668" w:name="_Toc550030550"/>
      <w:bookmarkStart w:id="669" w:name="_Toc10307455"/>
      <w:bookmarkStart w:id="670" w:name="_Toc407135260"/>
      <w:r>
        <w:rPr>
          <w:color w:val="auto"/>
          <w:highlight w:val="none"/>
        </w:rPr>
        <w:t xml:space="preserve">13.6 </w:t>
      </w:r>
      <w:r>
        <w:rPr>
          <w:rFonts w:hint="eastAsia" w:hAnsi="宋体" w:cs="黑体"/>
          <w:color w:val="auto"/>
          <w:highlight w:val="none"/>
        </w:rPr>
        <w:t>竣工退场</w:t>
      </w:r>
      <w:bookmarkEnd w:id="664"/>
      <w:bookmarkEnd w:id="665"/>
      <w:bookmarkEnd w:id="666"/>
      <w:bookmarkEnd w:id="667"/>
      <w:bookmarkEnd w:id="668"/>
      <w:bookmarkEnd w:id="669"/>
      <w:bookmarkEnd w:id="670"/>
    </w:p>
    <w:p w14:paraId="73BB4512">
      <w:pPr>
        <w:spacing w:line="360" w:lineRule="auto"/>
        <w:ind w:firstLine="420" w:firstLineChars="200"/>
        <w:jc w:val="left"/>
        <w:outlineLvl w:val="0"/>
        <w:rPr>
          <w:color w:val="auto"/>
          <w:kern w:val="0"/>
          <w:highlight w:val="none"/>
        </w:rPr>
      </w:pPr>
      <w:r>
        <w:rPr>
          <w:color w:val="auto"/>
          <w:kern w:val="0"/>
          <w:highlight w:val="none"/>
        </w:rPr>
        <w:t xml:space="preserve">13.6.1 </w:t>
      </w:r>
      <w:r>
        <w:rPr>
          <w:rFonts w:hint="eastAsia" w:hAnsi="宋体" w:cs="宋体"/>
          <w:color w:val="auto"/>
          <w:kern w:val="0"/>
          <w:highlight w:val="none"/>
        </w:rPr>
        <w:t>竣工退场</w:t>
      </w:r>
    </w:p>
    <w:p w14:paraId="7D87E56D">
      <w:pPr>
        <w:spacing w:line="360" w:lineRule="auto"/>
        <w:ind w:firstLine="420" w:firstLineChars="200"/>
        <w:jc w:val="left"/>
        <w:rPr>
          <w:color w:val="auto"/>
          <w:kern w:val="0"/>
          <w:highlight w:val="none"/>
        </w:rPr>
      </w:pPr>
      <w:r>
        <w:rPr>
          <w:rFonts w:hint="eastAsia" w:hAnsi="宋体" w:cs="宋体"/>
          <w:color w:val="auto"/>
          <w:kern w:val="0"/>
          <w:highlight w:val="none"/>
        </w:rPr>
        <w:t>承包人完成竣工退场的期限：</w:t>
      </w:r>
      <w:r>
        <w:rPr>
          <w:rFonts w:hint="eastAsia" w:ascii="宋体" w:hAnsi="宋体"/>
          <w:color w:val="auto"/>
          <w:szCs w:val="21"/>
          <w:highlight w:val="none"/>
          <w:u w:val="single"/>
        </w:rPr>
        <w:t>监理人颁发（出具）工程接收证书后7天内，承包人负责按照通用条款本项约定的要求对施工场地进行清理并承担相关费用，直至监理人检验合格为止。承包人的人员逾期撤除施工场地的，按每人每天500元支付违约金给发包人</w:t>
      </w:r>
      <w:r>
        <w:rPr>
          <w:rFonts w:hint="eastAsia" w:ascii="宋体" w:hAnsi="宋体"/>
          <w:color w:val="auto"/>
          <w:kern w:val="0"/>
          <w:szCs w:val="21"/>
          <w:highlight w:val="none"/>
          <w:u w:val="single"/>
        </w:rPr>
        <w:t>。</w:t>
      </w:r>
      <w:r>
        <w:rPr>
          <w:rFonts w:hint="eastAsia" w:ascii="宋体" w:hAnsi="宋体"/>
          <w:color w:val="auto"/>
          <w:szCs w:val="21"/>
          <w:highlight w:val="none"/>
          <w:u w:val="single"/>
        </w:rPr>
        <w:t>机械设备和其他财产逾期撤离施工现场的，视为承包人放弃所有权，任由发包人处置，处置所得收益归发包人所有</w:t>
      </w:r>
      <w:r>
        <w:rPr>
          <w:rFonts w:hint="eastAsia" w:hAnsi="宋体" w:cs="宋体"/>
          <w:color w:val="auto"/>
          <w:kern w:val="0"/>
          <w:highlight w:val="none"/>
        </w:rPr>
        <w:t>。</w:t>
      </w:r>
    </w:p>
    <w:p w14:paraId="6A2AC301">
      <w:pPr>
        <w:pStyle w:val="3"/>
        <w:rPr>
          <w:color w:val="auto"/>
          <w:highlight w:val="none"/>
        </w:rPr>
      </w:pPr>
      <w:bookmarkStart w:id="671" w:name="_Toc389065323"/>
      <w:bookmarkStart w:id="672" w:name="_Toc1385490858"/>
      <w:bookmarkStart w:id="673" w:name="_Toc407135261"/>
      <w:bookmarkStart w:id="674" w:name="_Toc1950258056"/>
      <w:bookmarkStart w:id="675" w:name="_Toc373227758"/>
      <w:bookmarkStart w:id="676" w:name="_Toc78449847"/>
      <w:bookmarkStart w:id="677" w:name="_Toc373478405"/>
      <w:bookmarkStart w:id="678" w:name="_Toc351203646"/>
      <w:r>
        <w:rPr>
          <w:color w:val="auto"/>
          <w:highlight w:val="none"/>
        </w:rPr>
        <w:t xml:space="preserve">14. </w:t>
      </w:r>
      <w:r>
        <w:rPr>
          <w:rFonts w:hint="eastAsia" w:hAnsi="宋体" w:cs="黑体"/>
          <w:color w:val="auto"/>
          <w:highlight w:val="none"/>
        </w:rPr>
        <w:t>竣工结算</w:t>
      </w:r>
      <w:bookmarkEnd w:id="671"/>
      <w:bookmarkEnd w:id="672"/>
      <w:bookmarkEnd w:id="673"/>
      <w:bookmarkEnd w:id="674"/>
      <w:bookmarkEnd w:id="675"/>
      <w:bookmarkEnd w:id="676"/>
      <w:bookmarkEnd w:id="677"/>
      <w:bookmarkEnd w:id="678"/>
    </w:p>
    <w:p w14:paraId="16682337">
      <w:pPr>
        <w:pStyle w:val="4"/>
        <w:rPr>
          <w:color w:val="auto"/>
          <w:highlight w:val="none"/>
        </w:rPr>
      </w:pPr>
      <w:bookmarkStart w:id="679" w:name="_Toc373478406"/>
      <w:bookmarkStart w:id="680" w:name="_Toc174652718"/>
      <w:bookmarkStart w:id="681" w:name="_Toc1973954660"/>
      <w:bookmarkStart w:id="682" w:name="_Toc373227759"/>
      <w:bookmarkStart w:id="683" w:name="_Toc407135262"/>
      <w:bookmarkStart w:id="684" w:name="_Toc78449848"/>
      <w:bookmarkStart w:id="685" w:name="_Toc389065324"/>
      <w:r>
        <w:rPr>
          <w:color w:val="auto"/>
          <w:highlight w:val="none"/>
        </w:rPr>
        <w:t xml:space="preserve">14.1 </w:t>
      </w:r>
      <w:r>
        <w:rPr>
          <w:rFonts w:hint="eastAsia" w:hAnsi="宋体" w:cs="黑体"/>
          <w:color w:val="auto"/>
          <w:highlight w:val="none"/>
        </w:rPr>
        <w:t>竣工付款申请</w:t>
      </w:r>
      <w:bookmarkEnd w:id="679"/>
      <w:bookmarkEnd w:id="680"/>
      <w:bookmarkEnd w:id="681"/>
      <w:bookmarkEnd w:id="682"/>
      <w:bookmarkEnd w:id="683"/>
      <w:bookmarkEnd w:id="684"/>
      <w:bookmarkEnd w:id="685"/>
    </w:p>
    <w:p w14:paraId="25F7E5AC">
      <w:pPr>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承包人提交竣工付款申请单的期限：</w:t>
      </w:r>
      <w:r>
        <w:rPr>
          <w:rFonts w:hint="eastAsia"/>
          <w:color w:val="auto"/>
          <w:szCs w:val="21"/>
          <w:highlight w:val="none"/>
          <w:u w:val="single"/>
        </w:rPr>
        <w:t>工程竣工验收合格后42天内</w:t>
      </w:r>
      <w:r>
        <w:rPr>
          <w:rFonts w:hint="eastAsia" w:hAnsi="宋体" w:cs="宋体"/>
          <w:color w:val="auto"/>
          <w:szCs w:val="21"/>
          <w:highlight w:val="none"/>
        </w:rPr>
        <w:t>。</w:t>
      </w:r>
    </w:p>
    <w:p w14:paraId="7035A84A">
      <w:pPr>
        <w:spacing w:line="400" w:lineRule="exact"/>
        <w:ind w:firstLine="420" w:firstLineChars="200"/>
        <w:rPr>
          <w:rFonts w:hAnsi="宋体" w:cs="宋体"/>
          <w:color w:val="auto"/>
          <w:szCs w:val="22"/>
          <w:highlight w:val="none"/>
        </w:rPr>
      </w:pPr>
      <w:r>
        <w:rPr>
          <w:rFonts w:hint="eastAsia" w:ascii="宋体" w:hAnsi="宋体" w:cs="宋体"/>
          <w:color w:val="auto"/>
          <w:szCs w:val="21"/>
          <w:highlight w:val="none"/>
        </w:rPr>
        <w:t>竣工结算申请的资料清单和份数：</w:t>
      </w:r>
      <w:r>
        <w:rPr>
          <w:color w:val="auto"/>
          <w:szCs w:val="21"/>
          <w:highlight w:val="none"/>
          <w:u w:val="single"/>
        </w:rPr>
        <w:t>竣工验收资料的份数：</w:t>
      </w:r>
      <w:r>
        <w:rPr>
          <w:rFonts w:hint="eastAsia"/>
          <w:color w:val="auto"/>
          <w:szCs w:val="21"/>
          <w:highlight w:val="none"/>
          <w:u w:val="single"/>
        </w:rPr>
        <w:t>承包人应在竣工验收合格后30天内按照建设行政主管部门及发包人的要求提供有关竣工资料，其套数除满足各政府部门存档案需要外还需另提供两套原件及完整电子文档一份由发包人存档备用。</w:t>
      </w:r>
    </w:p>
    <w:p w14:paraId="0546F704">
      <w:pPr>
        <w:spacing w:line="360" w:lineRule="auto"/>
        <w:ind w:firstLine="420" w:firstLineChars="200"/>
        <w:jc w:val="left"/>
        <w:rPr>
          <w:rFonts w:ascii="宋体" w:hAnsi="宋体"/>
          <w:color w:val="auto"/>
          <w:highlight w:val="none"/>
          <w:u w:val="single"/>
        </w:rPr>
      </w:pPr>
      <w:r>
        <w:rPr>
          <w:rFonts w:hint="eastAsia" w:hAnsi="宋体" w:cs="宋体"/>
          <w:color w:val="auto"/>
          <w:szCs w:val="21"/>
          <w:highlight w:val="none"/>
        </w:rPr>
        <w:t>竣工付款申请单应包括的内容：按《通用条款》执行。</w:t>
      </w:r>
      <w:r>
        <w:rPr>
          <w:rFonts w:hint="eastAsia" w:ascii="宋体" w:hAnsi="宋体"/>
          <w:color w:val="auto"/>
          <w:highlight w:val="none"/>
          <w:u w:val="single"/>
        </w:rPr>
        <w:t>本工程最终竣工结算需报</w:t>
      </w:r>
      <w:r>
        <w:rPr>
          <w:rFonts w:hint="eastAsia" w:hAnsi="宋体"/>
          <w:color w:val="auto"/>
          <w:szCs w:val="21"/>
          <w:highlight w:val="none"/>
        </w:rPr>
        <w:t>业主有关部门</w:t>
      </w:r>
      <w:r>
        <w:rPr>
          <w:rFonts w:hint="eastAsia" w:ascii="宋体" w:hAnsi="宋体"/>
          <w:color w:val="auto"/>
          <w:highlight w:val="none"/>
          <w:u w:val="single"/>
        </w:rPr>
        <w:t>审定，承包人所编制的工程竣工资料经</w:t>
      </w:r>
      <w:r>
        <w:rPr>
          <w:rFonts w:hint="eastAsia"/>
          <w:color w:val="auto"/>
          <w:highlight w:val="none"/>
        </w:rPr>
        <w:t>监理</w:t>
      </w:r>
      <w:r>
        <w:rPr>
          <w:rFonts w:hint="eastAsia" w:ascii="宋体" w:hAnsi="宋体"/>
          <w:color w:val="auto"/>
          <w:highlight w:val="none"/>
          <w:u w:val="single"/>
        </w:rPr>
        <w:t>审核后，送到</w:t>
      </w:r>
      <w:r>
        <w:rPr>
          <w:rFonts w:hint="eastAsia" w:hAnsi="宋体"/>
          <w:color w:val="auto"/>
          <w:szCs w:val="21"/>
          <w:highlight w:val="none"/>
        </w:rPr>
        <w:t>业主有关部门</w:t>
      </w:r>
      <w:r>
        <w:rPr>
          <w:rFonts w:hint="eastAsia" w:ascii="宋体" w:hAnsi="宋体"/>
          <w:color w:val="auto"/>
          <w:highlight w:val="none"/>
          <w:u w:val="single"/>
        </w:rPr>
        <w:t>之日起，承包人所遗漏的与工程造价有关的资料不再作为结算审核依据，按自动放弃处理。</w:t>
      </w:r>
    </w:p>
    <w:p w14:paraId="1ECA175B">
      <w:pPr>
        <w:spacing w:line="360" w:lineRule="auto"/>
        <w:ind w:firstLine="420" w:firstLineChars="200"/>
        <w:jc w:val="left"/>
        <w:rPr>
          <w:rFonts w:hint="eastAsia" w:hAnsi="宋体" w:cs="宋体"/>
          <w:color w:val="auto"/>
          <w:szCs w:val="21"/>
          <w:highlight w:val="none"/>
        </w:rPr>
      </w:pPr>
      <w:r>
        <w:rPr>
          <w:rFonts w:hint="eastAsia" w:hAnsi="宋体" w:cs="宋体"/>
          <w:color w:val="auto"/>
          <w:szCs w:val="21"/>
          <w:highlight w:val="none"/>
        </w:rPr>
        <w:t>竣工结算款支付申请（核准）表见合同附件12。</w:t>
      </w:r>
    </w:p>
    <w:p w14:paraId="323FF9EC">
      <w:pPr>
        <w:pStyle w:val="255"/>
        <w:pageBreakBefore w:val="0"/>
        <w:kinsoku/>
        <w:overflowPunct/>
        <w:topLinePunct w:val="0"/>
        <w:bidi w:val="0"/>
        <w:spacing w:line="420" w:lineRule="exact"/>
        <w:ind w:firstLine="480" w:firstLineChars="200"/>
        <w:jc w:val="left"/>
        <w:textAlignment w:val="auto"/>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因承包人提供的结算资料不完整而需要补充或承包人不按时对账耽误时间时，审查时间应相应顺延。</w:t>
      </w:r>
    </w:p>
    <w:p w14:paraId="67D05AC8">
      <w:pPr>
        <w:pStyle w:val="257"/>
        <w:pageBreakBefore w:val="0"/>
        <w:kinsoku/>
        <w:overflowPunct/>
        <w:topLinePunct w:val="0"/>
        <w:bidi w:val="0"/>
        <w:spacing w:line="420" w:lineRule="exact"/>
        <w:ind w:firstLine="470" w:firstLineChars="196"/>
        <w:textAlignment w:val="auto"/>
        <w:rPr>
          <w:rStyle w:val="57"/>
          <w:rFonts w:hint="eastAsia" w:ascii="宋体" w:hAnsi="宋体" w:eastAsia="宋体" w:cs="宋体"/>
          <w:bCs/>
          <w:color w:val="auto"/>
          <w:sz w:val="24"/>
          <w:szCs w:val="24"/>
          <w:highlight w:val="none"/>
        </w:rPr>
      </w:pPr>
      <w:r>
        <w:rPr>
          <w:rStyle w:val="57"/>
          <w:rFonts w:hint="eastAsia" w:ascii="宋体" w:hAnsi="宋体" w:eastAsia="宋体" w:cs="宋体"/>
          <w:color w:val="auto"/>
          <w:sz w:val="24"/>
          <w:szCs w:val="24"/>
          <w:highlight w:val="none"/>
          <w:lang w:val="en-US" w:eastAsia="zh-CN"/>
        </w:rPr>
        <w:t>2</w:t>
      </w:r>
      <w:r>
        <w:rPr>
          <w:rStyle w:val="57"/>
          <w:rFonts w:hint="eastAsia" w:ascii="宋体" w:hAnsi="宋体" w:eastAsia="宋体" w:cs="宋体"/>
          <w:color w:val="auto"/>
          <w:sz w:val="24"/>
          <w:szCs w:val="24"/>
          <w:highlight w:val="none"/>
        </w:rPr>
        <w:t>.竣工</w:t>
      </w:r>
      <w:r>
        <w:rPr>
          <w:rStyle w:val="57"/>
          <w:rFonts w:hint="eastAsia" w:ascii="宋体" w:hAnsi="宋体" w:eastAsia="宋体" w:cs="宋体"/>
          <w:bCs/>
          <w:color w:val="auto"/>
          <w:sz w:val="24"/>
          <w:szCs w:val="24"/>
          <w:highlight w:val="none"/>
        </w:rPr>
        <w:t>结算审核其他约定：</w:t>
      </w:r>
    </w:p>
    <w:p w14:paraId="716EEE39">
      <w:pPr>
        <w:pStyle w:val="257"/>
        <w:pageBreakBefore w:val="0"/>
        <w:kinsoku/>
        <w:overflowPunct/>
        <w:topLinePunct w:val="0"/>
        <w:bidi w:val="0"/>
        <w:spacing w:line="420" w:lineRule="exact"/>
        <w:ind w:firstLine="470" w:firstLineChars="196"/>
        <w:textAlignment w:val="auto"/>
        <w:rPr>
          <w:rStyle w:val="57"/>
          <w:rFonts w:hint="eastAsia" w:ascii="宋体" w:hAnsi="宋体" w:eastAsia="宋体" w:cs="宋体"/>
          <w:color w:val="auto"/>
          <w:sz w:val="24"/>
          <w:szCs w:val="24"/>
          <w:highlight w:val="none"/>
        </w:rPr>
      </w:pPr>
      <w:r>
        <w:rPr>
          <w:rStyle w:val="57"/>
          <w:rFonts w:hint="eastAsia" w:ascii="宋体" w:hAnsi="宋体" w:eastAsia="宋体" w:cs="宋体"/>
          <w:bCs/>
          <w:color w:val="auto"/>
          <w:sz w:val="24"/>
          <w:szCs w:val="24"/>
          <w:highlight w:val="none"/>
        </w:rPr>
        <w:t>国有投资项目：</w:t>
      </w:r>
      <w:r>
        <w:rPr>
          <w:rStyle w:val="57"/>
          <w:rFonts w:hint="eastAsia" w:ascii="宋体" w:hAnsi="宋体" w:eastAsia="宋体" w:cs="宋体"/>
          <w:color w:val="auto"/>
          <w:sz w:val="24"/>
          <w:szCs w:val="24"/>
          <w:highlight w:val="none"/>
        </w:rPr>
        <w:t>1）自竣工结算完毕之日起 15 工作日内，经承包人申请发包人按审定后的竣工结算价款，通知经办银行向承包人支付结算价款。</w:t>
      </w:r>
    </w:p>
    <w:p w14:paraId="7EAB4C72">
      <w:pPr>
        <w:pStyle w:val="601"/>
        <w:pageBreakBefore w:val="0"/>
        <w:kinsoku/>
        <w:overflowPunct/>
        <w:topLinePunct w:val="0"/>
        <w:bidi w:val="0"/>
        <w:spacing w:line="420" w:lineRule="exact"/>
        <w:ind w:firstLine="480" w:firstLineChars="200"/>
        <w:textAlignment w:val="auto"/>
        <w:rPr>
          <w:rStyle w:val="57"/>
          <w:rFonts w:hint="eastAsia" w:ascii="宋体" w:hAnsi="宋体" w:eastAsia="宋体" w:cs="宋体"/>
          <w:color w:val="auto"/>
          <w:sz w:val="24"/>
          <w:szCs w:val="24"/>
          <w:highlight w:val="none"/>
          <w:u w:val="single"/>
        </w:rPr>
      </w:pPr>
      <w:r>
        <w:rPr>
          <w:rStyle w:val="57"/>
          <w:rFonts w:hint="eastAsia" w:ascii="宋体" w:hAnsi="宋体" w:eastAsia="宋体" w:cs="宋体"/>
          <w:bCs/>
          <w:color w:val="auto"/>
          <w:sz w:val="24"/>
          <w:szCs w:val="24"/>
          <w:highlight w:val="none"/>
        </w:rPr>
        <w:t>2）本工程最终竣工结算达到《自治区本级财政投资评审实施办法》（桂财办</w:t>
      </w:r>
      <w:r>
        <w:rPr>
          <w:rStyle w:val="57"/>
          <w:rFonts w:hint="eastAsia" w:ascii="宋体" w:hAnsi="宋体" w:eastAsia="宋体" w:cs="宋体"/>
          <w:bCs/>
          <w:color w:val="auto"/>
          <w:sz w:val="24"/>
          <w:szCs w:val="24"/>
          <w:highlight w:val="none"/>
          <w:lang w:eastAsia="zh-CN"/>
        </w:rPr>
        <w:t>〔2015〕70号</w:t>
      </w:r>
      <w:r>
        <w:rPr>
          <w:rStyle w:val="57"/>
          <w:rFonts w:hint="eastAsia" w:ascii="宋体" w:hAnsi="宋体" w:eastAsia="宋体" w:cs="宋体"/>
          <w:bCs/>
          <w:color w:val="auto"/>
          <w:sz w:val="24"/>
          <w:szCs w:val="24"/>
          <w:highlight w:val="none"/>
        </w:rPr>
        <w:t>）规定的评审范围，需报财政部门审定，竣工结算金额最终以财政投资评审中心评审结果为准。</w:t>
      </w:r>
    </w:p>
    <w:p w14:paraId="341C14B3">
      <w:pPr>
        <w:pStyle w:val="257"/>
        <w:pageBreakBefore w:val="0"/>
        <w:kinsoku/>
        <w:overflowPunct/>
        <w:topLinePunct w:val="0"/>
        <w:bidi w:val="0"/>
        <w:spacing w:line="420" w:lineRule="exact"/>
        <w:ind w:firstLine="470" w:firstLineChars="196"/>
        <w:textAlignment w:val="auto"/>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承包人所编制的工程竣工资料经发包人审核后，送到财政部门之日起，承包人所遗漏的与工程造价有关的签证不再作为结算审核依据，按自动放弃处理。</w:t>
      </w:r>
    </w:p>
    <w:p w14:paraId="484FE6F5">
      <w:pPr>
        <w:pStyle w:val="257"/>
        <w:pageBreakBefore w:val="0"/>
        <w:kinsoku/>
        <w:overflowPunct/>
        <w:topLinePunct w:val="0"/>
        <w:bidi w:val="0"/>
        <w:spacing w:line="420" w:lineRule="exact"/>
        <w:ind w:firstLine="470" w:firstLineChars="196"/>
        <w:textAlignment w:val="auto"/>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3）承包人报送的工程结算</w:t>
      </w:r>
      <w:r>
        <w:rPr>
          <w:rStyle w:val="57"/>
          <w:rFonts w:hint="eastAsia" w:ascii="宋体" w:hAnsi="宋体" w:eastAsia="宋体" w:cs="宋体"/>
          <w:color w:val="auto"/>
          <w:sz w:val="24"/>
          <w:szCs w:val="24"/>
          <w:highlight w:val="none"/>
          <w:lang w:val="en-US" w:eastAsia="zh-CN"/>
        </w:rPr>
        <w:t>所发生的审减费用（</w:t>
      </w:r>
      <w:r>
        <w:rPr>
          <w:rStyle w:val="57"/>
          <w:rFonts w:hint="eastAsia" w:ascii="宋体" w:hAnsi="宋体" w:eastAsia="宋体" w:cs="宋体"/>
          <w:color w:val="auto"/>
          <w:sz w:val="24"/>
          <w:szCs w:val="24"/>
          <w:highlight w:val="none"/>
        </w:rPr>
        <w:t>超出6%以上部分的审核费</w:t>
      </w:r>
      <w:r>
        <w:rPr>
          <w:rStyle w:val="57"/>
          <w:rFonts w:hint="eastAsia" w:ascii="宋体" w:hAnsi="宋体" w:eastAsia="宋体" w:cs="宋体"/>
          <w:color w:val="auto"/>
          <w:sz w:val="24"/>
          <w:szCs w:val="24"/>
          <w:highlight w:val="none"/>
          <w:lang w:val="en-US" w:eastAsia="zh-CN"/>
        </w:rPr>
        <w:t>）由</w:t>
      </w:r>
      <w:r>
        <w:rPr>
          <w:rStyle w:val="57"/>
          <w:rFonts w:hint="eastAsia" w:ascii="宋体" w:hAnsi="宋体" w:eastAsia="宋体" w:cs="宋体"/>
          <w:color w:val="auto"/>
          <w:sz w:val="24"/>
          <w:szCs w:val="24"/>
          <w:highlight w:val="none"/>
        </w:rPr>
        <w:t>承包人承担。</w:t>
      </w:r>
    </w:p>
    <w:p w14:paraId="1C9A83E1">
      <w:pPr>
        <w:pStyle w:val="255"/>
        <w:pageBreakBefore w:val="0"/>
        <w:kinsoku/>
        <w:overflowPunct/>
        <w:topLinePunct w:val="0"/>
        <w:bidi w:val="0"/>
        <w:snapToGrid w:val="0"/>
        <w:spacing w:line="420" w:lineRule="exact"/>
        <w:ind w:firstLine="480" w:firstLineChars="200"/>
        <w:textAlignment w:val="auto"/>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4）钢筋：钢筋混凝土结构钢筋单独计量（包含构造柱、圈梁、过梁等二次钢筋混凝土构件所用钢筋。相关构件若需植筋，植筋费用不再另行计算），砌体加筋的钢筋（含砌体加筋的植筋费用）包含在砌体工程中，不再单独计量。</w:t>
      </w:r>
    </w:p>
    <w:p w14:paraId="47268DB5">
      <w:pPr>
        <w:pStyle w:val="255"/>
        <w:pageBreakBefore w:val="0"/>
        <w:kinsoku/>
        <w:overflowPunct/>
        <w:topLinePunct w:val="0"/>
        <w:bidi w:val="0"/>
        <w:spacing w:line="420" w:lineRule="exact"/>
        <w:ind w:firstLine="480" w:firstLineChars="200"/>
        <w:jc w:val="left"/>
        <w:textAlignment w:val="auto"/>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备注：（1）工程竣工验收报告经发包人认可后30天内，承包人应向发包人递交竣工验收合格资料及完整的结算资料和报告，双方按照本工程合同约定的价格形式及价款调整办法进行工程竣工结算。</w:t>
      </w:r>
    </w:p>
    <w:p w14:paraId="1D093C69">
      <w:pPr>
        <w:pStyle w:val="255"/>
        <w:pageBreakBefore w:val="0"/>
        <w:kinsoku/>
        <w:overflowPunct/>
        <w:topLinePunct w:val="0"/>
        <w:bidi w:val="0"/>
        <w:spacing w:line="420" w:lineRule="exact"/>
        <w:ind w:firstLine="480" w:firstLineChars="200"/>
        <w:jc w:val="left"/>
        <w:textAlignment w:val="auto"/>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如承包人逾期递交竣工验收合格资料及完整的结算资料和报告，每延误一天，按签约合同价的万分之二计算逾期违约金，违约金直接从结算款中扣除。违约金上限：签约合同价扣除发包人材料价款、暂估专业工程、暂列金额后的百分之二。</w:t>
      </w:r>
    </w:p>
    <w:p w14:paraId="53D39CBC">
      <w:pPr>
        <w:pStyle w:val="255"/>
        <w:pageBreakBefore w:val="0"/>
        <w:kinsoku/>
        <w:overflowPunct/>
        <w:topLinePunct w:val="0"/>
        <w:bidi w:val="0"/>
        <w:spacing w:line="420" w:lineRule="exact"/>
        <w:ind w:firstLine="480" w:firstLineChars="200"/>
        <w:jc w:val="left"/>
        <w:textAlignment w:val="auto"/>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（2）承包人所编制的工程竣工资料经发包人审核后，送到财政部门之日起，承包人所遗漏的与工程造价有关的签证不再作为结算审核依据，按自动放弃处理。</w:t>
      </w:r>
    </w:p>
    <w:p w14:paraId="18988B21">
      <w:pPr>
        <w:pStyle w:val="255"/>
        <w:pageBreakBefore w:val="0"/>
        <w:kinsoku/>
        <w:overflowPunct/>
        <w:topLinePunct w:val="0"/>
        <w:bidi w:val="0"/>
        <w:spacing w:line="420" w:lineRule="exact"/>
        <w:ind w:firstLine="480" w:firstLineChars="200"/>
        <w:jc w:val="left"/>
        <w:textAlignment w:val="auto"/>
        <w:rPr>
          <w:rStyle w:val="57"/>
          <w:rFonts w:hint="eastAsia" w:ascii="宋体" w:hAnsi="宋体" w:eastAsia="宋体" w:cs="宋体"/>
          <w:color w:val="auto"/>
          <w:sz w:val="24"/>
          <w:szCs w:val="24"/>
          <w:highlight w:val="none"/>
          <w:u w:val="single"/>
          <w:lang w:eastAsia="zh-CN"/>
        </w:rPr>
      </w:pPr>
      <w:r>
        <w:rPr>
          <w:rStyle w:val="57"/>
          <w:rFonts w:hint="eastAsia" w:ascii="宋体" w:hAnsi="宋体" w:eastAsia="宋体" w:cs="宋体"/>
          <w:b w:val="0"/>
          <w:bCs w:val="0"/>
          <w:color w:val="auto"/>
          <w:sz w:val="24"/>
          <w:szCs w:val="24"/>
          <w:highlight w:val="none"/>
        </w:rPr>
        <w:t>（3）</w:t>
      </w:r>
      <w:r>
        <w:rPr>
          <w:rStyle w:val="57"/>
          <w:rFonts w:hint="eastAsia" w:ascii="宋体" w:hAnsi="宋体" w:eastAsia="宋体" w:cs="宋体"/>
          <w:color w:val="auto"/>
          <w:sz w:val="24"/>
          <w:szCs w:val="24"/>
          <w:highlight w:val="none"/>
        </w:rPr>
        <w:t>承包人必须提供完整、真实的隐蔽工程原始施工、验收记录。如发现施工单位提供的隐蔽工程资料与实际不符时，按不利于施工单位原则结算</w:t>
      </w:r>
      <w:r>
        <w:rPr>
          <w:rStyle w:val="57"/>
          <w:rFonts w:hint="eastAsia" w:ascii="宋体" w:hAnsi="宋体" w:eastAsia="宋体" w:cs="宋体"/>
          <w:color w:val="auto"/>
          <w:sz w:val="24"/>
          <w:szCs w:val="24"/>
          <w:highlight w:val="none"/>
          <w:lang w:eastAsia="zh-CN"/>
        </w:rPr>
        <w:t>。</w:t>
      </w:r>
    </w:p>
    <w:p w14:paraId="06E4F55D">
      <w:pPr>
        <w:pStyle w:val="4"/>
        <w:rPr>
          <w:color w:val="auto"/>
          <w:highlight w:val="none"/>
        </w:rPr>
      </w:pPr>
      <w:bookmarkStart w:id="686" w:name="_Toc389065325"/>
      <w:bookmarkStart w:id="687" w:name="_Toc373227760"/>
      <w:bookmarkStart w:id="688" w:name="_Toc78449849"/>
      <w:bookmarkStart w:id="689" w:name="_Toc373478407"/>
      <w:bookmarkStart w:id="690" w:name="_Toc489920513"/>
      <w:bookmarkStart w:id="691" w:name="_Toc667492935"/>
      <w:bookmarkStart w:id="692" w:name="_Toc407135263"/>
      <w:r>
        <w:rPr>
          <w:color w:val="auto"/>
          <w:highlight w:val="none"/>
        </w:rPr>
        <w:t xml:space="preserve">14.2 </w:t>
      </w:r>
      <w:r>
        <w:rPr>
          <w:rFonts w:hint="eastAsia" w:hAnsi="宋体" w:cs="黑体"/>
          <w:color w:val="auto"/>
          <w:highlight w:val="none"/>
        </w:rPr>
        <w:t>竣工结算审核</w:t>
      </w:r>
      <w:bookmarkEnd w:id="686"/>
      <w:bookmarkEnd w:id="687"/>
      <w:bookmarkEnd w:id="688"/>
      <w:bookmarkEnd w:id="689"/>
      <w:bookmarkEnd w:id="690"/>
      <w:bookmarkEnd w:id="691"/>
      <w:bookmarkEnd w:id="692"/>
    </w:p>
    <w:p w14:paraId="7C1AB2FC">
      <w:pPr>
        <w:spacing w:line="360" w:lineRule="auto"/>
        <w:ind w:firstLine="420" w:firstLineChars="200"/>
        <w:jc w:val="left"/>
        <w:rPr>
          <w:color w:val="auto"/>
          <w:highlight w:val="none"/>
        </w:rPr>
      </w:pPr>
      <w:r>
        <w:rPr>
          <w:rFonts w:hint="eastAsia" w:hAnsi="宋体" w:cs="宋体"/>
          <w:color w:val="auto"/>
          <w:highlight w:val="none"/>
        </w:rPr>
        <w:t>发包人审批竣工付款申请单的期限：</w:t>
      </w:r>
    </w:p>
    <w:tbl>
      <w:tblPr>
        <w:tblStyle w:val="55"/>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466"/>
        <w:gridCol w:w="5967"/>
      </w:tblGrid>
      <w:tr w14:paraId="62C59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18C21565">
            <w:pPr>
              <w:spacing w:line="360" w:lineRule="auto"/>
              <w:rPr>
                <w:color w:val="auto"/>
                <w:highlight w:val="none"/>
              </w:rPr>
            </w:pPr>
          </w:p>
        </w:tc>
        <w:tc>
          <w:tcPr>
            <w:tcW w:w="2466" w:type="dxa"/>
            <w:noWrap w:val="0"/>
            <w:vAlign w:val="center"/>
          </w:tcPr>
          <w:p w14:paraId="15BFF806">
            <w:pPr>
              <w:spacing w:line="360" w:lineRule="auto"/>
              <w:ind w:firstLine="27" w:firstLineChars="13"/>
              <w:jc w:val="center"/>
              <w:rPr>
                <w:color w:val="auto"/>
                <w:highlight w:val="none"/>
              </w:rPr>
            </w:pPr>
            <w:r>
              <w:rPr>
                <w:rFonts w:hint="eastAsia" w:hAnsi="宋体" w:cs="宋体"/>
                <w:color w:val="auto"/>
                <w:highlight w:val="none"/>
              </w:rPr>
              <w:t>工程竣工结算报告金额</w:t>
            </w:r>
          </w:p>
        </w:tc>
        <w:tc>
          <w:tcPr>
            <w:tcW w:w="5967" w:type="dxa"/>
            <w:noWrap w:val="0"/>
            <w:vAlign w:val="center"/>
          </w:tcPr>
          <w:p w14:paraId="479F02E8">
            <w:pPr>
              <w:spacing w:line="360" w:lineRule="auto"/>
              <w:ind w:firstLine="441" w:firstLineChars="210"/>
              <w:jc w:val="center"/>
              <w:rPr>
                <w:color w:val="auto"/>
                <w:highlight w:val="none"/>
              </w:rPr>
            </w:pPr>
            <w:r>
              <w:rPr>
                <w:rFonts w:hint="eastAsia" w:hAnsi="宋体" w:cs="宋体"/>
                <w:color w:val="auto"/>
                <w:highlight w:val="none"/>
              </w:rPr>
              <w:t>发包人审查时间</w:t>
            </w:r>
          </w:p>
        </w:tc>
      </w:tr>
      <w:tr w14:paraId="6C38E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4328BEF4">
            <w:pPr>
              <w:spacing w:line="360" w:lineRule="auto"/>
              <w:jc w:val="center"/>
              <w:rPr>
                <w:color w:val="auto"/>
                <w:highlight w:val="none"/>
              </w:rPr>
            </w:pPr>
            <w:r>
              <w:rPr>
                <w:color w:val="auto"/>
                <w:highlight w:val="none"/>
              </w:rPr>
              <w:t>1</w:t>
            </w:r>
          </w:p>
        </w:tc>
        <w:tc>
          <w:tcPr>
            <w:tcW w:w="2466" w:type="dxa"/>
            <w:noWrap w:val="0"/>
            <w:vAlign w:val="center"/>
          </w:tcPr>
          <w:p w14:paraId="1B4A2F42">
            <w:pPr>
              <w:spacing w:line="360" w:lineRule="auto"/>
              <w:ind w:firstLine="27" w:firstLineChars="13"/>
              <w:jc w:val="center"/>
              <w:rPr>
                <w:color w:val="auto"/>
                <w:highlight w:val="none"/>
              </w:rPr>
            </w:pPr>
            <w:r>
              <w:rPr>
                <w:color w:val="auto"/>
                <w:highlight w:val="none"/>
              </w:rPr>
              <w:t>500</w:t>
            </w:r>
            <w:r>
              <w:rPr>
                <w:rFonts w:hint="eastAsia" w:hAnsi="宋体" w:cs="宋体"/>
                <w:color w:val="auto"/>
                <w:highlight w:val="none"/>
              </w:rPr>
              <w:t>万元以下</w:t>
            </w:r>
          </w:p>
        </w:tc>
        <w:tc>
          <w:tcPr>
            <w:tcW w:w="5967" w:type="dxa"/>
            <w:noWrap w:val="0"/>
            <w:vAlign w:val="center"/>
          </w:tcPr>
          <w:p w14:paraId="70C1EB3C">
            <w:pPr>
              <w:spacing w:line="360" w:lineRule="auto"/>
              <w:ind w:firstLine="441" w:firstLineChars="210"/>
              <w:jc w:val="center"/>
              <w:rPr>
                <w:color w:val="auto"/>
                <w:highlight w:val="none"/>
              </w:rPr>
            </w:pPr>
            <w:r>
              <w:rPr>
                <w:rFonts w:hint="eastAsia" w:hAnsi="宋体" w:cs="宋体"/>
                <w:color w:val="auto"/>
                <w:highlight w:val="none"/>
              </w:rPr>
              <w:t>从接到竣工结算报告和完整的竣工结算资料之日起</w:t>
            </w:r>
            <w:r>
              <w:rPr>
                <w:color w:val="auto"/>
                <w:highlight w:val="none"/>
              </w:rPr>
              <w:t>20</w:t>
            </w:r>
            <w:r>
              <w:rPr>
                <w:rFonts w:hint="eastAsia" w:hAnsi="宋体" w:cs="宋体"/>
                <w:color w:val="auto"/>
                <w:highlight w:val="none"/>
              </w:rPr>
              <w:t>天</w:t>
            </w:r>
          </w:p>
        </w:tc>
      </w:tr>
      <w:tr w14:paraId="22489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1CF17919">
            <w:pPr>
              <w:spacing w:line="360" w:lineRule="auto"/>
              <w:jc w:val="center"/>
              <w:rPr>
                <w:color w:val="auto"/>
                <w:highlight w:val="none"/>
              </w:rPr>
            </w:pPr>
            <w:r>
              <w:rPr>
                <w:color w:val="auto"/>
                <w:highlight w:val="none"/>
              </w:rPr>
              <w:t>2</w:t>
            </w:r>
          </w:p>
        </w:tc>
        <w:tc>
          <w:tcPr>
            <w:tcW w:w="2466" w:type="dxa"/>
            <w:noWrap w:val="0"/>
            <w:vAlign w:val="center"/>
          </w:tcPr>
          <w:p w14:paraId="46D8FC4C">
            <w:pPr>
              <w:spacing w:line="360" w:lineRule="auto"/>
              <w:ind w:firstLine="27" w:firstLineChars="13"/>
              <w:jc w:val="center"/>
              <w:rPr>
                <w:color w:val="auto"/>
                <w:highlight w:val="none"/>
              </w:rPr>
            </w:pPr>
            <w:r>
              <w:rPr>
                <w:color w:val="auto"/>
                <w:highlight w:val="none"/>
              </w:rPr>
              <w:t>500</w:t>
            </w:r>
            <w:r>
              <w:rPr>
                <w:rFonts w:hint="eastAsia" w:hAnsi="宋体" w:cs="宋体"/>
                <w:color w:val="auto"/>
                <w:highlight w:val="none"/>
              </w:rPr>
              <w:t>万元</w:t>
            </w:r>
            <w:r>
              <w:rPr>
                <w:color w:val="auto"/>
                <w:highlight w:val="none"/>
              </w:rPr>
              <w:t>-2000</w:t>
            </w:r>
            <w:r>
              <w:rPr>
                <w:rFonts w:hint="eastAsia" w:hAnsi="宋体" w:cs="宋体"/>
                <w:color w:val="auto"/>
                <w:highlight w:val="none"/>
              </w:rPr>
              <w:t>万元</w:t>
            </w:r>
          </w:p>
        </w:tc>
        <w:tc>
          <w:tcPr>
            <w:tcW w:w="5967" w:type="dxa"/>
            <w:noWrap w:val="0"/>
            <w:vAlign w:val="center"/>
          </w:tcPr>
          <w:p w14:paraId="37BC0719">
            <w:pPr>
              <w:spacing w:line="360" w:lineRule="auto"/>
              <w:ind w:firstLine="441" w:firstLineChars="210"/>
              <w:jc w:val="center"/>
              <w:rPr>
                <w:color w:val="auto"/>
                <w:highlight w:val="none"/>
              </w:rPr>
            </w:pPr>
            <w:r>
              <w:rPr>
                <w:rFonts w:hint="eastAsia" w:hAnsi="宋体" w:cs="宋体"/>
                <w:color w:val="auto"/>
                <w:highlight w:val="none"/>
              </w:rPr>
              <w:t>从接到竣工结算报告和完整的竣工结算资料之日起</w:t>
            </w:r>
            <w:r>
              <w:rPr>
                <w:color w:val="auto"/>
                <w:highlight w:val="none"/>
              </w:rPr>
              <w:t>30</w:t>
            </w:r>
            <w:r>
              <w:rPr>
                <w:rFonts w:hint="eastAsia" w:hAnsi="宋体" w:cs="宋体"/>
                <w:color w:val="auto"/>
                <w:highlight w:val="none"/>
              </w:rPr>
              <w:t>天</w:t>
            </w:r>
          </w:p>
        </w:tc>
      </w:tr>
      <w:tr w14:paraId="27C3B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76485647">
            <w:pPr>
              <w:spacing w:line="360" w:lineRule="auto"/>
              <w:jc w:val="center"/>
              <w:rPr>
                <w:color w:val="auto"/>
                <w:highlight w:val="none"/>
              </w:rPr>
            </w:pPr>
            <w:r>
              <w:rPr>
                <w:color w:val="auto"/>
                <w:highlight w:val="none"/>
              </w:rPr>
              <w:t>3</w:t>
            </w:r>
          </w:p>
        </w:tc>
        <w:tc>
          <w:tcPr>
            <w:tcW w:w="2466" w:type="dxa"/>
            <w:noWrap w:val="0"/>
            <w:vAlign w:val="center"/>
          </w:tcPr>
          <w:p w14:paraId="01B9E239">
            <w:pPr>
              <w:spacing w:line="360" w:lineRule="auto"/>
              <w:ind w:firstLine="27" w:firstLineChars="13"/>
              <w:jc w:val="center"/>
              <w:rPr>
                <w:color w:val="auto"/>
                <w:highlight w:val="none"/>
              </w:rPr>
            </w:pPr>
            <w:r>
              <w:rPr>
                <w:color w:val="auto"/>
                <w:highlight w:val="none"/>
              </w:rPr>
              <w:t>2000</w:t>
            </w:r>
            <w:r>
              <w:rPr>
                <w:rFonts w:hint="eastAsia" w:hAnsi="宋体" w:cs="宋体"/>
                <w:color w:val="auto"/>
                <w:highlight w:val="none"/>
              </w:rPr>
              <w:t>万元</w:t>
            </w:r>
            <w:r>
              <w:rPr>
                <w:color w:val="auto"/>
                <w:highlight w:val="none"/>
              </w:rPr>
              <w:t>-5000</w:t>
            </w:r>
            <w:r>
              <w:rPr>
                <w:rFonts w:hint="eastAsia" w:hAnsi="宋体" w:cs="宋体"/>
                <w:color w:val="auto"/>
                <w:highlight w:val="none"/>
              </w:rPr>
              <w:t>万元</w:t>
            </w:r>
          </w:p>
        </w:tc>
        <w:tc>
          <w:tcPr>
            <w:tcW w:w="5967" w:type="dxa"/>
            <w:noWrap w:val="0"/>
            <w:vAlign w:val="center"/>
          </w:tcPr>
          <w:p w14:paraId="3D68FD87">
            <w:pPr>
              <w:spacing w:line="360" w:lineRule="auto"/>
              <w:ind w:firstLine="441" w:firstLineChars="210"/>
              <w:jc w:val="center"/>
              <w:rPr>
                <w:color w:val="auto"/>
                <w:highlight w:val="none"/>
              </w:rPr>
            </w:pPr>
            <w:r>
              <w:rPr>
                <w:rFonts w:hint="eastAsia" w:hAnsi="宋体" w:cs="宋体"/>
                <w:color w:val="auto"/>
                <w:highlight w:val="none"/>
              </w:rPr>
              <w:t>从接到竣工结算报告和完整的竣工结算资料之日起</w:t>
            </w:r>
            <w:r>
              <w:rPr>
                <w:color w:val="auto"/>
                <w:highlight w:val="none"/>
              </w:rPr>
              <w:t>45</w:t>
            </w:r>
            <w:r>
              <w:rPr>
                <w:rFonts w:hint="eastAsia" w:hAnsi="宋体" w:cs="宋体"/>
                <w:color w:val="auto"/>
                <w:highlight w:val="none"/>
              </w:rPr>
              <w:t>天</w:t>
            </w:r>
          </w:p>
        </w:tc>
      </w:tr>
      <w:tr w14:paraId="5BE46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6DB6E85E">
            <w:pPr>
              <w:spacing w:line="360" w:lineRule="auto"/>
              <w:jc w:val="center"/>
              <w:rPr>
                <w:color w:val="auto"/>
                <w:highlight w:val="none"/>
              </w:rPr>
            </w:pPr>
            <w:r>
              <w:rPr>
                <w:color w:val="auto"/>
                <w:highlight w:val="none"/>
              </w:rPr>
              <w:t>4</w:t>
            </w:r>
          </w:p>
        </w:tc>
        <w:tc>
          <w:tcPr>
            <w:tcW w:w="2466" w:type="dxa"/>
            <w:noWrap w:val="0"/>
            <w:vAlign w:val="center"/>
          </w:tcPr>
          <w:p w14:paraId="06562772">
            <w:pPr>
              <w:spacing w:line="360" w:lineRule="auto"/>
              <w:ind w:firstLine="27" w:firstLineChars="13"/>
              <w:jc w:val="center"/>
              <w:rPr>
                <w:color w:val="auto"/>
                <w:highlight w:val="none"/>
              </w:rPr>
            </w:pPr>
            <w:r>
              <w:rPr>
                <w:color w:val="auto"/>
                <w:highlight w:val="none"/>
              </w:rPr>
              <w:t>5000</w:t>
            </w:r>
            <w:r>
              <w:rPr>
                <w:rFonts w:hint="eastAsia" w:hAnsi="宋体" w:cs="宋体"/>
                <w:color w:val="auto"/>
                <w:highlight w:val="none"/>
              </w:rPr>
              <w:t>万元以上</w:t>
            </w:r>
          </w:p>
        </w:tc>
        <w:tc>
          <w:tcPr>
            <w:tcW w:w="5967" w:type="dxa"/>
            <w:noWrap w:val="0"/>
            <w:vAlign w:val="center"/>
          </w:tcPr>
          <w:p w14:paraId="4687C5BE">
            <w:pPr>
              <w:spacing w:line="360" w:lineRule="auto"/>
              <w:ind w:firstLine="441" w:firstLineChars="210"/>
              <w:jc w:val="center"/>
              <w:rPr>
                <w:color w:val="auto"/>
                <w:highlight w:val="none"/>
              </w:rPr>
            </w:pPr>
            <w:r>
              <w:rPr>
                <w:rFonts w:hint="eastAsia" w:hAnsi="宋体" w:cs="宋体"/>
                <w:color w:val="auto"/>
                <w:highlight w:val="none"/>
              </w:rPr>
              <w:t>从接到竣工结算报告和完整的竣工结算资料之日起</w:t>
            </w:r>
            <w:r>
              <w:rPr>
                <w:color w:val="auto"/>
                <w:highlight w:val="none"/>
              </w:rPr>
              <w:t>60</w:t>
            </w:r>
            <w:r>
              <w:rPr>
                <w:rFonts w:hint="eastAsia" w:hAnsi="宋体" w:cs="宋体"/>
                <w:color w:val="auto"/>
                <w:highlight w:val="none"/>
              </w:rPr>
              <w:t>天</w:t>
            </w:r>
          </w:p>
        </w:tc>
      </w:tr>
      <w:tr w14:paraId="5CCDF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2532571B">
            <w:pPr>
              <w:spacing w:line="360" w:lineRule="auto"/>
              <w:jc w:val="center"/>
              <w:rPr>
                <w:color w:val="auto"/>
                <w:highlight w:val="none"/>
              </w:rPr>
            </w:pPr>
            <w:r>
              <w:rPr>
                <w:rFonts w:hint="eastAsia"/>
                <w:color w:val="auto"/>
                <w:highlight w:val="none"/>
              </w:rPr>
              <w:t>5</w:t>
            </w:r>
          </w:p>
        </w:tc>
        <w:tc>
          <w:tcPr>
            <w:tcW w:w="2466" w:type="dxa"/>
            <w:noWrap w:val="0"/>
            <w:vAlign w:val="center"/>
          </w:tcPr>
          <w:p w14:paraId="232239A2">
            <w:pPr>
              <w:spacing w:line="360" w:lineRule="auto"/>
              <w:ind w:firstLine="27" w:firstLineChars="13"/>
              <w:jc w:val="center"/>
              <w:rPr>
                <w:color w:val="auto"/>
                <w:highlight w:val="none"/>
              </w:rPr>
            </w:pPr>
            <w:r>
              <w:rPr>
                <w:rFonts w:hint="eastAsia"/>
                <w:color w:val="auto"/>
                <w:highlight w:val="none"/>
              </w:rPr>
              <w:t>5000万以上每增加</w:t>
            </w:r>
            <w:r>
              <w:rPr>
                <w:color w:val="auto"/>
                <w:highlight w:val="none"/>
              </w:rPr>
              <w:t>0.5</w:t>
            </w:r>
            <w:r>
              <w:rPr>
                <w:rFonts w:hint="eastAsia"/>
                <w:color w:val="auto"/>
                <w:highlight w:val="none"/>
              </w:rPr>
              <w:t>亿</w:t>
            </w:r>
            <w:r>
              <w:rPr>
                <w:rFonts w:hint="eastAsia"/>
                <w:color w:val="auto"/>
                <w:highlight w:val="none"/>
                <w:lang w:eastAsia="zh-CN"/>
              </w:rPr>
              <w:t>（</w:t>
            </w:r>
            <w:r>
              <w:rPr>
                <w:rFonts w:hint="eastAsia"/>
                <w:color w:val="auto"/>
                <w:highlight w:val="none"/>
              </w:rPr>
              <w:t>不足0.5亿不增加</w:t>
            </w:r>
            <w:r>
              <w:rPr>
                <w:rFonts w:hint="eastAsia"/>
                <w:color w:val="auto"/>
                <w:highlight w:val="none"/>
                <w:lang w:eastAsia="zh-CN"/>
              </w:rPr>
              <w:t>）</w:t>
            </w:r>
          </w:p>
        </w:tc>
        <w:tc>
          <w:tcPr>
            <w:tcW w:w="5967" w:type="dxa"/>
            <w:noWrap w:val="0"/>
            <w:vAlign w:val="center"/>
          </w:tcPr>
          <w:p w14:paraId="5BF504EB">
            <w:pPr>
              <w:spacing w:line="360" w:lineRule="auto"/>
              <w:ind w:firstLine="441" w:firstLineChars="210"/>
              <w:jc w:val="center"/>
              <w:rPr>
                <w:rFonts w:hint="eastAsia" w:hAnsi="宋体" w:cs="宋体"/>
                <w:color w:val="auto"/>
                <w:highlight w:val="none"/>
              </w:rPr>
            </w:pPr>
            <w:r>
              <w:rPr>
                <w:rFonts w:hint="eastAsia" w:hAnsi="宋体" w:cs="宋体"/>
                <w:color w:val="auto"/>
                <w:highlight w:val="none"/>
              </w:rPr>
              <w:t>增加10天</w:t>
            </w:r>
          </w:p>
        </w:tc>
      </w:tr>
    </w:tbl>
    <w:p w14:paraId="4BD80369">
      <w:pPr>
        <w:spacing w:line="360" w:lineRule="auto"/>
        <w:ind w:firstLine="420" w:firstLineChars="200"/>
        <w:jc w:val="left"/>
        <w:rPr>
          <w:rFonts w:hAnsi="宋体"/>
          <w:color w:val="auto"/>
          <w:highlight w:val="none"/>
        </w:rPr>
      </w:pPr>
      <w:r>
        <w:rPr>
          <w:rFonts w:hint="eastAsia" w:hAnsi="宋体" w:cs="宋体"/>
          <w:color w:val="auto"/>
          <w:highlight w:val="none"/>
        </w:rPr>
        <w:t>因承包人提供的结算资料不完整而需要补充或承包人不按时对账耽误时间时，审查时间应相应顺延。</w:t>
      </w:r>
    </w:p>
    <w:p w14:paraId="6AE97370">
      <w:pPr>
        <w:spacing w:line="400" w:lineRule="exact"/>
        <w:ind w:firstLine="411" w:firstLineChars="196"/>
        <w:rPr>
          <w:rFonts w:hint="eastAsia" w:ascii="Times New Roman" w:hAnsi="宋体" w:eastAsia="宋体" w:cs="宋体"/>
          <w:i w:val="0"/>
          <w:caps w:val="0"/>
          <w:color w:val="auto"/>
          <w:spacing w:val="0"/>
          <w:sz w:val="21"/>
          <w:szCs w:val="21"/>
          <w:highlight w:val="none"/>
        </w:rPr>
      </w:pPr>
      <w:r>
        <w:rPr>
          <w:rFonts w:hint="eastAsia" w:hAnsi="宋体" w:cs="宋体"/>
          <w:color w:val="auto"/>
          <w:highlight w:val="none"/>
        </w:rPr>
        <w:t>竣工结算审核约定：</w:t>
      </w:r>
      <w:r>
        <w:rPr>
          <w:rFonts w:hint="eastAsia" w:ascii="Times New Roman" w:hAnsi="宋体" w:eastAsia="宋体" w:cs="宋体"/>
          <w:i w:val="0"/>
          <w:caps w:val="0"/>
          <w:color w:val="auto"/>
          <w:spacing w:val="0"/>
          <w:sz w:val="21"/>
          <w:szCs w:val="21"/>
          <w:highlight w:val="none"/>
        </w:rPr>
        <w:t>发承包双方在合同中对施工过程结算的期限应有明确约定；没有约定的，可认定其约定期限均为28天。经发承包双方签署确认的施工过程结算文件作为竣工结算文件的组成部分。未经另一方同意，一方不得就已生效的结算文件进行重复审核。对施工合同中约定竣工结算以财政评审意见为准的项目，财政部门应在施工合同约定期限内对项目过程结算文件进行审核确认。</w:t>
      </w:r>
    </w:p>
    <w:p w14:paraId="565892DE">
      <w:pPr>
        <w:spacing w:line="400" w:lineRule="exact"/>
        <w:ind w:firstLine="431" w:firstLineChars="196"/>
        <w:rPr>
          <w:rFonts w:hint="eastAsia" w:ascii="Times New Roman" w:hAnsi="宋体" w:eastAsia="宋体" w:cs="宋体"/>
          <w:color w:val="auto"/>
          <w:highlight w:val="none"/>
        </w:rPr>
      </w:pPr>
      <w:r>
        <w:rPr>
          <w:rFonts w:ascii="宋体" w:hAnsi="宋体" w:eastAsia="宋体" w:cs="宋体"/>
          <w:color w:val="auto"/>
          <w:kern w:val="0"/>
          <w:sz w:val="22"/>
          <w:szCs w:val="22"/>
          <w:highlight w:val="none"/>
          <w:lang w:val="en-US" w:eastAsia="zh-CN" w:bidi="ar"/>
        </w:rPr>
        <w:t>当年开工、当年不能竣工的新开工项目可以推行过程结算。发承包双方通过合同约定，将施工过程按时间或进度节点划分施工周期，对周期内已完成且无争议的工程量（含变更、签证、索赔等）进行价款计算、确认和支付，支付金额不得超出已完工部分对应的批复（预）算。经双方确认的过程结算文件作为竣工结算文件的组成部分，竣工后原则上不再重复审核。</w:t>
      </w:r>
    </w:p>
    <w:p w14:paraId="017CAEFC">
      <w:pPr>
        <w:spacing w:line="400" w:lineRule="exact"/>
        <w:ind w:firstLine="411" w:firstLineChars="196"/>
        <w:rPr>
          <w:rFonts w:hAnsi="宋体"/>
          <w:color w:val="auto"/>
          <w:highlight w:val="none"/>
          <w:u w:val="single"/>
        </w:rPr>
      </w:pPr>
      <w:r>
        <w:rPr>
          <w:rFonts w:hint="eastAsia" w:hAnsi="宋体"/>
          <w:color w:val="auto"/>
          <w:highlight w:val="none"/>
          <w:u w:val="single"/>
          <w:lang w:eastAsia="zh-CN"/>
        </w:rPr>
        <w:t>1.</w:t>
      </w:r>
      <w:r>
        <w:rPr>
          <w:rFonts w:hint="eastAsia" w:hAnsi="宋体" w:cs="宋体"/>
          <w:color w:val="auto"/>
          <w:highlight w:val="none"/>
          <w:u w:val="single"/>
        </w:rPr>
        <w:t>工程竣工验收报告经发包人认可后</w:t>
      </w:r>
      <w:r>
        <w:rPr>
          <w:rFonts w:hAnsi="宋体"/>
          <w:color w:val="auto"/>
          <w:highlight w:val="none"/>
          <w:u w:val="single"/>
        </w:rPr>
        <w:t xml:space="preserve">   </w:t>
      </w:r>
      <w:r>
        <w:rPr>
          <w:rFonts w:hint="eastAsia" w:hAnsi="宋体" w:cs="宋体"/>
          <w:color w:val="auto"/>
          <w:highlight w:val="none"/>
          <w:u w:val="single"/>
        </w:rPr>
        <w:t>天内，承包人向发包人递交竣工验收合格资料及完整的结算资料和报告，双方按照本工程合同约定的价格形式及价款调整办法进行工程竣工结算。</w:t>
      </w:r>
      <w:r>
        <w:rPr>
          <w:rFonts w:hAnsi="宋体"/>
          <w:color w:val="auto"/>
          <w:highlight w:val="none"/>
          <w:u w:val="single"/>
        </w:rPr>
        <w:t>2</w:t>
      </w:r>
      <w:r>
        <w:rPr>
          <w:rFonts w:hint="eastAsia" w:hAnsi="宋体" w:cs="宋体"/>
          <w:color w:val="auto"/>
          <w:highlight w:val="none"/>
          <w:u w:val="single"/>
        </w:rPr>
        <w:t>、发包人收到承包人递交的竣工结算报告及结算资料之日起</w:t>
      </w:r>
      <w:r>
        <w:rPr>
          <w:rFonts w:hAnsi="宋体"/>
          <w:color w:val="auto"/>
          <w:highlight w:val="none"/>
          <w:u w:val="single"/>
        </w:rPr>
        <w:t xml:space="preserve">   </w:t>
      </w:r>
      <w:r>
        <w:rPr>
          <w:rFonts w:hint="eastAsia" w:hAnsi="宋体" w:cs="宋体"/>
          <w:color w:val="auto"/>
          <w:highlight w:val="none"/>
          <w:u w:val="single"/>
        </w:rPr>
        <w:t>天内进行审核，并给予确认或者提出审核意见。发包人逾期未完成审核且未提出异议的视为发包人已同意承包人提交的竣工结算报告及结算价款，并以此作为</w:t>
      </w:r>
      <w:r>
        <w:rPr>
          <w:rFonts w:hint="eastAsia" w:hAnsi="宋体" w:cs="宋体"/>
          <w:color w:val="auto"/>
          <w:highlight w:val="none"/>
          <w:u w:val="single"/>
          <w:lang w:eastAsia="zh-CN"/>
        </w:rPr>
        <w:t>竣工决算</w:t>
      </w:r>
      <w:r>
        <w:rPr>
          <w:rFonts w:hint="eastAsia" w:hAnsi="宋体" w:cs="宋体"/>
          <w:color w:val="auto"/>
          <w:highlight w:val="none"/>
          <w:u w:val="single"/>
        </w:rPr>
        <w:t>的依据。承包人对发包人确认的结算价款或审核意见有异议的，应在收到发包人确认的价款或审核意见之日起</w:t>
      </w:r>
      <w:r>
        <w:rPr>
          <w:rFonts w:hAnsi="宋体" w:cs="宋体"/>
          <w:color w:val="auto"/>
          <w:highlight w:val="none"/>
          <w:u w:val="single"/>
        </w:rPr>
        <w:t xml:space="preserve">   </w:t>
      </w:r>
      <w:r>
        <w:rPr>
          <w:rFonts w:hint="eastAsia" w:hAnsi="宋体" w:cs="宋体"/>
          <w:color w:val="auto"/>
          <w:highlight w:val="none"/>
          <w:u w:val="single"/>
        </w:rPr>
        <w:t>天内提出异议，必要时合同当事人要当面核对，直至完成工程竣工结算。除非有特殊情形，否则从承包人递交竣工结算报告到完成竣工结算的时间应控制在“发包人审核竣工付款申请单的期限”要求的时间范围内。3.自竣工结算完毕之日起</w:t>
      </w:r>
      <w:r>
        <w:rPr>
          <w:rFonts w:hint="eastAsia" w:hAnsi="宋体"/>
          <w:color w:val="auto"/>
          <w:highlight w:val="none"/>
          <w:u w:val="single"/>
        </w:rPr>
        <w:t xml:space="preserve">   </w:t>
      </w:r>
      <w:r>
        <w:rPr>
          <w:rFonts w:hint="eastAsia" w:hAnsi="宋体" w:cs="宋体"/>
          <w:color w:val="auto"/>
          <w:highlight w:val="none"/>
          <w:u w:val="single"/>
        </w:rPr>
        <w:t>天内，发包人按审定后的竣工结算价款，通知经办银行向承包人支付结算价款。</w:t>
      </w:r>
    </w:p>
    <w:p w14:paraId="70F7CF55">
      <w:pPr>
        <w:spacing w:line="360" w:lineRule="auto"/>
        <w:ind w:firstLine="420" w:firstLineChars="200"/>
        <w:jc w:val="left"/>
        <w:rPr>
          <w:color w:val="auto"/>
          <w:highlight w:val="none"/>
          <w:u w:val="single"/>
        </w:rPr>
      </w:pPr>
      <w:r>
        <w:rPr>
          <w:rFonts w:hint="eastAsia" w:hAnsi="宋体" w:cs="宋体"/>
          <w:color w:val="auto"/>
          <w:highlight w:val="none"/>
        </w:rPr>
        <w:t>备注：对于国有投资项目结算审核约定，双方可结合各地政府或有关部门出台的管理规定进行局部调整</w:t>
      </w:r>
    </w:p>
    <w:p w14:paraId="71FECADD">
      <w:pPr>
        <w:pStyle w:val="4"/>
        <w:rPr>
          <w:color w:val="auto"/>
          <w:highlight w:val="none"/>
        </w:rPr>
      </w:pPr>
      <w:bookmarkStart w:id="693" w:name="_Toc373227761"/>
      <w:bookmarkStart w:id="694" w:name="_Toc389065326"/>
      <w:bookmarkStart w:id="695" w:name="_Toc540165641"/>
      <w:bookmarkStart w:id="696" w:name="_Toc373478408"/>
      <w:bookmarkStart w:id="697" w:name="_Toc1203653078"/>
      <w:bookmarkStart w:id="698" w:name="_Toc407135264"/>
      <w:bookmarkStart w:id="699" w:name="_Toc78449850"/>
      <w:r>
        <w:rPr>
          <w:color w:val="auto"/>
          <w:highlight w:val="none"/>
        </w:rPr>
        <w:t xml:space="preserve">14.4 </w:t>
      </w:r>
      <w:r>
        <w:rPr>
          <w:rFonts w:hint="eastAsia" w:hAnsi="宋体" w:cs="黑体"/>
          <w:color w:val="auto"/>
          <w:highlight w:val="none"/>
        </w:rPr>
        <w:t>最终结清</w:t>
      </w:r>
      <w:bookmarkEnd w:id="693"/>
      <w:bookmarkEnd w:id="694"/>
      <w:bookmarkEnd w:id="695"/>
      <w:bookmarkEnd w:id="696"/>
      <w:bookmarkEnd w:id="697"/>
      <w:bookmarkEnd w:id="698"/>
      <w:bookmarkEnd w:id="699"/>
    </w:p>
    <w:p w14:paraId="68E079DF">
      <w:pPr>
        <w:spacing w:line="360" w:lineRule="auto"/>
        <w:ind w:firstLine="420" w:firstLineChars="200"/>
        <w:jc w:val="left"/>
        <w:rPr>
          <w:color w:val="auto"/>
          <w:kern w:val="0"/>
          <w:szCs w:val="21"/>
          <w:highlight w:val="none"/>
        </w:rPr>
      </w:pPr>
      <w:r>
        <w:rPr>
          <w:color w:val="auto"/>
          <w:kern w:val="0"/>
          <w:szCs w:val="21"/>
          <w:highlight w:val="none"/>
        </w:rPr>
        <w:t xml:space="preserve">4.4.1 </w:t>
      </w:r>
      <w:r>
        <w:rPr>
          <w:rFonts w:hint="eastAsia" w:hAnsi="宋体" w:cs="宋体"/>
          <w:color w:val="auto"/>
          <w:kern w:val="0"/>
          <w:szCs w:val="21"/>
          <w:highlight w:val="none"/>
        </w:rPr>
        <w:t>最终结清申请单</w:t>
      </w:r>
    </w:p>
    <w:p w14:paraId="7280D901">
      <w:pPr>
        <w:spacing w:line="360" w:lineRule="auto"/>
        <w:ind w:firstLine="420" w:firstLineChars="200"/>
        <w:jc w:val="left"/>
        <w:rPr>
          <w:color w:val="auto"/>
          <w:kern w:val="0"/>
          <w:szCs w:val="21"/>
          <w:highlight w:val="none"/>
        </w:rPr>
      </w:pPr>
      <w:r>
        <w:rPr>
          <w:rFonts w:hAnsi="宋体"/>
          <w:color w:val="auto"/>
          <w:kern w:val="0"/>
          <w:szCs w:val="21"/>
          <w:highlight w:val="none"/>
        </w:rPr>
        <w:t>承包人提交最终结清申请单的份数：</w:t>
      </w:r>
      <w:r>
        <w:rPr>
          <w:rFonts w:hint="eastAsia"/>
          <w:color w:val="auto"/>
          <w:szCs w:val="21"/>
          <w:highlight w:val="none"/>
          <w:u w:val="single"/>
        </w:rPr>
        <w:t>一式陆份</w:t>
      </w:r>
      <w:r>
        <w:rPr>
          <w:rFonts w:hAnsi="宋体"/>
          <w:color w:val="auto"/>
          <w:szCs w:val="21"/>
          <w:highlight w:val="none"/>
        </w:rPr>
        <w:t>。</w:t>
      </w:r>
    </w:p>
    <w:p w14:paraId="0C70B443">
      <w:pPr>
        <w:spacing w:line="360" w:lineRule="auto"/>
        <w:ind w:firstLine="420" w:firstLineChars="200"/>
        <w:jc w:val="left"/>
        <w:rPr>
          <w:color w:val="auto"/>
          <w:szCs w:val="21"/>
          <w:highlight w:val="none"/>
        </w:rPr>
      </w:pPr>
      <w:r>
        <w:rPr>
          <w:rFonts w:hAnsi="宋体"/>
          <w:color w:val="auto"/>
          <w:kern w:val="0"/>
          <w:szCs w:val="21"/>
          <w:highlight w:val="none"/>
        </w:rPr>
        <w:t>承包人提交最终结算申请单的期限：</w:t>
      </w:r>
      <w:r>
        <w:rPr>
          <w:rFonts w:hint="eastAsia" w:ascii="宋体" w:hAnsi="宋体"/>
          <w:color w:val="auto"/>
          <w:szCs w:val="21"/>
          <w:highlight w:val="none"/>
          <w:u w:val="single"/>
        </w:rPr>
        <w:t>缺陷责任期终止证书签发后14天内</w:t>
      </w:r>
      <w:r>
        <w:rPr>
          <w:rFonts w:hint="eastAsia" w:hAnsi="宋体" w:cs="宋体"/>
          <w:color w:val="auto"/>
          <w:szCs w:val="21"/>
          <w:highlight w:val="none"/>
        </w:rPr>
        <w:t>。</w:t>
      </w:r>
    </w:p>
    <w:p w14:paraId="73686ADE">
      <w:pPr>
        <w:spacing w:line="360" w:lineRule="auto"/>
        <w:ind w:firstLine="420" w:firstLineChars="200"/>
        <w:jc w:val="left"/>
        <w:rPr>
          <w:color w:val="auto"/>
          <w:szCs w:val="21"/>
          <w:highlight w:val="none"/>
        </w:rPr>
      </w:pPr>
      <w:r>
        <w:rPr>
          <w:rFonts w:hint="eastAsia"/>
          <w:color w:val="auto"/>
          <w:szCs w:val="21"/>
          <w:highlight w:val="none"/>
        </w:rPr>
        <w:t>最终结算款支付申请（核准）表见合同附件13。</w:t>
      </w:r>
    </w:p>
    <w:p w14:paraId="37772C14">
      <w:pPr>
        <w:pStyle w:val="255"/>
        <w:pageBreakBefore w:val="0"/>
        <w:kinsoku/>
        <w:overflowPunct/>
        <w:topLinePunct w:val="0"/>
        <w:bidi w:val="0"/>
        <w:spacing w:line="420" w:lineRule="exact"/>
        <w:ind w:firstLine="480" w:firstLineChars="200"/>
        <w:jc w:val="left"/>
        <w:textAlignment w:val="auto"/>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14.4.2 最终结清证书和支付</w:t>
      </w:r>
    </w:p>
    <w:p w14:paraId="1D93B550">
      <w:pPr>
        <w:pStyle w:val="255"/>
        <w:pageBreakBefore w:val="0"/>
        <w:kinsoku/>
        <w:overflowPunct/>
        <w:topLinePunct w:val="0"/>
        <w:bidi w:val="0"/>
        <w:spacing w:line="420" w:lineRule="exact"/>
        <w:ind w:firstLine="480" w:firstLineChars="200"/>
        <w:jc w:val="left"/>
        <w:textAlignment w:val="auto"/>
        <w:rPr>
          <w:rStyle w:val="57"/>
          <w:rFonts w:hint="eastAsia" w:ascii="宋体" w:hAnsi="宋体" w:eastAsia="宋体" w:cs="宋体"/>
          <w:b/>
          <w:bCs/>
          <w:color w:val="auto"/>
          <w:sz w:val="24"/>
          <w:szCs w:val="24"/>
          <w:highlight w:val="none"/>
          <w:u w:val="single"/>
          <w:lang w:eastAsia="zh-CN"/>
        </w:rPr>
      </w:pPr>
      <w:r>
        <w:rPr>
          <w:rStyle w:val="57"/>
          <w:rFonts w:hint="eastAsia" w:ascii="宋体" w:hAnsi="宋体" w:eastAsia="宋体" w:cs="宋体"/>
          <w:color w:val="auto"/>
          <w:sz w:val="24"/>
          <w:szCs w:val="24"/>
          <w:highlight w:val="none"/>
        </w:rPr>
        <w:t>（1）</w:t>
      </w:r>
      <w:r>
        <w:rPr>
          <w:rStyle w:val="57"/>
          <w:rFonts w:hint="eastAsia" w:ascii="宋体" w:hAnsi="宋体" w:eastAsia="宋体" w:cs="宋体"/>
          <w:b/>
          <w:bCs/>
          <w:color w:val="auto"/>
          <w:sz w:val="24"/>
          <w:szCs w:val="24"/>
          <w:highlight w:val="none"/>
        </w:rPr>
        <w:t>发包人完成最终结清申请单的审批并颁发最终结清证书的期限</w:t>
      </w:r>
      <w:r>
        <w:rPr>
          <w:rStyle w:val="57"/>
          <w:rFonts w:hint="eastAsia" w:ascii="宋体" w:hAnsi="宋体" w:eastAsia="宋体" w:cs="宋体"/>
          <w:color w:val="auto"/>
          <w:sz w:val="24"/>
          <w:szCs w:val="24"/>
          <w:highlight w:val="none"/>
        </w:rPr>
        <w:t>：</w:t>
      </w:r>
      <w:r>
        <w:rPr>
          <w:rStyle w:val="57"/>
          <w:rFonts w:hint="eastAsia" w:ascii="宋体" w:hAnsi="宋体" w:eastAsia="宋体" w:cs="宋体"/>
          <w:b/>
          <w:bCs/>
          <w:color w:val="auto"/>
          <w:sz w:val="24"/>
          <w:szCs w:val="24"/>
          <w:highlight w:val="none"/>
          <w:u w:val="single"/>
        </w:rPr>
        <w:t>收到最终结清申请单28日内。承包人报送的结算造价须经监理人和发包人初审，初审后由承包人报送第三方审计或财政（审计）部门进行审核。承包人报送的结算造价与第三方审计或财政（或审计）部门审核的结算造价相差大于或等于送审结算造价6%，则超出6%（含本数）以上部分的审核费由承包人承担，</w:t>
      </w:r>
      <w:r>
        <w:rPr>
          <w:rStyle w:val="57"/>
          <w:rFonts w:hint="eastAsia" w:ascii="宋体" w:hAnsi="宋体" w:eastAsia="宋体" w:cs="宋体"/>
          <w:b/>
          <w:bCs/>
          <w:color w:val="auto"/>
          <w:sz w:val="24"/>
          <w:szCs w:val="24"/>
          <w:highlight w:val="none"/>
          <w:u w:val="single"/>
          <w:lang w:val="en-US" w:eastAsia="zh-CN"/>
        </w:rPr>
        <w:t>承包人应承担的审核效益费=（净核减额 - 送审造价 * 6%）* 3.5%，费用由发包人从承包人工程结算价款或其他渠道中扣除，净核减额=</w:t>
      </w:r>
      <w:r>
        <w:rPr>
          <w:rStyle w:val="57"/>
          <w:rFonts w:hint="eastAsia" w:ascii="宋体" w:hAnsi="宋体" w:cs="宋体"/>
          <w:b/>
          <w:bCs/>
          <w:color w:val="auto"/>
          <w:sz w:val="24"/>
          <w:szCs w:val="24"/>
          <w:highlight w:val="none"/>
          <w:u w:val="single"/>
          <w:lang w:val="en-US" w:eastAsia="zh-CN"/>
        </w:rPr>
        <w:t>送审</w:t>
      </w:r>
      <w:r>
        <w:rPr>
          <w:rStyle w:val="57"/>
          <w:rFonts w:hint="eastAsia" w:ascii="宋体" w:hAnsi="宋体" w:eastAsia="宋体" w:cs="宋体"/>
          <w:b/>
          <w:bCs/>
          <w:color w:val="auto"/>
          <w:sz w:val="24"/>
          <w:szCs w:val="24"/>
          <w:highlight w:val="none"/>
          <w:u w:val="single"/>
          <w:lang w:val="en-US" w:eastAsia="zh-CN"/>
        </w:rPr>
        <w:t>额</w:t>
      </w:r>
      <w:r>
        <w:rPr>
          <w:rStyle w:val="57"/>
          <w:rFonts w:hint="eastAsia" w:ascii="宋体" w:hAnsi="宋体" w:cs="宋体"/>
          <w:b/>
          <w:bCs/>
          <w:color w:val="auto"/>
          <w:sz w:val="24"/>
          <w:szCs w:val="24"/>
          <w:highlight w:val="none"/>
          <w:u w:val="single"/>
          <w:lang w:val="en-US" w:eastAsia="zh-CN"/>
        </w:rPr>
        <w:t>-审定额</w:t>
      </w:r>
      <w:r>
        <w:rPr>
          <w:rStyle w:val="57"/>
          <w:rFonts w:hint="eastAsia" w:ascii="宋体" w:hAnsi="宋体" w:eastAsia="宋体" w:cs="宋体"/>
          <w:b/>
          <w:bCs/>
          <w:color w:val="auto"/>
          <w:sz w:val="24"/>
          <w:szCs w:val="24"/>
          <w:highlight w:val="none"/>
          <w:u w:val="single"/>
          <w:lang w:eastAsia="zh-CN"/>
        </w:rPr>
        <w:t>。</w:t>
      </w:r>
    </w:p>
    <w:p w14:paraId="49BB2F06">
      <w:pPr>
        <w:spacing w:line="360" w:lineRule="auto"/>
        <w:ind w:firstLine="420" w:firstLineChars="200"/>
        <w:jc w:val="left"/>
        <w:rPr>
          <w:rFonts w:hint="eastAsia" w:hAnsi="宋体" w:cs="宋体"/>
          <w:color w:val="auto"/>
          <w:szCs w:val="21"/>
          <w:highlight w:val="none"/>
        </w:rPr>
      </w:pPr>
    </w:p>
    <w:bookmarkEnd w:id="648"/>
    <w:bookmarkEnd w:id="649"/>
    <w:bookmarkEnd w:id="650"/>
    <w:bookmarkEnd w:id="651"/>
    <w:bookmarkEnd w:id="652"/>
    <w:bookmarkEnd w:id="653"/>
    <w:bookmarkEnd w:id="654"/>
    <w:bookmarkEnd w:id="656"/>
    <w:p w14:paraId="54F0EB7B">
      <w:pPr>
        <w:pStyle w:val="3"/>
        <w:rPr>
          <w:color w:val="auto"/>
          <w:highlight w:val="none"/>
        </w:rPr>
      </w:pPr>
      <w:bookmarkStart w:id="700" w:name="_Toc389065327"/>
      <w:bookmarkStart w:id="701" w:name="_Toc1294213766"/>
      <w:bookmarkStart w:id="702" w:name="_Toc373227762"/>
      <w:bookmarkStart w:id="703" w:name="_Toc905081407"/>
      <w:bookmarkStart w:id="704" w:name="_Toc78449851"/>
      <w:bookmarkStart w:id="705" w:name="_Toc407135265"/>
      <w:bookmarkStart w:id="706" w:name="_Toc373478409"/>
      <w:bookmarkStart w:id="707" w:name="_Toc351203647"/>
      <w:bookmarkStart w:id="708" w:name="_Toc267251483"/>
      <w:bookmarkStart w:id="709" w:name="_Toc267251482"/>
      <w:bookmarkStart w:id="710" w:name="_Toc267251484"/>
      <w:bookmarkStart w:id="711" w:name="_Toc267251485"/>
      <w:bookmarkStart w:id="712" w:name="_Toc267251489"/>
      <w:bookmarkStart w:id="713" w:name="_Toc267251490"/>
      <w:bookmarkStart w:id="714" w:name="_Toc267251488"/>
      <w:bookmarkStart w:id="715" w:name="_Toc267251486"/>
      <w:bookmarkStart w:id="716" w:name="_Toc267251491"/>
      <w:bookmarkStart w:id="717" w:name="_Toc267251503"/>
      <w:bookmarkStart w:id="718" w:name="_Toc267251493"/>
      <w:bookmarkStart w:id="719" w:name="_Toc267251501"/>
      <w:bookmarkStart w:id="720" w:name="_Toc267251499"/>
      <w:bookmarkStart w:id="721" w:name="_Toc267251494"/>
      <w:bookmarkStart w:id="722" w:name="_Toc267251502"/>
      <w:bookmarkStart w:id="723" w:name="_Toc267251495"/>
      <w:bookmarkStart w:id="724" w:name="_Toc267251492"/>
      <w:bookmarkStart w:id="725" w:name="_Toc267251496"/>
      <w:bookmarkStart w:id="726" w:name="_Toc267251497"/>
      <w:bookmarkStart w:id="727" w:name="_Toc267251498"/>
      <w:bookmarkStart w:id="728" w:name="_Toc267251504"/>
      <w:bookmarkStart w:id="729" w:name="_Toc267251506"/>
      <w:bookmarkStart w:id="730" w:name="_Toc267251507"/>
      <w:bookmarkStart w:id="731" w:name="_Toc267251508"/>
      <w:bookmarkStart w:id="732" w:name="_Toc267251513"/>
      <w:bookmarkStart w:id="733" w:name="_Toc267251510"/>
      <w:bookmarkStart w:id="734" w:name="_Toc267251509"/>
      <w:bookmarkStart w:id="735" w:name="_Toc267251515"/>
      <w:bookmarkStart w:id="736" w:name="_Toc267251511"/>
      <w:bookmarkStart w:id="737" w:name="_Toc267251514"/>
      <w:r>
        <w:rPr>
          <w:color w:val="auto"/>
          <w:highlight w:val="none"/>
        </w:rPr>
        <w:t xml:space="preserve">15. </w:t>
      </w:r>
      <w:r>
        <w:rPr>
          <w:rFonts w:hint="eastAsia" w:cs="黑体"/>
          <w:color w:val="auto"/>
          <w:highlight w:val="none"/>
        </w:rPr>
        <w:t>缺陷责任期与保修</w:t>
      </w:r>
      <w:bookmarkEnd w:id="700"/>
      <w:bookmarkEnd w:id="701"/>
      <w:bookmarkEnd w:id="702"/>
      <w:bookmarkEnd w:id="703"/>
      <w:bookmarkEnd w:id="704"/>
      <w:bookmarkEnd w:id="705"/>
      <w:bookmarkEnd w:id="706"/>
      <w:bookmarkEnd w:id="707"/>
    </w:p>
    <w:p w14:paraId="6EB3EE54">
      <w:pPr>
        <w:pStyle w:val="4"/>
        <w:rPr>
          <w:color w:val="auto"/>
          <w:highlight w:val="none"/>
        </w:rPr>
      </w:pPr>
      <w:bookmarkStart w:id="738" w:name="_Toc389065328"/>
      <w:bookmarkStart w:id="739" w:name="_Toc407135266"/>
      <w:bookmarkStart w:id="740" w:name="_Toc373227763"/>
      <w:bookmarkStart w:id="741" w:name="_Toc1845278067"/>
      <w:bookmarkStart w:id="742" w:name="_Toc373478410"/>
      <w:bookmarkStart w:id="743" w:name="_Toc78449852"/>
      <w:bookmarkStart w:id="744" w:name="_Toc1468458868"/>
      <w:r>
        <w:rPr>
          <w:color w:val="auto"/>
          <w:highlight w:val="none"/>
        </w:rPr>
        <w:t xml:space="preserve">15.2 </w:t>
      </w:r>
      <w:r>
        <w:rPr>
          <w:rFonts w:hint="eastAsia" w:hAnsi="宋体" w:cs="黑体"/>
          <w:color w:val="auto"/>
          <w:highlight w:val="none"/>
        </w:rPr>
        <w:t>缺陷责任期</w:t>
      </w:r>
      <w:bookmarkEnd w:id="708"/>
      <w:bookmarkEnd w:id="738"/>
      <w:bookmarkEnd w:id="739"/>
      <w:bookmarkEnd w:id="740"/>
      <w:bookmarkEnd w:id="741"/>
      <w:bookmarkEnd w:id="742"/>
      <w:bookmarkEnd w:id="743"/>
      <w:bookmarkEnd w:id="744"/>
    </w:p>
    <w:p w14:paraId="6647AC80">
      <w:pPr>
        <w:spacing w:line="360" w:lineRule="auto"/>
        <w:ind w:firstLine="420" w:firstLineChars="200"/>
        <w:jc w:val="left"/>
        <w:rPr>
          <w:color w:val="auto"/>
          <w:highlight w:val="none"/>
          <w:u w:val="single"/>
        </w:rPr>
      </w:pPr>
      <w:r>
        <w:rPr>
          <w:rFonts w:hint="eastAsia" w:hAnsi="宋体" w:cs="宋体"/>
          <w:color w:val="auto"/>
          <w:highlight w:val="none"/>
        </w:rPr>
        <w:t>缺陷责任期的具体期限：</w:t>
      </w:r>
      <w:r>
        <w:rPr>
          <w:color w:val="auto"/>
          <w:highlight w:val="none"/>
          <w:u w:val="single"/>
        </w:rPr>
        <w:t xml:space="preserve">   </w:t>
      </w:r>
      <w:r>
        <w:rPr>
          <w:rFonts w:hint="eastAsia"/>
          <w:color w:val="auto"/>
          <w:szCs w:val="21"/>
          <w:highlight w:val="none"/>
          <w:u w:val="single"/>
        </w:rPr>
        <w:t>24个月</w:t>
      </w:r>
      <w:r>
        <w:rPr>
          <w:color w:val="auto"/>
          <w:highlight w:val="none"/>
          <w:u w:val="single"/>
        </w:rPr>
        <w:t xml:space="preserve">   </w:t>
      </w:r>
      <w:r>
        <w:rPr>
          <w:rFonts w:hint="eastAsia" w:hAnsi="宋体" w:cs="宋体"/>
          <w:color w:val="auto"/>
          <w:highlight w:val="none"/>
        </w:rPr>
        <w:t>。</w:t>
      </w:r>
    </w:p>
    <w:p w14:paraId="639BFB5D">
      <w:pPr>
        <w:pStyle w:val="4"/>
        <w:rPr>
          <w:color w:val="auto"/>
          <w:highlight w:val="none"/>
        </w:rPr>
      </w:pPr>
      <w:bookmarkStart w:id="745" w:name="_Toc389065329"/>
      <w:bookmarkStart w:id="746" w:name="_Toc666080472"/>
      <w:bookmarkStart w:id="747" w:name="_Toc373227764"/>
      <w:bookmarkStart w:id="748" w:name="_Toc373478411"/>
      <w:bookmarkStart w:id="749" w:name="_Toc407135267"/>
      <w:bookmarkStart w:id="750" w:name="_Toc78449853"/>
      <w:bookmarkStart w:id="751" w:name="_Toc1004692311"/>
      <w:r>
        <w:rPr>
          <w:color w:val="auto"/>
          <w:highlight w:val="none"/>
        </w:rPr>
        <w:t xml:space="preserve">15.3 </w:t>
      </w:r>
      <w:r>
        <w:rPr>
          <w:rFonts w:hint="eastAsia" w:hAnsi="宋体" w:cs="黑体"/>
          <w:color w:val="auto"/>
          <w:highlight w:val="none"/>
        </w:rPr>
        <w:t>质量保证金</w:t>
      </w:r>
      <w:bookmarkEnd w:id="745"/>
      <w:bookmarkEnd w:id="746"/>
      <w:bookmarkEnd w:id="747"/>
      <w:bookmarkEnd w:id="748"/>
      <w:bookmarkEnd w:id="749"/>
      <w:bookmarkEnd w:id="750"/>
      <w:bookmarkEnd w:id="751"/>
    </w:p>
    <w:p w14:paraId="19763207">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关于是否扣留质量保证金的约定：</w:t>
      </w:r>
      <w:r>
        <w:rPr>
          <w:color w:val="auto"/>
          <w:highlight w:val="none"/>
          <w:u w:val="single"/>
        </w:rPr>
        <w:t xml:space="preserve">  </w:t>
      </w:r>
      <w:r>
        <w:rPr>
          <w:rFonts w:hint="eastAsia"/>
          <w:color w:val="auto"/>
          <w:szCs w:val="21"/>
          <w:highlight w:val="none"/>
          <w:u w:val="single"/>
        </w:rPr>
        <w:t>是</w:t>
      </w:r>
      <w:r>
        <w:rPr>
          <w:color w:val="auto"/>
          <w:highlight w:val="none"/>
          <w:u w:val="single"/>
        </w:rPr>
        <w:t xml:space="preserve">  </w:t>
      </w:r>
      <w:r>
        <w:rPr>
          <w:rFonts w:hint="eastAsia" w:hAnsi="宋体" w:cs="宋体"/>
          <w:color w:val="auto"/>
          <w:highlight w:val="none"/>
        </w:rPr>
        <w:t>。</w:t>
      </w:r>
    </w:p>
    <w:p w14:paraId="4B5DCC2E">
      <w:pPr>
        <w:spacing w:line="360" w:lineRule="auto"/>
        <w:ind w:firstLine="420" w:firstLineChars="200"/>
        <w:jc w:val="left"/>
        <w:rPr>
          <w:color w:val="auto"/>
          <w:highlight w:val="none"/>
        </w:rPr>
      </w:pPr>
      <w:r>
        <w:rPr>
          <w:rFonts w:hint="eastAsia" w:hAnsi="宋体" w:cs="宋体"/>
          <w:color w:val="auto"/>
          <w:highlight w:val="none"/>
        </w:rPr>
        <w:t>在工程项目竣工前，承包人按专用合同条款第3.7条提供履约担保的，发包人不得同时预留工程质量保证金。</w:t>
      </w:r>
    </w:p>
    <w:p w14:paraId="54ED8043">
      <w:pPr>
        <w:spacing w:line="360" w:lineRule="auto"/>
        <w:ind w:firstLine="420" w:firstLineChars="200"/>
        <w:jc w:val="left"/>
        <w:outlineLvl w:val="0"/>
        <w:rPr>
          <w:color w:val="auto"/>
          <w:highlight w:val="none"/>
        </w:rPr>
      </w:pPr>
      <w:r>
        <w:rPr>
          <w:color w:val="auto"/>
          <w:highlight w:val="none"/>
        </w:rPr>
        <w:t xml:space="preserve">15.3.1 </w:t>
      </w:r>
      <w:r>
        <w:rPr>
          <w:rFonts w:hint="eastAsia" w:hAnsi="宋体" w:cs="宋体"/>
          <w:color w:val="auto"/>
          <w:highlight w:val="none"/>
        </w:rPr>
        <w:t>承包人提供质量保证金的方式</w:t>
      </w:r>
    </w:p>
    <w:p w14:paraId="377084A9">
      <w:pPr>
        <w:spacing w:line="360" w:lineRule="auto"/>
        <w:ind w:firstLine="420" w:firstLineChars="200"/>
        <w:jc w:val="left"/>
        <w:rPr>
          <w:color w:val="auto"/>
          <w:highlight w:val="none"/>
        </w:rPr>
      </w:pPr>
      <w:r>
        <w:rPr>
          <w:rFonts w:hint="eastAsia" w:hAnsi="宋体" w:cs="宋体"/>
          <w:color w:val="auto"/>
          <w:highlight w:val="none"/>
        </w:rPr>
        <w:t>质量保证金采用以下第</w:t>
      </w:r>
      <w:r>
        <w:rPr>
          <w:color w:val="auto"/>
          <w:highlight w:val="none"/>
          <w:u w:val="single"/>
        </w:rPr>
        <w:t xml:space="preserve">   </w:t>
      </w:r>
      <w:r>
        <w:rPr>
          <w:rFonts w:hint="eastAsia"/>
          <w:color w:val="auto"/>
          <w:highlight w:val="none"/>
          <w:u w:val="single"/>
          <w:lang w:eastAsia="zh-CN"/>
        </w:rPr>
        <w:t>（</w:t>
      </w:r>
      <w:r>
        <w:rPr>
          <w:rFonts w:hint="eastAsia"/>
          <w:color w:val="auto"/>
          <w:highlight w:val="none"/>
          <w:u w:val="single"/>
          <w:lang w:val="en-US" w:eastAsia="zh-CN"/>
        </w:rPr>
        <w:t>3</w:t>
      </w:r>
      <w:r>
        <w:rPr>
          <w:rFonts w:hint="eastAsia"/>
          <w:color w:val="auto"/>
          <w:highlight w:val="none"/>
          <w:u w:val="single"/>
          <w:lang w:eastAsia="zh-CN"/>
        </w:rPr>
        <w:t>）</w:t>
      </w:r>
      <w:r>
        <w:rPr>
          <w:color w:val="auto"/>
          <w:highlight w:val="none"/>
          <w:u w:val="single"/>
        </w:rPr>
        <w:t xml:space="preserve">  </w:t>
      </w:r>
      <w:r>
        <w:rPr>
          <w:rFonts w:hint="eastAsia" w:hAnsi="宋体" w:cs="宋体"/>
          <w:color w:val="auto"/>
          <w:highlight w:val="none"/>
        </w:rPr>
        <w:t>种方式：</w:t>
      </w:r>
    </w:p>
    <w:p w14:paraId="21AF1459">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）质量保证金保函</w:t>
      </w:r>
      <w:r>
        <w:rPr>
          <w:rFonts w:hint="eastAsia" w:ascii="Times New Roman" w:hAnsi="宋体" w:eastAsia="宋体" w:cs="宋体"/>
          <w:color w:val="auto"/>
          <w:highlight w:val="none"/>
        </w:rPr>
        <w:t>（银行保函、电子保函、保证保险保函、工程担保保函</w:t>
      </w:r>
      <w:r>
        <w:rPr>
          <w:rFonts w:hint="eastAsia" w:ascii="Times New Roman" w:hAnsi="宋体" w:eastAsia="宋体" w:cs="宋体"/>
          <w:color w:val="auto"/>
          <w:highlight w:val="none"/>
          <w:lang w:eastAsia="zh-CN"/>
        </w:rPr>
        <w:t>，</w:t>
      </w:r>
      <w:r>
        <w:rPr>
          <w:rFonts w:hint="eastAsia" w:hAnsi="宋体" w:cs="宋体"/>
          <w:color w:val="auto"/>
          <w:kern w:val="0"/>
          <w:highlight w:val="none"/>
        </w:rPr>
        <w:t>工程担保保证人应将出具的保函相关信息录入“广西建筑市场监管云”平台（http://gxjzsc.caihcloud.com），以实现保函查询及验真功能</w:t>
      </w:r>
      <w:r>
        <w:rPr>
          <w:rFonts w:hint="eastAsia" w:hAnsi="宋体" w:cs="宋体"/>
          <w:color w:val="auto"/>
          <w:kern w:val="0"/>
          <w:highlight w:val="none"/>
          <w:lang w:eastAsia="zh-CN"/>
        </w:rPr>
        <w:t>。</w:t>
      </w:r>
      <w:r>
        <w:rPr>
          <w:rFonts w:hint="eastAsia" w:ascii="Times New Roman" w:hAnsi="宋体" w:eastAsia="宋体" w:cs="宋体"/>
          <w:color w:val="auto"/>
          <w:highlight w:val="none"/>
        </w:rPr>
        <w:t>）</w:t>
      </w:r>
      <w:r>
        <w:rPr>
          <w:rFonts w:hint="eastAsia" w:hAnsi="宋体" w:cs="宋体"/>
          <w:color w:val="auto"/>
          <w:kern w:val="0"/>
          <w:highlight w:val="none"/>
        </w:rPr>
        <w:t>，保证金额为：</w:t>
      </w:r>
      <w:r>
        <w:rPr>
          <w:color w:val="auto"/>
          <w:kern w:val="0"/>
          <w:highlight w:val="none"/>
          <w:u w:val="single"/>
        </w:rPr>
        <w:t xml:space="preserve">                   </w:t>
      </w:r>
      <w:r>
        <w:rPr>
          <w:rFonts w:hint="eastAsia" w:hAnsi="宋体" w:cs="宋体"/>
          <w:color w:val="auto"/>
          <w:kern w:val="0"/>
          <w:highlight w:val="none"/>
        </w:rPr>
        <w:t>；</w:t>
      </w:r>
    </w:p>
    <w:p w14:paraId="1C5996ED">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w:t>
      </w:r>
      <w:r>
        <w:rPr>
          <w:rFonts w:hint="eastAsia" w:hAnsi="宋体" w:cs="宋体"/>
          <w:color w:val="auto"/>
          <w:highlight w:val="none"/>
        </w:rPr>
        <w:t>发包人按工程价款结算总额的</w:t>
      </w:r>
      <w:r>
        <w:rPr>
          <w:rFonts w:hAnsi="宋体"/>
          <w:color w:val="auto"/>
          <w:highlight w:val="none"/>
          <w:u w:val="single"/>
        </w:rPr>
        <w:t xml:space="preserve">   </w:t>
      </w:r>
      <w:r>
        <w:rPr>
          <w:color w:val="auto"/>
          <w:highlight w:val="none"/>
        </w:rPr>
        <w:t>%</w:t>
      </w:r>
      <w:r>
        <w:rPr>
          <w:rFonts w:hint="eastAsia" w:cs="宋体"/>
          <w:color w:val="auto"/>
          <w:highlight w:val="none"/>
        </w:rPr>
        <w:t>（不得超过</w:t>
      </w:r>
      <w:r>
        <w:rPr>
          <w:color w:val="auto"/>
          <w:highlight w:val="none"/>
        </w:rPr>
        <w:t>3%</w:t>
      </w:r>
      <w:r>
        <w:rPr>
          <w:rFonts w:hint="eastAsia" w:cs="宋体"/>
          <w:color w:val="auto"/>
          <w:highlight w:val="none"/>
        </w:rPr>
        <w:t>）</w:t>
      </w:r>
      <w:r>
        <w:rPr>
          <w:rFonts w:hint="eastAsia" w:hAnsi="宋体" w:cs="宋体"/>
          <w:color w:val="auto"/>
          <w:highlight w:val="none"/>
        </w:rPr>
        <w:t>预留工程质量保证金，待缺陷责任期满后返还，是否付息及利息计算方式为：</w:t>
      </w:r>
      <w:r>
        <w:rPr>
          <w:rFonts w:hint="eastAsia" w:hAnsi="宋体" w:cs="宋体"/>
          <w:color w:val="auto"/>
          <w:highlight w:val="none"/>
          <w:u w:val="single"/>
        </w:rPr>
        <w:t xml:space="preserve">                                      </w:t>
      </w:r>
      <w:r>
        <w:rPr>
          <w:rFonts w:hint="eastAsia" w:hAnsi="宋体" w:cs="宋体"/>
          <w:color w:val="auto"/>
          <w:kern w:val="0"/>
          <w:highlight w:val="none"/>
        </w:rPr>
        <w:t>；</w:t>
      </w:r>
    </w:p>
    <w:p w14:paraId="50174CEB">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）其他方式</w:t>
      </w:r>
      <w:r>
        <w:rPr>
          <w:rFonts w:hint="eastAsia" w:cs="宋体"/>
          <w:color w:val="auto"/>
          <w:kern w:val="0"/>
          <w:highlight w:val="none"/>
        </w:rPr>
        <w:t>：</w:t>
      </w:r>
      <w:r>
        <w:rPr>
          <w:rFonts w:hint="eastAsia" w:cs="宋体"/>
          <w:color w:val="auto"/>
          <w:kern w:val="0"/>
          <w:highlight w:val="none"/>
          <w:u w:val="single"/>
        </w:rPr>
        <w:t>工程结算经发包人审定后</w:t>
      </w:r>
      <w:r>
        <w:rPr>
          <w:rFonts w:hint="eastAsia" w:hAnsi="宋体" w:cs="宋体"/>
          <w:color w:val="auto"/>
          <w:szCs w:val="21"/>
          <w:highlight w:val="none"/>
          <w:u w:val="single"/>
        </w:rPr>
        <w:t>，中标供应商按照工程结算款的</w:t>
      </w:r>
      <w:r>
        <w:rPr>
          <w:rFonts w:hint="eastAsia" w:hAnsi="宋体" w:cs="宋体"/>
          <w:color w:val="auto"/>
          <w:szCs w:val="21"/>
          <w:highlight w:val="none"/>
          <w:u w:val="single"/>
          <w:lang w:val="en-US" w:eastAsia="zh-CN"/>
        </w:rPr>
        <w:t>2</w:t>
      </w:r>
      <w:r>
        <w:rPr>
          <w:rFonts w:hint="eastAsia" w:hAnsi="宋体" w:cs="宋体"/>
          <w:color w:val="auto"/>
          <w:szCs w:val="21"/>
          <w:highlight w:val="none"/>
          <w:u w:val="single"/>
        </w:rPr>
        <w:t>%作为本工程质量保证金，交至招标人指定账户，待质保期满且承包人履行合同约定的保修责任，无质量缺陷或质量缺陷已经全部整改完毕后，成交供应商来函申请，采购人一次性无息返还质量保证金</w:t>
      </w:r>
      <w:r>
        <w:rPr>
          <w:rFonts w:hint="eastAsia" w:hAnsi="宋体" w:cs="宋体"/>
          <w:color w:val="auto"/>
          <w:highlight w:val="none"/>
        </w:rPr>
        <w:t>。</w:t>
      </w:r>
    </w:p>
    <w:p w14:paraId="1A4F68D4">
      <w:pPr>
        <w:spacing w:line="360" w:lineRule="auto"/>
        <w:ind w:firstLine="420" w:firstLineChars="200"/>
        <w:jc w:val="left"/>
        <w:rPr>
          <w:color w:val="auto"/>
          <w:highlight w:val="none"/>
        </w:rPr>
      </w:pPr>
      <w:r>
        <w:rPr>
          <w:color w:val="auto"/>
          <w:highlight w:val="none"/>
        </w:rPr>
        <w:t xml:space="preserve">15.3.2 </w:t>
      </w:r>
      <w:r>
        <w:rPr>
          <w:rFonts w:hint="eastAsia" w:hAnsi="宋体" w:cs="宋体"/>
          <w:color w:val="auto"/>
          <w:highlight w:val="none"/>
        </w:rPr>
        <w:t>质量保证金的扣留</w:t>
      </w:r>
    </w:p>
    <w:p w14:paraId="389EC5C8">
      <w:pPr>
        <w:spacing w:line="360" w:lineRule="auto"/>
        <w:ind w:firstLine="420" w:firstLineChars="200"/>
        <w:jc w:val="left"/>
        <w:rPr>
          <w:color w:val="auto"/>
          <w:highlight w:val="none"/>
        </w:rPr>
      </w:pPr>
      <w:r>
        <w:rPr>
          <w:rFonts w:hint="eastAsia" w:hAnsi="宋体" w:cs="宋体"/>
          <w:color w:val="auto"/>
          <w:highlight w:val="none"/>
        </w:rPr>
        <w:t>质量保证金的扣留采取以下第</w:t>
      </w:r>
      <w:r>
        <w:rPr>
          <w:color w:val="auto"/>
          <w:highlight w:val="none"/>
          <w:u w:val="single"/>
        </w:rPr>
        <w:t xml:space="preserve">   </w:t>
      </w:r>
      <w:r>
        <w:rPr>
          <w:rFonts w:hint="eastAsia"/>
          <w:color w:val="auto"/>
          <w:highlight w:val="none"/>
          <w:u w:val="single"/>
          <w:lang w:val="en-US" w:eastAsia="zh-CN"/>
        </w:rPr>
        <w:t>/</w:t>
      </w:r>
      <w:r>
        <w:rPr>
          <w:color w:val="auto"/>
          <w:highlight w:val="none"/>
          <w:u w:val="single"/>
        </w:rPr>
        <w:t xml:space="preserve">  </w:t>
      </w:r>
      <w:r>
        <w:rPr>
          <w:rFonts w:hint="eastAsia" w:hAnsi="宋体" w:cs="宋体"/>
          <w:color w:val="auto"/>
          <w:highlight w:val="none"/>
        </w:rPr>
        <w:t>种方式：</w:t>
      </w:r>
    </w:p>
    <w:p w14:paraId="502E8EF5">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）在</w:t>
      </w:r>
      <w:r>
        <w:rPr>
          <w:rFonts w:hAnsi="宋体" w:cs="宋体"/>
          <w:color w:val="auto"/>
          <w:kern w:val="0"/>
          <w:highlight w:val="none"/>
        </w:rPr>
        <w:t>不缴纳</w:t>
      </w:r>
      <w:r>
        <w:rPr>
          <w:rFonts w:hint="eastAsia" w:hAnsi="宋体" w:cs="宋体"/>
          <w:color w:val="auto"/>
          <w:kern w:val="0"/>
          <w:highlight w:val="none"/>
          <w:lang w:eastAsia="zh-CN"/>
        </w:rPr>
        <w:t>履约</w:t>
      </w:r>
      <w:r>
        <w:rPr>
          <w:rFonts w:hint="eastAsia" w:hAnsi="宋体" w:cs="宋体"/>
          <w:color w:val="auto"/>
          <w:kern w:val="0"/>
          <w:highlight w:val="none"/>
        </w:rPr>
        <w:t>保</w:t>
      </w:r>
      <w:r>
        <w:rPr>
          <w:rFonts w:hAnsi="宋体" w:cs="宋体"/>
          <w:color w:val="auto"/>
          <w:kern w:val="0"/>
          <w:highlight w:val="none"/>
        </w:rPr>
        <w:t>证金情况下</w:t>
      </w:r>
      <w:r>
        <w:rPr>
          <w:rFonts w:hint="eastAsia" w:hAnsi="宋体" w:cs="宋体"/>
          <w:color w:val="auto"/>
          <w:kern w:val="0"/>
          <w:highlight w:val="none"/>
        </w:rPr>
        <w:t>，按支付工程进度款时逐次扣留，质量保证金的计算基数不包括预付款的支付、扣回以及价格调整的金额；</w:t>
      </w:r>
    </w:p>
    <w:p w14:paraId="64BE3175">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）工程竣工结算时，一次性扣留质量保证金，</w:t>
      </w:r>
      <w:r>
        <w:rPr>
          <w:rFonts w:hAnsi="宋体" w:cs="宋体"/>
          <w:color w:val="auto"/>
          <w:kern w:val="0"/>
          <w:highlight w:val="none"/>
        </w:rPr>
        <w:t>由承包人以银行保函</w:t>
      </w:r>
      <w:r>
        <w:rPr>
          <w:rFonts w:hint="eastAsia" w:hAnsi="宋体" w:cs="宋体"/>
          <w:color w:val="auto"/>
          <w:kern w:val="0"/>
          <w:highlight w:val="none"/>
        </w:rPr>
        <w:t>、保证保险</w:t>
      </w:r>
      <w:r>
        <w:rPr>
          <w:rFonts w:hAnsi="宋体" w:cs="宋体"/>
          <w:color w:val="auto"/>
          <w:kern w:val="0"/>
          <w:highlight w:val="none"/>
        </w:rPr>
        <w:t>替代预留</w:t>
      </w:r>
      <w:r>
        <w:rPr>
          <w:rFonts w:hint="eastAsia" w:hAnsi="宋体" w:cs="宋体"/>
          <w:color w:val="auto"/>
          <w:kern w:val="0"/>
          <w:highlight w:val="none"/>
        </w:rPr>
        <w:t>质量</w:t>
      </w:r>
      <w:r>
        <w:rPr>
          <w:rFonts w:hAnsi="宋体" w:cs="宋体"/>
          <w:color w:val="auto"/>
          <w:kern w:val="0"/>
          <w:highlight w:val="none"/>
        </w:rPr>
        <w:t>保证金</w:t>
      </w:r>
      <w:r>
        <w:rPr>
          <w:rFonts w:hint="eastAsia" w:hAnsi="宋体" w:cs="宋体"/>
          <w:color w:val="auto"/>
          <w:kern w:val="0"/>
          <w:highlight w:val="none"/>
        </w:rPr>
        <w:t>，</w:t>
      </w:r>
      <w:r>
        <w:rPr>
          <w:rFonts w:hAnsi="宋体" w:cs="宋体"/>
          <w:color w:val="auto"/>
          <w:kern w:val="0"/>
          <w:highlight w:val="none"/>
        </w:rPr>
        <w:t>保函金额不得高</w:t>
      </w:r>
      <w:r>
        <w:rPr>
          <w:rFonts w:hint="eastAsia" w:hAnsi="宋体" w:cs="宋体"/>
          <w:color w:val="auto"/>
          <w:kern w:val="0"/>
          <w:highlight w:val="none"/>
        </w:rPr>
        <w:t>于</w:t>
      </w:r>
      <w:r>
        <w:rPr>
          <w:rFonts w:hAnsi="宋体" w:cs="宋体"/>
          <w:color w:val="auto"/>
          <w:kern w:val="0"/>
          <w:highlight w:val="none"/>
        </w:rPr>
        <w:t>工程价款结算总额的</w:t>
      </w:r>
      <w:r>
        <w:rPr>
          <w:rFonts w:hint="eastAsia" w:hAnsi="宋体" w:cs="宋体"/>
          <w:color w:val="auto"/>
          <w:kern w:val="0"/>
          <w:highlight w:val="none"/>
        </w:rPr>
        <w:t>3</w:t>
      </w:r>
      <w:r>
        <w:rPr>
          <w:rFonts w:hAnsi="宋体" w:cs="宋体"/>
          <w:color w:val="auto"/>
          <w:kern w:val="0"/>
          <w:highlight w:val="none"/>
        </w:rPr>
        <w:t>%</w:t>
      </w:r>
      <w:r>
        <w:rPr>
          <w:rFonts w:hint="eastAsia" w:hAnsi="宋体" w:cs="宋体"/>
          <w:color w:val="auto"/>
          <w:kern w:val="0"/>
          <w:highlight w:val="none"/>
        </w:rPr>
        <w:t>；</w:t>
      </w:r>
    </w:p>
    <w:p w14:paraId="476D7913">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）其他扣留方式</w:t>
      </w:r>
      <w:r>
        <w:rPr>
          <w:rFonts w:hint="eastAsia" w:hAnsi="宋体" w:cs="宋体"/>
          <w:color w:val="auto"/>
          <w:kern w:val="0"/>
          <w:highlight w:val="none"/>
          <w:lang w:eastAsia="zh-CN"/>
        </w:rPr>
        <w:t>：</w:t>
      </w:r>
      <w:r>
        <w:rPr>
          <w:color w:val="auto"/>
          <w:kern w:val="0"/>
          <w:highlight w:val="none"/>
          <w:u w:val="single"/>
        </w:rPr>
        <w:t xml:space="preserve"> </w:t>
      </w:r>
      <w:r>
        <w:rPr>
          <w:rFonts w:hint="eastAsia" w:ascii="Times New Roman" w:hAnsi="宋体" w:eastAsia="宋体" w:cs="宋体"/>
          <w:color w:val="auto"/>
          <w:highlight w:val="none"/>
        </w:rPr>
        <w:t>银行转账、电汇或网上支付、保函（银行保函、电子保函、保证保险保函、工程担保保函）等</w:t>
      </w:r>
      <w:r>
        <w:rPr>
          <w:rFonts w:hint="eastAsia" w:ascii="Times New Roman" w:hAnsi="宋体" w:eastAsia="宋体" w:cs="宋体"/>
          <w:color w:val="auto"/>
          <w:highlight w:val="none"/>
          <w:lang w:eastAsia="zh-CN"/>
        </w:rPr>
        <w:t>形</w:t>
      </w:r>
      <w:r>
        <w:rPr>
          <w:rFonts w:hint="eastAsia" w:ascii="Times New Roman" w:hAnsi="宋体" w:eastAsia="宋体" w:cs="宋体"/>
          <w:color w:val="auto"/>
          <w:highlight w:val="none"/>
        </w:rPr>
        <w:t>式</w:t>
      </w:r>
      <w:r>
        <w:rPr>
          <w:rFonts w:hint="eastAsia" w:hAnsi="宋体" w:cs="宋体"/>
          <w:color w:val="auto"/>
          <w:kern w:val="0"/>
          <w:highlight w:val="none"/>
        </w:rPr>
        <w:t>。</w:t>
      </w:r>
    </w:p>
    <w:p w14:paraId="7776C49D">
      <w:pPr>
        <w:spacing w:line="360" w:lineRule="auto"/>
        <w:ind w:firstLine="420" w:firstLineChars="200"/>
        <w:jc w:val="left"/>
        <w:rPr>
          <w:color w:val="auto"/>
          <w:kern w:val="0"/>
          <w:highlight w:val="none"/>
          <w:u w:val="single"/>
        </w:rPr>
      </w:pPr>
      <w:r>
        <w:rPr>
          <w:rFonts w:hint="eastAsia" w:hAnsi="宋体" w:cs="宋体"/>
          <w:color w:val="auto"/>
          <w:highlight w:val="none"/>
        </w:rPr>
        <w:t>关于质量保证金的补充约定：</w:t>
      </w:r>
      <w:r>
        <w:rPr>
          <w:color w:val="auto"/>
          <w:kern w:val="0"/>
          <w:highlight w:val="none"/>
          <w:u w:val="single"/>
        </w:rPr>
        <w:t xml:space="preserve">    </w:t>
      </w:r>
      <w:r>
        <w:rPr>
          <w:rFonts w:hint="eastAsia"/>
          <w:color w:val="auto"/>
          <w:kern w:val="0"/>
          <w:highlight w:val="none"/>
          <w:u w:val="single"/>
          <w:lang w:val="en-US" w:eastAsia="zh-CN"/>
        </w:rPr>
        <w:t>/</w:t>
      </w:r>
      <w:r>
        <w:rPr>
          <w:color w:val="auto"/>
          <w:kern w:val="0"/>
          <w:highlight w:val="none"/>
          <w:u w:val="single"/>
        </w:rPr>
        <w:t xml:space="preserve">  </w:t>
      </w:r>
      <w:r>
        <w:rPr>
          <w:rFonts w:hint="eastAsia" w:hAnsi="宋体" w:cs="宋体"/>
          <w:color w:val="auto"/>
          <w:kern w:val="0"/>
          <w:highlight w:val="none"/>
        </w:rPr>
        <w:t>。</w:t>
      </w:r>
    </w:p>
    <w:bookmarkEnd w:id="709"/>
    <w:bookmarkEnd w:id="710"/>
    <w:p w14:paraId="08804D61">
      <w:pPr>
        <w:pStyle w:val="4"/>
        <w:rPr>
          <w:color w:val="auto"/>
          <w:highlight w:val="none"/>
        </w:rPr>
      </w:pPr>
      <w:bookmarkStart w:id="752" w:name="_Toc1902722111"/>
      <w:bookmarkStart w:id="753" w:name="_Toc407135268"/>
      <w:bookmarkStart w:id="754" w:name="_Toc373478412"/>
      <w:bookmarkStart w:id="755" w:name="_Toc389065330"/>
      <w:bookmarkStart w:id="756" w:name="_Toc196306762"/>
      <w:bookmarkStart w:id="757" w:name="_Toc78449854"/>
      <w:bookmarkStart w:id="758" w:name="_Toc373227765"/>
      <w:r>
        <w:rPr>
          <w:color w:val="auto"/>
          <w:highlight w:val="none"/>
        </w:rPr>
        <w:t xml:space="preserve">15.4 </w:t>
      </w:r>
      <w:r>
        <w:rPr>
          <w:rFonts w:hint="eastAsia" w:hAnsi="宋体" w:cs="黑体"/>
          <w:color w:val="auto"/>
          <w:highlight w:val="none"/>
        </w:rPr>
        <w:t>保修</w:t>
      </w:r>
      <w:bookmarkEnd w:id="752"/>
      <w:bookmarkEnd w:id="753"/>
      <w:bookmarkEnd w:id="754"/>
      <w:bookmarkEnd w:id="755"/>
      <w:bookmarkEnd w:id="756"/>
      <w:bookmarkEnd w:id="757"/>
      <w:bookmarkEnd w:id="758"/>
    </w:p>
    <w:bookmarkEnd w:id="711"/>
    <w:p w14:paraId="6AD867CD">
      <w:pPr>
        <w:spacing w:line="360" w:lineRule="auto"/>
        <w:ind w:firstLine="409" w:firstLineChars="195"/>
        <w:jc w:val="left"/>
        <w:outlineLvl w:val="0"/>
        <w:rPr>
          <w:color w:val="auto"/>
          <w:szCs w:val="21"/>
          <w:highlight w:val="none"/>
        </w:rPr>
      </w:pPr>
      <w:bookmarkStart w:id="759" w:name="_Toc185869695"/>
      <w:r>
        <w:rPr>
          <w:color w:val="auto"/>
          <w:szCs w:val="21"/>
          <w:highlight w:val="none"/>
        </w:rPr>
        <w:t xml:space="preserve">15.4.1 </w:t>
      </w:r>
      <w:r>
        <w:rPr>
          <w:rFonts w:hint="eastAsia" w:hAnsi="宋体" w:cs="宋体"/>
          <w:color w:val="auto"/>
          <w:szCs w:val="21"/>
          <w:highlight w:val="none"/>
        </w:rPr>
        <w:t>保修责任</w:t>
      </w:r>
      <w:bookmarkEnd w:id="759"/>
    </w:p>
    <w:p w14:paraId="481A827B">
      <w:pPr>
        <w:spacing w:line="360" w:lineRule="auto"/>
        <w:ind w:firstLine="409" w:firstLineChars="195"/>
        <w:jc w:val="left"/>
        <w:rPr>
          <w:rFonts w:hAnsi="宋体"/>
          <w:color w:val="auto"/>
          <w:kern w:val="0"/>
          <w:szCs w:val="21"/>
          <w:highlight w:val="none"/>
        </w:rPr>
      </w:pPr>
      <w:r>
        <w:rPr>
          <w:rFonts w:hint="eastAsia" w:hAnsi="宋体" w:cs="宋体"/>
          <w:color w:val="auto"/>
          <w:szCs w:val="21"/>
          <w:highlight w:val="none"/>
        </w:rPr>
        <w:t>工程保修期为：</w:t>
      </w:r>
      <w:r>
        <w:rPr>
          <w:rFonts w:hint="eastAsia"/>
          <w:color w:val="auto"/>
          <w:kern w:val="0"/>
          <w:szCs w:val="21"/>
          <w:highlight w:val="none"/>
          <w:u w:val="single"/>
        </w:rPr>
        <w:t>工程质量保修范围、期限和责任在工程质量保修书中约定</w:t>
      </w:r>
      <w:r>
        <w:rPr>
          <w:rFonts w:hint="eastAsia" w:hAnsi="宋体" w:cs="宋体"/>
          <w:color w:val="auto"/>
          <w:kern w:val="0"/>
          <w:szCs w:val="21"/>
          <w:highlight w:val="none"/>
        </w:rPr>
        <w:t>。</w:t>
      </w:r>
    </w:p>
    <w:p w14:paraId="6C550D6C">
      <w:pPr>
        <w:spacing w:line="360" w:lineRule="auto"/>
        <w:ind w:firstLine="409" w:firstLineChars="195"/>
        <w:jc w:val="left"/>
        <w:rPr>
          <w:color w:val="auto"/>
          <w:kern w:val="0"/>
          <w:szCs w:val="21"/>
          <w:highlight w:val="none"/>
          <w:u w:val="single"/>
        </w:rPr>
      </w:pPr>
      <w:r>
        <w:rPr>
          <w:rFonts w:hint="eastAsia" w:ascii="宋体" w:hAnsi="宋体" w:cs="宋体"/>
          <w:color w:val="auto"/>
          <w:szCs w:val="21"/>
          <w:highlight w:val="none"/>
        </w:rPr>
        <w:t>工程保修书具体内容见合同附件2。</w:t>
      </w:r>
    </w:p>
    <w:p w14:paraId="35B1AB03">
      <w:pPr>
        <w:spacing w:line="360" w:lineRule="auto"/>
        <w:ind w:firstLine="409" w:firstLineChars="195"/>
        <w:jc w:val="left"/>
        <w:rPr>
          <w:color w:val="auto"/>
          <w:szCs w:val="21"/>
          <w:highlight w:val="none"/>
        </w:rPr>
      </w:pPr>
      <w:r>
        <w:rPr>
          <w:color w:val="auto"/>
          <w:szCs w:val="21"/>
          <w:highlight w:val="none"/>
        </w:rPr>
        <w:t xml:space="preserve">15.4.3 </w:t>
      </w:r>
      <w:r>
        <w:rPr>
          <w:rFonts w:hint="eastAsia" w:hAnsi="宋体" w:cs="宋体"/>
          <w:color w:val="auto"/>
          <w:szCs w:val="21"/>
          <w:highlight w:val="none"/>
        </w:rPr>
        <w:t>修复通知</w:t>
      </w:r>
    </w:p>
    <w:p w14:paraId="1CB8E4AA">
      <w:pPr>
        <w:spacing w:line="360" w:lineRule="auto"/>
        <w:ind w:firstLine="409" w:firstLineChars="195"/>
        <w:jc w:val="left"/>
        <w:rPr>
          <w:color w:val="auto"/>
          <w:kern w:val="0"/>
          <w:highlight w:val="none"/>
          <w:u w:val="single"/>
        </w:rPr>
      </w:pPr>
      <w:r>
        <w:rPr>
          <w:rFonts w:hint="eastAsia" w:hAnsi="宋体" w:cs="宋体"/>
          <w:color w:val="auto"/>
          <w:kern w:val="0"/>
          <w:szCs w:val="21"/>
          <w:highlight w:val="none"/>
        </w:rPr>
        <w:t>承包人收到保修通知并到达工程现场的合理时间：</w:t>
      </w:r>
      <w:r>
        <w:rPr>
          <w:rFonts w:hint="eastAsia"/>
          <w:color w:val="auto"/>
          <w:kern w:val="0"/>
          <w:szCs w:val="21"/>
          <w:highlight w:val="none"/>
          <w:u w:val="single"/>
        </w:rPr>
        <w:t>24小时</w:t>
      </w:r>
      <w:r>
        <w:rPr>
          <w:rFonts w:hint="eastAsia" w:hAnsi="宋体" w:cs="宋体"/>
          <w:color w:val="auto"/>
          <w:kern w:val="0"/>
          <w:szCs w:val="21"/>
          <w:highlight w:val="none"/>
        </w:rPr>
        <w:t>。</w:t>
      </w:r>
    </w:p>
    <w:bookmarkEnd w:id="712"/>
    <w:bookmarkEnd w:id="713"/>
    <w:bookmarkEnd w:id="714"/>
    <w:bookmarkEnd w:id="715"/>
    <w:p w14:paraId="28D26DBA">
      <w:pPr>
        <w:pStyle w:val="3"/>
        <w:rPr>
          <w:color w:val="auto"/>
          <w:highlight w:val="none"/>
        </w:rPr>
      </w:pPr>
      <w:bookmarkStart w:id="760" w:name="_Toc351203648"/>
      <w:bookmarkStart w:id="761" w:name="_Toc373227766"/>
      <w:bookmarkStart w:id="762" w:name="_Toc1360137061"/>
      <w:bookmarkStart w:id="763" w:name="_Toc407135269"/>
      <w:bookmarkStart w:id="764" w:name="_Toc1725581915"/>
      <w:bookmarkStart w:id="765" w:name="_Toc389065331"/>
      <w:bookmarkStart w:id="766" w:name="_Toc78449855"/>
      <w:bookmarkStart w:id="767" w:name="_Toc373478413"/>
      <w:bookmarkStart w:id="768" w:name="_Toc280868717"/>
      <w:bookmarkStart w:id="769" w:name="_Toc280868718"/>
      <w:r>
        <w:rPr>
          <w:color w:val="auto"/>
          <w:highlight w:val="none"/>
        </w:rPr>
        <w:t xml:space="preserve">16. </w:t>
      </w:r>
      <w:r>
        <w:rPr>
          <w:rFonts w:hint="eastAsia" w:hAnsi="宋体" w:cs="黑体"/>
          <w:color w:val="auto"/>
          <w:highlight w:val="none"/>
        </w:rPr>
        <w:t>违约</w:t>
      </w:r>
      <w:bookmarkEnd w:id="760"/>
      <w:bookmarkEnd w:id="761"/>
      <w:bookmarkEnd w:id="762"/>
      <w:bookmarkEnd w:id="763"/>
      <w:bookmarkEnd w:id="764"/>
      <w:bookmarkEnd w:id="765"/>
      <w:bookmarkEnd w:id="766"/>
      <w:bookmarkEnd w:id="767"/>
    </w:p>
    <w:p w14:paraId="15400EDE">
      <w:pPr>
        <w:pStyle w:val="4"/>
        <w:rPr>
          <w:color w:val="auto"/>
          <w:highlight w:val="none"/>
        </w:rPr>
      </w:pPr>
      <w:bookmarkStart w:id="770" w:name="_Toc78449856"/>
      <w:bookmarkStart w:id="771" w:name="_Toc373227767"/>
      <w:bookmarkStart w:id="772" w:name="_Toc373478414"/>
      <w:bookmarkStart w:id="773" w:name="_Toc389065332"/>
      <w:bookmarkStart w:id="774" w:name="_Toc1535389315"/>
      <w:bookmarkStart w:id="775" w:name="_Toc1973395665"/>
      <w:bookmarkStart w:id="776" w:name="_Toc407135270"/>
      <w:r>
        <w:rPr>
          <w:color w:val="auto"/>
          <w:highlight w:val="none"/>
        </w:rPr>
        <w:t xml:space="preserve">16.1 </w:t>
      </w:r>
      <w:r>
        <w:rPr>
          <w:rFonts w:hint="eastAsia" w:hAnsi="宋体" w:cs="黑体"/>
          <w:color w:val="auto"/>
          <w:highlight w:val="none"/>
        </w:rPr>
        <w:t>发包人违约</w:t>
      </w:r>
      <w:bookmarkEnd w:id="770"/>
      <w:bookmarkEnd w:id="771"/>
      <w:bookmarkEnd w:id="772"/>
      <w:bookmarkEnd w:id="773"/>
      <w:bookmarkEnd w:id="774"/>
      <w:bookmarkEnd w:id="775"/>
      <w:bookmarkEnd w:id="776"/>
    </w:p>
    <w:p w14:paraId="02060C5F">
      <w:pPr>
        <w:spacing w:line="360" w:lineRule="auto"/>
        <w:ind w:firstLine="420" w:firstLineChars="200"/>
        <w:jc w:val="left"/>
        <w:rPr>
          <w:color w:val="auto"/>
          <w:highlight w:val="none"/>
        </w:rPr>
      </w:pPr>
      <w:r>
        <w:rPr>
          <w:color w:val="auto"/>
          <w:highlight w:val="none"/>
        </w:rPr>
        <w:t>16.1.1</w:t>
      </w:r>
      <w:r>
        <w:rPr>
          <w:rFonts w:hint="eastAsia" w:hAnsi="宋体" w:cs="宋体"/>
          <w:color w:val="auto"/>
          <w:highlight w:val="none"/>
        </w:rPr>
        <w:t>发包人违约的情形</w:t>
      </w:r>
    </w:p>
    <w:p w14:paraId="75DCFE07">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发包人违约的其他情形：</w:t>
      </w:r>
      <w:r>
        <w:rPr>
          <w:rFonts w:hint="eastAsia" w:ascii="宋体" w:hAnsi="宋体"/>
          <w:color w:val="auto"/>
          <w:kern w:val="0"/>
          <w:highlight w:val="none"/>
          <w:u w:val="single"/>
        </w:rPr>
        <w:t>（1）未按国家相关规定取得项目所需批文和许可，导致承包人进场施工后被迫暂停施工；（2） 未能按合同约定支付工程款；（3）自行实施被取消的工作或转由他人实施的；（4）提供的材料、工程设备的规格、数量或质量不符合合同约定，或因交货日期延误或交货地点变更等情况的；（5）违反合同约定（如迟延支付工程款等）造成暂停施工的；（6）无正当理由没有在约定期限内发出复工指示；（7）明确表示或者以其行为表明不履行合同主要义务的；（8）未能按照合同约定履行其他义务的</w:t>
      </w:r>
      <w:r>
        <w:rPr>
          <w:rFonts w:hint="eastAsia" w:hAnsi="宋体" w:cs="宋体"/>
          <w:color w:val="auto"/>
          <w:kern w:val="0"/>
          <w:highlight w:val="none"/>
        </w:rPr>
        <w:t>。</w:t>
      </w:r>
    </w:p>
    <w:p w14:paraId="73354ED6">
      <w:pPr>
        <w:spacing w:line="360" w:lineRule="auto"/>
        <w:ind w:firstLine="420" w:firstLineChars="200"/>
        <w:jc w:val="left"/>
        <w:outlineLvl w:val="0"/>
        <w:rPr>
          <w:color w:val="auto"/>
          <w:kern w:val="0"/>
          <w:highlight w:val="none"/>
        </w:rPr>
      </w:pPr>
      <w:r>
        <w:rPr>
          <w:color w:val="auto"/>
          <w:kern w:val="0"/>
          <w:highlight w:val="none"/>
        </w:rPr>
        <w:t xml:space="preserve">16.1.2 </w:t>
      </w:r>
      <w:r>
        <w:rPr>
          <w:rFonts w:hint="eastAsia" w:hAnsi="宋体" w:cs="宋体"/>
          <w:color w:val="auto"/>
          <w:kern w:val="0"/>
          <w:highlight w:val="none"/>
        </w:rPr>
        <w:t>发包人违约的责任</w:t>
      </w:r>
    </w:p>
    <w:p w14:paraId="563A0E09">
      <w:pPr>
        <w:spacing w:line="360" w:lineRule="auto"/>
        <w:ind w:firstLine="420" w:firstLineChars="200"/>
        <w:jc w:val="left"/>
        <w:rPr>
          <w:color w:val="auto"/>
          <w:kern w:val="0"/>
          <w:highlight w:val="none"/>
        </w:rPr>
      </w:pPr>
      <w:r>
        <w:rPr>
          <w:rFonts w:hint="eastAsia" w:hAnsi="宋体" w:cs="宋体"/>
          <w:color w:val="auto"/>
          <w:kern w:val="0"/>
          <w:highlight w:val="none"/>
        </w:rPr>
        <w:t>发包人违约责任的承担方式和计算方法：</w:t>
      </w:r>
    </w:p>
    <w:p w14:paraId="20D0A70E">
      <w:pPr>
        <w:spacing w:line="360" w:lineRule="auto"/>
        <w:ind w:firstLine="420" w:firstLineChars="200"/>
        <w:jc w:val="left"/>
        <w:rPr>
          <w:color w:val="auto"/>
          <w:kern w:val="0"/>
          <w:szCs w:val="21"/>
          <w:highlight w:val="none"/>
          <w:u w:val="single"/>
        </w:rPr>
      </w:pPr>
      <w:r>
        <w:rPr>
          <w:rFonts w:hAnsi="宋体"/>
          <w:color w:val="auto"/>
          <w:kern w:val="0"/>
          <w:szCs w:val="21"/>
          <w:highlight w:val="none"/>
        </w:rPr>
        <w:t>（</w:t>
      </w:r>
      <w:r>
        <w:rPr>
          <w:color w:val="auto"/>
          <w:kern w:val="0"/>
          <w:szCs w:val="21"/>
          <w:highlight w:val="none"/>
        </w:rPr>
        <w:t>1</w:t>
      </w:r>
      <w:r>
        <w:rPr>
          <w:rFonts w:hAnsi="宋体"/>
          <w:color w:val="auto"/>
          <w:kern w:val="0"/>
          <w:szCs w:val="21"/>
          <w:highlight w:val="none"/>
        </w:rPr>
        <w:t>）因发包人原因未能在计划开工日期前</w:t>
      </w:r>
      <w:r>
        <w:rPr>
          <w:color w:val="auto"/>
          <w:kern w:val="0"/>
          <w:szCs w:val="21"/>
          <w:highlight w:val="none"/>
        </w:rPr>
        <w:t>7</w:t>
      </w:r>
      <w:r>
        <w:rPr>
          <w:rFonts w:hAnsi="宋体"/>
          <w:color w:val="auto"/>
          <w:kern w:val="0"/>
          <w:szCs w:val="21"/>
          <w:highlight w:val="none"/>
        </w:rPr>
        <w:t>天内下达开工通知的违约责任：</w:t>
      </w:r>
      <w:r>
        <w:rPr>
          <w:rFonts w:hint="eastAsia"/>
          <w:color w:val="auto"/>
          <w:kern w:val="0"/>
          <w:szCs w:val="21"/>
          <w:highlight w:val="none"/>
          <w:u w:val="single"/>
        </w:rPr>
        <w:t>工期</w:t>
      </w:r>
      <w:r>
        <w:rPr>
          <w:color w:val="auto"/>
          <w:kern w:val="0"/>
          <w:szCs w:val="21"/>
          <w:highlight w:val="none"/>
          <w:u w:val="single"/>
        </w:rPr>
        <w:t>顺延</w:t>
      </w:r>
      <w:r>
        <w:rPr>
          <w:rFonts w:hAnsi="宋体"/>
          <w:color w:val="auto"/>
          <w:kern w:val="0"/>
          <w:szCs w:val="21"/>
          <w:highlight w:val="none"/>
        </w:rPr>
        <w:t>。</w:t>
      </w:r>
    </w:p>
    <w:p w14:paraId="1E619C3E">
      <w:pPr>
        <w:spacing w:line="360" w:lineRule="auto"/>
        <w:ind w:firstLine="420" w:firstLineChars="200"/>
        <w:jc w:val="left"/>
        <w:rPr>
          <w:rFonts w:ascii="宋体" w:hAnsi="宋体"/>
          <w:color w:val="auto"/>
          <w:kern w:val="0"/>
          <w:szCs w:val="21"/>
          <w:highlight w:val="none"/>
        </w:rPr>
      </w:pPr>
      <w:r>
        <w:rPr>
          <w:rFonts w:hAnsi="宋体"/>
          <w:color w:val="auto"/>
          <w:kern w:val="0"/>
          <w:szCs w:val="21"/>
          <w:highlight w:val="none"/>
        </w:rPr>
        <w:t>（</w:t>
      </w:r>
      <w:r>
        <w:rPr>
          <w:color w:val="auto"/>
          <w:kern w:val="0"/>
          <w:szCs w:val="21"/>
          <w:highlight w:val="none"/>
        </w:rPr>
        <w:t>2</w:t>
      </w:r>
      <w:r>
        <w:rPr>
          <w:rFonts w:hAnsi="宋体"/>
          <w:color w:val="auto"/>
          <w:kern w:val="0"/>
          <w:szCs w:val="21"/>
          <w:highlight w:val="none"/>
        </w:rPr>
        <w:t>）因发包人原因未能按合同约定支付合同价款的违约责任：</w:t>
      </w:r>
      <w:r>
        <w:rPr>
          <w:rFonts w:hint="eastAsia" w:ascii="宋体" w:hAnsi="宋体"/>
          <w:b/>
          <w:bCs/>
          <w:color w:val="auto"/>
          <w:kern w:val="0"/>
          <w:szCs w:val="21"/>
          <w:highlight w:val="none"/>
          <w:u w:val="single"/>
        </w:rPr>
        <w:t>无</w:t>
      </w:r>
      <w:r>
        <w:rPr>
          <w:rFonts w:hint="eastAsia" w:ascii="宋体" w:hAnsi="宋体"/>
          <w:color w:val="auto"/>
          <w:kern w:val="0"/>
          <w:szCs w:val="21"/>
          <w:highlight w:val="none"/>
        </w:rPr>
        <w:t>。</w:t>
      </w:r>
    </w:p>
    <w:p w14:paraId="292D2D0F">
      <w:pPr>
        <w:spacing w:line="360" w:lineRule="auto"/>
        <w:ind w:firstLine="420" w:firstLineChars="200"/>
        <w:jc w:val="left"/>
        <w:rPr>
          <w:color w:val="auto"/>
          <w:kern w:val="0"/>
          <w:szCs w:val="21"/>
          <w:highlight w:val="none"/>
        </w:rPr>
      </w:pPr>
      <w:r>
        <w:rPr>
          <w:rFonts w:hAnsi="宋体"/>
          <w:color w:val="auto"/>
          <w:kern w:val="0"/>
          <w:szCs w:val="21"/>
          <w:highlight w:val="none"/>
        </w:rPr>
        <w:t>（</w:t>
      </w:r>
      <w:r>
        <w:rPr>
          <w:color w:val="auto"/>
          <w:kern w:val="0"/>
          <w:szCs w:val="21"/>
          <w:highlight w:val="none"/>
        </w:rPr>
        <w:t>3</w:t>
      </w:r>
      <w:r>
        <w:rPr>
          <w:rFonts w:hAnsi="宋体"/>
          <w:color w:val="auto"/>
          <w:kern w:val="0"/>
          <w:szCs w:val="21"/>
          <w:highlight w:val="none"/>
        </w:rPr>
        <w:t>）发包人违反第</w:t>
      </w:r>
      <w:r>
        <w:rPr>
          <w:color w:val="auto"/>
          <w:kern w:val="0"/>
          <w:szCs w:val="21"/>
          <w:highlight w:val="none"/>
        </w:rPr>
        <w:t>10.1</w:t>
      </w:r>
      <w:r>
        <w:rPr>
          <w:rFonts w:hAnsi="宋体"/>
          <w:color w:val="auto"/>
          <w:kern w:val="0"/>
          <w:szCs w:val="21"/>
          <w:highlight w:val="none"/>
        </w:rPr>
        <w:t>款〔变更的范围〕第（</w:t>
      </w:r>
      <w:r>
        <w:rPr>
          <w:color w:val="auto"/>
          <w:kern w:val="0"/>
          <w:szCs w:val="21"/>
          <w:highlight w:val="none"/>
        </w:rPr>
        <w:t>2</w:t>
      </w:r>
      <w:r>
        <w:rPr>
          <w:rFonts w:hAnsi="宋体"/>
          <w:color w:val="auto"/>
          <w:kern w:val="0"/>
          <w:szCs w:val="21"/>
          <w:highlight w:val="none"/>
        </w:rPr>
        <w:t>）项约定，自行实施被取消的工作或转由他人实施的违约责任：</w:t>
      </w:r>
      <w:r>
        <w:rPr>
          <w:rFonts w:hint="eastAsia"/>
          <w:color w:val="auto"/>
          <w:kern w:val="0"/>
          <w:szCs w:val="21"/>
          <w:highlight w:val="none"/>
          <w:u w:val="single"/>
        </w:rPr>
        <w:t>无</w:t>
      </w:r>
      <w:r>
        <w:rPr>
          <w:rFonts w:hAnsi="宋体"/>
          <w:color w:val="auto"/>
          <w:kern w:val="0"/>
          <w:szCs w:val="21"/>
          <w:highlight w:val="none"/>
        </w:rPr>
        <w:t>。</w:t>
      </w:r>
    </w:p>
    <w:p w14:paraId="72745754">
      <w:pPr>
        <w:spacing w:line="360" w:lineRule="auto"/>
        <w:ind w:firstLine="420" w:firstLineChars="200"/>
        <w:jc w:val="left"/>
        <w:rPr>
          <w:color w:val="auto"/>
          <w:kern w:val="0"/>
          <w:szCs w:val="21"/>
          <w:highlight w:val="none"/>
        </w:rPr>
      </w:pPr>
      <w:r>
        <w:rPr>
          <w:rFonts w:hAnsi="宋体"/>
          <w:color w:val="auto"/>
          <w:kern w:val="0"/>
          <w:szCs w:val="21"/>
          <w:highlight w:val="none"/>
        </w:rPr>
        <w:t>（</w:t>
      </w:r>
      <w:r>
        <w:rPr>
          <w:color w:val="auto"/>
          <w:kern w:val="0"/>
          <w:szCs w:val="21"/>
          <w:highlight w:val="none"/>
        </w:rPr>
        <w:t>4</w:t>
      </w:r>
      <w:r>
        <w:rPr>
          <w:rFonts w:hAnsi="宋体"/>
          <w:color w:val="auto"/>
          <w:kern w:val="0"/>
          <w:szCs w:val="21"/>
          <w:highlight w:val="none"/>
        </w:rPr>
        <w:t>）发包人提供的材料、工程设备的规格、数量或质量不符合合同约定，或因发包人原因导致交货日期延误或交货地点变更等情况的违约责任：</w:t>
      </w:r>
      <w:r>
        <w:rPr>
          <w:rFonts w:hint="eastAsia"/>
          <w:color w:val="auto"/>
          <w:kern w:val="0"/>
          <w:szCs w:val="21"/>
          <w:highlight w:val="none"/>
          <w:u w:val="single"/>
        </w:rPr>
        <w:t>承包人可以提出工期索赔</w:t>
      </w:r>
      <w:r>
        <w:rPr>
          <w:rFonts w:hAnsi="宋体"/>
          <w:color w:val="auto"/>
          <w:kern w:val="0"/>
          <w:szCs w:val="21"/>
          <w:highlight w:val="none"/>
        </w:rPr>
        <w:t>。</w:t>
      </w:r>
    </w:p>
    <w:p w14:paraId="5B87FBC1">
      <w:pPr>
        <w:spacing w:line="360" w:lineRule="auto"/>
        <w:ind w:firstLine="420" w:firstLineChars="200"/>
        <w:jc w:val="left"/>
        <w:rPr>
          <w:color w:val="auto"/>
          <w:kern w:val="0"/>
          <w:szCs w:val="21"/>
          <w:highlight w:val="none"/>
          <w:u w:val="single"/>
        </w:rPr>
      </w:pPr>
      <w:r>
        <w:rPr>
          <w:rFonts w:hAnsi="宋体"/>
          <w:color w:val="auto"/>
          <w:kern w:val="0"/>
          <w:szCs w:val="21"/>
          <w:highlight w:val="none"/>
        </w:rPr>
        <w:t>（</w:t>
      </w:r>
      <w:r>
        <w:rPr>
          <w:color w:val="auto"/>
          <w:kern w:val="0"/>
          <w:szCs w:val="21"/>
          <w:highlight w:val="none"/>
        </w:rPr>
        <w:t>5</w:t>
      </w:r>
      <w:r>
        <w:rPr>
          <w:rFonts w:hAnsi="宋体"/>
          <w:color w:val="auto"/>
          <w:kern w:val="0"/>
          <w:szCs w:val="21"/>
          <w:highlight w:val="none"/>
        </w:rPr>
        <w:t>）因发包人违反合同约定造成暂停施工的违约责任：</w:t>
      </w:r>
      <w:r>
        <w:rPr>
          <w:rFonts w:hint="eastAsia"/>
          <w:color w:val="auto"/>
          <w:kern w:val="0"/>
          <w:szCs w:val="21"/>
          <w:highlight w:val="none"/>
          <w:u w:val="single"/>
        </w:rPr>
        <w:t>承包人可以提出工期索赔</w:t>
      </w:r>
      <w:r>
        <w:rPr>
          <w:rFonts w:hAnsi="宋体"/>
          <w:color w:val="auto"/>
          <w:kern w:val="0"/>
          <w:szCs w:val="21"/>
          <w:highlight w:val="none"/>
        </w:rPr>
        <w:t>。</w:t>
      </w:r>
    </w:p>
    <w:p w14:paraId="7823DA90">
      <w:pPr>
        <w:spacing w:line="360" w:lineRule="auto"/>
        <w:ind w:firstLine="420" w:firstLineChars="200"/>
        <w:jc w:val="left"/>
        <w:rPr>
          <w:color w:val="auto"/>
          <w:kern w:val="0"/>
          <w:szCs w:val="21"/>
          <w:highlight w:val="none"/>
        </w:rPr>
      </w:pPr>
      <w:r>
        <w:rPr>
          <w:rFonts w:hAnsi="宋体"/>
          <w:color w:val="auto"/>
          <w:kern w:val="0"/>
          <w:szCs w:val="21"/>
          <w:highlight w:val="none"/>
        </w:rPr>
        <w:t>（</w:t>
      </w:r>
      <w:r>
        <w:rPr>
          <w:color w:val="auto"/>
          <w:kern w:val="0"/>
          <w:szCs w:val="21"/>
          <w:highlight w:val="none"/>
        </w:rPr>
        <w:t>6</w:t>
      </w:r>
      <w:r>
        <w:rPr>
          <w:rFonts w:hAnsi="宋体"/>
          <w:color w:val="auto"/>
          <w:kern w:val="0"/>
          <w:szCs w:val="21"/>
          <w:highlight w:val="none"/>
        </w:rPr>
        <w:t>）发包人无正当理由没有在约定期限内发出复工指示，导致承包人无法复工的违约责任：</w:t>
      </w:r>
      <w:r>
        <w:rPr>
          <w:rFonts w:hint="eastAsia"/>
          <w:color w:val="auto"/>
          <w:kern w:val="0"/>
          <w:szCs w:val="21"/>
          <w:highlight w:val="none"/>
          <w:u w:val="single"/>
        </w:rPr>
        <w:t>承包人可以提出工期索赔</w:t>
      </w:r>
      <w:r>
        <w:rPr>
          <w:rFonts w:hAnsi="宋体"/>
          <w:color w:val="auto"/>
          <w:kern w:val="0"/>
          <w:szCs w:val="21"/>
          <w:highlight w:val="none"/>
        </w:rPr>
        <w:t>。</w:t>
      </w:r>
    </w:p>
    <w:p w14:paraId="230B49E9">
      <w:pPr>
        <w:spacing w:line="360" w:lineRule="auto"/>
        <w:ind w:firstLine="420" w:firstLineChars="200"/>
        <w:jc w:val="left"/>
        <w:rPr>
          <w:color w:val="auto"/>
          <w:kern w:val="0"/>
          <w:highlight w:val="none"/>
        </w:rPr>
      </w:pPr>
      <w:r>
        <w:rPr>
          <w:rFonts w:hAnsi="宋体"/>
          <w:color w:val="auto"/>
          <w:kern w:val="0"/>
          <w:szCs w:val="21"/>
          <w:highlight w:val="none"/>
        </w:rPr>
        <w:t>（</w:t>
      </w:r>
      <w:r>
        <w:rPr>
          <w:color w:val="auto"/>
          <w:kern w:val="0"/>
          <w:szCs w:val="21"/>
          <w:highlight w:val="none"/>
        </w:rPr>
        <w:t>7</w:t>
      </w:r>
      <w:r>
        <w:rPr>
          <w:rFonts w:hAnsi="宋体"/>
          <w:color w:val="auto"/>
          <w:kern w:val="0"/>
          <w:szCs w:val="21"/>
          <w:highlight w:val="none"/>
        </w:rPr>
        <w:t>）其他：</w:t>
      </w:r>
      <w:r>
        <w:rPr>
          <w:rFonts w:hint="eastAsia" w:ascii="宋体" w:hAnsi="宋体"/>
          <w:color w:val="auto"/>
          <w:kern w:val="0"/>
          <w:highlight w:val="none"/>
          <w:u w:val="single"/>
        </w:rPr>
        <w:t>非承包人原因造成工程停工且工程停工连续超过84天时，承包人有权选择单方解除本合同，发包人应赔偿由此给承包人造成的全部经济损失。如因国家和地方重大政策调整、地方政府强制规定要求造成的停工，发包人同意顺延工期和支付直接损失费用</w:t>
      </w:r>
      <w:r>
        <w:rPr>
          <w:rFonts w:hint="eastAsia" w:ascii="宋体" w:hAnsi="宋体"/>
          <w:color w:val="auto"/>
          <w:kern w:val="0"/>
          <w:highlight w:val="none"/>
        </w:rPr>
        <w:t>。</w:t>
      </w:r>
    </w:p>
    <w:p w14:paraId="3590D796">
      <w:pPr>
        <w:spacing w:line="360" w:lineRule="auto"/>
        <w:ind w:firstLine="420" w:firstLineChars="200"/>
        <w:jc w:val="left"/>
        <w:rPr>
          <w:color w:val="auto"/>
          <w:highlight w:val="none"/>
        </w:rPr>
      </w:pPr>
      <w:r>
        <w:rPr>
          <w:color w:val="auto"/>
          <w:highlight w:val="none"/>
        </w:rPr>
        <w:t xml:space="preserve">16.1.3 </w:t>
      </w:r>
      <w:r>
        <w:rPr>
          <w:rFonts w:hint="eastAsia" w:hAnsi="宋体" w:cs="宋体"/>
          <w:color w:val="auto"/>
          <w:highlight w:val="none"/>
        </w:rPr>
        <w:t>因发包人违约解除合同</w:t>
      </w:r>
    </w:p>
    <w:p w14:paraId="0C0D764E">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承包人按</w:t>
      </w:r>
      <w:r>
        <w:rPr>
          <w:color w:val="auto"/>
          <w:kern w:val="0"/>
          <w:highlight w:val="none"/>
        </w:rPr>
        <w:t>16.1.1</w:t>
      </w:r>
      <w:r>
        <w:rPr>
          <w:rFonts w:hint="eastAsia" w:hAnsi="宋体" w:cs="宋体"/>
          <w:color w:val="auto"/>
          <w:kern w:val="0"/>
          <w:highlight w:val="none"/>
        </w:rPr>
        <w:t>项〔发包人违约的情形〕约定暂停施工满</w:t>
      </w:r>
      <w:r>
        <w:rPr>
          <w:color w:val="auto"/>
          <w:kern w:val="0"/>
          <w:highlight w:val="none"/>
          <w:u w:val="single"/>
        </w:rPr>
        <w:t xml:space="preserve">  </w:t>
      </w:r>
      <w:r>
        <w:rPr>
          <w:rFonts w:hint="eastAsia"/>
          <w:color w:val="auto"/>
          <w:kern w:val="0"/>
          <w:highlight w:val="none"/>
          <w:u w:val="single"/>
          <w:lang w:val="en-US" w:eastAsia="zh-CN"/>
        </w:rPr>
        <w:t>60</w:t>
      </w:r>
      <w:r>
        <w:rPr>
          <w:color w:val="auto"/>
          <w:kern w:val="0"/>
          <w:highlight w:val="none"/>
          <w:u w:val="single"/>
        </w:rPr>
        <w:t xml:space="preserve">  </w:t>
      </w:r>
      <w:r>
        <w:rPr>
          <w:rFonts w:hint="eastAsia" w:hAnsi="宋体" w:cs="宋体"/>
          <w:color w:val="auto"/>
          <w:kern w:val="0"/>
          <w:highlight w:val="none"/>
        </w:rPr>
        <w:t>天后发包人仍不纠正其违约行为并致使合同目的不能实现的，承包人有权解除合同。</w:t>
      </w:r>
    </w:p>
    <w:p w14:paraId="75807A7E">
      <w:pPr>
        <w:pStyle w:val="4"/>
        <w:rPr>
          <w:color w:val="auto"/>
          <w:highlight w:val="none"/>
        </w:rPr>
      </w:pPr>
      <w:bookmarkStart w:id="777" w:name="_Toc247586342"/>
      <w:bookmarkStart w:id="778" w:name="_Toc407135271"/>
      <w:bookmarkStart w:id="779" w:name="_Toc373478415"/>
      <w:bookmarkStart w:id="780" w:name="_Toc373227768"/>
      <w:bookmarkStart w:id="781" w:name="_Toc61078193"/>
      <w:bookmarkStart w:id="782" w:name="_Toc78449857"/>
      <w:bookmarkStart w:id="783" w:name="_Toc389065333"/>
      <w:r>
        <w:rPr>
          <w:color w:val="auto"/>
          <w:highlight w:val="none"/>
        </w:rPr>
        <w:t xml:space="preserve">16.2 </w:t>
      </w:r>
      <w:r>
        <w:rPr>
          <w:rFonts w:hint="eastAsia" w:hAnsi="宋体" w:cs="黑体"/>
          <w:color w:val="auto"/>
          <w:highlight w:val="none"/>
        </w:rPr>
        <w:t>承包人违约</w:t>
      </w:r>
      <w:bookmarkEnd w:id="777"/>
      <w:bookmarkEnd w:id="778"/>
      <w:bookmarkEnd w:id="779"/>
      <w:bookmarkEnd w:id="780"/>
      <w:bookmarkEnd w:id="781"/>
      <w:bookmarkEnd w:id="782"/>
      <w:bookmarkEnd w:id="783"/>
    </w:p>
    <w:p w14:paraId="5574EE81">
      <w:pPr>
        <w:spacing w:line="360" w:lineRule="auto"/>
        <w:ind w:firstLine="420" w:firstLineChars="200"/>
        <w:jc w:val="left"/>
        <w:rPr>
          <w:color w:val="auto"/>
          <w:kern w:val="0"/>
          <w:highlight w:val="none"/>
        </w:rPr>
      </w:pPr>
      <w:r>
        <w:rPr>
          <w:color w:val="auto"/>
          <w:kern w:val="0"/>
          <w:highlight w:val="none"/>
        </w:rPr>
        <w:t xml:space="preserve">16.2.1 </w:t>
      </w:r>
      <w:r>
        <w:rPr>
          <w:rFonts w:hint="eastAsia" w:hAnsi="宋体" w:cs="宋体"/>
          <w:color w:val="auto"/>
          <w:kern w:val="0"/>
          <w:highlight w:val="none"/>
        </w:rPr>
        <w:t>承包人违约的情形</w:t>
      </w:r>
    </w:p>
    <w:p w14:paraId="171B49DC">
      <w:pPr>
        <w:spacing w:line="360" w:lineRule="auto"/>
        <w:ind w:firstLine="420" w:firstLineChars="200"/>
        <w:jc w:val="left"/>
        <w:rPr>
          <w:color w:val="auto"/>
          <w:kern w:val="0"/>
          <w:highlight w:val="none"/>
          <w:u w:val="single"/>
        </w:rPr>
      </w:pPr>
      <w:r>
        <w:rPr>
          <w:rFonts w:hint="eastAsia" w:hAnsi="宋体" w:cs="宋体"/>
          <w:color w:val="auto"/>
          <w:kern w:val="0"/>
          <w:highlight w:val="none"/>
        </w:rPr>
        <w:t>承包人违约的其他情形：</w:t>
      </w:r>
      <w:r>
        <w:rPr>
          <w:rFonts w:hint="eastAsia" w:ascii="宋体" w:hAnsi="宋体"/>
          <w:color w:val="auto"/>
          <w:kern w:val="0"/>
          <w:szCs w:val="21"/>
          <w:highlight w:val="none"/>
          <w:u w:val="single"/>
        </w:rPr>
        <w:t>承包人有违反南宁市关于造价咨询有关规定的，按规定给予处罚</w:t>
      </w:r>
      <w:r>
        <w:rPr>
          <w:rFonts w:hint="eastAsia" w:hAnsi="宋体" w:cs="宋体"/>
          <w:color w:val="auto"/>
          <w:kern w:val="0"/>
          <w:highlight w:val="none"/>
        </w:rPr>
        <w:t>。</w:t>
      </w:r>
    </w:p>
    <w:p w14:paraId="2709431B">
      <w:pPr>
        <w:spacing w:line="360" w:lineRule="auto"/>
        <w:ind w:firstLine="420" w:firstLineChars="200"/>
        <w:jc w:val="left"/>
        <w:outlineLvl w:val="0"/>
        <w:rPr>
          <w:color w:val="auto"/>
          <w:kern w:val="0"/>
          <w:highlight w:val="none"/>
        </w:rPr>
      </w:pPr>
      <w:r>
        <w:rPr>
          <w:color w:val="auto"/>
          <w:kern w:val="0"/>
          <w:highlight w:val="none"/>
        </w:rPr>
        <w:t>16.2.2</w:t>
      </w:r>
      <w:r>
        <w:rPr>
          <w:rFonts w:hint="eastAsia" w:hAnsi="宋体" w:cs="宋体"/>
          <w:color w:val="auto"/>
          <w:kern w:val="0"/>
          <w:highlight w:val="none"/>
        </w:rPr>
        <w:t>承包人违约的责任</w:t>
      </w:r>
    </w:p>
    <w:p w14:paraId="50241AFD">
      <w:pPr>
        <w:spacing w:line="360" w:lineRule="auto"/>
        <w:ind w:firstLine="420" w:firstLineChars="200"/>
        <w:jc w:val="left"/>
        <w:rPr>
          <w:color w:val="auto"/>
          <w:kern w:val="0"/>
          <w:highlight w:val="none"/>
        </w:rPr>
      </w:pPr>
      <w:r>
        <w:rPr>
          <w:rFonts w:hint="eastAsia" w:hAnsi="宋体" w:cs="宋体"/>
          <w:color w:val="auto"/>
          <w:kern w:val="0"/>
          <w:highlight w:val="none"/>
        </w:rPr>
        <w:t>承包人违约责任的承担方式和计算方法：</w:t>
      </w:r>
    </w:p>
    <w:p w14:paraId="64833F08">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）承包人有本合同通用条款第</w:t>
      </w:r>
      <w:r>
        <w:rPr>
          <w:color w:val="auto"/>
          <w:kern w:val="0"/>
          <w:highlight w:val="none"/>
        </w:rPr>
        <w:t>16.2.1</w:t>
      </w: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）条内容情形的，承包人无条件返工处理，修复至工程质量要求并承担相关费用，并在发包人规定的时间内完成返工，否则发包人有权扣罚该分项工程</w:t>
      </w:r>
      <w:r>
        <w:rPr>
          <w:color w:val="auto"/>
          <w:kern w:val="0"/>
          <w:highlight w:val="none"/>
        </w:rPr>
        <w:t>10%</w:t>
      </w:r>
      <w:r>
        <w:rPr>
          <w:rFonts w:hint="eastAsia" w:hAnsi="宋体" w:cs="宋体"/>
          <w:color w:val="auto"/>
          <w:kern w:val="0"/>
          <w:highlight w:val="none"/>
        </w:rPr>
        <w:t>的工程款作为处罚。</w:t>
      </w:r>
    </w:p>
    <w:p w14:paraId="3CF93173">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（2）承包人有本合同通用条款第16.2.1（6）条情形的，或经监理人检验认为修复质量不合格而承包人拒绝再进行修补的，发包人将扣除承包人全部质量保证金。</w:t>
      </w:r>
    </w:p>
    <w:p w14:paraId="790FDD4F">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3）承包人有本专用合同条款3.2、3.3条违约责任的，发包人有权扣除承包人的违约金。违约金金额均在承包人的履约保证金及计量支付款内扣除。监理人预先下发含有罚款意向的指令，如承包人不及时采取措施纠正，则在指令下达后十五天下发罚款通知书（不再陈述罚款理由）。承包人履约保证金被罚款后由发包人从最后一次计量支付时扣除相应金额补足履约保证金。承包人在合同期内，完成合同规定的全部工程，且质量合格，在本工程施工竣工验收后十五天内可申请返还全部或部分罚款，返还金额由监理人审核，发包人批准。罚款金额返还时不包括银行利息。</w:t>
      </w:r>
    </w:p>
    <w:p w14:paraId="16BFC732">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4）承包人应协助发包人办理该项目施工许可证，按南宁市质监部门有关安全文明现场施工的规定完成文明施工设施建设并通过质监部门验收，同时按发包人要求及时提供报监相关资料。因承包人未按发包人的要求按时完成文明施工设施建设并通过质监部门验收或未按发包人要求的时间提供报监相关资料而影响施工许可证的办理，视为承包人违约，每延误一日按5000元人民币向发包人支付违约金。</w:t>
      </w:r>
    </w:p>
    <w:p w14:paraId="4833A140">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（5）承包人必须协助业主办理行政退费手续，如因承包人提供退费资料不全等原因导致业主退费不成功，该笔费用将从工程结算款中予以扣除。</w:t>
      </w:r>
    </w:p>
    <w:p w14:paraId="3ACB5025">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16.2.3 因承包人违约解除合同</w:t>
      </w:r>
    </w:p>
    <w:p w14:paraId="400C4BF0">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16</w:t>
      </w:r>
      <w:r>
        <w:rPr>
          <w:rFonts w:hint="eastAsia" w:hAnsi="宋体" w:cs="宋体"/>
          <w:color w:val="auto"/>
          <w:kern w:val="0"/>
          <w:highlight w:val="none"/>
          <w:lang w:eastAsia="zh-CN"/>
        </w:rPr>
        <w:t>.</w:t>
      </w:r>
      <w:r>
        <w:rPr>
          <w:rFonts w:hint="eastAsia" w:hAnsi="宋体" w:cs="宋体"/>
          <w:color w:val="auto"/>
          <w:kern w:val="0"/>
          <w:highlight w:val="none"/>
        </w:rPr>
        <w:t>2.3.1关于承包人违约解除合同的特别约定：承包人有违反以下情况之一的，发包人有权解除合同，并没收其全部履约保证金。</w:t>
      </w:r>
    </w:p>
    <w:p w14:paraId="7E38E5CE">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(1)承包人无正当理由不按开工通知的要求及时进场组织施工和不按签订协议书时商定的进度计划有效地开展施工准备，造成工期延误的；</w:t>
      </w:r>
    </w:p>
    <w:p w14:paraId="0FB8C618">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(2)承包人违反本合同通用条款第3.5条规定私自将合同或合同的任何部分或任何权利转让给其他人，或私自将工程或工程的一部分分包出去的；</w:t>
      </w:r>
    </w:p>
    <w:p w14:paraId="273EA2A3">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(3)未经监理人批准，承包人私自将已按投标文件承诺进入工地的工程设备、施工设备、临时工程或材料撤离工地的；</w:t>
      </w:r>
    </w:p>
    <w:p w14:paraId="0D2FA9CB">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(4)由于承包人原因拒绝按合同进度计划及时完成合同规定的工程，而又未采取有效措施赶上进度，造成工期严重延误的；</w:t>
      </w:r>
    </w:p>
    <w:p w14:paraId="12CA99C9">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(5)承包人否认合同有效或拒绝履行合同规定的承包人义务，或由于法律、财务等原因导致承包人无法继续履行或实质上已停止履行合同的义务的；</w:t>
      </w:r>
    </w:p>
    <w:p w14:paraId="2FCCF812">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(6)合同签订</w:t>
      </w:r>
      <w:r>
        <w:rPr>
          <w:rFonts w:hint="eastAsia" w:hAnsi="宋体" w:cs="宋体"/>
          <w:color w:val="auto"/>
          <w:kern w:val="0"/>
          <w:highlight w:val="none"/>
          <w:lang w:eastAsia="zh-CN"/>
        </w:rPr>
        <w:t>且工程具备开工条件</w:t>
      </w:r>
      <w:r>
        <w:rPr>
          <w:rFonts w:hint="eastAsia" w:hAnsi="宋体" w:cs="宋体"/>
          <w:color w:val="auto"/>
          <w:kern w:val="0"/>
          <w:highlight w:val="none"/>
        </w:rPr>
        <w:t>之日起十五日内，承包人无法按合同规定及投标文件的承诺进场经监理工程师认可的全部人员和机械的。</w:t>
      </w:r>
    </w:p>
    <w:p w14:paraId="33D9987D">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（7）承包人报监备案的项目经理、项目副经理、技术负责人、施工员、造价员、质量员、材料员、安全员、BIM成员等主要管理人员实际施工现场不到位人数超过50%的。</w:t>
      </w:r>
    </w:p>
    <w:p w14:paraId="5AF93C3F">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发包人继续使用承包人在施工现场的材料、设备、临时工程、承包人文件和由承包人或以其名义编制的其他文件的费用承担方式： 如有，另行协商 。</w:t>
      </w:r>
    </w:p>
    <w:p w14:paraId="5A75B58F">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承包人收到发包人解除合同通知后10天内，将所有人员和机械设备和其他财产撤离施工现场，负责按照通用条款本项约定的要求对施工场地进行清理并承担相关费用。承包人的人员逾期撤除施工场地的，按每人每天500元支付违约金给发包人。机械设备和其他财产逾期撤离施工现场的，视为承包人放弃所有权，任由发包人处置，处置所得收益归发包人所有。</w:t>
      </w:r>
    </w:p>
    <w:p w14:paraId="216369CC">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承包人应按合同总价款的5%支付违约金给发包人</w:t>
      </w:r>
      <w:r>
        <w:rPr>
          <w:rFonts w:hint="eastAsia" w:hAnsi="宋体" w:cs="宋体"/>
          <w:color w:val="auto"/>
          <w:kern w:val="0"/>
          <w:highlight w:val="none"/>
          <w:lang w:eastAsia="zh-CN"/>
        </w:rPr>
        <w:t>，</w:t>
      </w:r>
      <w:r>
        <w:rPr>
          <w:rFonts w:hint="eastAsia" w:hAnsi="宋体" w:cs="宋体"/>
          <w:color w:val="auto"/>
          <w:kern w:val="0"/>
          <w:highlight w:val="none"/>
        </w:rPr>
        <w:t>未完成的单项工程或虽已完成单项工程但验收不合格的工程不结付工程款。</w:t>
      </w:r>
    </w:p>
    <w:p w14:paraId="04E1BD81">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发包人继续使用承包人在施工现场的材料、设备、临时工程、承包人文件和由承包人或以其名义编制的其他文件的费用承担方式： 无偿使用 。</w:t>
      </w:r>
    </w:p>
    <w:p w14:paraId="675C3782">
      <w:pPr>
        <w:spacing w:line="360" w:lineRule="auto"/>
        <w:ind w:firstLine="420" w:firstLineChars="200"/>
        <w:rPr>
          <w:rFonts w:hint="eastAsia" w:hAnsi="宋体" w:cs="宋体"/>
          <w:color w:val="auto"/>
          <w:kern w:val="0"/>
          <w:highlight w:val="none"/>
        </w:rPr>
      </w:pPr>
    </w:p>
    <w:p w14:paraId="7376DA01">
      <w:pPr>
        <w:pStyle w:val="3"/>
        <w:rPr>
          <w:color w:val="auto"/>
          <w:highlight w:val="none"/>
        </w:rPr>
      </w:pPr>
      <w:bookmarkStart w:id="784" w:name="_Toc78449858"/>
      <w:bookmarkStart w:id="785" w:name="_Toc1117922953"/>
      <w:bookmarkStart w:id="786" w:name="_Toc1753556740"/>
      <w:bookmarkStart w:id="787" w:name="_Toc373478416"/>
      <w:bookmarkStart w:id="788" w:name="_Toc351203649"/>
      <w:bookmarkStart w:id="789" w:name="_Toc407135272"/>
      <w:bookmarkStart w:id="790" w:name="_Toc373227769"/>
      <w:bookmarkStart w:id="791" w:name="_Toc389065334"/>
      <w:r>
        <w:rPr>
          <w:color w:val="auto"/>
          <w:highlight w:val="none"/>
        </w:rPr>
        <w:t xml:space="preserve">17. </w:t>
      </w:r>
      <w:r>
        <w:rPr>
          <w:rFonts w:hint="eastAsia" w:hAnsi="宋体" w:cs="黑体"/>
          <w:color w:val="auto"/>
          <w:highlight w:val="none"/>
        </w:rPr>
        <w:t>不可抗力</w:t>
      </w:r>
      <w:bookmarkEnd w:id="784"/>
      <w:bookmarkEnd w:id="785"/>
      <w:bookmarkEnd w:id="786"/>
      <w:bookmarkEnd w:id="787"/>
      <w:bookmarkEnd w:id="788"/>
      <w:bookmarkEnd w:id="789"/>
      <w:bookmarkEnd w:id="790"/>
      <w:bookmarkEnd w:id="791"/>
      <w:r>
        <w:rPr>
          <w:color w:val="auto"/>
          <w:highlight w:val="none"/>
        </w:rPr>
        <w:t xml:space="preserve"> </w:t>
      </w:r>
      <w:bookmarkEnd w:id="768"/>
    </w:p>
    <w:p w14:paraId="635CF074">
      <w:pPr>
        <w:pStyle w:val="4"/>
        <w:rPr>
          <w:color w:val="auto"/>
          <w:highlight w:val="none"/>
        </w:rPr>
      </w:pPr>
      <w:bookmarkStart w:id="792" w:name="_Toc373478417"/>
      <w:bookmarkStart w:id="793" w:name="_Toc429574049"/>
      <w:bookmarkStart w:id="794" w:name="_Toc389065335"/>
      <w:bookmarkStart w:id="795" w:name="_Toc666312941"/>
      <w:bookmarkStart w:id="796" w:name="_Toc373227770"/>
      <w:bookmarkStart w:id="797" w:name="_Toc78449859"/>
      <w:bookmarkStart w:id="798" w:name="_Toc407135273"/>
      <w:r>
        <w:rPr>
          <w:color w:val="auto"/>
          <w:highlight w:val="none"/>
        </w:rPr>
        <w:t xml:space="preserve">17.1 </w:t>
      </w:r>
      <w:r>
        <w:rPr>
          <w:rFonts w:hint="eastAsia" w:cs="黑体"/>
          <w:color w:val="auto"/>
          <w:highlight w:val="none"/>
        </w:rPr>
        <w:t>不可抗力的确认</w:t>
      </w:r>
      <w:bookmarkEnd w:id="792"/>
      <w:bookmarkEnd w:id="793"/>
      <w:bookmarkEnd w:id="794"/>
      <w:bookmarkEnd w:id="795"/>
      <w:bookmarkEnd w:id="796"/>
      <w:bookmarkEnd w:id="797"/>
      <w:bookmarkEnd w:id="798"/>
    </w:p>
    <w:p w14:paraId="075A6831">
      <w:pPr>
        <w:spacing w:line="360" w:lineRule="auto"/>
        <w:ind w:firstLine="420" w:firstLineChars="200"/>
        <w:jc w:val="left"/>
        <w:rPr>
          <w:color w:val="auto"/>
          <w:kern w:val="0"/>
          <w:highlight w:val="none"/>
          <w:u w:val="single"/>
        </w:rPr>
      </w:pPr>
      <w:r>
        <w:rPr>
          <w:rFonts w:hint="eastAsia" w:hAnsi="宋体" w:cs="宋体"/>
          <w:color w:val="auto"/>
          <w:highlight w:val="none"/>
        </w:rPr>
        <w:t>除通用合同条款约定的不可抗力事件之外，视为不可抗力的其他情形：</w:t>
      </w:r>
      <w:r>
        <w:rPr>
          <w:rFonts w:hint="eastAsia"/>
          <w:color w:val="auto"/>
          <w:kern w:val="0"/>
          <w:szCs w:val="21"/>
          <w:highlight w:val="none"/>
          <w:u w:val="single"/>
        </w:rPr>
        <w:t>a、6级以上的地震；b、10级以上的持续3日的大风；c、暴雨级以上的持续3日的大雨；d、50年以上未发生过，持续3日的高温天气；e、50年以上未发生过，持续3日的严寒天气；f、50年以上未发生过的洪水</w:t>
      </w:r>
      <w:r>
        <w:rPr>
          <w:rFonts w:hAnsi="宋体"/>
          <w:color w:val="auto"/>
          <w:kern w:val="0"/>
          <w:szCs w:val="21"/>
          <w:highlight w:val="none"/>
          <w:u w:val="single"/>
        </w:rPr>
        <w:t>。</w:t>
      </w:r>
      <w:r>
        <w:rPr>
          <w:rFonts w:hint="eastAsia" w:ascii="宋体" w:hAnsi="宋体"/>
          <w:color w:val="auto"/>
          <w:kern w:val="0"/>
          <w:szCs w:val="21"/>
          <w:highlight w:val="none"/>
          <w:u w:val="single"/>
        </w:rPr>
        <w:t>自然原因发生的火灾；</w:t>
      </w:r>
      <w:r>
        <w:rPr>
          <w:rFonts w:hint="eastAsia" w:ascii="宋体" w:hAnsi="宋体"/>
          <w:color w:val="auto"/>
          <w:kern w:val="0"/>
          <w:szCs w:val="21"/>
          <w:highlight w:val="none"/>
          <w:u w:val="single"/>
          <w:lang w:eastAsia="zh-CN"/>
        </w:rPr>
        <w:t>其他</w:t>
      </w:r>
      <w:r>
        <w:rPr>
          <w:rFonts w:hint="eastAsia" w:ascii="宋体" w:hAnsi="宋体"/>
          <w:color w:val="auto"/>
          <w:kern w:val="0"/>
          <w:szCs w:val="21"/>
          <w:highlight w:val="none"/>
          <w:u w:val="single"/>
        </w:rPr>
        <w:t>不可抗力原因</w:t>
      </w:r>
      <w:r>
        <w:rPr>
          <w:rFonts w:hint="eastAsia" w:hAnsi="宋体" w:cs="宋体"/>
          <w:color w:val="auto"/>
          <w:kern w:val="0"/>
          <w:highlight w:val="none"/>
        </w:rPr>
        <w:t>。</w:t>
      </w:r>
    </w:p>
    <w:p w14:paraId="1EAA6F84">
      <w:pPr>
        <w:pStyle w:val="4"/>
        <w:rPr>
          <w:color w:val="auto"/>
          <w:highlight w:val="none"/>
        </w:rPr>
      </w:pPr>
      <w:bookmarkStart w:id="799" w:name="_Toc407135274"/>
      <w:bookmarkStart w:id="800" w:name="_Toc389065336"/>
      <w:bookmarkStart w:id="801" w:name="_Toc373227771"/>
      <w:bookmarkStart w:id="802" w:name="_Toc373478418"/>
      <w:bookmarkStart w:id="803" w:name="_Toc78449860"/>
      <w:bookmarkStart w:id="804" w:name="_Toc1951449751"/>
      <w:bookmarkStart w:id="805" w:name="_Toc658729758"/>
      <w:r>
        <w:rPr>
          <w:color w:val="auto"/>
          <w:highlight w:val="none"/>
        </w:rPr>
        <w:t xml:space="preserve">17.4 </w:t>
      </w:r>
      <w:r>
        <w:rPr>
          <w:rFonts w:hint="eastAsia" w:cs="黑体"/>
          <w:color w:val="auto"/>
          <w:highlight w:val="none"/>
        </w:rPr>
        <w:t>因不可抗力解除合同</w:t>
      </w:r>
      <w:bookmarkEnd w:id="799"/>
      <w:bookmarkEnd w:id="800"/>
      <w:bookmarkEnd w:id="801"/>
      <w:bookmarkEnd w:id="802"/>
      <w:bookmarkEnd w:id="803"/>
      <w:bookmarkEnd w:id="804"/>
      <w:bookmarkEnd w:id="805"/>
    </w:p>
    <w:p w14:paraId="37877585">
      <w:pPr>
        <w:spacing w:line="360" w:lineRule="auto"/>
        <w:ind w:firstLine="420" w:firstLineChars="200"/>
        <w:jc w:val="left"/>
        <w:rPr>
          <w:color w:val="auto"/>
          <w:highlight w:val="none"/>
        </w:rPr>
      </w:pPr>
      <w:r>
        <w:rPr>
          <w:rFonts w:hint="eastAsia" w:hAnsi="宋体" w:cs="宋体"/>
          <w:color w:val="auto"/>
          <w:highlight w:val="none"/>
        </w:rPr>
        <w:t>合同解除后，发包人应在商定或确定发包人应支付款项后</w:t>
      </w:r>
      <w:r>
        <w:rPr>
          <w:color w:val="auto"/>
          <w:highlight w:val="none"/>
          <w:u w:val="single"/>
        </w:rPr>
        <w:t xml:space="preserve">  </w:t>
      </w:r>
      <w:r>
        <w:rPr>
          <w:rFonts w:hint="eastAsia"/>
          <w:color w:val="auto"/>
          <w:highlight w:val="none"/>
          <w:u w:val="single"/>
          <w:lang w:val="en-US" w:eastAsia="zh-CN"/>
        </w:rPr>
        <w:t>56</w:t>
      </w:r>
      <w:r>
        <w:rPr>
          <w:color w:val="auto"/>
          <w:highlight w:val="none"/>
          <w:u w:val="single"/>
        </w:rPr>
        <w:t xml:space="preserve"> </w:t>
      </w:r>
      <w:r>
        <w:rPr>
          <w:rFonts w:hint="eastAsia" w:hAnsi="宋体" w:cs="宋体"/>
          <w:color w:val="auto"/>
          <w:highlight w:val="none"/>
        </w:rPr>
        <w:t>天内完成款项的支付。</w:t>
      </w:r>
    </w:p>
    <w:p w14:paraId="3D17697B">
      <w:pPr>
        <w:pStyle w:val="3"/>
        <w:rPr>
          <w:color w:val="auto"/>
          <w:highlight w:val="none"/>
        </w:rPr>
      </w:pPr>
      <w:bookmarkStart w:id="806" w:name="_Toc389065337"/>
      <w:bookmarkStart w:id="807" w:name="_Toc407135275"/>
      <w:bookmarkStart w:id="808" w:name="_Toc78449861"/>
      <w:bookmarkStart w:id="809" w:name="_Toc612072600"/>
      <w:bookmarkStart w:id="810" w:name="_Toc351203650"/>
      <w:bookmarkStart w:id="811" w:name="_Toc373478419"/>
      <w:bookmarkStart w:id="812" w:name="_Toc56822299"/>
      <w:bookmarkStart w:id="813" w:name="_Toc373227772"/>
      <w:r>
        <w:rPr>
          <w:color w:val="auto"/>
          <w:highlight w:val="none"/>
        </w:rPr>
        <w:t xml:space="preserve">18. </w:t>
      </w:r>
      <w:r>
        <w:rPr>
          <w:rFonts w:hint="eastAsia" w:hAnsi="宋体" w:cs="黑体"/>
          <w:color w:val="auto"/>
          <w:highlight w:val="none"/>
        </w:rPr>
        <w:t>保险</w:t>
      </w:r>
      <w:bookmarkEnd w:id="806"/>
      <w:bookmarkEnd w:id="807"/>
      <w:bookmarkEnd w:id="808"/>
      <w:bookmarkEnd w:id="809"/>
      <w:bookmarkEnd w:id="810"/>
      <w:bookmarkEnd w:id="811"/>
      <w:bookmarkEnd w:id="812"/>
      <w:bookmarkEnd w:id="813"/>
    </w:p>
    <w:bookmarkEnd w:id="769"/>
    <w:p w14:paraId="60CE2F65">
      <w:pPr>
        <w:pStyle w:val="4"/>
        <w:rPr>
          <w:color w:val="auto"/>
          <w:highlight w:val="none"/>
        </w:rPr>
      </w:pPr>
      <w:bookmarkStart w:id="814" w:name="_Toc389065338"/>
      <w:bookmarkStart w:id="815" w:name="_Toc1446953302"/>
      <w:bookmarkStart w:id="816" w:name="_Toc373227773"/>
      <w:bookmarkStart w:id="817" w:name="_Toc2075285517"/>
      <w:bookmarkStart w:id="818" w:name="_Toc78449862"/>
      <w:bookmarkStart w:id="819" w:name="_Toc407135276"/>
      <w:bookmarkStart w:id="820" w:name="_Toc373478420"/>
      <w:r>
        <w:rPr>
          <w:color w:val="auto"/>
          <w:highlight w:val="none"/>
        </w:rPr>
        <w:t xml:space="preserve">18.1 </w:t>
      </w:r>
      <w:r>
        <w:rPr>
          <w:rFonts w:hint="eastAsia" w:hAnsi="宋体" w:cs="黑体"/>
          <w:color w:val="auto"/>
          <w:highlight w:val="none"/>
        </w:rPr>
        <w:t>工程保险</w:t>
      </w:r>
      <w:bookmarkEnd w:id="814"/>
      <w:bookmarkEnd w:id="815"/>
      <w:bookmarkEnd w:id="816"/>
      <w:bookmarkEnd w:id="817"/>
      <w:bookmarkEnd w:id="818"/>
      <w:bookmarkEnd w:id="819"/>
      <w:bookmarkEnd w:id="820"/>
    </w:p>
    <w:p w14:paraId="33B98C2A">
      <w:pPr>
        <w:spacing w:line="360" w:lineRule="auto"/>
        <w:ind w:firstLine="420" w:firstLineChars="200"/>
        <w:jc w:val="left"/>
        <w:rPr>
          <w:color w:val="auto"/>
          <w:highlight w:val="none"/>
        </w:rPr>
      </w:pPr>
      <w:r>
        <w:rPr>
          <w:rFonts w:hint="eastAsia" w:hAnsi="宋体" w:cs="宋体"/>
          <w:color w:val="auto"/>
          <w:highlight w:val="none"/>
        </w:rPr>
        <w:t>关于工程保险的特别约定：</w:t>
      </w:r>
      <w:r>
        <w:rPr>
          <w:rFonts w:hint="eastAsia" w:hAnsi="宋体"/>
          <w:bCs/>
          <w:color w:val="auto"/>
          <w:szCs w:val="21"/>
          <w:highlight w:val="none"/>
          <w:u w:val="single"/>
        </w:rPr>
        <w:t>发包人可根据需要投保工程质量保险；对已投保的工程项目，承包人应积极配合保险公司开展相关工作</w:t>
      </w:r>
      <w:r>
        <w:rPr>
          <w:rFonts w:hint="eastAsia" w:hAnsi="宋体" w:cs="宋体"/>
          <w:color w:val="auto"/>
          <w:kern w:val="0"/>
          <w:highlight w:val="none"/>
        </w:rPr>
        <w:t>。</w:t>
      </w:r>
    </w:p>
    <w:p w14:paraId="7732E5D7">
      <w:pPr>
        <w:pStyle w:val="4"/>
        <w:rPr>
          <w:color w:val="auto"/>
          <w:highlight w:val="none"/>
        </w:rPr>
      </w:pPr>
      <w:bookmarkStart w:id="821" w:name="_Toc373478421"/>
      <w:bookmarkStart w:id="822" w:name="_Toc454766369"/>
      <w:bookmarkStart w:id="823" w:name="_Toc2001387503"/>
      <w:bookmarkStart w:id="824" w:name="_Toc78449863"/>
      <w:bookmarkStart w:id="825" w:name="_Toc373227774"/>
      <w:bookmarkStart w:id="826" w:name="_Toc389065339"/>
      <w:bookmarkStart w:id="827" w:name="_Toc407135277"/>
      <w:r>
        <w:rPr>
          <w:color w:val="auto"/>
          <w:highlight w:val="none"/>
        </w:rPr>
        <w:t xml:space="preserve">18.3 </w:t>
      </w:r>
      <w:r>
        <w:rPr>
          <w:rFonts w:hint="eastAsia" w:hAnsi="宋体" w:cs="黑体"/>
          <w:color w:val="auto"/>
          <w:highlight w:val="none"/>
        </w:rPr>
        <w:t>其他保险</w:t>
      </w:r>
      <w:bookmarkEnd w:id="821"/>
      <w:bookmarkEnd w:id="822"/>
      <w:bookmarkEnd w:id="823"/>
      <w:bookmarkEnd w:id="824"/>
      <w:bookmarkEnd w:id="825"/>
      <w:bookmarkEnd w:id="826"/>
      <w:bookmarkEnd w:id="827"/>
    </w:p>
    <w:p w14:paraId="02AC2E32">
      <w:pPr>
        <w:spacing w:line="360" w:lineRule="auto"/>
        <w:ind w:firstLine="420" w:firstLineChars="200"/>
        <w:jc w:val="left"/>
        <w:rPr>
          <w:color w:val="auto"/>
          <w:kern w:val="0"/>
          <w:szCs w:val="21"/>
          <w:highlight w:val="none"/>
        </w:rPr>
      </w:pPr>
      <w:r>
        <w:rPr>
          <w:rFonts w:hint="eastAsia" w:hAnsi="宋体" w:cs="宋体"/>
          <w:color w:val="auto"/>
          <w:szCs w:val="21"/>
          <w:highlight w:val="none"/>
        </w:rPr>
        <w:t>关于其他保险的约定：</w:t>
      </w:r>
      <w:r>
        <w:rPr>
          <w:rFonts w:hint="eastAsia" w:hAnsi="宋体"/>
          <w:bCs/>
          <w:color w:val="auto"/>
          <w:szCs w:val="21"/>
          <w:highlight w:val="none"/>
          <w:u w:val="single"/>
        </w:rPr>
        <w:t>承包人必须为施工现场从事施工的所有作业人员和管理人员</w:t>
      </w:r>
      <w:r>
        <w:rPr>
          <w:rFonts w:hint="eastAsia" w:hAnsi="宋体"/>
          <w:bCs/>
          <w:color w:val="auto"/>
          <w:szCs w:val="21"/>
          <w:highlight w:val="none"/>
          <w:u w:val="single"/>
          <w:lang w:eastAsia="zh-CN"/>
        </w:rPr>
        <w:t>办理</w:t>
      </w:r>
      <w:r>
        <w:rPr>
          <w:rFonts w:hint="eastAsia" w:hAnsi="宋体"/>
          <w:bCs/>
          <w:color w:val="auto"/>
          <w:szCs w:val="21"/>
          <w:highlight w:val="none"/>
          <w:u w:val="single"/>
        </w:rPr>
        <w:t>工伤保险，并支付保费</w:t>
      </w:r>
      <w:r>
        <w:rPr>
          <w:rFonts w:hint="eastAsia" w:hAnsi="宋体" w:cs="宋体"/>
          <w:color w:val="auto"/>
          <w:szCs w:val="21"/>
          <w:highlight w:val="none"/>
        </w:rPr>
        <w:t>。</w:t>
      </w:r>
      <w:r>
        <w:rPr>
          <w:rFonts w:hint="eastAsia" w:ascii="宋体" w:hAnsi="宋体" w:eastAsia="宋体" w:cs="宋体"/>
          <w:i w:val="0"/>
          <w:iCs w:val="0"/>
          <w:caps w:val="0"/>
          <w:color w:val="auto"/>
          <w:spacing w:val="0"/>
          <w:sz w:val="21"/>
          <w:szCs w:val="21"/>
          <w:highlight w:val="none"/>
          <w:shd w:val="clear" w:fill="FFFFFF"/>
        </w:rPr>
        <w:t>根据自治区房屋建筑和市政基础设施工程安全生产责任保险计价规定的通知》（桂建发〔2023〕6号），安全生产责任保险费按分部分项工程费及措施项目费</w:t>
      </w:r>
      <w:r>
        <w:rPr>
          <w:rFonts w:hint="eastAsia" w:ascii="宋体" w:hAnsi="宋体" w:cs="宋体"/>
          <w:i w:val="0"/>
          <w:iCs w:val="0"/>
          <w:caps w:val="0"/>
          <w:color w:val="auto"/>
          <w:spacing w:val="0"/>
          <w:sz w:val="21"/>
          <w:szCs w:val="21"/>
          <w:highlight w:val="none"/>
          <w:shd w:val="clear" w:fill="FFFFFF"/>
          <w:lang w:eastAsia="zh-CN"/>
        </w:rPr>
        <w:t>（</w:t>
      </w:r>
      <w:r>
        <w:rPr>
          <w:rFonts w:hint="eastAsia" w:ascii="宋体" w:hAnsi="宋体" w:eastAsia="宋体" w:cs="宋体"/>
          <w:i w:val="0"/>
          <w:iCs w:val="0"/>
          <w:caps w:val="0"/>
          <w:color w:val="auto"/>
          <w:spacing w:val="0"/>
          <w:sz w:val="21"/>
          <w:szCs w:val="21"/>
          <w:highlight w:val="none"/>
          <w:shd w:val="clear" w:fill="FFFFFF"/>
        </w:rPr>
        <w:t>含单价及总价措施项目费</w:t>
      </w:r>
      <w:r>
        <w:rPr>
          <w:rFonts w:hint="eastAsia" w:ascii="宋体" w:hAnsi="宋体" w:cs="宋体"/>
          <w:i w:val="0"/>
          <w:iCs w:val="0"/>
          <w:caps w:val="0"/>
          <w:color w:val="auto"/>
          <w:spacing w:val="0"/>
          <w:sz w:val="21"/>
          <w:szCs w:val="21"/>
          <w:highlight w:val="none"/>
          <w:shd w:val="clear" w:fill="FFFFFF"/>
          <w:lang w:eastAsia="zh-CN"/>
        </w:rPr>
        <w:t>）</w:t>
      </w:r>
      <w:r>
        <w:rPr>
          <w:rFonts w:hint="eastAsia" w:ascii="宋体" w:hAnsi="宋体" w:eastAsia="宋体" w:cs="宋体"/>
          <w:i w:val="0"/>
          <w:iCs w:val="0"/>
          <w:caps w:val="0"/>
          <w:color w:val="auto"/>
          <w:spacing w:val="0"/>
          <w:sz w:val="21"/>
          <w:szCs w:val="21"/>
          <w:highlight w:val="none"/>
          <w:shd w:val="clear" w:fill="FFFFFF"/>
        </w:rPr>
        <w:t>为计算基数乘以0.2%计入暂估价，工程结算时，由发承包双方根据工程实际情况确认的安全生产责任保险费计入工程造价。</w:t>
      </w:r>
    </w:p>
    <w:p w14:paraId="1B4D3EA1">
      <w:pPr>
        <w:spacing w:line="360" w:lineRule="auto"/>
        <w:ind w:firstLine="420" w:firstLineChars="200"/>
        <w:jc w:val="left"/>
        <w:rPr>
          <w:color w:val="auto"/>
          <w:highlight w:val="none"/>
          <w:u w:val="single"/>
        </w:rPr>
      </w:pPr>
      <w:r>
        <w:rPr>
          <w:rFonts w:hint="eastAsia" w:hAnsi="宋体" w:cs="宋体"/>
          <w:color w:val="auto"/>
          <w:szCs w:val="21"/>
          <w:highlight w:val="none"/>
        </w:rPr>
        <w:t>承包人是否应为其施工设备等办理财产保险：</w:t>
      </w:r>
      <w:r>
        <w:rPr>
          <w:rFonts w:hint="eastAsia"/>
          <w:color w:val="auto"/>
          <w:szCs w:val="21"/>
          <w:highlight w:val="none"/>
          <w:u w:val="single"/>
        </w:rPr>
        <w:t>是</w:t>
      </w:r>
      <w:r>
        <w:rPr>
          <w:rFonts w:hint="eastAsia" w:hAnsi="宋体" w:cs="宋体"/>
          <w:color w:val="auto"/>
          <w:highlight w:val="none"/>
        </w:rPr>
        <w:t>。</w:t>
      </w:r>
    </w:p>
    <w:p w14:paraId="2258969A">
      <w:pPr>
        <w:pStyle w:val="4"/>
        <w:rPr>
          <w:color w:val="auto"/>
          <w:highlight w:val="none"/>
        </w:rPr>
      </w:pPr>
      <w:bookmarkStart w:id="828" w:name="_Toc373227775"/>
      <w:bookmarkStart w:id="829" w:name="_Toc78449864"/>
      <w:bookmarkStart w:id="830" w:name="_Toc1114527236"/>
      <w:bookmarkStart w:id="831" w:name="_Toc389065340"/>
      <w:bookmarkStart w:id="832" w:name="_Toc373478422"/>
      <w:bookmarkStart w:id="833" w:name="_Toc2102614655"/>
      <w:bookmarkStart w:id="834" w:name="_Toc407135278"/>
      <w:r>
        <w:rPr>
          <w:color w:val="auto"/>
          <w:highlight w:val="none"/>
        </w:rPr>
        <w:t xml:space="preserve">18.7 </w:t>
      </w:r>
      <w:r>
        <w:rPr>
          <w:rFonts w:hint="eastAsia" w:hAnsi="宋体" w:cs="黑体"/>
          <w:color w:val="auto"/>
          <w:highlight w:val="none"/>
        </w:rPr>
        <w:t>通知义务</w:t>
      </w:r>
      <w:bookmarkEnd w:id="828"/>
      <w:bookmarkEnd w:id="829"/>
      <w:bookmarkEnd w:id="830"/>
      <w:bookmarkEnd w:id="831"/>
      <w:bookmarkEnd w:id="832"/>
      <w:bookmarkEnd w:id="833"/>
      <w:bookmarkEnd w:id="834"/>
    </w:p>
    <w:p w14:paraId="5E98CD1E">
      <w:pPr>
        <w:spacing w:line="360" w:lineRule="auto"/>
        <w:ind w:firstLine="420" w:firstLineChars="200"/>
        <w:jc w:val="left"/>
        <w:rPr>
          <w:color w:val="auto"/>
          <w:highlight w:val="none"/>
          <w:u w:val="single"/>
        </w:rPr>
      </w:pPr>
      <w:r>
        <w:rPr>
          <w:rFonts w:hint="eastAsia" w:hAnsi="宋体" w:cs="宋体"/>
          <w:color w:val="auto"/>
          <w:kern w:val="0"/>
          <w:highlight w:val="none"/>
        </w:rPr>
        <w:t>关于变更保险合同时的通知义务的约定：</w:t>
      </w:r>
      <w:r>
        <w:rPr>
          <w:rFonts w:hint="eastAsia"/>
          <w:color w:val="auto"/>
          <w:szCs w:val="21"/>
          <w:highlight w:val="none"/>
          <w:u w:val="single"/>
        </w:rPr>
        <w:t>按通用条款执行</w:t>
      </w:r>
      <w:r>
        <w:rPr>
          <w:rFonts w:hint="eastAsia" w:hAnsi="宋体" w:cs="宋体"/>
          <w:color w:val="auto"/>
          <w:highlight w:val="none"/>
        </w:rPr>
        <w:t>。</w:t>
      </w:r>
    </w:p>
    <w:bookmarkEnd w:id="716"/>
    <w:bookmarkEnd w:id="717"/>
    <w:bookmarkEnd w:id="718"/>
    <w:bookmarkEnd w:id="719"/>
    <w:bookmarkEnd w:id="720"/>
    <w:bookmarkEnd w:id="721"/>
    <w:bookmarkEnd w:id="722"/>
    <w:bookmarkEnd w:id="723"/>
    <w:bookmarkEnd w:id="724"/>
    <w:bookmarkEnd w:id="725"/>
    <w:bookmarkEnd w:id="726"/>
    <w:bookmarkEnd w:id="727"/>
    <w:p w14:paraId="1F85F6E8">
      <w:pPr>
        <w:pStyle w:val="3"/>
        <w:rPr>
          <w:color w:val="auto"/>
          <w:highlight w:val="none"/>
        </w:rPr>
      </w:pPr>
      <w:bookmarkStart w:id="835" w:name="_Toc373227776"/>
      <w:bookmarkStart w:id="836" w:name="_Toc351203651"/>
      <w:bookmarkStart w:id="837" w:name="_Toc407135279"/>
      <w:bookmarkStart w:id="838" w:name="_Toc1959910599"/>
      <w:bookmarkStart w:id="839" w:name="_Toc1430568476"/>
      <w:bookmarkStart w:id="840" w:name="_Toc373478423"/>
      <w:bookmarkStart w:id="841" w:name="_Toc78449865"/>
      <w:bookmarkStart w:id="842" w:name="_Toc389065341"/>
      <w:r>
        <w:rPr>
          <w:color w:val="auto"/>
          <w:highlight w:val="none"/>
        </w:rPr>
        <w:t xml:space="preserve">20. </w:t>
      </w:r>
      <w:r>
        <w:rPr>
          <w:rFonts w:hint="eastAsia" w:hAnsi="宋体" w:cs="黑体"/>
          <w:color w:val="auto"/>
          <w:highlight w:val="none"/>
        </w:rPr>
        <w:t>争议解决</w:t>
      </w:r>
      <w:bookmarkEnd w:id="835"/>
      <w:bookmarkEnd w:id="836"/>
      <w:bookmarkEnd w:id="837"/>
      <w:bookmarkEnd w:id="838"/>
      <w:bookmarkEnd w:id="839"/>
      <w:bookmarkEnd w:id="840"/>
      <w:bookmarkEnd w:id="841"/>
      <w:bookmarkEnd w:id="842"/>
    </w:p>
    <w:bookmarkEnd w:id="728"/>
    <w:bookmarkEnd w:id="729"/>
    <w:p w14:paraId="44EA585C">
      <w:pPr>
        <w:pStyle w:val="4"/>
        <w:rPr>
          <w:color w:val="auto"/>
          <w:highlight w:val="none"/>
        </w:rPr>
      </w:pPr>
      <w:bookmarkStart w:id="843" w:name="_Toc389065342"/>
      <w:bookmarkStart w:id="844" w:name="_Toc373478424"/>
      <w:bookmarkStart w:id="845" w:name="_Toc1645489822"/>
      <w:bookmarkStart w:id="846" w:name="_Toc2138124043"/>
      <w:bookmarkStart w:id="847" w:name="_Toc373227777"/>
      <w:bookmarkStart w:id="848" w:name="_Toc407135280"/>
      <w:bookmarkStart w:id="849" w:name="_Toc78449866"/>
      <w:r>
        <w:rPr>
          <w:color w:val="auto"/>
          <w:highlight w:val="none"/>
        </w:rPr>
        <w:t xml:space="preserve">20.3 </w:t>
      </w:r>
      <w:r>
        <w:rPr>
          <w:rFonts w:hint="eastAsia" w:hAnsi="宋体" w:cs="黑体"/>
          <w:color w:val="auto"/>
          <w:highlight w:val="none"/>
        </w:rPr>
        <w:t>争</w:t>
      </w:r>
      <w:bookmarkEnd w:id="730"/>
      <w:r>
        <w:rPr>
          <w:rFonts w:hint="eastAsia" w:hAnsi="宋体" w:cs="黑体"/>
          <w:color w:val="auto"/>
          <w:highlight w:val="none"/>
        </w:rPr>
        <w:t>议评审</w:t>
      </w:r>
      <w:bookmarkEnd w:id="843"/>
      <w:bookmarkEnd w:id="844"/>
      <w:bookmarkEnd w:id="845"/>
      <w:bookmarkEnd w:id="846"/>
      <w:bookmarkEnd w:id="847"/>
      <w:bookmarkEnd w:id="848"/>
      <w:bookmarkEnd w:id="849"/>
    </w:p>
    <w:p w14:paraId="075C734C">
      <w:pPr>
        <w:spacing w:line="360" w:lineRule="auto"/>
        <w:ind w:left="149" w:leftChars="71" w:firstLine="315" w:firstLineChars="150"/>
        <w:jc w:val="left"/>
        <w:rPr>
          <w:color w:val="auto"/>
          <w:szCs w:val="21"/>
          <w:highlight w:val="none"/>
          <w:u w:val="single"/>
        </w:rPr>
      </w:pPr>
      <w:r>
        <w:rPr>
          <w:rFonts w:hAnsi="宋体"/>
          <w:color w:val="auto"/>
          <w:szCs w:val="21"/>
          <w:highlight w:val="none"/>
        </w:rPr>
        <w:t>合同当事人是否同意将工程争议提交争议评审小组决定：</w:t>
      </w:r>
      <w:r>
        <w:rPr>
          <w:rFonts w:hint="eastAsia"/>
          <w:color w:val="auto"/>
          <w:szCs w:val="21"/>
          <w:highlight w:val="none"/>
          <w:u w:val="single"/>
        </w:rPr>
        <w:t>由发包人与承包人双方协商确定</w:t>
      </w:r>
      <w:r>
        <w:rPr>
          <w:rFonts w:hAnsi="宋体"/>
          <w:color w:val="auto"/>
          <w:szCs w:val="21"/>
          <w:highlight w:val="none"/>
        </w:rPr>
        <w:t>。</w:t>
      </w:r>
    </w:p>
    <w:p w14:paraId="6BD63B0F">
      <w:pPr>
        <w:spacing w:line="360" w:lineRule="auto"/>
        <w:ind w:firstLine="420" w:firstLineChars="200"/>
        <w:jc w:val="left"/>
        <w:outlineLvl w:val="0"/>
        <w:rPr>
          <w:color w:val="auto"/>
          <w:szCs w:val="21"/>
          <w:highlight w:val="none"/>
        </w:rPr>
      </w:pPr>
      <w:bookmarkStart w:id="850" w:name="_Toc185869710"/>
      <w:r>
        <w:rPr>
          <w:color w:val="auto"/>
          <w:szCs w:val="21"/>
          <w:highlight w:val="none"/>
        </w:rPr>
        <w:t xml:space="preserve">20.3.1 </w:t>
      </w:r>
      <w:r>
        <w:rPr>
          <w:rFonts w:hAnsi="宋体"/>
          <w:color w:val="auto"/>
          <w:szCs w:val="21"/>
          <w:highlight w:val="none"/>
        </w:rPr>
        <w:t>争议评审小组的确定</w:t>
      </w:r>
      <w:bookmarkEnd w:id="850"/>
    </w:p>
    <w:p w14:paraId="3A025EF6">
      <w:pPr>
        <w:spacing w:line="360" w:lineRule="auto"/>
        <w:ind w:firstLine="420" w:firstLineChars="200"/>
        <w:jc w:val="left"/>
        <w:rPr>
          <w:color w:val="auto"/>
          <w:szCs w:val="21"/>
          <w:highlight w:val="none"/>
          <w:u w:val="single"/>
        </w:rPr>
      </w:pPr>
      <w:r>
        <w:rPr>
          <w:rFonts w:hAnsi="宋体"/>
          <w:color w:val="auto"/>
          <w:szCs w:val="21"/>
          <w:highlight w:val="none"/>
        </w:rPr>
        <w:t>争议评审小组成员的确定：</w:t>
      </w:r>
      <w:r>
        <w:rPr>
          <w:rFonts w:hint="eastAsia"/>
          <w:color w:val="auto"/>
          <w:szCs w:val="21"/>
          <w:highlight w:val="none"/>
          <w:u w:val="single"/>
        </w:rPr>
        <w:t>如双方商定采用争议评审方式解决，则按通用条款执行</w:t>
      </w:r>
      <w:r>
        <w:rPr>
          <w:rFonts w:hAnsi="宋体"/>
          <w:color w:val="auto"/>
          <w:szCs w:val="21"/>
          <w:highlight w:val="none"/>
        </w:rPr>
        <w:t>。</w:t>
      </w:r>
    </w:p>
    <w:p w14:paraId="29256849">
      <w:pPr>
        <w:spacing w:line="360" w:lineRule="auto"/>
        <w:ind w:firstLine="420" w:firstLineChars="200"/>
        <w:jc w:val="left"/>
        <w:rPr>
          <w:color w:val="auto"/>
          <w:szCs w:val="21"/>
          <w:highlight w:val="none"/>
        </w:rPr>
      </w:pPr>
      <w:r>
        <w:rPr>
          <w:rFonts w:hAnsi="宋体"/>
          <w:color w:val="auto"/>
          <w:szCs w:val="21"/>
          <w:highlight w:val="none"/>
        </w:rPr>
        <w:t>选定争议评审员的期限：</w:t>
      </w:r>
      <w:r>
        <w:rPr>
          <w:rFonts w:hint="eastAsia"/>
          <w:color w:val="auto"/>
          <w:szCs w:val="21"/>
          <w:highlight w:val="none"/>
          <w:u w:val="single"/>
        </w:rPr>
        <w:t>如双方商定采用争议评审方式解决，则按通用条款执行</w:t>
      </w:r>
      <w:r>
        <w:rPr>
          <w:rFonts w:hAnsi="宋体"/>
          <w:color w:val="auto"/>
          <w:szCs w:val="21"/>
          <w:highlight w:val="none"/>
        </w:rPr>
        <w:t>。</w:t>
      </w:r>
    </w:p>
    <w:p w14:paraId="47819E3C">
      <w:pPr>
        <w:spacing w:line="360" w:lineRule="auto"/>
        <w:ind w:firstLine="420" w:firstLineChars="200"/>
        <w:jc w:val="left"/>
        <w:rPr>
          <w:color w:val="auto"/>
          <w:szCs w:val="21"/>
          <w:highlight w:val="none"/>
        </w:rPr>
      </w:pPr>
      <w:r>
        <w:rPr>
          <w:rFonts w:hAnsi="宋体"/>
          <w:color w:val="auto"/>
          <w:szCs w:val="21"/>
          <w:highlight w:val="none"/>
        </w:rPr>
        <w:t>争议评审小组成员的报酬承担方式：</w:t>
      </w:r>
      <w:r>
        <w:rPr>
          <w:rFonts w:hint="eastAsia"/>
          <w:color w:val="auto"/>
          <w:szCs w:val="21"/>
          <w:highlight w:val="none"/>
          <w:u w:val="single"/>
        </w:rPr>
        <w:t>如双方商定采用争议评审方式解决，则按通用条款执行</w:t>
      </w:r>
      <w:r>
        <w:rPr>
          <w:rFonts w:hAnsi="宋体"/>
          <w:color w:val="auto"/>
          <w:szCs w:val="21"/>
          <w:highlight w:val="none"/>
        </w:rPr>
        <w:t>。</w:t>
      </w:r>
    </w:p>
    <w:p w14:paraId="6ACC9FF5">
      <w:pPr>
        <w:spacing w:line="360" w:lineRule="auto"/>
        <w:ind w:firstLine="420" w:firstLineChars="200"/>
        <w:jc w:val="left"/>
        <w:rPr>
          <w:color w:val="auto"/>
          <w:szCs w:val="21"/>
          <w:highlight w:val="none"/>
        </w:rPr>
      </w:pPr>
      <w:r>
        <w:rPr>
          <w:rFonts w:hAnsi="宋体"/>
          <w:color w:val="auto"/>
          <w:szCs w:val="21"/>
          <w:highlight w:val="none"/>
        </w:rPr>
        <w:t>其他事项的约定：</w:t>
      </w:r>
      <w:r>
        <w:rPr>
          <w:rFonts w:hint="eastAsia"/>
          <w:color w:val="auto"/>
          <w:szCs w:val="21"/>
          <w:highlight w:val="none"/>
          <w:u w:val="single"/>
        </w:rPr>
        <w:t>无</w:t>
      </w:r>
      <w:r>
        <w:rPr>
          <w:rFonts w:hAnsi="宋体"/>
          <w:color w:val="auto"/>
          <w:szCs w:val="21"/>
          <w:highlight w:val="none"/>
        </w:rPr>
        <w:t>。</w:t>
      </w:r>
    </w:p>
    <w:p w14:paraId="77C7204C">
      <w:pPr>
        <w:autoSpaceDE w:val="0"/>
        <w:autoSpaceDN w:val="0"/>
        <w:adjustRightInd w:val="0"/>
        <w:spacing w:line="360" w:lineRule="auto"/>
        <w:ind w:firstLine="420" w:firstLineChars="200"/>
        <w:jc w:val="left"/>
        <w:rPr>
          <w:color w:val="auto"/>
          <w:kern w:val="0"/>
          <w:szCs w:val="21"/>
          <w:highlight w:val="none"/>
        </w:rPr>
      </w:pPr>
      <w:r>
        <w:rPr>
          <w:color w:val="auto"/>
          <w:kern w:val="0"/>
          <w:szCs w:val="21"/>
          <w:highlight w:val="none"/>
        </w:rPr>
        <w:t xml:space="preserve">20.3.2 </w:t>
      </w:r>
      <w:r>
        <w:rPr>
          <w:rFonts w:hAnsi="宋体"/>
          <w:color w:val="auto"/>
          <w:kern w:val="0"/>
          <w:szCs w:val="21"/>
          <w:highlight w:val="none"/>
        </w:rPr>
        <w:t>争议评审小组的决定</w:t>
      </w:r>
    </w:p>
    <w:p w14:paraId="1C3DA321">
      <w:pPr>
        <w:spacing w:line="360" w:lineRule="auto"/>
        <w:ind w:firstLine="420" w:firstLineChars="200"/>
        <w:jc w:val="left"/>
        <w:rPr>
          <w:color w:val="auto"/>
          <w:highlight w:val="none"/>
        </w:rPr>
      </w:pPr>
      <w:r>
        <w:rPr>
          <w:rFonts w:hAnsi="宋体"/>
          <w:color w:val="auto"/>
          <w:szCs w:val="21"/>
          <w:highlight w:val="none"/>
        </w:rPr>
        <w:t>合同当事人关于本项的约定：</w:t>
      </w:r>
      <w:r>
        <w:rPr>
          <w:rFonts w:hint="eastAsia"/>
          <w:color w:val="auto"/>
          <w:szCs w:val="21"/>
          <w:highlight w:val="none"/>
          <w:u w:val="single"/>
        </w:rPr>
        <w:t>无</w:t>
      </w:r>
      <w:r>
        <w:rPr>
          <w:rFonts w:hint="eastAsia" w:hAnsi="宋体" w:cs="宋体"/>
          <w:color w:val="auto"/>
          <w:highlight w:val="none"/>
        </w:rPr>
        <w:t>。</w:t>
      </w:r>
    </w:p>
    <w:p w14:paraId="73038914">
      <w:pPr>
        <w:pStyle w:val="4"/>
        <w:rPr>
          <w:color w:val="auto"/>
          <w:highlight w:val="none"/>
        </w:rPr>
      </w:pPr>
      <w:bookmarkStart w:id="851" w:name="_Toc373227778"/>
      <w:bookmarkStart w:id="852" w:name="_Toc1156795721"/>
      <w:bookmarkStart w:id="853" w:name="_Toc389065343"/>
      <w:bookmarkStart w:id="854" w:name="_Toc407135281"/>
      <w:bookmarkStart w:id="855" w:name="_Toc1456517022"/>
      <w:bookmarkStart w:id="856" w:name="_Toc373478425"/>
      <w:bookmarkStart w:id="857" w:name="_Toc78449867"/>
      <w:r>
        <w:rPr>
          <w:color w:val="auto"/>
          <w:highlight w:val="none"/>
        </w:rPr>
        <w:t xml:space="preserve">20.4 </w:t>
      </w:r>
      <w:r>
        <w:rPr>
          <w:rFonts w:hint="eastAsia" w:hAnsi="宋体" w:cs="黑体"/>
          <w:color w:val="auto"/>
          <w:highlight w:val="none"/>
        </w:rPr>
        <w:t>仲裁或诉讼</w:t>
      </w:r>
      <w:bookmarkEnd w:id="731"/>
      <w:bookmarkEnd w:id="851"/>
      <w:bookmarkEnd w:id="852"/>
      <w:bookmarkEnd w:id="853"/>
      <w:bookmarkEnd w:id="854"/>
      <w:bookmarkEnd w:id="855"/>
      <w:bookmarkEnd w:id="856"/>
      <w:bookmarkEnd w:id="857"/>
    </w:p>
    <w:p w14:paraId="1E301EDD">
      <w:pPr>
        <w:spacing w:line="360" w:lineRule="auto"/>
        <w:ind w:firstLine="420" w:firstLineChars="200"/>
        <w:rPr>
          <w:color w:val="auto"/>
          <w:highlight w:val="none"/>
        </w:rPr>
      </w:pPr>
      <w:r>
        <w:rPr>
          <w:rFonts w:hint="eastAsia" w:hAnsi="宋体" w:cs="宋体"/>
          <w:color w:val="auto"/>
          <w:highlight w:val="none"/>
        </w:rPr>
        <w:t>因合同及合同有关事项发生的争议，按下列第</w:t>
      </w:r>
      <w:r>
        <w:rPr>
          <w:color w:val="auto"/>
          <w:highlight w:val="none"/>
          <w:u w:val="single"/>
        </w:rPr>
        <w:t xml:space="preserve">  </w:t>
      </w:r>
      <w:r>
        <w:rPr>
          <w:rFonts w:hint="eastAsia"/>
          <w:color w:val="auto"/>
          <w:highlight w:val="none"/>
          <w:u w:val="single"/>
          <w:lang w:eastAsia="zh-CN"/>
        </w:rPr>
        <w:t>（</w:t>
      </w:r>
      <w:r>
        <w:rPr>
          <w:rFonts w:hint="eastAsia"/>
          <w:color w:val="auto"/>
          <w:highlight w:val="none"/>
          <w:u w:val="single"/>
          <w:lang w:val="en-US" w:eastAsia="zh-CN"/>
        </w:rPr>
        <w:t>2</w:t>
      </w:r>
      <w:r>
        <w:rPr>
          <w:rFonts w:hint="eastAsia"/>
          <w:color w:val="auto"/>
          <w:highlight w:val="none"/>
          <w:u w:val="single"/>
          <w:lang w:eastAsia="zh-CN"/>
        </w:rPr>
        <w:t>）</w:t>
      </w:r>
      <w:r>
        <w:rPr>
          <w:color w:val="auto"/>
          <w:highlight w:val="none"/>
          <w:u w:val="single"/>
        </w:rPr>
        <w:t xml:space="preserve">  </w:t>
      </w:r>
      <w:r>
        <w:rPr>
          <w:rFonts w:hint="eastAsia" w:hAnsi="宋体" w:cs="宋体"/>
          <w:color w:val="auto"/>
          <w:highlight w:val="none"/>
        </w:rPr>
        <w:t>种方式解决：</w:t>
      </w:r>
    </w:p>
    <w:p w14:paraId="2F37C5D3">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1</w:t>
      </w:r>
      <w:r>
        <w:rPr>
          <w:rFonts w:hint="eastAsia" w:hAnsi="宋体" w:cs="宋体"/>
          <w:color w:val="auto"/>
          <w:highlight w:val="none"/>
        </w:rPr>
        <w:t>）提请</w:t>
      </w:r>
      <w:r>
        <w:rPr>
          <w:color w:val="auto"/>
          <w:highlight w:val="none"/>
          <w:u w:val="single"/>
        </w:rPr>
        <w:t xml:space="preserve">  </w:t>
      </w:r>
      <w:r>
        <w:rPr>
          <w:rFonts w:hint="eastAsia"/>
          <w:color w:val="auto"/>
          <w:highlight w:val="none"/>
          <w:u w:val="single"/>
          <w:lang w:val="en-US" w:eastAsia="zh-CN"/>
        </w:rPr>
        <w:t>/</w:t>
      </w:r>
      <w:r>
        <w:rPr>
          <w:color w:val="auto"/>
          <w:highlight w:val="none"/>
          <w:u w:val="single"/>
        </w:rPr>
        <w:t xml:space="preserve">   </w:t>
      </w:r>
      <w:r>
        <w:rPr>
          <w:rFonts w:hint="eastAsia" w:hAnsi="宋体" w:cs="宋体"/>
          <w:color w:val="auto"/>
          <w:highlight w:val="none"/>
        </w:rPr>
        <w:t>仲裁委员会按照该会仲裁规则进行仲裁，仲裁裁决是终局的，对合同双方均有约束力。</w:t>
      </w:r>
    </w:p>
    <w:p w14:paraId="38479F4E">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）向</w:t>
      </w:r>
      <w:r>
        <w:rPr>
          <w:color w:val="auto"/>
          <w:highlight w:val="none"/>
          <w:u w:val="single"/>
        </w:rPr>
        <w:t xml:space="preserve">   </w:t>
      </w:r>
      <w:r>
        <w:rPr>
          <w:rFonts w:hint="eastAsia"/>
          <w:color w:val="auto"/>
          <w:szCs w:val="21"/>
          <w:highlight w:val="none"/>
          <w:u w:val="single"/>
        </w:rPr>
        <w:t>工程所在地</w:t>
      </w:r>
      <w:r>
        <w:rPr>
          <w:color w:val="auto"/>
          <w:highlight w:val="none"/>
          <w:u w:val="single"/>
        </w:rPr>
        <w:t xml:space="preserve">   </w:t>
      </w:r>
      <w:r>
        <w:rPr>
          <w:rFonts w:hint="eastAsia" w:hAnsi="宋体" w:cs="宋体"/>
          <w:color w:val="auto"/>
          <w:highlight w:val="none"/>
        </w:rPr>
        <w:t>人民法院起诉。</w:t>
      </w:r>
      <w:bookmarkEnd w:id="732"/>
      <w:bookmarkEnd w:id="733"/>
      <w:bookmarkEnd w:id="734"/>
      <w:bookmarkEnd w:id="735"/>
      <w:bookmarkEnd w:id="736"/>
      <w:bookmarkEnd w:id="737"/>
    </w:p>
    <w:p w14:paraId="5AD104E4">
      <w:pPr>
        <w:pStyle w:val="4"/>
        <w:spacing w:line="360" w:lineRule="auto"/>
        <w:ind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val="en-US" w:eastAsia="zh-CN"/>
        </w:rPr>
        <w:t>.其他条款</w:t>
      </w:r>
    </w:p>
    <w:p w14:paraId="51C632CA">
      <w:pPr>
        <w:pStyle w:val="257"/>
        <w:pageBreakBefore w:val="0"/>
        <w:kinsoku/>
        <w:overflowPunct/>
        <w:topLinePunct w:val="0"/>
        <w:bidi w:val="0"/>
        <w:spacing w:line="420" w:lineRule="exact"/>
        <w:ind w:firstLine="480" w:firstLineChars="200"/>
        <w:jc w:val="left"/>
        <w:textAlignment w:val="auto"/>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21.1 凡进入本工程工作的禁止使用童工。</w:t>
      </w:r>
    </w:p>
    <w:p w14:paraId="04011D90">
      <w:pPr>
        <w:pStyle w:val="257"/>
        <w:pageBreakBefore w:val="0"/>
        <w:kinsoku/>
        <w:overflowPunct/>
        <w:topLinePunct w:val="0"/>
        <w:bidi w:val="0"/>
        <w:spacing w:line="420" w:lineRule="exact"/>
        <w:ind w:firstLine="464" w:firstLineChars="200"/>
        <w:jc w:val="left"/>
        <w:textAlignment w:val="auto"/>
        <w:rPr>
          <w:rStyle w:val="57"/>
          <w:rFonts w:hint="eastAsia" w:ascii="宋体" w:hAnsi="宋体" w:eastAsia="宋体" w:cs="宋体"/>
          <w:color w:val="auto"/>
          <w:spacing w:val="-4"/>
          <w:sz w:val="24"/>
          <w:szCs w:val="24"/>
          <w:highlight w:val="none"/>
        </w:rPr>
      </w:pPr>
      <w:r>
        <w:rPr>
          <w:rStyle w:val="57"/>
          <w:rFonts w:hint="eastAsia" w:ascii="宋体" w:hAnsi="宋体" w:eastAsia="宋体" w:cs="宋体"/>
          <w:color w:val="auto"/>
          <w:spacing w:val="-4"/>
          <w:sz w:val="24"/>
          <w:szCs w:val="24"/>
          <w:highlight w:val="none"/>
        </w:rPr>
        <w:t>21.2与本合同有关的通知应以书面形式作出并直接送达有关方，或经电子邮件、专递方式送达有关方或其代表人（包括：发包人现场代表、承包人项目经理、总监理工程师）在本合同中注明的电子信箱或通信地址。除接受通知一方可另行证明，一方以电子邮件发出的通知应视为接受通知一方于通知发出当日收悉该通知，一方以专递方式发出的通知应视为接受通知一方于通知发出当日后第二个工作日收悉该通知。</w:t>
      </w:r>
    </w:p>
    <w:p w14:paraId="437A9FCF">
      <w:pPr>
        <w:pStyle w:val="257"/>
        <w:pageBreakBefore w:val="0"/>
        <w:kinsoku/>
        <w:overflowPunct/>
        <w:topLinePunct w:val="0"/>
        <w:bidi w:val="0"/>
        <w:spacing w:line="420" w:lineRule="exact"/>
        <w:ind w:firstLine="464" w:firstLineChars="200"/>
        <w:textAlignment w:val="auto"/>
        <w:rPr>
          <w:rStyle w:val="57"/>
          <w:rFonts w:hint="eastAsia" w:ascii="宋体" w:hAnsi="宋体" w:eastAsia="宋体" w:cs="宋体"/>
          <w:color w:val="auto"/>
          <w:spacing w:val="-4"/>
          <w:sz w:val="24"/>
          <w:szCs w:val="24"/>
          <w:highlight w:val="none"/>
        </w:rPr>
      </w:pPr>
      <w:r>
        <w:rPr>
          <w:rStyle w:val="57"/>
          <w:rFonts w:hint="eastAsia" w:ascii="宋体" w:hAnsi="宋体" w:eastAsia="宋体" w:cs="宋体"/>
          <w:color w:val="auto"/>
          <w:spacing w:val="-4"/>
          <w:sz w:val="24"/>
          <w:szCs w:val="24"/>
          <w:highlight w:val="none"/>
        </w:rPr>
        <w:t>21.3实现债权的费用承担：因任何一方违约致使相对方采取诉讼方式实现债权的，违约方应承担相对方为此支付的合理费用，包括但不限于诉讼费、律师费、差旅费等。</w:t>
      </w:r>
    </w:p>
    <w:p w14:paraId="4CB518CE">
      <w:pPr>
        <w:pStyle w:val="257"/>
        <w:pageBreakBefore w:val="0"/>
        <w:kinsoku/>
        <w:overflowPunct/>
        <w:topLinePunct w:val="0"/>
        <w:bidi w:val="0"/>
        <w:spacing w:line="420" w:lineRule="exact"/>
        <w:ind w:firstLine="480" w:firstLineChars="200"/>
        <w:textAlignment w:val="auto"/>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 xml:space="preserve">21.4关于施工管理：遵守发包人的各项管理规定；按现行法律、法规、现行施工规范及相关规定、进行施工。其中临时设施、安全施工、文明施工，并符合现行规范及技术标准的要求，费用由承包人负责；施工中所产生的建筑垃圾由承包人负责清运，费用由承包人承担； </w:t>
      </w:r>
    </w:p>
    <w:p w14:paraId="1A4191CB">
      <w:pPr>
        <w:pStyle w:val="257"/>
        <w:pageBreakBefore w:val="0"/>
        <w:kinsoku/>
        <w:overflowPunct/>
        <w:topLinePunct w:val="0"/>
        <w:bidi w:val="0"/>
        <w:spacing w:line="420" w:lineRule="exact"/>
        <w:ind w:firstLine="464" w:firstLineChars="200"/>
        <w:textAlignment w:val="auto"/>
        <w:rPr>
          <w:rStyle w:val="57"/>
          <w:rFonts w:hint="eastAsia" w:ascii="宋体" w:hAnsi="宋体" w:eastAsia="宋体" w:cs="宋体"/>
          <w:color w:val="auto"/>
          <w:spacing w:val="-4"/>
          <w:sz w:val="24"/>
          <w:szCs w:val="24"/>
          <w:highlight w:val="none"/>
        </w:rPr>
      </w:pPr>
      <w:r>
        <w:rPr>
          <w:rStyle w:val="57"/>
          <w:rFonts w:hint="eastAsia" w:ascii="宋体" w:hAnsi="宋体" w:eastAsia="宋体" w:cs="宋体"/>
          <w:color w:val="auto"/>
          <w:spacing w:val="-4"/>
          <w:sz w:val="24"/>
          <w:szCs w:val="24"/>
          <w:highlight w:val="none"/>
        </w:rPr>
        <w:t>21.5发包人招标文件及相关答疑均视为合同约定内容，如承包人不遵守，则视为承包人违约。</w:t>
      </w:r>
    </w:p>
    <w:p w14:paraId="7358894A">
      <w:pPr>
        <w:pStyle w:val="257"/>
        <w:pageBreakBefore w:val="0"/>
        <w:kinsoku/>
        <w:overflowPunct/>
        <w:topLinePunct w:val="0"/>
        <w:bidi w:val="0"/>
        <w:spacing w:line="420" w:lineRule="exact"/>
        <w:ind w:left="2" w:leftChars="1" w:firstLine="480" w:firstLineChars="200"/>
        <w:textAlignment w:val="auto"/>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21.6承包人应有具体措施，保证任何临时和永久性工程中不使用政府明令禁止使用的对人体有害的任何材料和方法，同时也不会在永久性工程中使用政府虽未明令禁止但会给人带来不适感觉或嗅觉的任何材料和添加剂，承包人违背此项约定的责任和后果由承包人完全负责。</w:t>
      </w:r>
    </w:p>
    <w:p w14:paraId="3997304F">
      <w:pPr>
        <w:pStyle w:val="257"/>
        <w:pageBreakBefore w:val="0"/>
        <w:kinsoku/>
        <w:overflowPunct/>
        <w:topLinePunct w:val="0"/>
        <w:bidi w:val="0"/>
        <w:spacing w:line="420" w:lineRule="exact"/>
        <w:ind w:left="2" w:leftChars="1" w:firstLine="480" w:firstLineChars="200"/>
        <w:textAlignment w:val="auto"/>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21.7对于发包人认为不合格的项目管理人员，发包人有权要求更换，在发包人提出书面更换要求7个工作日内，承包人将合格的项目管理人员更换到位。</w:t>
      </w:r>
    </w:p>
    <w:p w14:paraId="24E3576F">
      <w:pPr>
        <w:pStyle w:val="257"/>
        <w:pageBreakBefore w:val="0"/>
        <w:kinsoku/>
        <w:overflowPunct/>
        <w:topLinePunct w:val="0"/>
        <w:bidi w:val="0"/>
        <w:spacing w:line="420" w:lineRule="exact"/>
        <w:ind w:left="2" w:leftChars="1" w:firstLine="480" w:firstLineChars="200"/>
        <w:textAlignment w:val="auto"/>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21.8合同总价包括了竣工资料编制费，并由总承包单位统一归档；如果竣工资料编制不合格，无法正常移交档案馆，由承包人承担一切责任和费用。</w:t>
      </w:r>
    </w:p>
    <w:p w14:paraId="496DFF3E">
      <w:pPr>
        <w:pStyle w:val="257"/>
        <w:pageBreakBefore w:val="0"/>
        <w:kinsoku/>
        <w:overflowPunct/>
        <w:topLinePunct w:val="0"/>
        <w:bidi w:val="0"/>
        <w:spacing w:line="420" w:lineRule="exact"/>
        <w:ind w:left="2" w:leftChars="1" w:firstLine="480" w:firstLineChars="200"/>
        <w:textAlignment w:val="auto"/>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21.9承包人不得转包。</w:t>
      </w:r>
    </w:p>
    <w:p w14:paraId="21AE21FE">
      <w:pPr>
        <w:pStyle w:val="257"/>
        <w:pageBreakBefore w:val="0"/>
        <w:kinsoku/>
        <w:overflowPunct/>
        <w:topLinePunct w:val="0"/>
        <w:bidi w:val="0"/>
        <w:spacing w:line="420" w:lineRule="exact"/>
        <w:ind w:firstLine="480" w:firstLineChars="200"/>
        <w:textAlignment w:val="auto"/>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21.10合同总价包括了本分包范围所有现场垃圾的清运费用。承包人应在接到发包人清场通知后3天内，将承包人的所有的临设（包括基础等）及材料、设备全部撤场；否则发包人将自行找人清理，费用由承包人方负责。</w:t>
      </w:r>
    </w:p>
    <w:p w14:paraId="5EED9FAF">
      <w:pPr>
        <w:pStyle w:val="257"/>
        <w:pageBreakBefore w:val="0"/>
        <w:kinsoku/>
        <w:overflowPunct/>
        <w:topLinePunct w:val="0"/>
        <w:bidi w:val="0"/>
        <w:spacing w:line="420" w:lineRule="exact"/>
        <w:ind w:left="2" w:leftChars="1" w:firstLine="480" w:firstLineChars="200"/>
        <w:textAlignment w:val="auto"/>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21.11竣工清理和成品保护：进行承包人承包范围内的竣工清理和成品保护工作，费用已含在合同总价中。</w:t>
      </w:r>
    </w:p>
    <w:p w14:paraId="0A52D1E1">
      <w:pPr>
        <w:pStyle w:val="257"/>
        <w:pageBreakBefore w:val="0"/>
        <w:kinsoku/>
        <w:overflowPunct/>
        <w:topLinePunct w:val="0"/>
        <w:bidi w:val="0"/>
        <w:spacing w:line="420" w:lineRule="exact"/>
        <w:ind w:left="2" w:leftChars="1" w:firstLine="480" w:firstLineChars="200"/>
        <w:textAlignment w:val="auto"/>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21.12结算依据的整理工作：</w:t>
      </w:r>
    </w:p>
    <w:p w14:paraId="06E696AD">
      <w:pPr>
        <w:pStyle w:val="257"/>
        <w:pageBreakBefore w:val="0"/>
        <w:kinsoku/>
        <w:overflowPunct/>
        <w:topLinePunct w:val="0"/>
        <w:bidi w:val="0"/>
        <w:spacing w:line="420" w:lineRule="exact"/>
        <w:ind w:left="2"/>
        <w:textAlignment w:val="auto"/>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 xml:space="preserve">   图纸外需增加费</w:t>
      </w:r>
      <w:r>
        <w:rPr>
          <w:rStyle w:val="57"/>
          <w:rFonts w:hint="eastAsia" w:ascii="宋体" w:hAnsi="宋体" w:cs="宋体"/>
          <w:color w:val="auto"/>
          <w:sz w:val="24"/>
          <w:szCs w:val="24"/>
          <w:highlight w:val="none"/>
          <w:lang w:eastAsia="zh-CN"/>
        </w:rPr>
        <w:t>用的</w:t>
      </w:r>
      <w:r>
        <w:rPr>
          <w:rStyle w:val="57"/>
          <w:rFonts w:hint="eastAsia" w:ascii="宋体" w:hAnsi="宋体" w:eastAsia="宋体" w:cs="宋体"/>
          <w:color w:val="auto"/>
          <w:sz w:val="24"/>
          <w:szCs w:val="24"/>
          <w:highlight w:val="none"/>
        </w:rPr>
        <w:t xml:space="preserve">任何工程实施（包括变更洽商、合同外新增工程、各种索赔等），必须有承包人负责人签字确认，并在变更后14天内将增减的费用报送监理和发包人，否则结算时不予办理；核减的洽商据实结算。  </w:t>
      </w:r>
    </w:p>
    <w:p w14:paraId="3A0B6BB5">
      <w:pPr>
        <w:pStyle w:val="257"/>
        <w:pageBreakBefore w:val="0"/>
        <w:kinsoku/>
        <w:overflowPunct/>
        <w:topLinePunct w:val="0"/>
        <w:bidi w:val="0"/>
        <w:spacing w:line="420" w:lineRule="exact"/>
        <w:ind w:left="2" w:leftChars="1" w:firstLine="480" w:firstLineChars="200"/>
        <w:textAlignment w:val="auto"/>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21.13农民工工资的有关规定按国家或地方有关政策或文件执行。禁止承包人拖欠劳务人员（农民工）工资。承包人承诺将发包人付款直接发到劳务人员（农民工）的手中，按国家或地方规定建立农民工工资制度，与全部劳务人员签订正式的劳动合同，将农民工工资每月直接打到农民工的工资卡（</w:t>
      </w:r>
      <w:r>
        <w:rPr>
          <w:rStyle w:val="57"/>
          <w:rFonts w:hint="eastAsia" w:ascii="宋体" w:hAnsi="宋体" w:cs="宋体"/>
          <w:color w:val="auto"/>
          <w:sz w:val="24"/>
          <w:szCs w:val="24"/>
          <w:highlight w:val="none"/>
          <w:lang w:eastAsia="zh-CN"/>
        </w:rPr>
        <w:t>银行账户</w:t>
      </w:r>
      <w:r>
        <w:rPr>
          <w:rStyle w:val="57"/>
          <w:rFonts w:hint="eastAsia" w:ascii="宋体" w:hAnsi="宋体" w:eastAsia="宋体" w:cs="宋体"/>
          <w:color w:val="auto"/>
          <w:sz w:val="24"/>
          <w:szCs w:val="24"/>
          <w:highlight w:val="none"/>
        </w:rPr>
        <w:t>）中。承包人将每月农民工的工资发放记录和签字表交给发包人工程部，否则发包人在下月付款时有权不予支付。</w:t>
      </w:r>
    </w:p>
    <w:p w14:paraId="39714E7E">
      <w:pPr>
        <w:pStyle w:val="257"/>
        <w:pageBreakBefore w:val="0"/>
        <w:kinsoku/>
        <w:overflowPunct/>
        <w:topLinePunct w:val="0"/>
        <w:bidi w:val="0"/>
        <w:spacing w:line="420" w:lineRule="exact"/>
        <w:ind w:left="2" w:leftChars="1" w:firstLine="480" w:firstLineChars="200"/>
        <w:textAlignment w:val="auto"/>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承包人应按月足额发放全部工人工资，若承包人有拖欠工人工资的现象，发包单位可考虑代付该部分工人工资，并从当月工程进度款中扣回。由此引发的工人罢工、闹事等不良后果，承包人应承担全部责任，发包单位可视情节要求</w:t>
      </w:r>
      <w:r>
        <w:rPr>
          <w:rStyle w:val="57"/>
          <w:rFonts w:hint="eastAsia" w:ascii="宋体" w:hAnsi="宋体" w:cs="宋体"/>
          <w:color w:val="auto"/>
          <w:sz w:val="24"/>
          <w:szCs w:val="24"/>
          <w:highlight w:val="none"/>
          <w:lang w:eastAsia="zh-CN"/>
        </w:rPr>
        <w:t>承包人</w:t>
      </w:r>
      <w:r>
        <w:rPr>
          <w:rStyle w:val="57"/>
          <w:rFonts w:hint="eastAsia" w:ascii="宋体" w:hAnsi="宋体" w:eastAsia="宋体" w:cs="宋体"/>
          <w:color w:val="auto"/>
          <w:sz w:val="24"/>
          <w:szCs w:val="24"/>
          <w:highlight w:val="none"/>
        </w:rPr>
        <w:t>支付一定的违约金。</w:t>
      </w:r>
    </w:p>
    <w:p w14:paraId="0C52750C">
      <w:pPr>
        <w:pStyle w:val="257"/>
        <w:pageBreakBefore w:val="0"/>
        <w:kinsoku/>
        <w:overflowPunct/>
        <w:topLinePunct w:val="0"/>
        <w:bidi w:val="0"/>
        <w:spacing w:line="420" w:lineRule="exact"/>
        <w:ind w:left="2" w:leftChars="1" w:firstLine="480" w:firstLineChars="200"/>
        <w:textAlignment w:val="auto"/>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21.14承包人应考虑工程现场的特殊地理位置，现场应达到南宁市对现场安全文明施工要求；承包人应对安全及文明施工费用做到专款专用。若违反政府有关规定，在发包人两次指出仍未达到要求时，承包人须支付相应的违约金；施工现场因承包人原因如出现重大安全事故，一切费用由承包人负责，并在结算时按安全文明施工费金额作为违约金予以扣罚。且发包人有权解除合同。</w:t>
      </w:r>
    </w:p>
    <w:p w14:paraId="5C877E99">
      <w:pPr>
        <w:pStyle w:val="257"/>
        <w:pageBreakBefore w:val="0"/>
        <w:kinsoku/>
        <w:overflowPunct/>
        <w:topLinePunct w:val="0"/>
        <w:bidi w:val="0"/>
        <w:spacing w:line="420" w:lineRule="exact"/>
        <w:ind w:left="2" w:leftChars="1" w:firstLine="480" w:firstLineChars="200"/>
        <w:textAlignment w:val="auto"/>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21.15监理单位具有根据本工程需要发出有关工程质量、进度、造价、安全管理、经济处罚等工作联系函或指令的权利，上述工作联系函或指令经发包人同意后，承包人必须执行。</w:t>
      </w:r>
    </w:p>
    <w:p w14:paraId="4C3809C3">
      <w:pPr>
        <w:pStyle w:val="257"/>
        <w:pageBreakBefore w:val="0"/>
        <w:kinsoku/>
        <w:overflowPunct/>
        <w:topLinePunct w:val="0"/>
        <w:bidi w:val="0"/>
        <w:spacing w:line="420" w:lineRule="exact"/>
        <w:ind w:firstLine="480" w:firstLineChars="200"/>
        <w:textAlignment w:val="auto"/>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21.16发包人仅提供现场水、电的源头，其余接管、接线、装表等均由承包人负责，水电费由承包人缴纳。水电费及计量表等费用均已包含在承包人合同造价内。</w:t>
      </w:r>
    </w:p>
    <w:p w14:paraId="14123110">
      <w:pPr>
        <w:pStyle w:val="257"/>
        <w:pageBreakBefore w:val="0"/>
        <w:kinsoku/>
        <w:overflowPunct/>
        <w:topLinePunct w:val="0"/>
        <w:bidi w:val="0"/>
        <w:spacing w:line="420" w:lineRule="exact"/>
        <w:ind w:left="2" w:leftChars="1" w:firstLine="480" w:firstLineChars="200"/>
        <w:textAlignment w:val="auto"/>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21.17如果发包人发现承包人无本专业工程的施工能力，或者承包人无继续合作本工程的诚意，发包人有权解除合同，承包人予以服从并及时退场。若承包人以任何理由要挟发包人管理人员或有妨碍工程施工进度的行为，发包人将视同承包方违约，结算时扣除合同价的10%作为违约金。</w:t>
      </w:r>
    </w:p>
    <w:p w14:paraId="0A51D32A">
      <w:pPr>
        <w:pStyle w:val="257"/>
        <w:pageBreakBefore w:val="0"/>
        <w:kinsoku/>
        <w:overflowPunct/>
        <w:topLinePunct w:val="0"/>
        <w:bidi w:val="0"/>
        <w:spacing w:line="420" w:lineRule="exact"/>
        <w:ind w:firstLine="480" w:firstLineChars="200"/>
        <w:jc w:val="left"/>
        <w:textAlignment w:val="auto"/>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 xml:space="preserve">21.18  本专用条款未约定的均按本合同通用条款规定执行。  </w:t>
      </w:r>
    </w:p>
    <w:p w14:paraId="5BFDA94B">
      <w:pPr>
        <w:pStyle w:val="257"/>
        <w:pageBreakBefore w:val="0"/>
        <w:kinsoku/>
        <w:overflowPunct/>
        <w:topLinePunct w:val="0"/>
        <w:bidi w:val="0"/>
        <w:spacing w:line="420" w:lineRule="exact"/>
        <w:ind w:firstLine="480" w:firstLineChars="200"/>
        <w:jc w:val="left"/>
        <w:textAlignment w:val="auto"/>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21.19因任何一方违约致使相对方采取诉讼方式实现债权的，违约方应承担相对方为此支付的合理费用，包括但不限于诉讼费、律师费、差旅费等。</w:t>
      </w:r>
    </w:p>
    <w:p w14:paraId="003B332C">
      <w:pPr>
        <w:pStyle w:val="257"/>
        <w:pageBreakBefore w:val="0"/>
        <w:kinsoku/>
        <w:overflowPunct/>
        <w:topLinePunct w:val="0"/>
        <w:bidi w:val="0"/>
        <w:spacing w:line="420" w:lineRule="exact"/>
        <w:ind w:firstLine="480" w:firstLineChars="200"/>
        <w:jc w:val="left"/>
        <w:textAlignment w:val="auto"/>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21.20本合同不受任何一方法人代表或单位名称的变更而改变合作性质和合同约定。</w:t>
      </w:r>
    </w:p>
    <w:p w14:paraId="0C688224">
      <w:pPr>
        <w:pStyle w:val="257"/>
        <w:pageBreakBefore w:val="0"/>
        <w:kinsoku/>
        <w:overflowPunct/>
        <w:topLinePunct w:val="0"/>
        <w:bidi w:val="0"/>
        <w:spacing w:line="420" w:lineRule="exact"/>
        <w:ind w:firstLine="480" w:firstLineChars="200"/>
        <w:jc w:val="left"/>
        <w:textAlignment w:val="auto"/>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21.21本合同未约定其他事项，双方可签订补充协议。补充协议与本合同具有同等法律效力。</w:t>
      </w:r>
    </w:p>
    <w:p w14:paraId="6F013DE1">
      <w:pPr>
        <w:pStyle w:val="257"/>
        <w:pageBreakBefore w:val="0"/>
        <w:kinsoku/>
        <w:overflowPunct/>
        <w:topLinePunct w:val="0"/>
        <w:bidi w:val="0"/>
        <w:spacing w:line="420" w:lineRule="exact"/>
        <w:ind w:firstLine="480" w:firstLineChars="200"/>
        <w:jc w:val="left"/>
        <w:textAlignment w:val="auto"/>
        <w:rPr>
          <w:rStyle w:val="57"/>
          <w:rFonts w:hint="eastAsia" w:ascii="宋体" w:hAnsi="宋体" w:eastAsia="宋体" w:cs="宋体"/>
          <w:color w:val="auto"/>
          <w:sz w:val="24"/>
          <w:szCs w:val="24"/>
          <w:highlight w:val="none"/>
          <w:lang w:val="en-US" w:eastAsia="zh-CN"/>
        </w:rPr>
      </w:pPr>
      <w:r>
        <w:rPr>
          <w:rStyle w:val="57"/>
          <w:rFonts w:hint="eastAsia" w:ascii="宋体" w:hAnsi="宋体" w:eastAsia="宋体" w:cs="宋体"/>
          <w:color w:val="auto"/>
          <w:sz w:val="24"/>
          <w:szCs w:val="24"/>
          <w:highlight w:val="none"/>
          <w:lang w:val="en-US" w:eastAsia="zh-CN"/>
        </w:rPr>
        <w:t>21.22 土石方工程的取土场、弃土场的租用、青苗补偿、场地恢复、平整、压实、检测、临时道路等一切作业费用由投标人自行考虑。施工过程不对土石方类别、施工机械、转运、降水、排水等其他费用，含政府临时性管制政策影响因素而发生的费用，如城乡清洁工程管理要求等因素进行费用签证。</w:t>
      </w:r>
    </w:p>
    <w:p w14:paraId="2723ABFB">
      <w:pPr>
        <w:pStyle w:val="257"/>
        <w:pageBreakBefore w:val="0"/>
        <w:kinsoku/>
        <w:overflowPunct/>
        <w:topLinePunct w:val="0"/>
        <w:bidi w:val="0"/>
        <w:spacing w:line="420" w:lineRule="exact"/>
        <w:ind w:firstLine="480" w:firstLineChars="200"/>
        <w:jc w:val="left"/>
        <w:textAlignment w:val="auto"/>
        <w:rPr>
          <w:rStyle w:val="57"/>
          <w:rFonts w:hint="eastAsia" w:ascii="宋体" w:hAnsi="宋体" w:eastAsia="宋体" w:cs="宋体"/>
          <w:color w:val="auto"/>
          <w:sz w:val="24"/>
          <w:szCs w:val="24"/>
          <w:highlight w:val="none"/>
          <w:lang w:val="en-US" w:eastAsia="zh-CN"/>
        </w:rPr>
      </w:pPr>
      <w:r>
        <w:rPr>
          <w:rStyle w:val="57"/>
          <w:rFonts w:hint="eastAsia" w:ascii="宋体" w:hAnsi="宋体" w:eastAsia="宋体" w:cs="宋体"/>
          <w:color w:val="auto"/>
          <w:sz w:val="24"/>
          <w:szCs w:val="24"/>
          <w:highlight w:val="none"/>
          <w:lang w:val="en-US" w:eastAsia="zh-CN"/>
        </w:rPr>
        <w:t>21.23项目如出现场内挖方区土方不能利用至回填区(土方不能场内平衡)的情况，承包人应配合发包人、设计单位、地勘单位等相关单位履行内部控制职责，对土方挖运方案和金额进行论证，并提供相关证明材料。</w:t>
      </w:r>
    </w:p>
    <w:p w14:paraId="0DE8F19E">
      <w:pPr>
        <w:pStyle w:val="257"/>
        <w:pageBreakBefore w:val="0"/>
        <w:kinsoku/>
        <w:overflowPunct/>
        <w:topLinePunct w:val="0"/>
        <w:bidi w:val="0"/>
        <w:spacing w:line="420" w:lineRule="exact"/>
        <w:ind w:firstLine="480" w:firstLineChars="200"/>
        <w:jc w:val="left"/>
        <w:textAlignment w:val="auto"/>
        <w:rPr>
          <w:rStyle w:val="57"/>
          <w:rFonts w:hint="eastAsia" w:ascii="宋体" w:hAnsi="宋体" w:eastAsia="宋体" w:cs="宋体"/>
          <w:color w:val="auto"/>
          <w:sz w:val="24"/>
          <w:szCs w:val="24"/>
          <w:highlight w:val="none"/>
          <w:lang w:val="en-US" w:eastAsia="zh-CN"/>
        </w:rPr>
      </w:pPr>
      <w:r>
        <w:rPr>
          <w:rStyle w:val="57"/>
          <w:rFonts w:hint="eastAsia" w:ascii="宋体" w:hAnsi="宋体" w:eastAsia="宋体" w:cs="宋体"/>
          <w:color w:val="auto"/>
          <w:sz w:val="24"/>
          <w:szCs w:val="24"/>
          <w:highlight w:val="none"/>
          <w:lang w:val="en-US" w:eastAsia="zh-CN"/>
        </w:rPr>
        <w:t>21.24承包人应做好现场施工管理，配合发包人和监理单位等相关单位根据南宁市城市建筑垃圾处置许可，对土石方外运工程量、回填借土工程量进行核实，承包人应做好每日运输车辆进出场记录，报发包人和监理等相关单位审核，记录内容包括每台车出入场地时间、车辆车牌号、装载量等，办理签证手续。同时按《南宁市住房和城乡建设局关于调整南宁市建设工地视频监控系统平台的通知》(南住建〔2019〕286号)文件(按各地市有关文件)精神执行，提供真实、完整的项目土石方进出场、隐蔽工程、项目场地的视频监控影像资料。</w:t>
      </w:r>
    </w:p>
    <w:p w14:paraId="1C7CE489">
      <w:pPr>
        <w:pStyle w:val="257"/>
        <w:pageBreakBefore w:val="0"/>
        <w:kinsoku/>
        <w:overflowPunct/>
        <w:topLinePunct w:val="0"/>
        <w:bidi w:val="0"/>
        <w:spacing w:line="420" w:lineRule="exact"/>
        <w:ind w:firstLine="480" w:firstLineChars="200"/>
        <w:jc w:val="left"/>
        <w:textAlignment w:val="auto"/>
        <w:rPr>
          <w:rStyle w:val="57"/>
          <w:rFonts w:hint="eastAsia" w:ascii="宋体" w:hAnsi="宋体" w:eastAsia="宋体" w:cs="宋体"/>
          <w:color w:val="auto"/>
          <w:sz w:val="24"/>
          <w:szCs w:val="24"/>
          <w:highlight w:val="none"/>
          <w:lang w:val="en-US" w:eastAsia="zh-CN"/>
        </w:rPr>
      </w:pPr>
      <w:r>
        <w:rPr>
          <w:rStyle w:val="57"/>
          <w:rFonts w:hint="eastAsia" w:ascii="宋体" w:hAnsi="宋体" w:eastAsia="宋体" w:cs="宋体"/>
          <w:color w:val="auto"/>
          <w:sz w:val="24"/>
          <w:szCs w:val="24"/>
          <w:highlight w:val="none"/>
          <w:lang w:val="en-US" w:eastAsia="zh-CN"/>
        </w:rPr>
        <w:t>21.25 承包人应配合发包人、监理单位等相关单位根据南宁市市政和园林管理局、辖区城市管理局、城市管理综合执法大队等部门的要求，加强土石方运输调配管理，承包人应每三天对外运弃土点、回填取土点、土方车辆运输路线等进行记录，记录内容包括运输时间、车辆车牌号、装载量、运输路线等，并配合发包人和监理单位等相关单位核实，办理签证手续。如运输路线发生变更，承包人应配合发包人、监理单位等相关单位履行内部控制程序，报批审核。同时做好相关证明材料收集和保管，提供真实、完整土石方工程场外弃土、取土车辆运输影像资料(如运输车辆GPS卫星定位行驶记录)。</w:t>
      </w:r>
    </w:p>
    <w:p w14:paraId="2C180F6E">
      <w:pPr>
        <w:pStyle w:val="257"/>
        <w:pageBreakBefore w:val="0"/>
        <w:kinsoku/>
        <w:overflowPunct/>
        <w:topLinePunct w:val="0"/>
        <w:bidi w:val="0"/>
        <w:spacing w:line="420" w:lineRule="exact"/>
        <w:ind w:firstLine="480" w:firstLineChars="200"/>
        <w:jc w:val="left"/>
        <w:textAlignment w:val="auto"/>
        <w:rPr>
          <w:rStyle w:val="57"/>
          <w:rFonts w:hint="eastAsia" w:ascii="宋体" w:hAnsi="宋体" w:eastAsia="宋体" w:cs="宋体"/>
          <w:color w:val="auto"/>
          <w:sz w:val="24"/>
          <w:szCs w:val="24"/>
          <w:highlight w:val="none"/>
          <w:lang w:val="en-US" w:eastAsia="zh-CN"/>
        </w:rPr>
      </w:pPr>
      <w:r>
        <w:rPr>
          <w:rStyle w:val="57"/>
          <w:rFonts w:hint="eastAsia" w:ascii="宋体" w:hAnsi="宋体" w:eastAsia="宋体" w:cs="宋体"/>
          <w:color w:val="auto"/>
          <w:sz w:val="24"/>
          <w:szCs w:val="24"/>
          <w:highlight w:val="none"/>
          <w:lang w:val="en-US" w:eastAsia="zh-CN"/>
        </w:rPr>
        <w:t>21.26 承包人发生的土石方工程费用，应提供经发包人等相关单位核实的真实、完整有效的发票、银行转账凭证、账户或收据、合同等资料。</w:t>
      </w:r>
    </w:p>
    <w:p w14:paraId="131EB6FC">
      <w:pPr>
        <w:pStyle w:val="257"/>
        <w:pageBreakBefore w:val="0"/>
        <w:kinsoku/>
        <w:overflowPunct/>
        <w:topLinePunct w:val="0"/>
        <w:bidi w:val="0"/>
        <w:spacing w:line="420" w:lineRule="exact"/>
        <w:ind w:firstLine="480" w:firstLineChars="200"/>
        <w:jc w:val="left"/>
        <w:textAlignment w:val="auto"/>
        <w:rPr>
          <w:rStyle w:val="57"/>
          <w:rFonts w:hint="eastAsia" w:ascii="宋体" w:hAnsi="宋体" w:eastAsia="宋体" w:cs="宋体"/>
          <w:color w:val="auto"/>
          <w:sz w:val="24"/>
          <w:szCs w:val="24"/>
          <w:highlight w:val="none"/>
          <w:lang w:val="en-US" w:eastAsia="zh-CN"/>
        </w:rPr>
      </w:pPr>
      <w:r>
        <w:rPr>
          <w:rStyle w:val="57"/>
          <w:rFonts w:hint="eastAsia" w:ascii="宋体" w:hAnsi="宋体" w:eastAsia="宋体" w:cs="宋体"/>
          <w:color w:val="auto"/>
          <w:sz w:val="24"/>
          <w:szCs w:val="24"/>
          <w:highlight w:val="none"/>
          <w:lang w:val="en-US" w:eastAsia="zh-CN"/>
        </w:rPr>
        <w:t>21.27 承包人对实际施工与报送竣工结算相符情况负责，如因此出现较大的争议，在不影响工程结构安全的条件下，应配合进行随机钻芯取样抽查，并按设计图纸和抽查结果由点及面推算实际工程量进行竣工结算。</w:t>
      </w:r>
    </w:p>
    <w:p w14:paraId="1063B984">
      <w:pPr>
        <w:pStyle w:val="257"/>
        <w:pageBreakBefore w:val="0"/>
        <w:kinsoku/>
        <w:overflowPunct/>
        <w:topLinePunct w:val="0"/>
        <w:bidi w:val="0"/>
        <w:spacing w:line="420" w:lineRule="exact"/>
        <w:ind w:firstLine="480" w:firstLineChars="200"/>
        <w:jc w:val="left"/>
        <w:textAlignment w:val="auto"/>
        <w:rPr>
          <w:rStyle w:val="57"/>
          <w:rFonts w:hint="eastAsia" w:ascii="宋体" w:hAnsi="宋体" w:eastAsia="宋体" w:cs="宋体"/>
          <w:color w:val="auto"/>
          <w:sz w:val="24"/>
          <w:szCs w:val="24"/>
          <w:highlight w:val="none"/>
          <w:lang w:val="en-US" w:eastAsia="zh-CN"/>
        </w:rPr>
      </w:pPr>
      <w:r>
        <w:rPr>
          <w:rStyle w:val="57"/>
          <w:rFonts w:hint="eastAsia" w:ascii="宋体" w:hAnsi="宋体" w:eastAsia="宋体" w:cs="宋体"/>
          <w:color w:val="auto"/>
          <w:sz w:val="24"/>
          <w:szCs w:val="24"/>
          <w:highlight w:val="none"/>
          <w:lang w:val="en-US" w:eastAsia="zh-CN"/>
        </w:rPr>
        <w:t>21.28承包人在履行职责期间发生的衣、食、住、行等费用自行负责。以任何理由和任何方式接受承包人提供的食宿，向承包人索要钱、物的，委托人有权立即终止合同，同时不支余下的报酬。</w:t>
      </w:r>
    </w:p>
    <w:p w14:paraId="4E561BBF">
      <w:pPr>
        <w:pStyle w:val="257"/>
        <w:pageBreakBefore w:val="0"/>
        <w:kinsoku/>
        <w:overflowPunct/>
        <w:topLinePunct w:val="0"/>
        <w:bidi w:val="0"/>
        <w:spacing w:line="420" w:lineRule="exact"/>
        <w:ind w:firstLine="480" w:firstLineChars="200"/>
        <w:jc w:val="left"/>
        <w:textAlignment w:val="auto"/>
        <w:rPr>
          <w:rStyle w:val="57"/>
          <w:rFonts w:hint="eastAsia" w:ascii="宋体" w:hAnsi="宋体" w:eastAsia="宋体" w:cs="宋体"/>
          <w:color w:val="auto"/>
          <w:sz w:val="24"/>
          <w:szCs w:val="24"/>
          <w:highlight w:val="none"/>
          <w:lang w:val="en-US" w:eastAsia="zh-CN"/>
        </w:rPr>
      </w:pPr>
      <w:r>
        <w:rPr>
          <w:rStyle w:val="57"/>
          <w:rFonts w:hint="eastAsia" w:ascii="宋体" w:hAnsi="宋体" w:eastAsia="宋体" w:cs="宋体"/>
          <w:color w:val="auto"/>
          <w:sz w:val="24"/>
          <w:szCs w:val="24"/>
          <w:highlight w:val="none"/>
          <w:lang w:val="en-US" w:eastAsia="zh-CN"/>
        </w:rPr>
        <w:t>21.29承包人应对签署的工程资料文件负责，如发现有弄虚作假的，第一次发现，承包人向委托人支付违约金5万元；第二次发现，承包人向委托人支付违约金10万元；第三次发现的，承包人向委托人支付违约金20万元，委托人有权立即终止监理合同；如发现不属实、重复、错漏的，每发现一处，承包人向委托人支付违约金5000元/处。</w:t>
      </w:r>
    </w:p>
    <w:p w14:paraId="6876714A">
      <w:pPr>
        <w:pStyle w:val="257"/>
        <w:pageBreakBefore w:val="0"/>
        <w:kinsoku/>
        <w:overflowPunct/>
        <w:topLinePunct w:val="0"/>
        <w:bidi w:val="0"/>
        <w:spacing w:line="420" w:lineRule="exact"/>
        <w:ind w:firstLine="480" w:firstLineChars="200"/>
        <w:jc w:val="left"/>
        <w:textAlignment w:val="auto"/>
        <w:rPr>
          <w:rStyle w:val="57"/>
          <w:rFonts w:hint="eastAsia" w:ascii="宋体" w:hAnsi="宋体" w:eastAsia="宋体" w:cs="宋体"/>
          <w:color w:val="auto"/>
          <w:sz w:val="24"/>
          <w:szCs w:val="24"/>
          <w:highlight w:val="none"/>
          <w:lang w:val="en-US" w:eastAsia="zh-CN"/>
        </w:rPr>
      </w:pPr>
      <w:r>
        <w:rPr>
          <w:rStyle w:val="57"/>
          <w:rFonts w:hint="eastAsia" w:ascii="宋体" w:hAnsi="宋体" w:eastAsia="宋体" w:cs="宋体"/>
          <w:color w:val="auto"/>
          <w:sz w:val="24"/>
          <w:szCs w:val="24"/>
          <w:highlight w:val="none"/>
          <w:lang w:val="en-US" w:eastAsia="zh-CN"/>
        </w:rPr>
        <w:t>21.30施工承包人未按合同归档或提交的，每延误一天，按暂定监理酬金的0.05%向委托人支付违约金，违约金上限：暂定监理酬金的5%。</w:t>
      </w:r>
    </w:p>
    <w:p w14:paraId="06593B0D">
      <w:pPr>
        <w:pStyle w:val="257"/>
        <w:pageBreakBefore w:val="0"/>
        <w:kinsoku/>
        <w:overflowPunct/>
        <w:topLinePunct w:val="0"/>
        <w:bidi w:val="0"/>
        <w:spacing w:line="420" w:lineRule="exact"/>
        <w:ind w:firstLine="480" w:firstLineChars="200"/>
        <w:jc w:val="left"/>
        <w:textAlignment w:val="auto"/>
        <w:rPr>
          <w:rStyle w:val="57"/>
          <w:rFonts w:hint="eastAsia" w:ascii="宋体" w:hAnsi="宋体" w:eastAsia="宋体" w:cs="宋体"/>
          <w:color w:val="auto"/>
          <w:sz w:val="24"/>
          <w:szCs w:val="24"/>
          <w:highlight w:val="none"/>
          <w:lang w:val="en-US" w:eastAsia="zh-CN"/>
        </w:rPr>
      </w:pPr>
      <w:r>
        <w:rPr>
          <w:rStyle w:val="57"/>
          <w:rFonts w:hint="eastAsia" w:ascii="宋体" w:hAnsi="宋体" w:eastAsia="宋体" w:cs="宋体"/>
          <w:color w:val="auto"/>
          <w:sz w:val="24"/>
          <w:szCs w:val="24"/>
          <w:highlight w:val="none"/>
          <w:lang w:val="en-US" w:eastAsia="zh-CN"/>
        </w:rPr>
        <w:t>21.31承包人应当按照《广西壮族自治区建筑工程安全生产管理办法》（广西壮族自治区人民政府令 第124号）、《南宁市建设工程施工现场管理若干规定》（南宁市人民政府令 第8号）等南宁市相关规定执行的规定，对落实安全防护、文明施工措施情况进行有效监督，如果监督不力，发生下列情形的，相应处罚如下：承包人未能及时发现或发现承包人未落实施工组织设计和专项施工方案及相关法律法规中的安全防护、文明施工措施，未要求承包人整改或督促整改不到位，未及时向建设单位报告，被上级行政主管部门或执法检查组下达整改通知书的或被下达工程停工令的，按签约酬金的50000元/次向委托人支付违约金。</w:t>
      </w:r>
    </w:p>
    <w:p w14:paraId="42FB55F8">
      <w:pPr>
        <w:pStyle w:val="257"/>
        <w:pageBreakBefore w:val="0"/>
        <w:kinsoku/>
        <w:overflowPunct/>
        <w:topLinePunct w:val="0"/>
        <w:bidi w:val="0"/>
        <w:spacing w:line="420" w:lineRule="exact"/>
        <w:ind w:firstLine="480" w:firstLineChars="200"/>
        <w:jc w:val="left"/>
        <w:textAlignment w:val="auto"/>
        <w:rPr>
          <w:rStyle w:val="57"/>
          <w:rFonts w:hint="eastAsia" w:ascii="宋体" w:hAnsi="宋体" w:eastAsia="宋体" w:cs="宋体"/>
          <w:color w:val="auto"/>
          <w:sz w:val="24"/>
          <w:szCs w:val="24"/>
          <w:highlight w:val="none"/>
          <w:lang w:val="en-US" w:eastAsia="zh-CN"/>
        </w:rPr>
      </w:pPr>
      <w:r>
        <w:rPr>
          <w:rStyle w:val="57"/>
          <w:rFonts w:hint="eastAsia" w:ascii="宋体" w:hAnsi="宋体" w:eastAsia="宋体" w:cs="宋体"/>
          <w:color w:val="auto"/>
          <w:sz w:val="24"/>
          <w:szCs w:val="24"/>
          <w:highlight w:val="none"/>
          <w:lang w:val="en-US" w:eastAsia="zh-CN"/>
        </w:rPr>
        <w:t>21.32承包人在履行职责期间发生的任何意外人身伤害事故或损失由承包人单位负责。</w:t>
      </w:r>
    </w:p>
    <w:p w14:paraId="2C950B65">
      <w:pPr>
        <w:pStyle w:val="257"/>
        <w:pageBreakBefore w:val="0"/>
        <w:kinsoku/>
        <w:overflowPunct/>
        <w:topLinePunct w:val="0"/>
        <w:bidi w:val="0"/>
        <w:spacing w:line="420" w:lineRule="exact"/>
        <w:ind w:firstLine="480" w:firstLineChars="200"/>
        <w:jc w:val="left"/>
        <w:textAlignment w:val="auto"/>
        <w:rPr>
          <w:rStyle w:val="57"/>
          <w:rFonts w:hint="eastAsia" w:ascii="宋体" w:hAnsi="宋体" w:eastAsia="宋体" w:cs="宋体"/>
          <w:color w:val="auto"/>
          <w:sz w:val="24"/>
          <w:szCs w:val="24"/>
          <w:highlight w:val="none"/>
          <w:lang w:val="en-US" w:eastAsia="zh-CN"/>
        </w:rPr>
      </w:pPr>
      <w:r>
        <w:rPr>
          <w:rStyle w:val="57"/>
          <w:rFonts w:hint="eastAsia" w:ascii="宋体" w:hAnsi="宋体" w:eastAsia="宋体" w:cs="宋体"/>
          <w:color w:val="auto"/>
          <w:sz w:val="24"/>
          <w:szCs w:val="24"/>
          <w:highlight w:val="none"/>
          <w:lang w:val="en-US" w:eastAsia="zh-CN"/>
        </w:rPr>
        <w:t>21.33承包人在工程项目竣工验收合格后三个月按国家及自治区规范要求提交竣工资料，未按时提交的，承包人向委托人支付违约金5000元/天。</w:t>
      </w:r>
    </w:p>
    <w:p w14:paraId="4D61328E">
      <w:pPr>
        <w:pStyle w:val="257"/>
        <w:pageBreakBefore w:val="0"/>
        <w:kinsoku/>
        <w:overflowPunct/>
        <w:topLinePunct w:val="0"/>
        <w:bidi w:val="0"/>
        <w:spacing w:line="420" w:lineRule="exact"/>
        <w:ind w:firstLine="480" w:firstLineChars="200"/>
        <w:jc w:val="left"/>
        <w:textAlignment w:val="auto"/>
        <w:rPr>
          <w:rStyle w:val="57"/>
          <w:rFonts w:hint="eastAsia" w:ascii="宋体" w:hAnsi="宋体" w:eastAsia="宋体" w:cs="宋体"/>
          <w:color w:val="auto"/>
          <w:sz w:val="24"/>
          <w:szCs w:val="24"/>
          <w:highlight w:val="none"/>
          <w:lang w:val="en-US" w:eastAsia="zh-CN"/>
        </w:rPr>
      </w:pPr>
      <w:r>
        <w:rPr>
          <w:rStyle w:val="57"/>
          <w:rFonts w:hint="eastAsia" w:ascii="宋体" w:hAnsi="宋体" w:eastAsia="宋体" w:cs="宋体"/>
          <w:color w:val="auto"/>
          <w:sz w:val="24"/>
          <w:szCs w:val="24"/>
          <w:highlight w:val="none"/>
          <w:lang w:val="en-US" w:eastAsia="zh-CN"/>
        </w:rPr>
        <w:t>21.34加强校园安全文明的管理，在校园内发生下列行为的：施工单位报备车辆不按报备的施工路线行驶、施工单位报备车辆发生超速等不安全行为的，每发现一次，承包人向委托人支付违约金1000元；施工车辆发生洒落不及时处理的，每发现一次，承包人向委托人支付违约金1000元；施工、承包人员出现不安全、不文明行为，每发现一次，承包人向委托人支付违约金1000元。</w:t>
      </w:r>
    </w:p>
    <w:p w14:paraId="5DA4B566">
      <w:pPr>
        <w:pStyle w:val="257"/>
        <w:pageBreakBefore w:val="0"/>
        <w:kinsoku/>
        <w:overflowPunct/>
        <w:topLinePunct w:val="0"/>
        <w:bidi w:val="0"/>
        <w:spacing w:line="420" w:lineRule="exact"/>
        <w:ind w:firstLine="480" w:firstLineChars="200"/>
        <w:jc w:val="left"/>
        <w:textAlignment w:val="auto"/>
        <w:rPr>
          <w:rStyle w:val="57"/>
          <w:rFonts w:hint="eastAsia" w:ascii="宋体" w:hAnsi="宋体" w:eastAsia="宋体" w:cs="宋体"/>
          <w:color w:val="auto"/>
          <w:sz w:val="24"/>
          <w:szCs w:val="24"/>
          <w:highlight w:val="none"/>
          <w:lang w:val="en-US" w:eastAsia="zh-CN"/>
        </w:rPr>
      </w:pPr>
      <w:r>
        <w:rPr>
          <w:rStyle w:val="57"/>
          <w:rFonts w:hint="eastAsia" w:ascii="宋体" w:hAnsi="宋体" w:eastAsia="宋体" w:cs="宋体"/>
          <w:color w:val="auto"/>
          <w:sz w:val="24"/>
          <w:szCs w:val="24"/>
          <w:highlight w:val="none"/>
          <w:lang w:val="en-US" w:eastAsia="zh-CN"/>
        </w:rPr>
        <w:t>21.35施工现场发生安全文明行为未及时进行处理的，每发现一次，承包人向委托人支付违约金1000元。</w:t>
      </w:r>
    </w:p>
    <w:p w14:paraId="06E871E9">
      <w:pPr>
        <w:pStyle w:val="257"/>
        <w:pageBreakBefore w:val="0"/>
        <w:kinsoku/>
        <w:overflowPunct/>
        <w:topLinePunct w:val="0"/>
        <w:bidi w:val="0"/>
        <w:spacing w:line="420" w:lineRule="exact"/>
        <w:ind w:firstLine="480" w:firstLineChars="200"/>
        <w:jc w:val="left"/>
        <w:textAlignment w:val="auto"/>
        <w:rPr>
          <w:rStyle w:val="57"/>
          <w:rFonts w:hint="eastAsia" w:ascii="宋体" w:hAnsi="宋体" w:eastAsia="宋体" w:cs="宋体"/>
          <w:color w:val="auto"/>
          <w:sz w:val="24"/>
          <w:szCs w:val="24"/>
          <w:highlight w:val="none"/>
          <w:lang w:val="en-US" w:eastAsia="zh-CN"/>
        </w:rPr>
      </w:pPr>
      <w:r>
        <w:rPr>
          <w:rStyle w:val="57"/>
          <w:rFonts w:hint="eastAsia" w:ascii="宋体" w:hAnsi="宋体" w:eastAsia="宋体" w:cs="宋体"/>
          <w:color w:val="auto"/>
          <w:sz w:val="24"/>
          <w:szCs w:val="24"/>
          <w:highlight w:val="none"/>
          <w:lang w:val="en-US" w:eastAsia="zh-CN"/>
        </w:rPr>
        <w:t>21.36承包人应加强施工环境保护监督，出现以下情形的，承包人每次向委托人支付违约金1000元：承包人未在巡视、旁站中检査承包人制订的环境保护措施落实情况的；发现施工中存在违反有关环保规定、未按合同要求落实环保措施的情况，承包人未及时书面要求承包人整改的；承包人不按扬尘治理专项行动目标责任书要求督促承包人落实扬尘污染治理的等。</w:t>
      </w:r>
    </w:p>
    <w:p w14:paraId="6096B092">
      <w:pPr>
        <w:pStyle w:val="257"/>
        <w:pageBreakBefore w:val="0"/>
        <w:kinsoku/>
        <w:overflowPunct/>
        <w:topLinePunct w:val="0"/>
        <w:bidi w:val="0"/>
        <w:spacing w:line="420" w:lineRule="exact"/>
        <w:ind w:firstLine="480" w:firstLineChars="200"/>
        <w:jc w:val="left"/>
        <w:textAlignment w:val="auto"/>
        <w:rPr>
          <w:rStyle w:val="57"/>
          <w:rFonts w:hint="eastAsia" w:ascii="宋体" w:hAnsi="宋体" w:eastAsia="宋体" w:cs="宋体"/>
          <w:color w:val="auto"/>
          <w:sz w:val="24"/>
          <w:szCs w:val="24"/>
          <w:highlight w:val="none"/>
          <w:lang w:val="en-US" w:eastAsia="zh-CN"/>
        </w:rPr>
      </w:pPr>
      <w:r>
        <w:rPr>
          <w:rStyle w:val="57"/>
          <w:rFonts w:hint="eastAsia" w:ascii="宋体" w:hAnsi="宋体" w:eastAsia="宋体" w:cs="宋体"/>
          <w:color w:val="auto"/>
          <w:sz w:val="24"/>
          <w:szCs w:val="24"/>
          <w:highlight w:val="none"/>
          <w:lang w:val="en-US" w:eastAsia="zh-CN"/>
        </w:rPr>
        <w:t>21.37施工现场堆放或正在使用的建筑、装修、水电等材料必须为招标清单中明确的参考品牌之一，如发现其品牌、品种、规格、型号不是合同、清单约定的参考品牌及等级，或其性能参数指标不符合国家及有关规范、标准的要求，或被相关部门认定为假冒伪劣产品，每发现一次，承包人向委托人支付违约金5000元。</w:t>
      </w:r>
    </w:p>
    <w:p w14:paraId="319378D5">
      <w:pPr>
        <w:pStyle w:val="257"/>
        <w:pageBreakBefore w:val="0"/>
        <w:kinsoku/>
        <w:overflowPunct/>
        <w:topLinePunct w:val="0"/>
        <w:bidi w:val="0"/>
        <w:spacing w:line="420" w:lineRule="exact"/>
        <w:ind w:firstLine="480" w:firstLineChars="200"/>
        <w:jc w:val="left"/>
        <w:textAlignment w:val="auto"/>
        <w:rPr>
          <w:rStyle w:val="57"/>
          <w:rFonts w:hint="eastAsia" w:ascii="宋体" w:hAnsi="宋体" w:eastAsia="宋体" w:cs="宋体"/>
          <w:color w:val="auto"/>
          <w:sz w:val="24"/>
          <w:szCs w:val="24"/>
          <w:highlight w:val="none"/>
          <w:lang w:val="en-US" w:eastAsia="zh-CN"/>
        </w:rPr>
      </w:pPr>
      <w:r>
        <w:rPr>
          <w:rStyle w:val="57"/>
          <w:rFonts w:hint="eastAsia" w:ascii="宋体" w:hAnsi="宋体" w:eastAsia="宋体" w:cs="宋体"/>
          <w:color w:val="auto"/>
          <w:sz w:val="24"/>
          <w:szCs w:val="24"/>
          <w:highlight w:val="none"/>
          <w:lang w:val="en-US" w:eastAsia="zh-CN"/>
        </w:rPr>
        <w:t>21.38加强隐蔽工程管理，及时做好影像、图片、文字等资料的收集整理，未及时记录的，每发现一次，承包人向委托人支付违约金50000元。</w:t>
      </w:r>
    </w:p>
    <w:p w14:paraId="3E64BBD4">
      <w:pPr>
        <w:spacing w:line="360" w:lineRule="auto"/>
        <w:ind w:firstLine="420" w:firstLineChars="200"/>
        <w:jc w:val="left"/>
        <w:rPr>
          <w:rFonts w:hint="default" w:hAnsi="宋体" w:cs="宋体"/>
          <w:color w:val="auto"/>
          <w:highlight w:val="none"/>
          <w:lang w:val="en-US" w:eastAsia="zh-CN"/>
        </w:rPr>
      </w:pPr>
    </w:p>
    <w:p w14:paraId="531A8029">
      <w:pPr>
        <w:spacing w:line="360" w:lineRule="auto"/>
        <w:jc w:val="left"/>
        <w:rPr>
          <w:rFonts w:eastAsia="黑体"/>
          <w:b/>
          <w:bCs/>
          <w:color w:val="auto"/>
          <w:sz w:val="28"/>
          <w:szCs w:val="28"/>
          <w:highlight w:val="none"/>
        </w:rPr>
      </w:pPr>
      <w:bookmarkStart w:id="858" w:name="_Toc351203652"/>
      <w:r>
        <w:rPr>
          <w:rFonts w:hint="eastAsia" w:eastAsia="黑体" w:cs="黑体"/>
          <w:b/>
          <w:bCs/>
          <w:color w:val="auto"/>
          <w:sz w:val="28"/>
          <w:szCs w:val="28"/>
          <w:highlight w:val="none"/>
        </w:rPr>
        <w:t>附件</w:t>
      </w:r>
      <w:bookmarkEnd w:id="858"/>
    </w:p>
    <w:p w14:paraId="12452852">
      <w:pPr>
        <w:spacing w:line="360" w:lineRule="auto"/>
        <w:jc w:val="left"/>
        <w:rPr>
          <w:rFonts w:hint="eastAsia" w:ascii="宋体" w:hAnsi="宋体" w:cs="宋体"/>
          <w:color w:val="auto"/>
          <w:highlight w:val="none"/>
        </w:rPr>
      </w:pPr>
      <w:r>
        <w:rPr>
          <w:rFonts w:hint="eastAsia" w:ascii="宋体" w:hAnsi="宋体" w:cs="宋体"/>
          <w:color w:val="auto"/>
          <w:highlight w:val="none"/>
        </w:rPr>
        <w:t>附件</w:t>
      </w:r>
      <w:r>
        <w:rPr>
          <w:rFonts w:ascii="宋体" w:hAnsi="宋体" w:cs="宋体"/>
          <w:color w:val="auto"/>
          <w:highlight w:val="none"/>
        </w:rPr>
        <w:t>1</w:t>
      </w:r>
      <w:r>
        <w:rPr>
          <w:rFonts w:hint="eastAsia" w:ascii="宋体" w:hAnsi="宋体" w:cs="宋体"/>
          <w:color w:val="auto"/>
          <w:highlight w:val="none"/>
        </w:rPr>
        <w:t>：承包人承揽工程项目一览表</w:t>
      </w:r>
    </w:p>
    <w:p w14:paraId="1531108A">
      <w:pPr>
        <w:spacing w:line="360" w:lineRule="auto"/>
        <w:jc w:val="left"/>
        <w:rPr>
          <w:rFonts w:ascii="宋体" w:hAnsi="宋体" w:cs="宋体"/>
          <w:color w:val="auto"/>
          <w:highlight w:val="none"/>
        </w:rPr>
      </w:pPr>
      <w:r>
        <w:rPr>
          <w:rFonts w:hint="eastAsia" w:ascii="宋体" w:hAnsi="宋体" w:cs="宋体"/>
          <w:color w:val="auto"/>
          <w:highlight w:val="none"/>
        </w:rPr>
        <w:t>附件2：工程质量保修书</w:t>
      </w:r>
    </w:p>
    <w:p w14:paraId="7730924B">
      <w:pPr>
        <w:spacing w:line="360" w:lineRule="auto"/>
        <w:jc w:val="left"/>
        <w:rPr>
          <w:rFonts w:hint="eastAsia" w:ascii="宋体" w:hAnsi="宋体" w:cs="宋体"/>
          <w:color w:val="auto"/>
          <w:highlight w:val="none"/>
        </w:rPr>
      </w:pPr>
      <w:r>
        <w:rPr>
          <w:rFonts w:ascii="宋体" w:hAnsi="宋体" w:cs="宋体"/>
          <w:color w:val="auto"/>
          <w:highlight w:val="none"/>
        </w:rPr>
        <w:t>附件</w:t>
      </w:r>
      <w:r>
        <w:rPr>
          <w:rFonts w:hint="eastAsia" w:ascii="宋体" w:hAnsi="宋体" w:cs="宋体"/>
          <w:color w:val="auto"/>
          <w:highlight w:val="none"/>
        </w:rPr>
        <w:t>3</w:t>
      </w:r>
      <w:r>
        <w:rPr>
          <w:rFonts w:ascii="宋体" w:hAnsi="宋体" w:cs="宋体"/>
          <w:color w:val="auto"/>
          <w:highlight w:val="none"/>
        </w:rPr>
        <w:t>：主要建设工程文件目录</w:t>
      </w:r>
    </w:p>
    <w:p w14:paraId="0310FB70">
      <w:pPr>
        <w:spacing w:line="360" w:lineRule="auto"/>
        <w:jc w:val="left"/>
        <w:rPr>
          <w:rFonts w:ascii="宋体" w:hAnsi="宋体" w:cs="宋体"/>
          <w:color w:val="auto"/>
          <w:highlight w:val="none"/>
        </w:rPr>
      </w:pPr>
      <w:r>
        <w:rPr>
          <w:rFonts w:hint="eastAsia" w:ascii="宋体" w:hAnsi="宋体" w:cs="宋体"/>
          <w:color w:val="auto"/>
          <w:highlight w:val="none"/>
        </w:rPr>
        <w:t>附件4：承包人用于本工程施工的机械设备表</w:t>
      </w:r>
    </w:p>
    <w:p w14:paraId="53947DFA">
      <w:pPr>
        <w:spacing w:line="360" w:lineRule="auto"/>
        <w:jc w:val="left"/>
        <w:rPr>
          <w:rFonts w:ascii="宋体"/>
          <w:color w:val="auto"/>
          <w:highlight w:val="none"/>
        </w:rPr>
      </w:pPr>
      <w:r>
        <w:rPr>
          <w:rFonts w:hint="eastAsia" w:ascii="宋体" w:hAnsi="宋体" w:cs="宋体"/>
          <w:color w:val="auto"/>
          <w:highlight w:val="none"/>
        </w:rPr>
        <w:t>附件5：承包人主要施工管理人员表</w:t>
      </w:r>
    </w:p>
    <w:p w14:paraId="5CB7F990">
      <w:pPr>
        <w:spacing w:line="360" w:lineRule="auto"/>
        <w:jc w:val="left"/>
        <w:rPr>
          <w:rFonts w:ascii="宋体"/>
          <w:color w:val="auto"/>
          <w:highlight w:val="none"/>
        </w:rPr>
      </w:pPr>
      <w:r>
        <w:rPr>
          <w:rFonts w:hint="eastAsia" w:ascii="宋体" w:hAnsi="宋体" w:cs="宋体"/>
          <w:color w:val="auto"/>
          <w:highlight w:val="none"/>
        </w:rPr>
        <w:t>附件6：分包人主要施工管理人员表</w:t>
      </w:r>
    </w:p>
    <w:p w14:paraId="333DBC44">
      <w:pPr>
        <w:spacing w:line="360" w:lineRule="auto"/>
        <w:jc w:val="left"/>
        <w:rPr>
          <w:rFonts w:ascii="宋体"/>
          <w:color w:val="auto"/>
          <w:highlight w:val="none"/>
        </w:rPr>
      </w:pPr>
      <w:r>
        <w:rPr>
          <w:rFonts w:hint="eastAsia" w:ascii="宋体" w:hAnsi="宋体" w:cs="宋体"/>
          <w:color w:val="auto"/>
          <w:highlight w:val="none"/>
        </w:rPr>
        <w:t>附件7：履约担保格式（独立保函、非独立保函）</w:t>
      </w:r>
    </w:p>
    <w:p w14:paraId="14AC8D05">
      <w:pPr>
        <w:spacing w:line="360" w:lineRule="auto"/>
        <w:jc w:val="left"/>
        <w:rPr>
          <w:rFonts w:hint="eastAsia" w:ascii="宋体" w:hAnsi="宋体" w:cs="宋体"/>
          <w:color w:val="auto"/>
          <w:highlight w:val="none"/>
        </w:rPr>
      </w:pPr>
      <w:r>
        <w:rPr>
          <w:rFonts w:hint="eastAsia" w:ascii="宋体" w:hAnsi="宋体" w:cs="宋体"/>
          <w:color w:val="auto"/>
          <w:highlight w:val="none"/>
        </w:rPr>
        <w:t>附件8：预付款担保格式（独立保函、非独立保函）</w:t>
      </w:r>
    </w:p>
    <w:p w14:paraId="7F898E21">
      <w:pPr>
        <w:spacing w:line="360" w:lineRule="auto"/>
        <w:jc w:val="left"/>
        <w:rPr>
          <w:rFonts w:ascii="宋体" w:hAnsi="宋体" w:cs="宋体"/>
          <w:color w:val="auto"/>
          <w:highlight w:val="none"/>
        </w:rPr>
      </w:pPr>
      <w:r>
        <w:rPr>
          <w:rFonts w:hint="eastAsia" w:ascii="宋体" w:hAnsi="宋体" w:cs="宋体"/>
          <w:color w:val="auto"/>
          <w:highlight w:val="none"/>
        </w:rPr>
        <w:t>附件9：支付担保格式（独立保函、非独立保函）</w:t>
      </w:r>
    </w:p>
    <w:p w14:paraId="7AE96489">
      <w:pPr>
        <w:spacing w:line="360" w:lineRule="auto"/>
        <w:jc w:val="left"/>
        <w:rPr>
          <w:rFonts w:hint="eastAsia"/>
          <w:color w:val="auto"/>
          <w:highlight w:val="none"/>
        </w:rPr>
      </w:pPr>
      <w:r>
        <w:rPr>
          <w:rFonts w:hint="eastAsia" w:ascii="宋体" w:hAnsi="宋体" w:cs="宋体"/>
          <w:color w:val="auto"/>
          <w:highlight w:val="none"/>
        </w:rPr>
        <w:t>附件10：预付款</w:t>
      </w:r>
      <w:r>
        <w:rPr>
          <w:rFonts w:hint="eastAsia"/>
          <w:color w:val="auto"/>
          <w:highlight w:val="none"/>
        </w:rPr>
        <w:t>支付申请（核准）表</w:t>
      </w:r>
    </w:p>
    <w:p w14:paraId="59580AB9">
      <w:pPr>
        <w:spacing w:line="360" w:lineRule="auto"/>
        <w:jc w:val="left"/>
        <w:rPr>
          <w:rFonts w:hint="eastAsia"/>
          <w:color w:val="auto"/>
          <w:highlight w:val="none"/>
        </w:rPr>
      </w:pPr>
      <w:r>
        <w:rPr>
          <w:rFonts w:hint="eastAsia" w:ascii="宋体" w:hAnsi="宋体" w:cs="宋体"/>
          <w:color w:val="auto"/>
          <w:highlight w:val="none"/>
        </w:rPr>
        <w:t>附件11：</w:t>
      </w:r>
      <w:r>
        <w:rPr>
          <w:rFonts w:hint="eastAsia"/>
          <w:color w:val="auto"/>
          <w:highlight w:val="none"/>
        </w:rPr>
        <w:t>进度款支付申请（核准）表</w:t>
      </w:r>
    </w:p>
    <w:p w14:paraId="54F4E63E">
      <w:pPr>
        <w:spacing w:line="360" w:lineRule="auto"/>
        <w:jc w:val="left"/>
        <w:rPr>
          <w:rFonts w:hint="eastAsia"/>
          <w:color w:val="auto"/>
          <w:highlight w:val="none"/>
        </w:rPr>
      </w:pPr>
      <w:r>
        <w:rPr>
          <w:rFonts w:hint="eastAsia" w:ascii="宋体" w:hAnsi="宋体" w:cs="宋体"/>
          <w:color w:val="auto"/>
          <w:highlight w:val="none"/>
        </w:rPr>
        <w:t>附件12：竣工结算</w:t>
      </w:r>
      <w:r>
        <w:rPr>
          <w:rFonts w:hint="eastAsia"/>
          <w:color w:val="auto"/>
          <w:highlight w:val="none"/>
        </w:rPr>
        <w:t>款支付申请（核准）表</w:t>
      </w:r>
    </w:p>
    <w:p w14:paraId="76EA084D">
      <w:pPr>
        <w:spacing w:line="360" w:lineRule="auto"/>
        <w:jc w:val="left"/>
        <w:rPr>
          <w:rFonts w:hint="eastAsia"/>
          <w:color w:val="auto"/>
          <w:highlight w:val="none"/>
        </w:rPr>
      </w:pPr>
      <w:r>
        <w:rPr>
          <w:rFonts w:hint="eastAsia" w:ascii="宋体" w:hAnsi="宋体" w:cs="宋体"/>
          <w:color w:val="auto"/>
          <w:highlight w:val="none"/>
        </w:rPr>
        <w:t>附件13：最终结算</w:t>
      </w:r>
      <w:r>
        <w:rPr>
          <w:rFonts w:hint="eastAsia"/>
          <w:color w:val="auto"/>
          <w:highlight w:val="none"/>
        </w:rPr>
        <w:t>款支付申请（核准）表</w:t>
      </w:r>
    </w:p>
    <w:p w14:paraId="3C8B596A">
      <w:pPr>
        <w:spacing w:line="360" w:lineRule="auto"/>
        <w:jc w:val="left"/>
        <w:rPr>
          <w:rFonts w:hint="eastAsia"/>
          <w:color w:val="auto"/>
          <w:highlight w:val="none"/>
        </w:rPr>
      </w:pPr>
      <w:r>
        <w:rPr>
          <w:rFonts w:hint="eastAsia"/>
          <w:color w:val="auto"/>
          <w:highlight w:val="none"/>
        </w:rPr>
        <w:t>附件14：总价合同进度款支付分解表</w:t>
      </w:r>
    </w:p>
    <w:p w14:paraId="623A8BC4">
      <w:pPr>
        <w:spacing w:line="460" w:lineRule="exact"/>
        <w:ind w:firstLine="420" w:firstLineChars="200"/>
        <w:rPr>
          <w:color w:val="auto"/>
          <w:highlight w:val="none"/>
        </w:rPr>
      </w:pPr>
    </w:p>
    <w:p w14:paraId="1BD40B9C">
      <w:pPr>
        <w:spacing w:line="460" w:lineRule="exact"/>
        <w:ind w:firstLine="420" w:firstLineChars="200"/>
        <w:rPr>
          <w:color w:val="auto"/>
          <w:highlight w:val="none"/>
        </w:rPr>
      </w:pPr>
    </w:p>
    <w:p w14:paraId="2F4FCF88">
      <w:pPr>
        <w:spacing w:line="460" w:lineRule="exact"/>
        <w:ind w:firstLine="420" w:firstLineChars="200"/>
        <w:rPr>
          <w:color w:val="auto"/>
          <w:highlight w:val="none"/>
        </w:rPr>
        <w:sectPr>
          <w:pgSz w:w="11907" w:h="16840"/>
          <w:pgMar w:top="1440" w:right="1440" w:bottom="1440" w:left="1797" w:header="851" w:footer="851" w:gutter="0"/>
          <w:cols w:space="720" w:num="1"/>
          <w:docGrid w:linePitch="312" w:charSpace="0"/>
        </w:sectPr>
      </w:pPr>
    </w:p>
    <w:p w14:paraId="39CFBAEB">
      <w:pPr>
        <w:spacing w:before="120" w:beforeLines="50" w:after="120" w:afterLines="50" w:line="440" w:lineRule="exact"/>
        <w:jc w:val="left"/>
        <w:rPr>
          <w:rFonts w:ascii="仿宋_GB2312" w:eastAsia="仿宋_GB2312"/>
          <w:color w:val="auto"/>
          <w:sz w:val="30"/>
          <w:szCs w:val="30"/>
          <w:highlight w:val="none"/>
        </w:rPr>
      </w:pPr>
      <w:r>
        <w:rPr>
          <w:rFonts w:hint="eastAsia" w:ascii="仿宋_GB2312" w:eastAsia="仿宋_GB2312" w:cs="仿宋_GB2312"/>
          <w:color w:val="auto"/>
          <w:sz w:val="30"/>
          <w:szCs w:val="30"/>
          <w:highlight w:val="none"/>
        </w:rPr>
        <w:t>附件</w:t>
      </w:r>
      <w:r>
        <w:rPr>
          <w:rFonts w:ascii="仿宋_GB2312" w:eastAsia="仿宋_GB2312" w:cs="仿宋_GB2312"/>
          <w:color w:val="auto"/>
          <w:sz w:val="30"/>
          <w:szCs w:val="30"/>
          <w:highlight w:val="none"/>
        </w:rPr>
        <w:t>1</w:t>
      </w:r>
      <w:r>
        <w:rPr>
          <w:rFonts w:hint="eastAsia" w:ascii="仿宋_GB2312" w:eastAsia="仿宋_GB2312" w:cs="仿宋_GB2312"/>
          <w:color w:val="auto"/>
          <w:sz w:val="30"/>
          <w:szCs w:val="30"/>
          <w:highlight w:val="none"/>
        </w:rPr>
        <w:t>：</w:t>
      </w:r>
    </w:p>
    <w:p w14:paraId="19BFC609">
      <w:pPr>
        <w:spacing w:before="120" w:beforeLines="50" w:after="120" w:afterLines="50" w:line="440" w:lineRule="exact"/>
        <w:jc w:val="center"/>
        <w:rPr>
          <w:rFonts w:eastAsia="黑体"/>
          <w:color w:val="auto"/>
          <w:sz w:val="30"/>
          <w:szCs w:val="30"/>
          <w:highlight w:val="none"/>
        </w:rPr>
      </w:pPr>
      <w:r>
        <w:rPr>
          <w:rFonts w:hint="eastAsia" w:eastAsia="黑体" w:cs="黑体"/>
          <w:color w:val="auto"/>
          <w:sz w:val="30"/>
          <w:szCs w:val="30"/>
          <w:highlight w:val="none"/>
        </w:rPr>
        <w:t>承包人承揽工程项目一览表</w:t>
      </w:r>
    </w:p>
    <w:tbl>
      <w:tblPr>
        <w:tblStyle w:val="5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40"/>
        <w:gridCol w:w="1440"/>
        <w:gridCol w:w="1620"/>
        <w:gridCol w:w="1661"/>
        <w:gridCol w:w="850"/>
        <w:gridCol w:w="1560"/>
        <w:gridCol w:w="2126"/>
        <w:gridCol w:w="1417"/>
        <w:gridCol w:w="851"/>
        <w:gridCol w:w="850"/>
      </w:tblGrid>
      <w:tr w14:paraId="3CC8A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440" w:type="dxa"/>
            <w:noWrap w:val="0"/>
            <w:vAlign w:val="center"/>
          </w:tcPr>
          <w:p w14:paraId="1A61D81B">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单位工程名称</w:t>
            </w:r>
          </w:p>
        </w:tc>
        <w:tc>
          <w:tcPr>
            <w:tcW w:w="1440" w:type="dxa"/>
            <w:noWrap w:val="0"/>
            <w:vAlign w:val="center"/>
          </w:tcPr>
          <w:p w14:paraId="73B295FD">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建设规模</w:t>
            </w:r>
          </w:p>
        </w:tc>
        <w:tc>
          <w:tcPr>
            <w:tcW w:w="1620" w:type="dxa"/>
            <w:noWrap w:val="0"/>
            <w:vAlign w:val="center"/>
          </w:tcPr>
          <w:p w14:paraId="1CE1D069">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建筑面积</w:t>
            </w:r>
            <w:r>
              <w:rPr>
                <w:rFonts w:hint="eastAsia" w:eastAsia="仿宋_GB2312" w:cs="仿宋_GB2312"/>
                <w:color w:val="auto"/>
                <w:sz w:val="28"/>
                <w:szCs w:val="28"/>
                <w:highlight w:val="none"/>
                <w:lang w:eastAsia="zh-CN"/>
              </w:rPr>
              <w:t>（</w:t>
            </w:r>
            <w:r>
              <w:rPr>
                <w:rFonts w:hint="eastAsia" w:eastAsia="仿宋_GB2312" w:cs="仿宋_GB2312"/>
                <w:color w:val="auto"/>
                <w:sz w:val="28"/>
                <w:szCs w:val="28"/>
                <w:highlight w:val="none"/>
              </w:rPr>
              <w:t>平方米</w:t>
            </w:r>
            <w:r>
              <w:rPr>
                <w:rFonts w:hint="eastAsia" w:eastAsia="仿宋_GB2312" w:cs="仿宋_GB2312"/>
                <w:color w:val="auto"/>
                <w:sz w:val="28"/>
                <w:szCs w:val="28"/>
                <w:highlight w:val="none"/>
                <w:lang w:eastAsia="zh-CN"/>
              </w:rPr>
              <w:t>）</w:t>
            </w:r>
          </w:p>
        </w:tc>
        <w:tc>
          <w:tcPr>
            <w:tcW w:w="1661" w:type="dxa"/>
            <w:noWrap w:val="0"/>
            <w:vAlign w:val="center"/>
          </w:tcPr>
          <w:p w14:paraId="4342D829">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结构形式</w:t>
            </w:r>
          </w:p>
        </w:tc>
        <w:tc>
          <w:tcPr>
            <w:tcW w:w="850" w:type="dxa"/>
            <w:noWrap w:val="0"/>
            <w:vAlign w:val="center"/>
          </w:tcPr>
          <w:p w14:paraId="595C1BB0">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层数</w:t>
            </w:r>
          </w:p>
        </w:tc>
        <w:tc>
          <w:tcPr>
            <w:tcW w:w="1560" w:type="dxa"/>
            <w:noWrap w:val="0"/>
            <w:vAlign w:val="center"/>
          </w:tcPr>
          <w:p w14:paraId="65C28A0C">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生产能力</w:t>
            </w:r>
          </w:p>
        </w:tc>
        <w:tc>
          <w:tcPr>
            <w:tcW w:w="2126" w:type="dxa"/>
            <w:noWrap w:val="0"/>
            <w:vAlign w:val="center"/>
          </w:tcPr>
          <w:p w14:paraId="485882ED">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设备安装内容</w:t>
            </w:r>
          </w:p>
        </w:tc>
        <w:tc>
          <w:tcPr>
            <w:tcW w:w="1417" w:type="dxa"/>
            <w:noWrap w:val="0"/>
            <w:vAlign w:val="center"/>
          </w:tcPr>
          <w:p w14:paraId="1F3DE582">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合同价格（元）</w:t>
            </w:r>
          </w:p>
        </w:tc>
        <w:tc>
          <w:tcPr>
            <w:tcW w:w="851" w:type="dxa"/>
            <w:noWrap w:val="0"/>
            <w:vAlign w:val="center"/>
          </w:tcPr>
          <w:p w14:paraId="02CD389F">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开工日期</w:t>
            </w:r>
          </w:p>
        </w:tc>
        <w:tc>
          <w:tcPr>
            <w:tcW w:w="850" w:type="dxa"/>
            <w:noWrap w:val="0"/>
            <w:vAlign w:val="center"/>
          </w:tcPr>
          <w:p w14:paraId="5E17E848">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竣工日期</w:t>
            </w:r>
          </w:p>
        </w:tc>
      </w:tr>
      <w:tr w14:paraId="6D3F8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7BA169E4">
            <w:pPr>
              <w:pStyle w:val="21"/>
              <w:keepNext/>
              <w:spacing w:after="0" w:line="440" w:lineRule="exact"/>
              <w:ind w:left="63" w:right="63"/>
              <w:rPr>
                <w:rFonts w:eastAsia="仿宋_GB2312"/>
                <w:color w:val="auto"/>
                <w:sz w:val="30"/>
                <w:szCs w:val="30"/>
                <w:highlight w:val="none"/>
              </w:rPr>
            </w:pPr>
          </w:p>
        </w:tc>
        <w:tc>
          <w:tcPr>
            <w:tcW w:w="1440" w:type="dxa"/>
            <w:noWrap w:val="0"/>
            <w:vAlign w:val="center"/>
          </w:tcPr>
          <w:p w14:paraId="7034C07A">
            <w:pPr>
              <w:pStyle w:val="21"/>
              <w:keepNext/>
              <w:spacing w:after="0" w:line="440" w:lineRule="exact"/>
              <w:ind w:left="63" w:right="63"/>
              <w:rPr>
                <w:rFonts w:eastAsia="仿宋_GB2312"/>
                <w:color w:val="auto"/>
                <w:sz w:val="30"/>
                <w:szCs w:val="30"/>
                <w:highlight w:val="none"/>
              </w:rPr>
            </w:pPr>
          </w:p>
        </w:tc>
        <w:tc>
          <w:tcPr>
            <w:tcW w:w="1620" w:type="dxa"/>
            <w:noWrap w:val="0"/>
            <w:vAlign w:val="center"/>
          </w:tcPr>
          <w:p w14:paraId="774D34C4">
            <w:pPr>
              <w:pStyle w:val="21"/>
              <w:keepNext/>
              <w:spacing w:after="0" w:line="440" w:lineRule="exact"/>
              <w:ind w:left="63" w:right="63"/>
              <w:rPr>
                <w:rFonts w:eastAsia="仿宋_GB2312"/>
                <w:color w:val="auto"/>
                <w:sz w:val="30"/>
                <w:szCs w:val="30"/>
                <w:highlight w:val="none"/>
              </w:rPr>
            </w:pPr>
          </w:p>
        </w:tc>
        <w:tc>
          <w:tcPr>
            <w:tcW w:w="1661" w:type="dxa"/>
            <w:noWrap w:val="0"/>
            <w:vAlign w:val="center"/>
          </w:tcPr>
          <w:p w14:paraId="3366B873">
            <w:pPr>
              <w:pStyle w:val="21"/>
              <w:keepNext/>
              <w:spacing w:after="0" w:line="440" w:lineRule="exact"/>
              <w:ind w:left="63" w:right="63"/>
              <w:rPr>
                <w:rFonts w:eastAsia="仿宋_GB2312"/>
                <w:color w:val="auto"/>
                <w:sz w:val="30"/>
                <w:szCs w:val="30"/>
                <w:highlight w:val="none"/>
              </w:rPr>
            </w:pPr>
          </w:p>
        </w:tc>
        <w:tc>
          <w:tcPr>
            <w:tcW w:w="850" w:type="dxa"/>
            <w:noWrap w:val="0"/>
            <w:vAlign w:val="center"/>
          </w:tcPr>
          <w:p w14:paraId="4BB8E9D6">
            <w:pPr>
              <w:pStyle w:val="21"/>
              <w:keepNext/>
              <w:spacing w:after="0" w:line="440" w:lineRule="exact"/>
              <w:ind w:left="63" w:right="63"/>
              <w:rPr>
                <w:rFonts w:eastAsia="仿宋_GB2312"/>
                <w:color w:val="auto"/>
                <w:sz w:val="30"/>
                <w:szCs w:val="30"/>
                <w:highlight w:val="none"/>
              </w:rPr>
            </w:pPr>
          </w:p>
        </w:tc>
        <w:tc>
          <w:tcPr>
            <w:tcW w:w="1560" w:type="dxa"/>
            <w:noWrap w:val="0"/>
            <w:vAlign w:val="center"/>
          </w:tcPr>
          <w:p w14:paraId="7C0C6A17">
            <w:pPr>
              <w:pStyle w:val="21"/>
              <w:keepNext/>
              <w:spacing w:after="0" w:line="440" w:lineRule="exact"/>
              <w:ind w:left="63" w:right="63"/>
              <w:rPr>
                <w:rFonts w:eastAsia="仿宋_GB2312"/>
                <w:color w:val="auto"/>
                <w:sz w:val="30"/>
                <w:szCs w:val="30"/>
                <w:highlight w:val="none"/>
              </w:rPr>
            </w:pPr>
          </w:p>
        </w:tc>
        <w:tc>
          <w:tcPr>
            <w:tcW w:w="2126" w:type="dxa"/>
            <w:noWrap w:val="0"/>
            <w:vAlign w:val="center"/>
          </w:tcPr>
          <w:p w14:paraId="7209F8F0">
            <w:pPr>
              <w:pStyle w:val="21"/>
              <w:keepNext/>
              <w:spacing w:after="0" w:line="440" w:lineRule="exact"/>
              <w:ind w:left="63" w:right="63"/>
              <w:rPr>
                <w:rFonts w:eastAsia="仿宋_GB2312"/>
                <w:color w:val="auto"/>
                <w:sz w:val="30"/>
                <w:szCs w:val="30"/>
                <w:highlight w:val="none"/>
              </w:rPr>
            </w:pPr>
          </w:p>
        </w:tc>
        <w:tc>
          <w:tcPr>
            <w:tcW w:w="1417" w:type="dxa"/>
            <w:noWrap w:val="0"/>
            <w:vAlign w:val="center"/>
          </w:tcPr>
          <w:p w14:paraId="7EBD75AA">
            <w:pPr>
              <w:pStyle w:val="21"/>
              <w:keepNext/>
              <w:spacing w:after="0" w:line="440" w:lineRule="exact"/>
              <w:ind w:left="63" w:right="63"/>
              <w:rPr>
                <w:rFonts w:eastAsia="仿宋_GB2312"/>
                <w:color w:val="auto"/>
                <w:sz w:val="30"/>
                <w:szCs w:val="30"/>
                <w:highlight w:val="none"/>
              </w:rPr>
            </w:pPr>
          </w:p>
        </w:tc>
        <w:tc>
          <w:tcPr>
            <w:tcW w:w="851" w:type="dxa"/>
            <w:noWrap w:val="0"/>
            <w:vAlign w:val="center"/>
          </w:tcPr>
          <w:p w14:paraId="47A8F211">
            <w:pPr>
              <w:pStyle w:val="21"/>
              <w:keepNext/>
              <w:spacing w:after="0" w:line="440" w:lineRule="exact"/>
              <w:ind w:left="63" w:right="63"/>
              <w:rPr>
                <w:rFonts w:eastAsia="仿宋_GB2312"/>
                <w:color w:val="auto"/>
                <w:sz w:val="30"/>
                <w:szCs w:val="30"/>
                <w:highlight w:val="none"/>
              </w:rPr>
            </w:pPr>
          </w:p>
        </w:tc>
        <w:tc>
          <w:tcPr>
            <w:tcW w:w="850" w:type="dxa"/>
            <w:noWrap w:val="0"/>
            <w:vAlign w:val="center"/>
          </w:tcPr>
          <w:p w14:paraId="4E7B20D8">
            <w:pPr>
              <w:pStyle w:val="21"/>
              <w:keepNext/>
              <w:spacing w:after="0" w:line="440" w:lineRule="exact"/>
              <w:ind w:left="63" w:right="63"/>
              <w:rPr>
                <w:rFonts w:eastAsia="仿宋_GB2312"/>
                <w:color w:val="auto"/>
                <w:sz w:val="30"/>
                <w:szCs w:val="30"/>
                <w:highlight w:val="none"/>
              </w:rPr>
            </w:pPr>
          </w:p>
        </w:tc>
      </w:tr>
      <w:tr w14:paraId="3ACEF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524E2225">
            <w:pPr>
              <w:pStyle w:val="21"/>
              <w:keepNext/>
              <w:spacing w:after="0" w:line="440" w:lineRule="exact"/>
              <w:ind w:left="63" w:right="63"/>
              <w:rPr>
                <w:rFonts w:eastAsia="仿宋_GB2312"/>
                <w:color w:val="auto"/>
                <w:sz w:val="30"/>
                <w:szCs w:val="30"/>
                <w:highlight w:val="none"/>
              </w:rPr>
            </w:pPr>
          </w:p>
        </w:tc>
        <w:tc>
          <w:tcPr>
            <w:tcW w:w="1440" w:type="dxa"/>
            <w:noWrap w:val="0"/>
            <w:vAlign w:val="center"/>
          </w:tcPr>
          <w:p w14:paraId="034AADB0">
            <w:pPr>
              <w:pStyle w:val="21"/>
              <w:keepNext/>
              <w:spacing w:after="0" w:line="440" w:lineRule="exact"/>
              <w:ind w:left="63" w:right="63"/>
              <w:rPr>
                <w:rFonts w:eastAsia="仿宋_GB2312"/>
                <w:color w:val="auto"/>
                <w:sz w:val="30"/>
                <w:szCs w:val="30"/>
                <w:highlight w:val="none"/>
              </w:rPr>
            </w:pPr>
          </w:p>
        </w:tc>
        <w:tc>
          <w:tcPr>
            <w:tcW w:w="1620" w:type="dxa"/>
            <w:noWrap w:val="0"/>
            <w:vAlign w:val="center"/>
          </w:tcPr>
          <w:p w14:paraId="0B3E25CB">
            <w:pPr>
              <w:pStyle w:val="21"/>
              <w:keepNext/>
              <w:spacing w:after="0" w:line="440" w:lineRule="exact"/>
              <w:ind w:left="63" w:right="63"/>
              <w:rPr>
                <w:rFonts w:eastAsia="仿宋_GB2312"/>
                <w:color w:val="auto"/>
                <w:sz w:val="30"/>
                <w:szCs w:val="30"/>
                <w:highlight w:val="none"/>
              </w:rPr>
            </w:pPr>
          </w:p>
        </w:tc>
        <w:tc>
          <w:tcPr>
            <w:tcW w:w="1661" w:type="dxa"/>
            <w:noWrap w:val="0"/>
            <w:vAlign w:val="center"/>
          </w:tcPr>
          <w:p w14:paraId="45EFBDFD">
            <w:pPr>
              <w:pStyle w:val="21"/>
              <w:keepNext/>
              <w:spacing w:after="0" w:line="440" w:lineRule="exact"/>
              <w:ind w:left="63" w:right="63"/>
              <w:rPr>
                <w:rFonts w:eastAsia="仿宋_GB2312"/>
                <w:color w:val="auto"/>
                <w:sz w:val="30"/>
                <w:szCs w:val="30"/>
                <w:highlight w:val="none"/>
              </w:rPr>
            </w:pPr>
          </w:p>
        </w:tc>
        <w:tc>
          <w:tcPr>
            <w:tcW w:w="850" w:type="dxa"/>
            <w:noWrap w:val="0"/>
            <w:vAlign w:val="center"/>
          </w:tcPr>
          <w:p w14:paraId="1A688C68">
            <w:pPr>
              <w:pStyle w:val="21"/>
              <w:keepNext/>
              <w:spacing w:after="0" w:line="440" w:lineRule="exact"/>
              <w:ind w:left="63" w:right="63"/>
              <w:rPr>
                <w:rFonts w:eastAsia="仿宋_GB2312"/>
                <w:color w:val="auto"/>
                <w:sz w:val="30"/>
                <w:szCs w:val="30"/>
                <w:highlight w:val="none"/>
              </w:rPr>
            </w:pPr>
          </w:p>
        </w:tc>
        <w:tc>
          <w:tcPr>
            <w:tcW w:w="1560" w:type="dxa"/>
            <w:noWrap w:val="0"/>
            <w:vAlign w:val="center"/>
          </w:tcPr>
          <w:p w14:paraId="7A65116F">
            <w:pPr>
              <w:pStyle w:val="21"/>
              <w:keepNext/>
              <w:spacing w:after="0" w:line="440" w:lineRule="exact"/>
              <w:ind w:left="63" w:right="63"/>
              <w:rPr>
                <w:rFonts w:eastAsia="仿宋_GB2312"/>
                <w:color w:val="auto"/>
                <w:sz w:val="30"/>
                <w:szCs w:val="30"/>
                <w:highlight w:val="none"/>
              </w:rPr>
            </w:pPr>
          </w:p>
        </w:tc>
        <w:tc>
          <w:tcPr>
            <w:tcW w:w="2126" w:type="dxa"/>
            <w:noWrap w:val="0"/>
            <w:vAlign w:val="center"/>
          </w:tcPr>
          <w:p w14:paraId="3C37FA57">
            <w:pPr>
              <w:pStyle w:val="21"/>
              <w:keepNext/>
              <w:spacing w:after="0" w:line="440" w:lineRule="exact"/>
              <w:ind w:left="63" w:right="63"/>
              <w:rPr>
                <w:rFonts w:eastAsia="仿宋_GB2312"/>
                <w:color w:val="auto"/>
                <w:sz w:val="30"/>
                <w:szCs w:val="30"/>
                <w:highlight w:val="none"/>
              </w:rPr>
            </w:pPr>
          </w:p>
        </w:tc>
        <w:tc>
          <w:tcPr>
            <w:tcW w:w="1417" w:type="dxa"/>
            <w:noWrap w:val="0"/>
            <w:vAlign w:val="center"/>
          </w:tcPr>
          <w:p w14:paraId="10F011BF">
            <w:pPr>
              <w:pStyle w:val="21"/>
              <w:keepNext/>
              <w:spacing w:after="0" w:line="440" w:lineRule="exact"/>
              <w:ind w:left="63" w:right="63"/>
              <w:rPr>
                <w:rFonts w:eastAsia="仿宋_GB2312"/>
                <w:color w:val="auto"/>
                <w:sz w:val="30"/>
                <w:szCs w:val="30"/>
                <w:highlight w:val="none"/>
              </w:rPr>
            </w:pPr>
          </w:p>
        </w:tc>
        <w:tc>
          <w:tcPr>
            <w:tcW w:w="851" w:type="dxa"/>
            <w:noWrap w:val="0"/>
            <w:vAlign w:val="center"/>
          </w:tcPr>
          <w:p w14:paraId="7871DC4D">
            <w:pPr>
              <w:pStyle w:val="21"/>
              <w:keepNext/>
              <w:spacing w:after="0" w:line="440" w:lineRule="exact"/>
              <w:ind w:left="63" w:right="63"/>
              <w:rPr>
                <w:rFonts w:eastAsia="仿宋_GB2312"/>
                <w:color w:val="auto"/>
                <w:sz w:val="30"/>
                <w:szCs w:val="30"/>
                <w:highlight w:val="none"/>
              </w:rPr>
            </w:pPr>
          </w:p>
        </w:tc>
        <w:tc>
          <w:tcPr>
            <w:tcW w:w="850" w:type="dxa"/>
            <w:noWrap w:val="0"/>
            <w:vAlign w:val="center"/>
          </w:tcPr>
          <w:p w14:paraId="771ECFAB">
            <w:pPr>
              <w:pStyle w:val="21"/>
              <w:keepNext/>
              <w:spacing w:after="0" w:line="440" w:lineRule="exact"/>
              <w:ind w:left="63" w:right="63"/>
              <w:rPr>
                <w:rFonts w:eastAsia="仿宋_GB2312"/>
                <w:color w:val="auto"/>
                <w:sz w:val="30"/>
                <w:szCs w:val="30"/>
                <w:highlight w:val="none"/>
              </w:rPr>
            </w:pPr>
          </w:p>
        </w:tc>
      </w:tr>
      <w:tr w14:paraId="2ADAC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765A0E72">
            <w:pPr>
              <w:pStyle w:val="21"/>
              <w:keepNext/>
              <w:spacing w:after="0" w:line="440" w:lineRule="exact"/>
              <w:ind w:left="63" w:right="63"/>
              <w:rPr>
                <w:rFonts w:eastAsia="仿宋_GB2312"/>
                <w:color w:val="auto"/>
                <w:sz w:val="30"/>
                <w:szCs w:val="30"/>
                <w:highlight w:val="none"/>
              </w:rPr>
            </w:pPr>
          </w:p>
        </w:tc>
        <w:tc>
          <w:tcPr>
            <w:tcW w:w="1440" w:type="dxa"/>
            <w:noWrap w:val="0"/>
            <w:vAlign w:val="center"/>
          </w:tcPr>
          <w:p w14:paraId="58123C9B">
            <w:pPr>
              <w:pStyle w:val="21"/>
              <w:keepNext/>
              <w:spacing w:after="0" w:line="440" w:lineRule="exact"/>
              <w:ind w:left="63" w:right="63"/>
              <w:rPr>
                <w:rFonts w:eastAsia="仿宋_GB2312"/>
                <w:color w:val="auto"/>
                <w:sz w:val="30"/>
                <w:szCs w:val="30"/>
                <w:highlight w:val="none"/>
              </w:rPr>
            </w:pPr>
          </w:p>
        </w:tc>
        <w:tc>
          <w:tcPr>
            <w:tcW w:w="1620" w:type="dxa"/>
            <w:noWrap w:val="0"/>
            <w:vAlign w:val="center"/>
          </w:tcPr>
          <w:p w14:paraId="08FFD05B">
            <w:pPr>
              <w:pStyle w:val="21"/>
              <w:keepNext/>
              <w:spacing w:after="0" w:line="440" w:lineRule="exact"/>
              <w:ind w:left="63" w:right="63"/>
              <w:rPr>
                <w:rFonts w:eastAsia="仿宋_GB2312"/>
                <w:color w:val="auto"/>
                <w:sz w:val="30"/>
                <w:szCs w:val="30"/>
                <w:highlight w:val="none"/>
              </w:rPr>
            </w:pPr>
          </w:p>
        </w:tc>
        <w:tc>
          <w:tcPr>
            <w:tcW w:w="1661" w:type="dxa"/>
            <w:noWrap w:val="0"/>
            <w:vAlign w:val="center"/>
          </w:tcPr>
          <w:p w14:paraId="5A975DC0">
            <w:pPr>
              <w:pStyle w:val="21"/>
              <w:keepNext/>
              <w:spacing w:after="0" w:line="440" w:lineRule="exact"/>
              <w:ind w:left="63" w:right="63"/>
              <w:rPr>
                <w:rFonts w:eastAsia="仿宋_GB2312"/>
                <w:color w:val="auto"/>
                <w:sz w:val="30"/>
                <w:szCs w:val="30"/>
                <w:highlight w:val="none"/>
              </w:rPr>
            </w:pPr>
          </w:p>
        </w:tc>
        <w:tc>
          <w:tcPr>
            <w:tcW w:w="850" w:type="dxa"/>
            <w:noWrap w:val="0"/>
            <w:vAlign w:val="center"/>
          </w:tcPr>
          <w:p w14:paraId="62C626E0">
            <w:pPr>
              <w:pStyle w:val="21"/>
              <w:keepNext/>
              <w:spacing w:after="0" w:line="440" w:lineRule="exact"/>
              <w:ind w:left="63" w:right="63"/>
              <w:rPr>
                <w:rFonts w:eastAsia="仿宋_GB2312"/>
                <w:color w:val="auto"/>
                <w:sz w:val="30"/>
                <w:szCs w:val="30"/>
                <w:highlight w:val="none"/>
              </w:rPr>
            </w:pPr>
          </w:p>
        </w:tc>
        <w:tc>
          <w:tcPr>
            <w:tcW w:w="1560" w:type="dxa"/>
            <w:noWrap w:val="0"/>
            <w:vAlign w:val="center"/>
          </w:tcPr>
          <w:p w14:paraId="71AEB72A">
            <w:pPr>
              <w:pStyle w:val="21"/>
              <w:keepNext/>
              <w:spacing w:after="0" w:line="440" w:lineRule="exact"/>
              <w:ind w:left="63" w:right="63"/>
              <w:rPr>
                <w:rFonts w:eastAsia="仿宋_GB2312"/>
                <w:color w:val="auto"/>
                <w:sz w:val="30"/>
                <w:szCs w:val="30"/>
                <w:highlight w:val="none"/>
              </w:rPr>
            </w:pPr>
          </w:p>
        </w:tc>
        <w:tc>
          <w:tcPr>
            <w:tcW w:w="2126" w:type="dxa"/>
            <w:noWrap w:val="0"/>
            <w:vAlign w:val="center"/>
          </w:tcPr>
          <w:p w14:paraId="70C48FD3">
            <w:pPr>
              <w:pStyle w:val="21"/>
              <w:keepNext/>
              <w:spacing w:after="0" w:line="440" w:lineRule="exact"/>
              <w:ind w:left="63" w:right="63"/>
              <w:rPr>
                <w:rFonts w:eastAsia="仿宋_GB2312"/>
                <w:color w:val="auto"/>
                <w:sz w:val="30"/>
                <w:szCs w:val="30"/>
                <w:highlight w:val="none"/>
              </w:rPr>
            </w:pPr>
          </w:p>
        </w:tc>
        <w:tc>
          <w:tcPr>
            <w:tcW w:w="1417" w:type="dxa"/>
            <w:noWrap w:val="0"/>
            <w:vAlign w:val="center"/>
          </w:tcPr>
          <w:p w14:paraId="0C534E5B">
            <w:pPr>
              <w:pStyle w:val="21"/>
              <w:keepNext/>
              <w:spacing w:after="0" w:line="440" w:lineRule="exact"/>
              <w:ind w:left="63" w:right="63"/>
              <w:rPr>
                <w:rFonts w:eastAsia="仿宋_GB2312"/>
                <w:color w:val="auto"/>
                <w:sz w:val="30"/>
                <w:szCs w:val="30"/>
                <w:highlight w:val="none"/>
              </w:rPr>
            </w:pPr>
          </w:p>
        </w:tc>
        <w:tc>
          <w:tcPr>
            <w:tcW w:w="851" w:type="dxa"/>
            <w:noWrap w:val="0"/>
            <w:vAlign w:val="center"/>
          </w:tcPr>
          <w:p w14:paraId="3E0C73E3">
            <w:pPr>
              <w:pStyle w:val="21"/>
              <w:keepNext/>
              <w:spacing w:after="0" w:line="440" w:lineRule="exact"/>
              <w:ind w:left="63" w:right="63"/>
              <w:rPr>
                <w:rFonts w:eastAsia="仿宋_GB2312"/>
                <w:color w:val="auto"/>
                <w:sz w:val="30"/>
                <w:szCs w:val="30"/>
                <w:highlight w:val="none"/>
              </w:rPr>
            </w:pPr>
          </w:p>
        </w:tc>
        <w:tc>
          <w:tcPr>
            <w:tcW w:w="850" w:type="dxa"/>
            <w:noWrap w:val="0"/>
            <w:vAlign w:val="center"/>
          </w:tcPr>
          <w:p w14:paraId="05041CC6">
            <w:pPr>
              <w:pStyle w:val="21"/>
              <w:keepNext/>
              <w:spacing w:after="0" w:line="440" w:lineRule="exact"/>
              <w:ind w:left="63" w:right="63"/>
              <w:rPr>
                <w:rFonts w:eastAsia="仿宋_GB2312"/>
                <w:color w:val="auto"/>
                <w:sz w:val="30"/>
                <w:szCs w:val="30"/>
                <w:highlight w:val="none"/>
              </w:rPr>
            </w:pPr>
          </w:p>
        </w:tc>
      </w:tr>
      <w:tr w14:paraId="1146C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7E569AF4">
            <w:pPr>
              <w:pStyle w:val="21"/>
              <w:keepNext/>
              <w:spacing w:after="0" w:line="440" w:lineRule="exact"/>
              <w:ind w:left="63" w:right="63"/>
              <w:rPr>
                <w:rFonts w:eastAsia="仿宋_GB2312"/>
                <w:color w:val="auto"/>
                <w:sz w:val="30"/>
                <w:szCs w:val="30"/>
                <w:highlight w:val="none"/>
              </w:rPr>
            </w:pPr>
          </w:p>
        </w:tc>
        <w:tc>
          <w:tcPr>
            <w:tcW w:w="1440" w:type="dxa"/>
            <w:noWrap w:val="0"/>
            <w:vAlign w:val="center"/>
          </w:tcPr>
          <w:p w14:paraId="1DE09161">
            <w:pPr>
              <w:pStyle w:val="21"/>
              <w:keepNext/>
              <w:spacing w:after="0" w:line="440" w:lineRule="exact"/>
              <w:ind w:left="63" w:right="63"/>
              <w:rPr>
                <w:rFonts w:eastAsia="仿宋_GB2312"/>
                <w:color w:val="auto"/>
                <w:sz w:val="30"/>
                <w:szCs w:val="30"/>
                <w:highlight w:val="none"/>
              </w:rPr>
            </w:pPr>
          </w:p>
        </w:tc>
        <w:tc>
          <w:tcPr>
            <w:tcW w:w="1620" w:type="dxa"/>
            <w:noWrap w:val="0"/>
            <w:vAlign w:val="center"/>
          </w:tcPr>
          <w:p w14:paraId="12A0BC16">
            <w:pPr>
              <w:pStyle w:val="21"/>
              <w:keepNext/>
              <w:spacing w:after="0" w:line="440" w:lineRule="exact"/>
              <w:ind w:left="63" w:right="63"/>
              <w:rPr>
                <w:rFonts w:eastAsia="仿宋_GB2312"/>
                <w:color w:val="auto"/>
                <w:sz w:val="30"/>
                <w:szCs w:val="30"/>
                <w:highlight w:val="none"/>
              </w:rPr>
            </w:pPr>
          </w:p>
        </w:tc>
        <w:tc>
          <w:tcPr>
            <w:tcW w:w="1661" w:type="dxa"/>
            <w:noWrap w:val="0"/>
            <w:vAlign w:val="center"/>
          </w:tcPr>
          <w:p w14:paraId="1949DDEF">
            <w:pPr>
              <w:pStyle w:val="21"/>
              <w:keepNext/>
              <w:spacing w:after="0" w:line="440" w:lineRule="exact"/>
              <w:ind w:left="63" w:right="63"/>
              <w:rPr>
                <w:rFonts w:eastAsia="仿宋_GB2312"/>
                <w:color w:val="auto"/>
                <w:sz w:val="30"/>
                <w:szCs w:val="30"/>
                <w:highlight w:val="none"/>
              </w:rPr>
            </w:pPr>
          </w:p>
        </w:tc>
        <w:tc>
          <w:tcPr>
            <w:tcW w:w="850" w:type="dxa"/>
            <w:noWrap w:val="0"/>
            <w:vAlign w:val="center"/>
          </w:tcPr>
          <w:p w14:paraId="30CDDF59">
            <w:pPr>
              <w:pStyle w:val="21"/>
              <w:keepNext/>
              <w:spacing w:after="0" w:line="440" w:lineRule="exact"/>
              <w:ind w:left="63" w:right="63"/>
              <w:rPr>
                <w:rFonts w:eastAsia="仿宋_GB2312"/>
                <w:color w:val="auto"/>
                <w:sz w:val="30"/>
                <w:szCs w:val="30"/>
                <w:highlight w:val="none"/>
              </w:rPr>
            </w:pPr>
          </w:p>
        </w:tc>
        <w:tc>
          <w:tcPr>
            <w:tcW w:w="1560" w:type="dxa"/>
            <w:noWrap w:val="0"/>
            <w:vAlign w:val="center"/>
          </w:tcPr>
          <w:p w14:paraId="1C30D6BF">
            <w:pPr>
              <w:pStyle w:val="21"/>
              <w:keepNext/>
              <w:spacing w:after="0" w:line="440" w:lineRule="exact"/>
              <w:ind w:left="63" w:right="63"/>
              <w:rPr>
                <w:rFonts w:eastAsia="仿宋_GB2312"/>
                <w:color w:val="auto"/>
                <w:sz w:val="30"/>
                <w:szCs w:val="30"/>
                <w:highlight w:val="none"/>
              </w:rPr>
            </w:pPr>
          </w:p>
        </w:tc>
        <w:tc>
          <w:tcPr>
            <w:tcW w:w="2126" w:type="dxa"/>
            <w:noWrap w:val="0"/>
            <w:vAlign w:val="center"/>
          </w:tcPr>
          <w:p w14:paraId="335EC271">
            <w:pPr>
              <w:pStyle w:val="21"/>
              <w:keepNext/>
              <w:spacing w:after="0" w:line="440" w:lineRule="exact"/>
              <w:ind w:left="63" w:right="63"/>
              <w:rPr>
                <w:rFonts w:eastAsia="仿宋_GB2312"/>
                <w:color w:val="auto"/>
                <w:sz w:val="30"/>
                <w:szCs w:val="30"/>
                <w:highlight w:val="none"/>
              </w:rPr>
            </w:pPr>
          </w:p>
        </w:tc>
        <w:tc>
          <w:tcPr>
            <w:tcW w:w="1417" w:type="dxa"/>
            <w:noWrap w:val="0"/>
            <w:vAlign w:val="center"/>
          </w:tcPr>
          <w:p w14:paraId="20FFF281">
            <w:pPr>
              <w:pStyle w:val="21"/>
              <w:keepNext/>
              <w:spacing w:after="0" w:line="440" w:lineRule="exact"/>
              <w:ind w:left="63" w:right="63"/>
              <w:rPr>
                <w:rFonts w:eastAsia="仿宋_GB2312"/>
                <w:color w:val="auto"/>
                <w:sz w:val="30"/>
                <w:szCs w:val="30"/>
                <w:highlight w:val="none"/>
              </w:rPr>
            </w:pPr>
          </w:p>
        </w:tc>
        <w:tc>
          <w:tcPr>
            <w:tcW w:w="851" w:type="dxa"/>
            <w:noWrap w:val="0"/>
            <w:vAlign w:val="center"/>
          </w:tcPr>
          <w:p w14:paraId="212B3795">
            <w:pPr>
              <w:pStyle w:val="21"/>
              <w:keepNext/>
              <w:spacing w:after="0" w:line="440" w:lineRule="exact"/>
              <w:ind w:left="63" w:right="63"/>
              <w:rPr>
                <w:rFonts w:eastAsia="仿宋_GB2312"/>
                <w:color w:val="auto"/>
                <w:sz w:val="30"/>
                <w:szCs w:val="30"/>
                <w:highlight w:val="none"/>
              </w:rPr>
            </w:pPr>
          </w:p>
        </w:tc>
        <w:tc>
          <w:tcPr>
            <w:tcW w:w="850" w:type="dxa"/>
            <w:noWrap w:val="0"/>
            <w:vAlign w:val="center"/>
          </w:tcPr>
          <w:p w14:paraId="59559DA9">
            <w:pPr>
              <w:pStyle w:val="21"/>
              <w:keepNext/>
              <w:spacing w:after="0" w:line="440" w:lineRule="exact"/>
              <w:ind w:left="63" w:right="63"/>
              <w:rPr>
                <w:rFonts w:eastAsia="仿宋_GB2312"/>
                <w:color w:val="auto"/>
                <w:sz w:val="30"/>
                <w:szCs w:val="30"/>
                <w:highlight w:val="none"/>
              </w:rPr>
            </w:pPr>
          </w:p>
        </w:tc>
      </w:tr>
      <w:tr w14:paraId="61C01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5CD4DBB7">
            <w:pPr>
              <w:pStyle w:val="21"/>
              <w:keepNext/>
              <w:spacing w:after="0" w:line="440" w:lineRule="exact"/>
              <w:ind w:left="63" w:right="63"/>
              <w:rPr>
                <w:rFonts w:eastAsia="仿宋_GB2312"/>
                <w:color w:val="auto"/>
                <w:sz w:val="30"/>
                <w:szCs w:val="30"/>
                <w:highlight w:val="none"/>
              </w:rPr>
            </w:pPr>
          </w:p>
        </w:tc>
        <w:tc>
          <w:tcPr>
            <w:tcW w:w="1440" w:type="dxa"/>
            <w:noWrap w:val="0"/>
            <w:vAlign w:val="center"/>
          </w:tcPr>
          <w:p w14:paraId="488257B3">
            <w:pPr>
              <w:pStyle w:val="21"/>
              <w:keepNext/>
              <w:spacing w:after="0" w:line="440" w:lineRule="exact"/>
              <w:ind w:left="63" w:right="63"/>
              <w:rPr>
                <w:rFonts w:eastAsia="仿宋_GB2312"/>
                <w:color w:val="auto"/>
                <w:sz w:val="30"/>
                <w:szCs w:val="30"/>
                <w:highlight w:val="none"/>
              </w:rPr>
            </w:pPr>
          </w:p>
        </w:tc>
        <w:tc>
          <w:tcPr>
            <w:tcW w:w="1620" w:type="dxa"/>
            <w:noWrap w:val="0"/>
            <w:vAlign w:val="center"/>
          </w:tcPr>
          <w:p w14:paraId="0A32260F">
            <w:pPr>
              <w:pStyle w:val="21"/>
              <w:keepNext/>
              <w:spacing w:after="0" w:line="440" w:lineRule="exact"/>
              <w:ind w:left="63" w:right="63"/>
              <w:rPr>
                <w:rFonts w:eastAsia="仿宋_GB2312"/>
                <w:color w:val="auto"/>
                <w:sz w:val="30"/>
                <w:szCs w:val="30"/>
                <w:highlight w:val="none"/>
              </w:rPr>
            </w:pPr>
          </w:p>
        </w:tc>
        <w:tc>
          <w:tcPr>
            <w:tcW w:w="1661" w:type="dxa"/>
            <w:noWrap w:val="0"/>
            <w:vAlign w:val="center"/>
          </w:tcPr>
          <w:p w14:paraId="535CE041">
            <w:pPr>
              <w:pStyle w:val="21"/>
              <w:keepNext/>
              <w:spacing w:after="0" w:line="440" w:lineRule="exact"/>
              <w:ind w:left="63" w:right="63"/>
              <w:rPr>
                <w:rFonts w:eastAsia="仿宋_GB2312"/>
                <w:color w:val="auto"/>
                <w:sz w:val="30"/>
                <w:szCs w:val="30"/>
                <w:highlight w:val="none"/>
              </w:rPr>
            </w:pPr>
          </w:p>
        </w:tc>
        <w:tc>
          <w:tcPr>
            <w:tcW w:w="850" w:type="dxa"/>
            <w:noWrap w:val="0"/>
            <w:vAlign w:val="center"/>
          </w:tcPr>
          <w:p w14:paraId="1FAB258F">
            <w:pPr>
              <w:pStyle w:val="21"/>
              <w:keepNext/>
              <w:spacing w:after="0" w:line="440" w:lineRule="exact"/>
              <w:ind w:left="63" w:right="63"/>
              <w:rPr>
                <w:rFonts w:eastAsia="仿宋_GB2312"/>
                <w:color w:val="auto"/>
                <w:sz w:val="30"/>
                <w:szCs w:val="30"/>
                <w:highlight w:val="none"/>
              </w:rPr>
            </w:pPr>
          </w:p>
        </w:tc>
        <w:tc>
          <w:tcPr>
            <w:tcW w:w="1560" w:type="dxa"/>
            <w:noWrap w:val="0"/>
            <w:vAlign w:val="center"/>
          </w:tcPr>
          <w:p w14:paraId="1275C44C">
            <w:pPr>
              <w:pStyle w:val="21"/>
              <w:keepNext/>
              <w:spacing w:after="0" w:line="440" w:lineRule="exact"/>
              <w:ind w:left="63" w:right="63"/>
              <w:rPr>
                <w:rFonts w:eastAsia="仿宋_GB2312"/>
                <w:color w:val="auto"/>
                <w:sz w:val="30"/>
                <w:szCs w:val="30"/>
                <w:highlight w:val="none"/>
              </w:rPr>
            </w:pPr>
          </w:p>
        </w:tc>
        <w:tc>
          <w:tcPr>
            <w:tcW w:w="2126" w:type="dxa"/>
            <w:noWrap w:val="0"/>
            <w:vAlign w:val="center"/>
          </w:tcPr>
          <w:p w14:paraId="275D93D1">
            <w:pPr>
              <w:pStyle w:val="21"/>
              <w:keepNext/>
              <w:spacing w:after="0" w:line="440" w:lineRule="exact"/>
              <w:ind w:left="63" w:right="63"/>
              <w:rPr>
                <w:rFonts w:eastAsia="仿宋_GB2312"/>
                <w:color w:val="auto"/>
                <w:sz w:val="30"/>
                <w:szCs w:val="30"/>
                <w:highlight w:val="none"/>
              </w:rPr>
            </w:pPr>
          </w:p>
        </w:tc>
        <w:tc>
          <w:tcPr>
            <w:tcW w:w="1417" w:type="dxa"/>
            <w:noWrap w:val="0"/>
            <w:vAlign w:val="center"/>
          </w:tcPr>
          <w:p w14:paraId="118F44AB">
            <w:pPr>
              <w:pStyle w:val="21"/>
              <w:keepNext/>
              <w:spacing w:after="0" w:line="440" w:lineRule="exact"/>
              <w:ind w:left="63" w:right="63"/>
              <w:rPr>
                <w:rFonts w:eastAsia="仿宋_GB2312"/>
                <w:color w:val="auto"/>
                <w:sz w:val="30"/>
                <w:szCs w:val="30"/>
                <w:highlight w:val="none"/>
              </w:rPr>
            </w:pPr>
          </w:p>
        </w:tc>
        <w:tc>
          <w:tcPr>
            <w:tcW w:w="851" w:type="dxa"/>
            <w:noWrap w:val="0"/>
            <w:vAlign w:val="center"/>
          </w:tcPr>
          <w:p w14:paraId="341DBE09">
            <w:pPr>
              <w:pStyle w:val="21"/>
              <w:keepNext/>
              <w:spacing w:after="0" w:line="440" w:lineRule="exact"/>
              <w:ind w:left="63" w:right="63"/>
              <w:rPr>
                <w:rFonts w:eastAsia="仿宋_GB2312"/>
                <w:color w:val="auto"/>
                <w:sz w:val="30"/>
                <w:szCs w:val="30"/>
                <w:highlight w:val="none"/>
              </w:rPr>
            </w:pPr>
          </w:p>
        </w:tc>
        <w:tc>
          <w:tcPr>
            <w:tcW w:w="850" w:type="dxa"/>
            <w:noWrap w:val="0"/>
            <w:vAlign w:val="center"/>
          </w:tcPr>
          <w:p w14:paraId="57698932">
            <w:pPr>
              <w:pStyle w:val="21"/>
              <w:keepNext/>
              <w:spacing w:after="0" w:line="440" w:lineRule="exact"/>
              <w:ind w:left="63" w:right="63"/>
              <w:rPr>
                <w:rFonts w:eastAsia="仿宋_GB2312"/>
                <w:color w:val="auto"/>
                <w:sz w:val="30"/>
                <w:szCs w:val="30"/>
                <w:highlight w:val="none"/>
              </w:rPr>
            </w:pPr>
          </w:p>
        </w:tc>
      </w:tr>
      <w:tr w14:paraId="647B7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71C9E6DB">
            <w:pPr>
              <w:pStyle w:val="21"/>
              <w:keepNext/>
              <w:spacing w:after="0" w:line="440" w:lineRule="exact"/>
              <w:ind w:left="63" w:right="63"/>
              <w:rPr>
                <w:rFonts w:eastAsia="仿宋_GB2312"/>
                <w:color w:val="auto"/>
                <w:sz w:val="30"/>
                <w:szCs w:val="30"/>
                <w:highlight w:val="none"/>
              </w:rPr>
            </w:pPr>
          </w:p>
        </w:tc>
        <w:tc>
          <w:tcPr>
            <w:tcW w:w="1440" w:type="dxa"/>
            <w:noWrap w:val="0"/>
            <w:vAlign w:val="center"/>
          </w:tcPr>
          <w:p w14:paraId="3E7361F3">
            <w:pPr>
              <w:pStyle w:val="21"/>
              <w:keepNext/>
              <w:spacing w:after="0" w:line="440" w:lineRule="exact"/>
              <w:ind w:left="63" w:right="63"/>
              <w:rPr>
                <w:rFonts w:eastAsia="仿宋_GB2312"/>
                <w:color w:val="auto"/>
                <w:sz w:val="30"/>
                <w:szCs w:val="30"/>
                <w:highlight w:val="none"/>
              </w:rPr>
            </w:pPr>
          </w:p>
        </w:tc>
        <w:tc>
          <w:tcPr>
            <w:tcW w:w="1620" w:type="dxa"/>
            <w:noWrap w:val="0"/>
            <w:vAlign w:val="center"/>
          </w:tcPr>
          <w:p w14:paraId="6D54B1C5">
            <w:pPr>
              <w:pStyle w:val="21"/>
              <w:keepNext/>
              <w:spacing w:after="0" w:line="440" w:lineRule="exact"/>
              <w:ind w:left="63" w:right="63"/>
              <w:rPr>
                <w:rFonts w:eastAsia="仿宋_GB2312"/>
                <w:color w:val="auto"/>
                <w:sz w:val="30"/>
                <w:szCs w:val="30"/>
                <w:highlight w:val="none"/>
              </w:rPr>
            </w:pPr>
          </w:p>
        </w:tc>
        <w:tc>
          <w:tcPr>
            <w:tcW w:w="1661" w:type="dxa"/>
            <w:noWrap w:val="0"/>
            <w:vAlign w:val="center"/>
          </w:tcPr>
          <w:p w14:paraId="110C06F8">
            <w:pPr>
              <w:pStyle w:val="21"/>
              <w:keepNext/>
              <w:spacing w:after="0" w:line="440" w:lineRule="exact"/>
              <w:ind w:left="63" w:right="63"/>
              <w:rPr>
                <w:rFonts w:eastAsia="仿宋_GB2312"/>
                <w:color w:val="auto"/>
                <w:sz w:val="30"/>
                <w:szCs w:val="30"/>
                <w:highlight w:val="none"/>
              </w:rPr>
            </w:pPr>
          </w:p>
        </w:tc>
        <w:tc>
          <w:tcPr>
            <w:tcW w:w="850" w:type="dxa"/>
            <w:noWrap w:val="0"/>
            <w:vAlign w:val="center"/>
          </w:tcPr>
          <w:p w14:paraId="0155C2D0">
            <w:pPr>
              <w:pStyle w:val="21"/>
              <w:keepNext/>
              <w:spacing w:after="0" w:line="440" w:lineRule="exact"/>
              <w:ind w:left="63" w:right="63"/>
              <w:rPr>
                <w:rFonts w:eastAsia="仿宋_GB2312"/>
                <w:color w:val="auto"/>
                <w:sz w:val="30"/>
                <w:szCs w:val="30"/>
                <w:highlight w:val="none"/>
              </w:rPr>
            </w:pPr>
          </w:p>
        </w:tc>
        <w:tc>
          <w:tcPr>
            <w:tcW w:w="1560" w:type="dxa"/>
            <w:noWrap w:val="0"/>
            <w:vAlign w:val="center"/>
          </w:tcPr>
          <w:p w14:paraId="30D9D00A">
            <w:pPr>
              <w:pStyle w:val="21"/>
              <w:keepNext/>
              <w:spacing w:after="0" w:line="440" w:lineRule="exact"/>
              <w:ind w:left="63" w:right="63"/>
              <w:rPr>
                <w:rFonts w:eastAsia="仿宋_GB2312"/>
                <w:color w:val="auto"/>
                <w:sz w:val="30"/>
                <w:szCs w:val="30"/>
                <w:highlight w:val="none"/>
              </w:rPr>
            </w:pPr>
          </w:p>
        </w:tc>
        <w:tc>
          <w:tcPr>
            <w:tcW w:w="2126" w:type="dxa"/>
            <w:noWrap w:val="0"/>
            <w:vAlign w:val="center"/>
          </w:tcPr>
          <w:p w14:paraId="54D19C05">
            <w:pPr>
              <w:pStyle w:val="21"/>
              <w:keepNext/>
              <w:spacing w:after="0" w:line="440" w:lineRule="exact"/>
              <w:ind w:left="63" w:right="63"/>
              <w:rPr>
                <w:rFonts w:eastAsia="仿宋_GB2312"/>
                <w:color w:val="auto"/>
                <w:sz w:val="30"/>
                <w:szCs w:val="30"/>
                <w:highlight w:val="none"/>
              </w:rPr>
            </w:pPr>
          </w:p>
        </w:tc>
        <w:tc>
          <w:tcPr>
            <w:tcW w:w="1417" w:type="dxa"/>
            <w:noWrap w:val="0"/>
            <w:vAlign w:val="center"/>
          </w:tcPr>
          <w:p w14:paraId="7832932E">
            <w:pPr>
              <w:pStyle w:val="21"/>
              <w:keepNext/>
              <w:spacing w:after="0" w:line="440" w:lineRule="exact"/>
              <w:ind w:left="63" w:right="63"/>
              <w:rPr>
                <w:rFonts w:eastAsia="仿宋_GB2312"/>
                <w:color w:val="auto"/>
                <w:sz w:val="30"/>
                <w:szCs w:val="30"/>
                <w:highlight w:val="none"/>
              </w:rPr>
            </w:pPr>
          </w:p>
        </w:tc>
        <w:tc>
          <w:tcPr>
            <w:tcW w:w="851" w:type="dxa"/>
            <w:noWrap w:val="0"/>
            <w:vAlign w:val="center"/>
          </w:tcPr>
          <w:p w14:paraId="143C453C">
            <w:pPr>
              <w:pStyle w:val="21"/>
              <w:keepNext/>
              <w:spacing w:after="0" w:line="440" w:lineRule="exact"/>
              <w:ind w:left="63" w:right="63"/>
              <w:rPr>
                <w:rFonts w:eastAsia="仿宋_GB2312"/>
                <w:color w:val="auto"/>
                <w:sz w:val="30"/>
                <w:szCs w:val="30"/>
                <w:highlight w:val="none"/>
              </w:rPr>
            </w:pPr>
          </w:p>
        </w:tc>
        <w:tc>
          <w:tcPr>
            <w:tcW w:w="850" w:type="dxa"/>
            <w:noWrap w:val="0"/>
            <w:vAlign w:val="center"/>
          </w:tcPr>
          <w:p w14:paraId="53855EBD">
            <w:pPr>
              <w:pStyle w:val="21"/>
              <w:keepNext/>
              <w:spacing w:after="0" w:line="440" w:lineRule="exact"/>
              <w:ind w:left="63" w:right="63"/>
              <w:rPr>
                <w:rFonts w:eastAsia="仿宋_GB2312"/>
                <w:color w:val="auto"/>
                <w:sz w:val="30"/>
                <w:szCs w:val="30"/>
                <w:highlight w:val="none"/>
              </w:rPr>
            </w:pPr>
          </w:p>
        </w:tc>
      </w:tr>
      <w:tr w14:paraId="05A74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21F26ED0">
            <w:pPr>
              <w:pStyle w:val="21"/>
              <w:keepNext/>
              <w:spacing w:after="0" w:line="440" w:lineRule="exact"/>
              <w:ind w:left="63" w:right="63"/>
              <w:rPr>
                <w:rFonts w:eastAsia="仿宋_GB2312"/>
                <w:color w:val="auto"/>
                <w:sz w:val="30"/>
                <w:szCs w:val="30"/>
                <w:highlight w:val="none"/>
              </w:rPr>
            </w:pPr>
          </w:p>
        </w:tc>
        <w:tc>
          <w:tcPr>
            <w:tcW w:w="1440" w:type="dxa"/>
            <w:noWrap w:val="0"/>
            <w:vAlign w:val="center"/>
          </w:tcPr>
          <w:p w14:paraId="0AED9EC6">
            <w:pPr>
              <w:pStyle w:val="21"/>
              <w:keepNext/>
              <w:spacing w:after="0" w:line="440" w:lineRule="exact"/>
              <w:ind w:left="63" w:right="63"/>
              <w:rPr>
                <w:rFonts w:eastAsia="仿宋_GB2312"/>
                <w:color w:val="auto"/>
                <w:sz w:val="30"/>
                <w:szCs w:val="30"/>
                <w:highlight w:val="none"/>
              </w:rPr>
            </w:pPr>
          </w:p>
        </w:tc>
        <w:tc>
          <w:tcPr>
            <w:tcW w:w="1620" w:type="dxa"/>
            <w:noWrap w:val="0"/>
            <w:vAlign w:val="center"/>
          </w:tcPr>
          <w:p w14:paraId="2F344158">
            <w:pPr>
              <w:pStyle w:val="21"/>
              <w:keepNext/>
              <w:spacing w:after="0" w:line="440" w:lineRule="exact"/>
              <w:ind w:left="63" w:right="63"/>
              <w:rPr>
                <w:rFonts w:eastAsia="仿宋_GB2312"/>
                <w:color w:val="auto"/>
                <w:sz w:val="30"/>
                <w:szCs w:val="30"/>
                <w:highlight w:val="none"/>
              </w:rPr>
            </w:pPr>
          </w:p>
        </w:tc>
        <w:tc>
          <w:tcPr>
            <w:tcW w:w="1661" w:type="dxa"/>
            <w:noWrap w:val="0"/>
            <w:vAlign w:val="center"/>
          </w:tcPr>
          <w:p w14:paraId="2826E3CA">
            <w:pPr>
              <w:pStyle w:val="21"/>
              <w:keepNext/>
              <w:spacing w:after="0" w:line="440" w:lineRule="exact"/>
              <w:ind w:left="63" w:right="63"/>
              <w:rPr>
                <w:rFonts w:eastAsia="仿宋_GB2312"/>
                <w:color w:val="auto"/>
                <w:sz w:val="30"/>
                <w:szCs w:val="30"/>
                <w:highlight w:val="none"/>
              </w:rPr>
            </w:pPr>
          </w:p>
        </w:tc>
        <w:tc>
          <w:tcPr>
            <w:tcW w:w="850" w:type="dxa"/>
            <w:noWrap w:val="0"/>
            <w:vAlign w:val="center"/>
          </w:tcPr>
          <w:p w14:paraId="22DE800B">
            <w:pPr>
              <w:pStyle w:val="21"/>
              <w:keepNext/>
              <w:spacing w:after="0" w:line="440" w:lineRule="exact"/>
              <w:ind w:left="63" w:right="63"/>
              <w:rPr>
                <w:rFonts w:eastAsia="仿宋_GB2312"/>
                <w:color w:val="auto"/>
                <w:sz w:val="30"/>
                <w:szCs w:val="30"/>
                <w:highlight w:val="none"/>
              </w:rPr>
            </w:pPr>
          </w:p>
        </w:tc>
        <w:tc>
          <w:tcPr>
            <w:tcW w:w="1560" w:type="dxa"/>
            <w:noWrap w:val="0"/>
            <w:vAlign w:val="center"/>
          </w:tcPr>
          <w:p w14:paraId="3F009FC0">
            <w:pPr>
              <w:pStyle w:val="21"/>
              <w:keepNext/>
              <w:spacing w:after="0" w:line="440" w:lineRule="exact"/>
              <w:ind w:left="63" w:right="63"/>
              <w:rPr>
                <w:rFonts w:eastAsia="仿宋_GB2312"/>
                <w:color w:val="auto"/>
                <w:sz w:val="30"/>
                <w:szCs w:val="30"/>
                <w:highlight w:val="none"/>
              </w:rPr>
            </w:pPr>
          </w:p>
        </w:tc>
        <w:tc>
          <w:tcPr>
            <w:tcW w:w="2126" w:type="dxa"/>
            <w:noWrap w:val="0"/>
            <w:vAlign w:val="center"/>
          </w:tcPr>
          <w:p w14:paraId="074B2B67">
            <w:pPr>
              <w:pStyle w:val="21"/>
              <w:keepNext/>
              <w:spacing w:after="0" w:line="440" w:lineRule="exact"/>
              <w:ind w:left="63" w:right="63"/>
              <w:rPr>
                <w:rFonts w:eastAsia="仿宋_GB2312"/>
                <w:color w:val="auto"/>
                <w:sz w:val="30"/>
                <w:szCs w:val="30"/>
                <w:highlight w:val="none"/>
              </w:rPr>
            </w:pPr>
          </w:p>
        </w:tc>
        <w:tc>
          <w:tcPr>
            <w:tcW w:w="1417" w:type="dxa"/>
            <w:noWrap w:val="0"/>
            <w:vAlign w:val="center"/>
          </w:tcPr>
          <w:p w14:paraId="0A761D81">
            <w:pPr>
              <w:pStyle w:val="21"/>
              <w:keepNext/>
              <w:spacing w:after="0" w:line="440" w:lineRule="exact"/>
              <w:ind w:left="63" w:right="63"/>
              <w:rPr>
                <w:rFonts w:eastAsia="仿宋_GB2312"/>
                <w:color w:val="auto"/>
                <w:sz w:val="30"/>
                <w:szCs w:val="30"/>
                <w:highlight w:val="none"/>
              </w:rPr>
            </w:pPr>
          </w:p>
        </w:tc>
        <w:tc>
          <w:tcPr>
            <w:tcW w:w="851" w:type="dxa"/>
            <w:noWrap w:val="0"/>
            <w:vAlign w:val="center"/>
          </w:tcPr>
          <w:p w14:paraId="6F4C0A75">
            <w:pPr>
              <w:pStyle w:val="21"/>
              <w:keepNext/>
              <w:spacing w:after="0" w:line="440" w:lineRule="exact"/>
              <w:ind w:left="63" w:right="63"/>
              <w:rPr>
                <w:rFonts w:eastAsia="仿宋_GB2312"/>
                <w:color w:val="auto"/>
                <w:sz w:val="30"/>
                <w:szCs w:val="30"/>
                <w:highlight w:val="none"/>
              </w:rPr>
            </w:pPr>
          </w:p>
        </w:tc>
        <w:tc>
          <w:tcPr>
            <w:tcW w:w="850" w:type="dxa"/>
            <w:noWrap w:val="0"/>
            <w:vAlign w:val="center"/>
          </w:tcPr>
          <w:p w14:paraId="7946A4AE">
            <w:pPr>
              <w:pStyle w:val="21"/>
              <w:keepNext/>
              <w:spacing w:after="0" w:line="440" w:lineRule="exact"/>
              <w:ind w:left="63" w:right="63"/>
              <w:rPr>
                <w:rFonts w:eastAsia="仿宋_GB2312"/>
                <w:color w:val="auto"/>
                <w:sz w:val="30"/>
                <w:szCs w:val="30"/>
                <w:highlight w:val="none"/>
              </w:rPr>
            </w:pPr>
          </w:p>
        </w:tc>
      </w:tr>
      <w:tr w14:paraId="6DCD6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454C3233">
            <w:pPr>
              <w:pStyle w:val="21"/>
              <w:keepNext/>
              <w:spacing w:after="0" w:line="440" w:lineRule="exact"/>
              <w:ind w:left="63" w:right="63"/>
              <w:rPr>
                <w:rFonts w:eastAsia="仿宋_GB2312"/>
                <w:color w:val="auto"/>
                <w:sz w:val="30"/>
                <w:szCs w:val="30"/>
                <w:highlight w:val="none"/>
              </w:rPr>
            </w:pPr>
          </w:p>
        </w:tc>
        <w:tc>
          <w:tcPr>
            <w:tcW w:w="1440" w:type="dxa"/>
            <w:noWrap w:val="0"/>
            <w:vAlign w:val="center"/>
          </w:tcPr>
          <w:p w14:paraId="00AC0AC1">
            <w:pPr>
              <w:pStyle w:val="21"/>
              <w:keepNext/>
              <w:spacing w:after="0" w:line="440" w:lineRule="exact"/>
              <w:ind w:left="63" w:right="63"/>
              <w:rPr>
                <w:rFonts w:eastAsia="仿宋_GB2312"/>
                <w:color w:val="auto"/>
                <w:sz w:val="30"/>
                <w:szCs w:val="30"/>
                <w:highlight w:val="none"/>
              </w:rPr>
            </w:pPr>
          </w:p>
        </w:tc>
        <w:tc>
          <w:tcPr>
            <w:tcW w:w="1620" w:type="dxa"/>
            <w:noWrap w:val="0"/>
            <w:vAlign w:val="center"/>
          </w:tcPr>
          <w:p w14:paraId="2AC6A62F">
            <w:pPr>
              <w:pStyle w:val="21"/>
              <w:keepNext/>
              <w:spacing w:after="0" w:line="440" w:lineRule="exact"/>
              <w:ind w:left="63" w:right="63"/>
              <w:rPr>
                <w:rFonts w:eastAsia="仿宋_GB2312"/>
                <w:color w:val="auto"/>
                <w:sz w:val="30"/>
                <w:szCs w:val="30"/>
                <w:highlight w:val="none"/>
              </w:rPr>
            </w:pPr>
          </w:p>
        </w:tc>
        <w:tc>
          <w:tcPr>
            <w:tcW w:w="1661" w:type="dxa"/>
            <w:noWrap w:val="0"/>
            <w:vAlign w:val="center"/>
          </w:tcPr>
          <w:p w14:paraId="0B50A02E">
            <w:pPr>
              <w:pStyle w:val="21"/>
              <w:keepNext/>
              <w:spacing w:after="0" w:line="440" w:lineRule="exact"/>
              <w:ind w:left="63" w:right="63"/>
              <w:rPr>
                <w:rFonts w:eastAsia="仿宋_GB2312"/>
                <w:color w:val="auto"/>
                <w:sz w:val="30"/>
                <w:szCs w:val="30"/>
                <w:highlight w:val="none"/>
              </w:rPr>
            </w:pPr>
          </w:p>
        </w:tc>
        <w:tc>
          <w:tcPr>
            <w:tcW w:w="850" w:type="dxa"/>
            <w:noWrap w:val="0"/>
            <w:vAlign w:val="center"/>
          </w:tcPr>
          <w:p w14:paraId="302D297B">
            <w:pPr>
              <w:pStyle w:val="21"/>
              <w:keepNext/>
              <w:spacing w:after="0" w:line="440" w:lineRule="exact"/>
              <w:ind w:left="63" w:right="63"/>
              <w:rPr>
                <w:rFonts w:eastAsia="仿宋_GB2312"/>
                <w:color w:val="auto"/>
                <w:sz w:val="30"/>
                <w:szCs w:val="30"/>
                <w:highlight w:val="none"/>
              </w:rPr>
            </w:pPr>
          </w:p>
        </w:tc>
        <w:tc>
          <w:tcPr>
            <w:tcW w:w="1560" w:type="dxa"/>
            <w:noWrap w:val="0"/>
            <w:vAlign w:val="center"/>
          </w:tcPr>
          <w:p w14:paraId="0AC00B5B">
            <w:pPr>
              <w:pStyle w:val="21"/>
              <w:keepNext/>
              <w:spacing w:after="0" w:line="440" w:lineRule="exact"/>
              <w:ind w:left="63" w:right="63"/>
              <w:rPr>
                <w:rFonts w:eastAsia="仿宋_GB2312"/>
                <w:color w:val="auto"/>
                <w:sz w:val="30"/>
                <w:szCs w:val="30"/>
                <w:highlight w:val="none"/>
              </w:rPr>
            </w:pPr>
          </w:p>
        </w:tc>
        <w:tc>
          <w:tcPr>
            <w:tcW w:w="2126" w:type="dxa"/>
            <w:noWrap w:val="0"/>
            <w:vAlign w:val="center"/>
          </w:tcPr>
          <w:p w14:paraId="2ED037F9">
            <w:pPr>
              <w:pStyle w:val="21"/>
              <w:keepNext/>
              <w:spacing w:after="0" w:line="440" w:lineRule="exact"/>
              <w:ind w:left="63" w:right="63"/>
              <w:rPr>
                <w:rFonts w:eastAsia="仿宋_GB2312"/>
                <w:color w:val="auto"/>
                <w:sz w:val="30"/>
                <w:szCs w:val="30"/>
                <w:highlight w:val="none"/>
              </w:rPr>
            </w:pPr>
          </w:p>
        </w:tc>
        <w:tc>
          <w:tcPr>
            <w:tcW w:w="1417" w:type="dxa"/>
            <w:noWrap w:val="0"/>
            <w:vAlign w:val="center"/>
          </w:tcPr>
          <w:p w14:paraId="6E6521D1">
            <w:pPr>
              <w:pStyle w:val="21"/>
              <w:keepNext/>
              <w:spacing w:after="0" w:line="440" w:lineRule="exact"/>
              <w:ind w:left="63" w:right="63"/>
              <w:rPr>
                <w:rFonts w:eastAsia="仿宋_GB2312"/>
                <w:color w:val="auto"/>
                <w:sz w:val="30"/>
                <w:szCs w:val="30"/>
                <w:highlight w:val="none"/>
              </w:rPr>
            </w:pPr>
          </w:p>
        </w:tc>
        <w:tc>
          <w:tcPr>
            <w:tcW w:w="851" w:type="dxa"/>
            <w:noWrap w:val="0"/>
            <w:vAlign w:val="center"/>
          </w:tcPr>
          <w:p w14:paraId="01EEDE79">
            <w:pPr>
              <w:pStyle w:val="21"/>
              <w:keepNext/>
              <w:spacing w:after="0" w:line="440" w:lineRule="exact"/>
              <w:ind w:left="63" w:right="63"/>
              <w:rPr>
                <w:rFonts w:eastAsia="仿宋_GB2312"/>
                <w:color w:val="auto"/>
                <w:sz w:val="30"/>
                <w:szCs w:val="30"/>
                <w:highlight w:val="none"/>
              </w:rPr>
            </w:pPr>
          </w:p>
        </w:tc>
        <w:tc>
          <w:tcPr>
            <w:tcW w:w="850" w:type="dxa"/>
            <w:noWrap w:val="0"/>
            <w:vAlign w:val="center"/>
          </w:tcPr>
          <w:p w14:paraId="63B822DF">
            <w:pPr>
              <w:pStyle w:val="21"/>
              <w:keepNext/>
              <w:spacing w:after="0" w:line="440" w:lineRule="exact"/>
              <w:ind w:left="63" w:right="63"/>
              <w:rPr>
                <w:rFonts w:eastAsia="仿宋_GB2312"/>
                <w:color w:val="auto"/>
                <w:sz w:val="30"/>
                <w:szCs w:val="30"/>
                <w:highlight w:val="none"/>
              </w:rPr>
            </w:pPr>
          </w:p>
        </w:tc>
      </w:tr>
      <w:tr w14:paraId="2F676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3CCF51DA">
            <w:pPr>
              <w:pStyle w:val="21"/>
              <w:keepNext/>
              <w:spacing w:after="0" w:line="440" w:lineRule="exact"/>
              <w:ind w:left="63" w:right="63"/>
              <w:rPr>
                <w:rFonts w:eastAsia="仿宋_GB2312"/>
                <w:color w:val="auto"/>
                <w:sz w:val="30"/>
                <w:szCs w:val="30"/>
                <w:highlight w:val="none"/>
              </w:rPr>
            </w:pPr>
          </w:p>
        </w:tc>
        <w:tc>
          <w:tcPr>
            <w:tcW w:w="1440" w:type="dxa"/>
            <w:noWrap w:val="0"/>
            <w:vAlign w:val="center"/>
          </w:tcPr>
          <w:p w14:paraId="3E6E7A78">
            <w:pPr>
              <w:pStyle w:val="21"/>
              <w:keepNext/>
              <w:spacing w:after="0" w:line="440" w:lineRule="exact"/>
              <w:ind w:left="63" w:right="63"/>
              <w:rPr>
                <w:rFonts w:eastAsia="仿宋_GB2312"/>
                <w:color w:val="auto"/>
                <w:sz w:val="30"/>
                <w:szCs w:val="30"/>
                <w:highlight w:val="none"/>
              </w:rPr>
            </w:pPr>
          </w:p>
        </w:tc>
        <w:tc>
          <w:tcPr>
            <w:tcW w:w="1620" w:type="dxa"/>
            <w:noWrap w:val="0"/>
            <w:vAlign w:val="center"/>
          </w:tcPr>
          <w:p w14:paraId="4FC68701">
            <w:pPr>
              <w:pStyle w:val="21"/>
              <w:keepNext/>
              <w:spacing w:after="0" w:line="440" w:lineRule="exact"/>
              <w:ind w:left="63" w:right="63"/>
              <w:rPr>
                <w:rFonts w:eastAsia="仿宋_GB2312"/>
                <w:color w:val="auto"/>
                <w:sz w:val="30"/>
                <w:szCs w:val="30"/>
                <w:highlight w:val="none"/>
              </w:rPr>
            </w:pPr>
          </w:p>
        </w:tc>
        <w:tc>
          <w:tcPr>
            <w:tcW w:w="1661" w:type="dxa"/>
            <w:noWrap w:val="0"/>
            <w:vAlign w:val="center"/>
          </w:tcPr>
          <w:p w14:paraId="5E5D7EB9">
            <w:pPr>
              <w:pStyle w:val="21"/>
              <w:keepNext/>
              <w:spacing w:after="0" w:line="440" w:lineRule="exact"/>
              <w:ind w:left="63" w:right="63"/>
              <w:rPr>
                <w:rFonts w:eastAsia="仿宋_GB2312"/>
                <w:color w:val="auto"/>
                <w:sz w:val="30"/>
                <w:szCs w:val="30"/>
                <w:highlight w:val="none"/>
              </w:rPr>
            </w:pPr>
          </w:p>
        </w:tc>
        <w:tc>
          <w:tcPr>
            <w:tcW w:w="850" w:type="dxa"/>
            <w:noWrap w:val="0"/>
            <w:vAlign w:val="center"/>
          </w:tcPr>
          <w:p w14:paraId="08C2F150">
            <w:pPr>
              <w:pStyle w:val="21"/>
              <w:keepNext/>
              <w:spacing w:after="0" w:line="440" w:lineRule="exact"/>
              <w:ind w:left="63" w:right="63"/>
              <w:rPr>
                <w:rFonts w:eastAsia="仿宋_GB2312"/>
                <w:color w:val="auto"/>
                <w:sz w:val="30"/>
                <w:szCs w:val="30"/>
                <w:highlight w:val="none"/>
              </w:rPr>
            </w:pPr>
          </w:p>
        </w:tc>
        <w:tc>
          <w:tcPr>
            <w:tcW w:w="1560" w:type="dxa"/>
            <w:noWrap w:val="0"/>
            <w:vAlign w:val="center"/>
          </w:tcPr>
          <w:p w14:paraId="1DCD9A91">
            <w:pPr>
              <w:pStyle w:val="21"/>
              <w:keepNext/>
              <w:spacing w:after="0" w:line="440" w:lineRule="exact"/>
              <w:ind w:left="63" w:right="63"/>
              <w:rPr>
                <w:rFonts w:eastAsia="仿宋_GB2312"/>
                <w:color w:val="auto"/>
                <w:sz w:val="30"/>
                <w:szCs w:val="30"/>
                <w:highlight w:val="none"/>
              </w:rPr>
            </w:pPr>
          </w:p>
        </w:tc>
        <w:tc>
          <w:tcPr>
            <w:tcW w:w="2126" w:type="dxa"/>
            <w:noWrap w:val="0"/>
            <w:vAlign w:val="center"/>
          </w:tcPr>
          <w:p w14:paraId="5081B4D2">
            <w:pPr>
              <w:pStyle w:val="21"/>
              <w:keepNext/>
              <w:spacing w:after="0" w:line="440" w:lineRule="exact"/>
              <w:ind w:left="63" w:right="63"/>
              <w:rPr>
                <w:rFonts w:eastAsia="仿宋_GB2312"/>
                <w:color w:val="auto"/>
                <w:sz w:val="30"/>
                <w:szCs w:val="30"/>
                <w:highlight w:val="none"/>
              </w:rPr>
            </w:pPr>
          </w:p>
        </w:tc>
        <w:tc>
          <w:tcPr>
            <w:tcW w:w="1417" w:type="dxa"/>
            <w:noWrap w:val="0"/>
            <w:vAlign w:val="center"/>
          </w:tcPr>
          <w:p w14:paraId="656549C6">
            <w:pPr>
              <w:pStyle w:val="21"/>
              <w:keepNext/>
              <w:spacing w:after="0" w:line="440" w:lineRule="exact"/>
              <w:ind w:left="63" w:right="63"/>
              <w:rPr>
                <w:rFonts w:eastAsia="仿宋_GB2312"/>
                <w:color w:val="auto"/>
                <w:sz w:val="30"/>
                <w:szCs w:val="30"/>
                <w:highlight w:val="none"/>
              </w:rPr>
            </w:pPr>
          </w:p>
        </w:tc>
        <w:tc>
          <w:tcPr>
            <w:tcW w:w="851" w:type="dxa"/>
            <w:noWrap w:val="0"/>
            <w:vAlign w:val="center"/>
          </w:tcPr>
          <w:p w14:paraId="0F309B30">
            <w:pPr>
              <w:pStyle w:val="21"/>
              <w:keepNext/>
              <w:spacing w:after="0" w:line="440" w:lineRule="exact"/>
              <w:ind w:left="63" w:right="63"/>
              <w:rPr>
                <w:rFonts w:eastAsia="仿宋_GB2312"/>
                <w:color w:val="auto"/>
                <w:sz w:val="30"/>
                <w:szCs w:val="30"/>
                <w:highlight w:val="none"/>
              </w:rPr>
            </w:pPr>
          </w:p>
        </w:tc>
        <w:tc>
          <w:tcPr>
            <w:tcW w:w="850" w:type="dxa"/>
            <w:noWrap w:val="0"/>
            <w:vAlign w:val="center"/>
          </w:tcPr>
          <w:p w14:paraId="24ACB600">
            <w:pPr>
              <w:pStyle w:val="21"/>
              <w:keepNext/>
              <w:spacing w:after="0" w:line="440" w:lineRule="exact"/>
              <w:ind w:left="63" w:right="63"/>
              <w:rPr>
                <w:rFonts w:eastAsia="仿宋_GB2312"/>
                <w:color w:val="auto"/>
                <w:sz w:val="30"/>
                <w:szCs w:val="30"/>
                <w:highlight w:val="none"/>
              </w:rPr>
            </w:pPr>
          </w:p>
        </w:tc>
      </w:tr>
      <w:tr w14:paraId="21628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79DD599A">
            <w:pPr>
              <w:pStyle w:val="21"/>
              <w:keepNext/>
              <w:spacing w:after="0" w:line="440" w:lineRule="exact"/>
              <w:ind w:left="63" w:right="63"/>
              <w:rPr>
                <w:rFonts w:eastAsia="仿宋_GB2312"/>
                <w:color w:val="auto"/>
                <w:sz w:val="30"/>
                <w:szCs w:val="30"/>
                <w:highlight w:val="none"/>
              </w:rPr>
            </w:pPr>
          </w:p>
        </w:tc>
        <w:tc>
          <w:tcPr>
            <w:tcW w:w="1440" w:type="dxa"/>
            <w:noWrap w:val="0"/>
            <w:vAlign w:val="center"/>
          </w:tcPr>
          <w:p w14:paraId="6FE155B2">
            <w:pPr>
              <w:pStyle w:val="21"/>
              <w:keepNext/>
              <w:spacing w:after="0" w:line="440" w:lineRule="exact"/>
              <w:ind w:left="63" w:right="63"/>
              <w:rPr>
                <w:rFonts w:eastAsia="仿宋_GB2312"/>
                <w:color w:val="auto"/>
                <w:sz w:val="30"/>
                <w:szCs w:val="30"/>
                <w:highlight w:val="none"/>
              </w:rPr>
            </w:pPr>
          </w:p>
        </w:tc>
        <w:tc>
          <w:tcPr>
            <w:tcW w:w="1620" w:type="dxa"/>
            <w:noWrap w:val="0"/>
            <w:vAlign w:val="center"/>
          </w:tcPr>
          <w:p w14:paraId="365C402E">
            <w:pPr>
              <w:pStyle w:val="21"/>
              <w:keepNext/>
              <w:spacing w:after="0" w:line="440" w:lineRule="exact"/>
              <w:ind w:left="63" w:right="63"/>
              <w:rPr>
                <w:rFonts w:eastAsia="仿宋_GB2312"/>
                <w:color w:val="auto"/>
                <w:sz w:val="30"/>
                <w:szCs w:val="30"/>
                <w:highlight w:val="none"/>
              </w:rPr>
            </w:pPr>
          </w:p>
        </w:tc>
        <w:tc>
          <w:tcPr>
            <w:tcW w:w="1661" w:type="dxa"/>
            <w:noWrap w:val="0"/>
            <w:vAlign w:val="center"/>
          </w:tcPr>
          <w:p w14:paraId="76867A78">
            <w:pPr>
              <w:pStyle w:val="21"/>
              <w:keepNext/>
              <w:spacing w:after="0" w:line="440" w:lineRule="exact"/>
              <w:ind w:left="63" w:right="63"/>
              <w:rPr>
                <w:rFonts w:eastAsia="仿宋_GB2312"/>
                <w:color w:val="auto"/>
                <w:sz w:val="30"/>
                <w:szCs w:val="30"/>
                <w:highlight w:val="none"/>
              </w:rPr>
            </w:pPr>
          </w:p>
        </w:tc>
        <w:tc>
          <w:tcPr>
            <w:tcW w:w="850" w:type="dxa"/>
            <w:noWrap w:val="0"/>
            <w:vAlign w:val="center"/>
          </w:tcPr>
          <w:p w14:paraId="5C074E01">
            <w:pPr>
              <w:pStyle w:val="21"/>
              <w:keepNext/>
              <w:spacing w:after="0" w:line="440" w:lineRule="exact"/>
              <w:ind w:left="63" w:right="63"/>
              <w:rPr>
                <w:rFonts w:eastAsia="仿宋_GB2312"/>
                <w:color w:val="auto"/>
                <w:sz w:val="30"/>
                <w:szCs w:val="30"/>
                <w:highlight w:val="none"/>
              </w:rPr>
            </w:pPr>
          </w:p>
        </w:tc>
        <w:tc>
          <w:tcPr>
            <w:tcW w:w="1560" w:type="dxa"/>
            <w:noWrap w:val="0"/>
            <w:vAlign w:val="center"/>
          </w:tcPr>
          <w:p w14:paraId="10D1F2DB">
            <w:pPr>
              <w:pStyle w:val="21"/>
              <w:keepNext/>
              <w:spacing w:after="0" w:line="440" w:lineRule="exact"/>
              <w:ind w:left="63" w:right="63"/>
              <w:rPr>
                <w:rFonts w:eastAsia="仿宋_GB2312"/>
                <w:color w:val="auto"/>
                <w:sz w:val="30"/>
                <w:szCs w:val="30"/>
                <w:highlight w:val="none"/>
              </w:rPr>
            </w:pPr>
          </w:p>
        </w:tc>
        <w:tc>
          <w:tcPr>
            <w:tcW w:w="2126" w:type="dxa"/>
            <w:noWrap w:val="0"/>
            <w:vAlign w:val="center"/>
          </w:tcPr>
          <w:p w14:paraId="7ACDB098">
            <w:pPr>
              <w:pStyle w:val="21"/>
              <w:keepNext/>
              <w:spacing w:after="0" w:line="440" w:lineRule="exact"/>
              <w:ind w:left="63" w:right="63"/>
              <w:rPr>
                <w:rFonts w:eastAsia="仿宋_GB2312"/>
                <w:color w:val="auto"/>
                <w:sz w:val="30"/>
                <w:szCs w:val="30"/>
                <w:highlight w:val="none"/>
              </w:rPr>
            </w:pPr>
          </w:p>
        </w:tc>
        <w:tc>
          <w:tcPr>
            <w:tcW w:w="1417" w:type="dxa"/>
            <w:noWrap w:val="0"/>
            <w:vAlign w:val="center"/>
          </w:tcPr>
          <w:p w14:paraId="546A2680">
            <w:pPr>
              <w:pStyle w:val="21"/>
              <w:keepNext/>
              <w:spacing w:after="0" w:line="440" w:lineRule="exact"/>
              <w:ind w:left="63" w:right="63"/>
              <w:rPr>
                <w:rFonts w:eastAsia="仿宋_GB2312"/>
                <w:color w:val="auto"/>
                <w:sz w:val="30"/>
                <w:szCs w:val="30"/>
                <w:highlight w:val="none"/>
              </w:rPr>
            </w:pPr>
          </w:p>
        </w:tc>
        <w:tc>
          <w:tcPr>
            <w:tcW w:w="851" w:type="dxa"/>
            <w:noWrap w:val="0"/>
            <w:vAlign w:val="center"/>
          </w:tcPr>
          <w:p w14:paraId="4F27CB81">
            <w:pPr>
              <w:pStyle w:val="21"/>
              <w:keepNext/>
              <w:spacing w:after="0" w:line="440" w:lineRule="exact"/>
              <w:ind w:left="63" w:right="63"/>
              <w:rPr>
                <w:rFonts w:eastAsia="仿宋_GB2312"/>
                <w:color w:val="auto"/>
                <w:sz w:val="30"/>
                <w:szCs w:val="30"/>
                <w:highlight w:val="none"/>
              </w:rPr>
            </w:pPr>
          </w:p>
        </w:tc>
        <w:tc>
          <w:tcPr>
            <w:tcW w:w="850" w:type="dxa"/>
            <w:noWrap w:val="0"/>
            <w:vAlign w:val="center"/>
          </w:tcPr>
          <w:p w14:paraId="5E8408BD">
            <w:pPr>
              <w:pStyle w:val="21"/>
              <w:keepNext/>
              <w:spacing w:after="0" w:line="440" w:lineRule="exact"/>
              <w:ind w:left="63" w:right="63"/>
              <w:rPr>
                <w:rFonts w:eastAsia="仿宋_GB2312"/>
                <w:color w:val="auto"/>
                <w:sz w:val="30"/>
                <w:szCs w:val="30"/>
                <w:highlight w:val="none"/>
              </w:rPr>
            </w:pPr>
          </w:p>
        </w:tc>
      </w:tr>
    </w:tbl>
    <w:p w14:paraId="3987095D">
      <w:pPr>
        <w:spacing w:line="460" w:lineRule="exact"/>
        <w:ind w:firstLine="420" w:firstLineChars="200"/>
        <w:rPr>
          <w:color w:val="auto"/>
          <w:highlight w:val="none"/>
        </w:rPr>
      </w:pPr>
    </w:p>
    <w:p w14:paraId="6F1F553B">
      <w:pPr>
        <w:spacing w:line="460" w:lineRule="exact"/>
        <w:ind w:firstLine="420" w:firstLineChars="200"/>
        <w:rPr>
          <w:color w:val="auto"/>
          <w:highlight w:val="none"/>
        </w:rPr>
      </w:pPr>
    </w:p>
    <w:p w14:paraId="680CCE79">
      <w:pPr>
        <w:spacing w:line="460" w:lineRule="exact"/>
        <w:ind w:firstLine="420" w:firstLineChars="200"/>
        <w:rPr>
          <w:color w:val="auto"/>
          <w:highlight w:val="none"/>
        </w:rPr>
        <w:sectPr>
          <w:pgSz w:w="16840" w:h="11907" w:orient="landscape"/>
          <w:pgMar w:top="1440" w:right="1440" w:bottom="1440" w:left="1797" w:header="851" w:footer="851" w:gutter="0"/>
          <w:cols w:space="720" w:num="1"/>
          <w:docGrid w:linePitch="312" w:charSpace="0"/>
        </w:sectPr>
      </w:pPr>
    </w:p>
    <w:p w14:paraId="5F2B2D27">
      <w:pPr>
        <w:spacing w:line="440" w:lineRule="exact"/>
        <w:rPr>
          <w:color w:val="auto"/>
          <w:sz w:val="30"/>
          <w:szCs w:val="30"/>
          <w:highlight w:val="none"/>
        </w:rPr>
      </w:pPr>
      <w:r>
        <w:rPr>
          <w:rFonts w:hint="eastAsia" w:hAnsi="宋体" w:cs="宋体"/>
          <w:color w:val="auto"/>
          <w:sz w:val="30"/>
          <w:szCs w:val="30"/>
          <w:highlight w:val="none"/>
        </w:rPr>
        <w:t>附件</w:t>
      </w:r>
      <w:r>
        <w:rPr>
          <w:rFonts w:hint="eastAsia"/>
          <w:color w:val="auto"/>
          <w:sz w:val="30"/>
          <w:szCs w:val="30"/>
          <w:highlight w:val="none"/>
        </w:rPr>
        <w:t>2</w:t>
      </w:r>
      <w:r>
        <w:rPr>
          <w:rFonts w:hint="eastAsia" w:hAnsi="宋体" w:cs="宋体"/>
          <w:color w:val="auto"/>
          <w:sz w:val="30"/>
          <w:szCs w:val="30"/>
          <w:highlight w:val="none"/>
        </w:rPr>
        <w:t>：</w:t>
      </w:r>
    </w:p>
    <w:p w14:paraId="03AC24C7">
      <w:pPr>
        <w:spacing w:before="120" w:beforeLines="50" w:after="120" w:afterLines="50" w:line="440" w:lineRule="exact"/>
        <w:jc w:val="center"/>
        <w:rPr>
          <w:rFonts w:ascii="黑体" w:eastAsia="黑体"/>
          <w:color w:val="auto"/>
          <w:sz w:val="32"/>
          <w:szCs w:val="32"/>
          <w:highlight w:val="none"/>
        </w:rPr>
      </w:pPr>
      <w:r>
        <w:rPr>
          <w:rFonts w:hint="eastAsia" w:ascii="黑体" w:hAnsi="宋体" w:eastAsia="黑体" w:cs="黑体"/>
          <w:color w:val="auto"/>
          <w:sz w:val="32"/>
          <w:szCs w:val="32"/>
          <w:highlight w:val="none"/>
        </w:rPr>
        <w:t>工程质量保修书</w:t>
      </w:r>
    </w:p>
    <w:p w14:paraId="2820888F">
      <w:pPr>
        <w:spacing w:line="440" w:lineRule="exact"/>
        <w:ind w:firstLine="420" w:firstLineChars="200"/>
        <w:rPr>
          <w:color w:val="auto"/>
          <w:highlight w:val="none"/>
        </w:rPr>
      </w:pPr>
      <w:r>
        <w:rPr>
          <w:rFonts w:hint="eastAsia" w:hAnsi="宋体" w:cs="宋体"/>
          <w:color w:val="auto"/>
          <w:highlight w:val="none"/>
        </w:rPr>
        <w:t>发包人（全称）：</w:t>
      </w:r>
      <w:r>
        <w:rPr>
          <w:color w:val="auto"/>
          <w:highlight w:val="none"/>
          <w:u w:val="single"/>
        </w:rPr>
        <w:t xml:space="preserve">  </w:t>
      </w:r>
      <w:r>
        <w:rPr>
          <w:rFonts w:hint="eastAsia"/>
          <w:color w:val="auto"/>
          <w:highlight w:val="none"/>
          <w:u w:val="single"/>
        </w:rPr>
        <w:t>广西幼儿师范高等专科学校</w:t>
      </w:r>
      <w:r>
        <w:rPr>
          <w:color w:val="auto"/>
          <w:highlight w:val="none"/>
          <w:u w:val="single"/>
        </w:rPr>
        <w:t xml:space="preserve">  </w:t>
      </w:r>
      <w:r>
        <w:rPr>
          <w:color w:val="auto"/>
          <w:highlight w:val="none"/>
        </w:rPr>
        <w:t xml:space="preserve"> </w:t>
      </w:r>
    </w:p>
    <w:p w14:paraId="32502AD2">
      <w:pPr>
        <w:spacing w:line="440" w:lineRule="exact"/>
        <w:ind w:firstLine="420" w:firstLineChars="200"/>
        <w:rPr>
          <w:color w:val="auto"/>
          <w:highlight w:val="none"/>
        </w:rPr>
      </w:pPr>
      <w:r>
        <w:rPr>
          <w:rFonts w:hint="eastAsia" w:hAnsi="宋体" w:cs="宋体"/>
          <w:color w:val="auto"/>
          <w:highlight w:val="none"/>
        </w:rPr>
        <w:t>承包人（全称）：</w:t>
      </w:r>
      <w:r>
        <w:rPr>
          <w:color w:val="auto"/>
          <w:highlight w:val="none"/>
          <w:u w:val="single"/>
        </w:rPr>
        <w:t xml:space="preserve">                                </w:t>
      </w:r>
      <w:r>
        <w:rPr>
          <w:color w:val="auto"/>
          <w:highlight w:val="none"/>
        </w:rPr>
        <w:t xml:space="preserve"> </w:t>
      </w:r>
    </w:p>
    <w:p w14:paraId="4D035841">
      <w:pPr>
        <w:spacing w:line="440" w:lineRule="exact"/>
        <w:rPr>
          <w:color w:val="auto"/>
          <w:highlight w:val="none"/>
        </w:rPr>
      </w:pPr>
    </w:p>
    <w:p w14:paraId="7762A54B">
      <w:pPr>
        <w:spacing w:line="360" w:lineRule="auto"/>
        <w:ind w:firstLine="420" w:firstLineChars="200"/>
        <w:rPr>
          <w:rFonts w:hAnsi="宋体"/>
          <w:color w:val="auto"/>
          <w:szCs w:val="21"/>
          <w:highlight w:val="none"/>
        </w:rPr>
      </w:pPr>
      <w:r>
        <w:rPr>
          <w:rFonts w:hint="eastAsia" w:hAnsi="宋体" w:cs="宋体"/>
          <w:color w:val="auto"/>
          <w:szCs w:val="21"/>
          <w:highlight w:val="none"/>
        </w:rPr>
        <w:t>发包人和承包人根据《中华人民共和国建筑法》和《建设工程质量管理条例》，经协商一致就</w:t>
      </w:r>
      <w:r>
        <w:rPr>
          <w:rFonts w:hint="eastAsia" w:hAnsi="宋体" w:cs="宋体"/>
          <w:color w:val="auto"/>
          <w:szCs w:val="21"/>
          <w:highlight w:val="none"/>
          <w:u w:val="single"/>
          <w:lang w:eastAsia="zh-CN"/>
        </w:rPr>
        <w:t>广西幼儿师范高等专科学校平果校区室外风雨球场建设项目</w:t>
      </w:r>
      <w:r>
        <w:rPr>
          <w:rFonts w:hint="eastAsia" w:hAnsi="宋体" w:cs="宋体"/>
          <w:color w:val="auto"/>
          <w:szCs w:val="21"/>
          <w:highlight w:val="none"/>
        </w:rPr>
        <w:t>签订工程质量保修书。</w:t>
      </w:r>
    </w:p>
    <w:p w14:paraId="74FCA39B">
      <w:pPr>
        <w:spacing w:line="360" w:lineRule="auto"/>
        <w:ind w:firstLine="420" w:firstLineChars="200"/>
        <w:rPr>
          <w:rFonts w:ascii="黑体" w:hAnsi="宋体" w:eastAsia="黑体"/>
          <w:color w:val="auto"/>
          <w:szCs w:val="21"/>
          <w:highlight w:val="none"/>
        </w:rPr>
      </w:pPr>
      <w:r>
        <w:rPr>
          <w:rFonts w:hint="eastAsia" w:ascii="黑体" w:hAnsi="宋体" w:eastAsia="黑体" w:cs="黑体"/>
          <w:color w:val="auto"/>
          <w:szCs w:val="21"/>
          <w:highlight w:val="none"/>
        </w:rPr>
        <w:t>一、工程质量保修范围和内容</w:t>
      </w:r>
    </w:p>
    <w:p w14:paraId="67EC4BF5">
      <w:pPr>
        <w:spacing w:line="360" w:lineRule="auto"/>
        <w:ind w:firstLine="420" w:firstLineChars="200"/>
        <w:rPr>
          <w:color w:val="auto"/>
          <w:szCs w:val="21"/>
          <w:highlight w:val="none"/>
        </w:rPr>
      </w:pPr>
      <w:r>
        <w:rPr>
          <w:rFonts w:hint="eastAsia" w:hAnsi="宋体" w:cs="宋体"/>
          <w:color w:val="auto"/>
          <w:szCs w:val="21"/>
          <w:highlight w:val="none"/>
        </w:rPr>
        <w:t>承包人在质量保修期内，按照有关法律规定和合同约定，承担工程质量保修责任。</w:t>
      </w:r>
    </w:p>
    <w:p w14:paraId="20F2EB5D">
      <w:pPr>
        <w:spacing w:line="360" w:lineRule="auto"/>
        <w:ind w:firstLine="420"/>
        <w:rPr>
          <w:rFonts w:hAnsi="宋体"/>
          <w:color w:val="auto"/>
          <w:szCs w:val="21"/>
          <w:highlight w:val="none"/>
        </w:rPr>
      </w:pPr>
      <w:r>
        <w:rPr>
          <w:rFonts w:hint="eastAsia" w:hAnsi="宋体" w:cs="宋体"/>
          <w:color w:val="auto"/>
          <w:szCs w:val="21"/>
          <w:highlight w:val="none"/>
        </w:rPr>
        <w:t>质量保修范围包括工程，以及双方约定的其他项目。具体保修的内容，双方约定如下：</w:t>
      </w:r>
      <w:r>
        <w:rPr>
          <w:rFonts w:hint="eastAsia" w:ascii="宋体" w:hAnsi="宋体" w:cs="宋体"/>
          <w:color w:val="auto"/>
          <w:szCs w:val="21"/>
          <w:highlight w:val="none"/>
          <w:u w:val="single"/>
        </w:rPr>
        <w:t>属承包人承包范围内的质量缺陷</w:t>
      </w:r>
      <w:r>
        <w:rPr>
          <w:rFonts w:hint="eastAsia" w:hAnsi="宋体" w:cs="宋体"/>
          <w:color w:val="auto"/>
          <w:szCs w:val="21"/>
          <w:highlight w:val="none"/>
        </w:rPr>
        <w:t>。</w:t>
      </w:r>
    </w:p>
    <w:p w14:paraId="69B24F4E">
      <w:pPr>
        <w:spacing w:line="360" w:lineRule="auto"/>
        <w:ind w:firstLine="420"/>
        <w:rPr>
          <w:rFonts w:ascii="黑体" w:hAnsi="宋体" w:eastAsia="黑体"/>
          <w:color w:val="auto"/>
          <w:szCs w:val="21"/>
          <w:highlight w:val="none"/>
        </w:rPr>
      </w:pPr>
      <w:r>
        <w:rPr>
          <w:rFonts w:hint="eastAsia" w:ascii="黑体" w:hAnsi="宋体" w:eastAsia="黑体" w:cs="黑体"/>
          <w:color w:val="auto"/>
          <w:szCs w:val="21"/>
          <w:highlight w:val="none"/>
        </w:rPr>
        <w:t>二、质量保修期</w:t>
      </w:r>
    </w:p>
    <w:p w14:paraId="1FCEC69E">
      <w:pPr>
        <w:spacing w:line="360" w:lineRule="auto"/>
        <w:ind w:firstLine="420"/>
        <w:rPr>
          <w:rFonts w:hAnsi="宋体"/>
          <w:color w:val="auto"/>
          <w:szCs w:val="21"/>
          <w:highlight w:val="none"/>
        </w:rPr>
      </w:pPr>
      <w:r>
        <w:rPr>
          <w:rFonts w:hint="eastAsia" w:hAnsi="宋体" w:cs="宋体"/>
          <w:color w:val="auto"/>
          <w:szCs w:val="21"/>
          <w:highlight w:val="none"/>
        </w:rPr>
        <w:t>根据《建设工程质量管理条例》及有关规定，工程的质量保修期如下：</w:t>
      </w:r>
    </w:p>
    <w:p w14:paraId="6447F160">
      <w:pPr>
        <w:spacing w:line="360" w:lineRule="auto"/>
        <w:ind w:firstLine="420"/>
        <w:rPr>
          <w:rFonts w:hAnsi="宋体"/>
          <w:color w:val="auto"/>
          <w:szCs w:val="21"/>
          <w:highlight w:val="none"/>
          <w:u w:val="single"/>
        </w:rPr>
      </w:pPr>
      <w:r>
        <w:rPr>
          <w:rFonts w:hint="eastAsia" w:hAnsi="宋体" w:cs="宋体"/>
          <w:color w:val="auto"/>
          <w:szCs w:val="21"/>
          <w:highlight w:val="none"/>
        </w:rPr>
        <w:t>保修期限约定如下：</w:t>
      </w:r>
      <w:r>
        <w:rPr>
          <w:rFonts w:hint="eastAsia" w:hAnsi="宋体" w:cs="宋体"/>
          <w:color w:val="auto"/>
          <w:szCs w:val="21"/>
          <w:highlight w:val="none"/>
          <w:u w:val="single"/>
        </w:rPr>
        <w:t>本项目质量保修期为2年</w:t>
      </w:r>
      <w:r>
        <w:rPr>
          <w:rFonts w:hint="eastAsia" w:hAnsi="宋体" w:cs="宋体"/>
          <w:color w:val="auto"/>
          <w:szCs w:val="21"/>
          <w:highlight w:val="none"/>
          <w:u w:val="single"/>
          <w:lang w:eastAsia="zh-CN"/>
        </w:rPr>
        <w:t>（</w:t>
      </w:r>
      <w:r>
        <w:rPr>
          <w:rFonts w:hint="eastAsia" w:hAnsi="宋体" w:cs="宋体"/>
          <w:color w:val="auto"/>
          <w:szCs w:val="21"/>
          <w:highlight w:val="none"/>
          <w:u w:val="single"/>
        </w:rPr>
        <w:t>防水工程质保期为5年</w:t>
      </w:r>
      <w:r>
        <w:rPr>
          <w:rFonts w:hint="eastAsia" w:hAnsi="宋体" w:cs="宋体"/>
          <w:color w:val="auto"/>
          <w:szCs w:val="21"/>
          <w:highlight w:val="none"/>
          <w:u w:val="single"/>
          <w:lang w:eastAsia="zh-CN"/>
        </w:rPr>
        <w:t>）</w:t>
      </w:r>
      <w:r>
        <w:rPr>
          <w:rFonts w:hint="eastAsia" w:hAnsi="宋体" w:cs="宋体"/>
          <w:color w:val="auto"/>
          <w:szCs w:val="21"/>
          <w:highlight w:val="none"/>
          <w:u w:val="single"/>
        </w:rPr>
        <w:t>。</w:t>
      </w:r>
    </w:p>
    <w:p w14:paraId="6B513409">
      <w:pPr>
        <w:spacing w:line="360" w:lineRule="auto"/>
        <w:ind w:firstLine="420"/>
        <w:rPr>
          <w:rFonts w:hAnsi="宋体"/>
          <w:color w:val="auto"/>
          <w:szCs w:val="21"/>
          <w:highlight w:val="none"/>
        </w:rPr>
      </w:pPr>
      <w:r>
        <w:rPr>
          <w:rFonts w:hint="eastAsia" w:hAnsi="宋体" w:cs="宋体"/>
          <w:color w:val="auto"/>
          <w:szCs w:val="21"/>
          <w:highlight w:val="none"/>
        </w:rPr>
        <w:t>质量保修期自工程竣工验收合格之日起计算。</w:t>
      </w:r>
    </w:p>
    <w:p w14:paraId="2EAA37FB">
      <w:pPr>
        <w:spacing w:line="360" w:lineRule="auto"/>
        <w:ind w:firstLine="420"/>
        <w:rPr>
          <w:rFonts w:ascii="黑体" w:hAnsi="宋体" w:eastAsia="黑体"/>
          <w:color w:val="auto"/>
          <w:szCs w:val="21"/>
          <w:highlight w:val="none"/>
        </w:rPr>
      </w:pPr>
      <w:r>
        <w:rPr>
          <w:rFonts w:hint="eastAsia" w:ascii="黑体" w:hAnsi="宋体" w:eastAsia="黑体" w:cs="黑体"/>
          <w:color w:val="auto"/>
          <w:szCs w:val="21"/>
          <w:highlight w:val="none"/>
        </w:rPr>
        <w:t>三、缺陷责任期</w:t>
      </w:r>
    </w:p>
    <w:p w14:paraId="61AED131">
      <w:pPr>
        <w:spacing w:line="360" w:lineRule="auto"/>
        <w:ind w:firstLine="420"/>
        <w:rPr>
          <w:rFonts w:hAnsi="宋体"/>
          <w:color w:val="auto"/>
          <w:szCs w:val="21"/>
          <w:highlight w:val="none"/>
        </w:rPr>
      </w:pPr>
      <w:r>
        <w:rPr>
          <w:rFonts w:hint="eastAsia" w:hAnsi="宋体" w:cs="宋体"/>
          <w:color w:val="auto"/>
          <w:szCs w:val="21"/>
          <w:highlight w:val="none"/>
        </w:rPr>
        <w:t>工程缺陷责任期为</w:t>
      </w:r>
      <w:r>
        <w:rPr>
          <w:rFonts w:hint="eastAsia"/>
          <w:color w:val="auto"/>
          <w:szCs w:val="21"/>
          <w:highlight w:val="none"/>
          <w:u w:val="single"/>
        </w:rPr>
        <w:t>12</w:t>
      </w:r>
      <w:r>
        <w:rPr>
          <w:rFonts w:hint="eastAsia" w:hAnsi="宋体" w:cs="宋体"/>
          <w:color w:val="auto"/>
          <w:szCs w:val="21"/>
          <w:highlight w:val="none"/>
        </w:rPr>
        <w:t>个月，缺陷责任期自工程竣工验收合格之日起计算。单位工程先于全部工程进行验收，单位工程缺陷责任期自单位工程验收合格之日起算。</w:t>
      </w:r>
    </w:p>
    <w:p w14:paraId="63859B08">
      <w:pPr>
        <w:autoSpaceDE w:val="0"/>
        <w:autoSpaceDN w:val="0"/>
        <w:adjustRightInd w:val="0"/>
        <w:spacing w:line="360" w:lineRule="auto"/>
        <w:ind w:firstLine="420" w:firstLineChars="200"/>
        <w:jc w:val="left"/>
        <w:rPr>
          <w:color w:val="auto"/>
          <w:kern w:val="0"/>
          <w:highlight w:val="none"/>
        </w:rPr>
      </w:pPr>
      <w:r>
        <w:rPr>
          <w:rFonts w:hint="eastAsia" w:ascii="宋体" w:hAnsi="宋体"/>
          <w:bCs/>
          <w:color w:val="auto"/>
          <w:szCs w:val="21"/>
          <w:highlight w:val="none"/>
          <w:u w:val="single"/>
        </w:rPr>
        <w:t>工程质量保修金</w:t>
      </w:r>
      <w:r>
        <w:rPr>
          <w:rFonts w:hint="eastAsia" w:hAnsi="宋体"/>
          <w:color w:val="auto"/>
          <w:szCs w:val="21"/>
          <w:highlight w:val="none"/>
          <w:u w:val="single"/>
        </w:rPr>
        <w:t>在工程竣工质量保修期满1年且验收合格</w:t>
      </w:r>
      <w:r>
        <w:rPr>
          <w:rFonts w:hint="eastAsia"/>
          <w:color w:val="auto"/>
          <w:szCs w:val="21"/>
          <w:highlight w:val="none"/>
          <w:u w:val="single"/>
        </w:rPr>
        <w:t>后</w:t>
      </w:r>
      <w:r>
        <w:rPr>
          <w:rFonts w:hint="eastAsia" w:hAnsi="宋体"/>
          <w:color w:val="auto"/>
          <w:szCs w:val="21"/>
          <w:highlight w:val="none"/>
          <w:u w:val="single"/>
        </w:rPr>
        <w:t>，</w:t>
      </w:r>
      <w:r>
        <w:rPr>
          <w:rFonts w:hint="eastAsia"/>
          <w:color w:val="auto"/>
          <w:szCs w:val="21"/>
          <w:highlight w:val="none"/>
          <w:u w:val="single"/>
        </w:rPr>
        <w:t>并扣除有关应扣除的费用后，</w:t>
      </w:r>
      <w:r>
        <w:rPr>
          <w:rFonts w:hint="eastAsia" w:hAnsi="宋体"/>
          <w:color w:val="auto"/>
          <w:szCs w:val="21"/>
          <w:highlight w:val="none"/>
          <w:u w:val="single"/>
        </w:rPr>
        <w:t>将剩余保修金（不计利息）全额退回承包人</w:t>
      </w:r>
      <w:r>
        <w:rPr>
          <w:rFonts w:hint="eastAsia" w:ascii="宋体" w:hAnsi="宋体"/>
          <w:bCs/>
          <w:color w:val="auto"/>
          <w:szCs w:val="21"/>
          <w:highlight w:val="none"/>
          <w:u w:val="single"/>
        </w:rPr>
        <w:t>。</w:t>
      </w:r>
    </w:p>
    <w:p w14:paraId="1F84DA37">
      <w:pPr>
        <w:spacing w:line="360" w:lineRule="auto"/>
        <w:ind w:firstLine="420"/>
        <w:rPr>
          <w:rFonts w:ascii="黑体" w:hAnsi="宋体" w:eastAsia="黑体"/>
          <w:color w:val="auto"/>
          <w:szCs w:val="21"/>
          <w:highlight w:val="none"/>
        </w:rPr>
      </w:pPr>
      <w:r>
        <w:rPr>
          <w:rFonts w:hint="eastAsia" w:ascii="黑体" w:hAnsi="宋体" w:eastAsia="黑体" w:cs="黑体"/>
          <w:color w:val="auto"/>
          <w:szCs w:val="21"/>
          <w:highlight w:val="none"/>
        </w:rPr>
        <w:t>四、质量保修责任</w:t>
      </w:r>
    </w:p>
    <w:p w14:paraId="62460782">
      <w:pPr>
        <w:spacing w:line="360" w:lineRule="auto"/>
        <w:ind w:left="105" w:leftChars="50" w:firstLine="430" w:firstLineChars="205"/>
        <w:rPr>
          <w:rFonts w:hAnsi="宋体"/>
          <w:color w:val="auto"/>
          <w:szCs w:val="21"/>
          <w:highlight w:val="none"/>
        </w:rPr>
      </w:pPr>
      <w:r>
        <w:rPr>
          <w:rFonts w:hint="eastAsia"/>
          <w:color w:val="auto"/>
          <w:szCs w:val="21"/>
          <w:highlight w:val="none"/>
          <w:lang w:eastAsia="zh-CN"/>
        </w:rPr>
        <w:t>1.</w:t>
      </w:r>
      <w:r>
        <w:rPr>
          <w:rFonts w:hint="eastAsia" w:hAnsi="宋体" w:cs="宋体"/>
          <w:color w:val="auto"/>
          <w:szCs w:val="21"/>
          <w:highlight w:val="none"/>
        </w:rPr>
        <w:t>属于保修范围、内容的项目，承包人应当在接到保修通知之日起</w:t>
      </w:r>
      <w:r>
        <w:rPr>
          <w:rFonts w:hint="eastAsia"/>
          <w:color w:val="auto"/>
          <w:szCs w:val="21"/>
          <w:highlight w:val="none"/>
          <w:u w:val="single"/>
        </w:rPr>
        <w:t>1</w:t>
      </w:r>
      <w:r>
        <w:rPr>
          <w:rFonts w:hint="eastAsia" w:hAnsi="宋体" w:cs="宋体"/>
          <w:color w:val="auto"/>
          <w:szCs w:val="21"/>
          <w:highlight w:val="none"/>
        </w:rPr>
        <w:t>天内派人保修。承包人不在约定期限内派人保修的，发包人可以委托他人修理，修理费用从质量保证金内扣除。</w:t>
      </w:r>
    </w:p>
    <w:p w14:paraId="2E829F9A">
      <w:pPr>
        <w:spacing w:line="360" w:lineRule="auto"/>
        <w:ind w:firstLine="420"/>
        <w:rPr>
          <w:rFonts w:hAnsi="宋体"/>
          <w:color w:val="auto"/>
          <w:szCs w:val="21"/>
          <w:highlight w:val="none"/>
        </w:rPr>
      </w:pPr>
      <w:r>
        <w:rPr>
          <w:rFonts w:hint="eastAsia"/>
          <w:color w:val="auto"/>
          <w:szCs w:val="21"/>
          <w:highlight w:val="none"/>
          <w:lang w:eastAsia="zh-CN"/>
        </w:rPr>
        <w:t>2.</w:t>
      </w:r>
      <w:r>
        <w:rPr>
          <w:rFonts w:hint="eastAsia" w:hAnsi="宋体" w:cs="宋体"/>
          <w:color w:val="auto"/>
          <w:szCs w:val="21"/>
          <w:highlight w:val="none"/>
        </w:rPr>
        <w:t>发生紧急事故需抢修的，承包人在接到事故通知后，应当立即到达事故现场抢修。</w:t>
      </w:r>
    </w:p>
    <w:p w14:paraId="34020345">
      <w:pPr>
        <w:spacing w:line="360" w:lineRule="auto"/>
        <w:ind w:firstLine="420"/>
        <w:rPr>
          <w:rFonts w:hAnsi="宋体"/>
          <w:color w:val="auto"/>
          <w:szCs w:val="21"/>
          <w:highlight w:val="none"/>
        </w:rPr>
      </w:pPr>
      <w:r>
        <w:rPr>
          <w:rFonts w:hint="eastAsia"/>
          <w:color w:val="auto"/>
          <w:szCs w:val="21"/>
          <w:highlight w:val="none"/>
          <w:lang w:eastAsia="zh-CN"/>
        </w:rPr>
        <w:t>3.</w:t>
      </w:r>
      <w:r>
        <w:rPr>
          <w:rFonts w:hint="eastAsia" w:hAnsi="宋体" w:cs="宋体"/>
          <w:color w:val="auto"/>
          <w:szCs w:val="21"/>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w:t>
      </w:r>
      <w:r>
        <w:rPr>
          <w:rFonts w:hint="eastAsia" w:hAnsi="宋体" w:cs="宋体"/>
          <w:color w:val="auto"/>
          <w:szCs w:val="21"/>
          <w:highlight w:val="none"/>
          <w:lang w:eastAsia="zh-CN"/>
        </w:rPr>
        <w:t>，由</w:t>
      </w:r>
      <w:r>
        <w:rPr>
          <w:rFonts w:hint="eastAsia" w:hAnsi="宋体" w:cs="宋体"/>
          <w:color w:val="auto"/>
          <w:szCs w:val="21"/>
          <w:highlight w:val="none"/>
        </w:rPr>
        <w:t>承包人实施保修。</w:t>
      </w:r>
    </w:p>
    <w:p w14:paraId="0ABDFFA3">
      <w:pPr>
        <w:spacing w:line="360" w:lineRule="auto"/>
        <w:ind w:firstLine="420"/>
        <w:rPr>
          <w:rFonts w:hAnsi="宋体"/>
          <w:color w:val="auto"/>
          <w:szCs w:val="21"/>
          <w:highlight w:val="none"/>
        </w:rPr>
      </w:pPr>
      <w:r>
        <w:rPr>
          <w:rFonts w:hint="eastAsia"/>
          <w:color w:val="auto"/>
          <w:szCs w:val="21"/>
          <w:highlight w:val="none"/>
          <w:lang w:eastAsia="zh-CN"/>
        </w:rPr>
        <w:t>4.</w:t>
      </w:r>
      <w:r>
        <w:rPr>
          <w:rFonts w:hint="eastAsia" w:hAnsi="宋体" w:cs="宋体"/>
          <w:color w:val="auto"/>
          <w:szCs w:val="21"/>
          <w:highlight w:val="none"/>
        </w:rPr>
        <w:t>质量保修完成后，由发包人组织验收。</w:t>
      </w:r>
    </w:p>
    <w:p w14:paraId="74B870E9">
      <w:pPr>
        <w:spacing w:line="360" w:lineRule="auto"/>
        <w:ind w:firstLine="420"/>
        <w:rPr>
          <w:rFonts w:ascii="黑体" w:hAnsi="宋体" w:eastAsia="黑体"/>
          <w:color w:val="auto"/>
          <w:szCs w:val="21"/>
          <w:highlight w:val="none"/>
        </w:rPr>
      </w:pPr>
      <w:r>
        <w:rPr>
          <w:rFonts w:hint="eastAsia" w:ascii="黑体" w:hAnsi="宋体" w:eastAsia="黑体" w:cs="黑体"/>
          <w:color w:val="auto"/>
          <w:szCs w:val="21"/>
          <w:highlight w:val="none"/>
        </w:rPr>
        <w:t>五、保修费用</w:t>
      </w:r>
    </w:p>
    <w:p w14:paraId="204E6360">
      <w:pPr>
        <w:tabs>
          <w:tab w:val="left" w:pos="7380"/>
        </w:tabs>
        <w:spacing w:line="360" w:lineRule="auto"/>
        <w:ind w:firstLine="420"/>
        <w:rPr>
          <w:rFonts w:hAnsi="宋体"/>
          <w:color w:val="auto"/>
          <w:szCs w:val="21"/>
          <w:highlight w:val="none"/>
        </w:rPr>
      </w:pPr>
      <w:r>
        <w:rPr>
          <w:rFonts w:hint="eastAsia" w:hAnsi="宋体" w:cs="宋体"/>
          <w:color w:val="auto"/>
          <w:szCs w:val="21"/>
          <w:highlight w:val="none"/>
        </w:rPr>
        <w:t>保修费用由造成质量缺陷的责任方承担。</w:t>
      </w:r>
    </w:p>
    <w:p w14:paraId="011C03DA">
      <w:pPr>
        <w:spacing w:line="360" w:lineRule="auto"/>
        <w:ind w:firstLine="420"/>
        <w:rPr>
          <w:rFonts w:ascii="黑体" w:hAnsi="宋体" w:eastAsia="黑体" w:cs="黑体"/>
          <w:color w:val="auto"/>
          <w:szCs w:val="21"/>
          <w:highlight w:val="none"/>
        </w:rPr>
      </w:pPr>
      <w:r>
        <w:rPr>
          <w:rFonts w:hint="eastAsia" w:ascii="黑体" w:hAnsi="宋体" w:eastAsia="黑体" w:cs="黑体"/>
          <w:color w:val="auto"/>
          <w:szCs w:val="21"/>
          <w:highlight w:val="none"/>
        </w:rPr>
        <w:t>六、双方约定的其他工程质量保修事项：</w:t>
      </w:r>
    </w:p>
    <w:p w14:paraId="6812D0C6">
      <w:pPr>
        <w:spacing w:line="360" w:lineRule="auto"/>
        <w:ind w:firstLine="420" w:firstLineChars="200"/>
        <w:jc w:val="left"/>
        <w:rPr>
          <w:color w:val="auto"/>
          <w:szCs w:val="21"/>
          <w:highlight w:val="none"/>
        </w:rPr>
      </w:pPr>
      <w:r>
        <w:rPr>
          <w:rFonts w:hint="eastAsia" w:ascii="宋体" w:hAnsi="宋体" w:cs="宋体"/>
          <w:color w:val="auto"/>
          <w:szCs w:val="21"/>
          <w:highlight w:val="none"/>
          <w:u w:val="single"/>
        </w:rPr>
        <w:t>本工程在保修期有质量问题的，且保修期仍未解决的，承包人应负责维修</w:t>
      </w:r>
      <w:r>
        <w:rPr>
          <w:rFonts w:hint="eastAsia" w:hAnsi="宋体" w:cs="宋体"/>
          <w:color w:val="auto"/>
          <w:szCs w:val="21"/>
          <w:highlight w:val="none"/>
        </w:rPr>
        <w:t>。</w:t>
      </w:r>
    </w:p>
    <w:p w14:paraId="4942F565">
      <w:pPr>
        <w:spacing w:line="360" w:lineRule="auto"/>
        <w:ind w:firstLine="399" w:firstLineChars="190"/>
        <w:rPr>
          <w:color w:val="auto"/>
          <w:highlight w:val="none"/>
        </w:rPr>
      </w:pPr>
      <w:r>
        <w:rPr>
          <w:rFonts w:hint="eastAsia" w:hAnsi="宋体" w:cs="宋体"/>
          <w:color w:val="auto"/>
          <w:szCs w:val="21"/>
          <w:highlight w:val="none"/>
        </w:rPr>
        <w:t>工程质量保修书由发包人、承包人在工程竣工验收前共同签署，作为施工合同附件，其有效期限至保修期满。</w:t>
      </w:r>
    </w:p>
    <w:p w14:paraId="4BAD656F">
      <w:pPr>
        <w:spacing w:line="360" w:lineRule="auto"/>
        <w:ind w:firstLine="420"/>
        <w:rPr>
          <w:color w:val="auto"/>
          <w:highlight w:val="none"/>
        </w:rPr>
      </w:pPr>
    </w:p>
    <w:p w14:paraId="1A09359E">
      <w:pPr>
        <w:spacing w:line="360" w:lineRule="auto"/>
        <w:rPr>
          <w:color w:val="auto"/>
          <w:highlight w:val="none"/>
        </w:rPr>
      </w:pPr>
      <w:r>
        <w:rPr>
          <w:rFonts w:hAnsi="宋体"/>
          <w:color w:val="auto"/>
          <w:highlight w:val="none"/>
        </w:rPr>
        <w:t>发包人</w:t>
      </w:r>
      <w:r>
        <w:rPr>
          <w:rFonts w:hint="eastAsia"/>
          <w:color w:val="auto"/>
          <w:highlight w:val="none"/>
        </w:rPr>
        <w:t>（</w:t>
      </w:r>
      <w:r>
        <w:rPr>
          <w:rFonts w:hAnsi="宋体"/>
          <w:color w:val="auto"/>
          <w:highlight w:val="none"/>
        </w:rPr>
        <w:t>公章</w:t>
      </w:r>
      <w:r>
        <w:rPr>
          <w:rFonts w:hint="eastAsia"/>
          <w:color w:val="auto"/>
          <w:highlight w:val="none"/>
        </w:rPr>
        <w:t>）</w:t>
      </w:r>
      <w:r>
        <w:rPr>
          <w:rFonts w:hAnsi="宋体"/>
          <w:color w:val="auto"/>
          <w:highlight w:val="none"/>
        </w:rPr>
        <w:t>：</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承包人</w:t>
      </w:r>
      <w:r>
        <w:rPr>
          <w:rFonts w:hint="eastAsia"/>
          <w:color w:val="auto"/>
          <w:highlight w:val="none"/>
        </w:rPr>
        <w:t>（</w:t>
      </w:r>
      <w:r>
        <w:rPr>
          <w:rFonts w:hAnsi="宋体"/>
          <w:color w:val="auto"/>
          <w:highlight w:val="none"/>
        </w:rPr>
        <w:t>公章</w:t>
      </w:r>
      <w:r>
        <w:rPr>
          <w:rFonts w:hint="eastAsia"/>
          <w:color w:val="auto"/>
          <w:highlight w:val="none"/>
        </w:rPr>
        <w:t>）</w:t>
      </w:r>
      <w:r>
        <w:rPr>
          <w:rFonts w:hAnsi="宋体"/>
          <w:color w:val="auto"/>
          <w:highlight w:val="none"/>
        </w:rPr>
        <w:t>：</w:t>
      </w:r>
      <w:r>
        <w:rPr>
          <w:rFonts w:ascii="宋体" w:hAnsi="宋体"/>
          <w:color w:val="auto"/>
          <w:highlight w:val="none"/>
          <w:u w:val="single"/>
        </w:rPr>
        <w:t></w:t>
      </w:r>
      <w:r>
        <w:rPr>
          <w:color w:val="auto"/>
          <w:highlight w:val="none"/>
          <w:u w:val="single"/>
        </w:rPr>
        <w:t xml:space="preserve">          </w:t>
      </w:r>
      <w:r>
        <w:rPr>
          <w:rFonts w:ascii="宋体" w:hAnsi="宋体"/>
          <w:color w:val="auto"/>
          <w:highlight w:val="none"/>
          <w:u w:val="single"/>
        </w:rPr>
        <w:t></w:t>
      </w:r>
    </w:p>
    <w:p w14:paraId="4F92931B">
      <w:pPr>
        <w:spacing w:line="360" w:lineRule="auto"/>
        <w:rPr>
          <w:color w:val="auto"/>
          <w:highlight w:val="none"/>
        </w:rPr>
      </w:pPr>
      <w:r>
        <w:rPr>
          <w:rFonts w:hAnsi="宋体"/>
          <w:color w:val="auto"/>
          <w:highlight w:val="none"/>
        </w:rPr>
        <w:t>地</w:t>
      </w:r>
      <w:r>
        <w:rPr>
          <w:color w:val="auto"/>
          <w:highlight w:val="none"/>
        </w:rPr>
        <w:t xml:space="preserve">  </w:t>
      </w:r>
      <w:r>
        <w:rPr>
          <w:rFonts w:hAnsi="宋体"/>
          <w:color w:val="auto"/>
          <w:highlight w:val="none"/>
        </w:rPr>
        <w:t>址：</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地</w:t>
      </w:r>
      <w:r>
        <w:rPr>
          <w:color w:val="auto"/>
          <w:highlight w:val="none"/>
        </w:rPr>
        <w:t xml:space="preserve">  </w:t>
      </w:r>
      <w:r>
        <w:rPr>
          <w:rFonts w:hAnsi="宋体"/>
          <w:color w:val="auto"/>
          <w:highlight w:val="none"/>
        </w:rPr>
        <w:t>址：</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rFonts w:ascii="宋体" w:hAnsi="宋体"/>
          <w:color w:val="auto"/>
          <w:highlight w:val="none"/>
          <w:u w:val="single"/>
        </w:rPr>
        <w:t></w:t>
      </w:r>
    </w:p>
    <w:p w14:paraId="7D225C83">
      <w:pPr>
        <w:spacing w:line="360" w:lineRule="auto"/>
        <w:rPr>
          <w:color w:val="auto"/>
          <w:highlight w:val="none"/>
        </w:rPr>
      </w:pPr>
      <w:r>
        <w:rPr>
          <w:rFonts w:hAnsi="宋体"/>
          <w:color w:val="auto"/>
          <w:highlight w:val="none"/>
        </w:rPr>
        <w:t>法定代表人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法定代表人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4360DA9B">
      <w:pPr>
        <w:spacing w:line="360" w:lineRule="auto"/>
        <w:rPr>
          <w:color w:val="auto"/>
          <w:highlight w:val="none"/>
        </w:rPr>
      </w:pPr>
      <w:r>
        <w:rPr>
          <w:rFonts w:hAnsi="宋体"/>
          <w:color w:val="auto"/>
          <w:highlight w:val="none"/>
        </w:rPr>
        <w:t>委托代理人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委托代理人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24ADCC00">
      <w:pPr>
        <w:spacing w:line="360" w:lineRule="auto"/>
        <w:rPr>
          <w:color w:val="auto"/>
          <w:highlight w:val="none"/>
        </w:rPr>
      </w:pPr>
      <w:r>
        <w:rPr>
          <w:rFonts w:hAnsi="宋体"/>
          <w:color w:val="auto"/>
          <w:highlight w:val="none"/>
        </w:rPr>
        <w:t>电</w:t>
      </w:r>
      <w:r>
        <w:rPr>
          <w:color w:val="auto"/>
          <w:highlight w:val="none"/>
        </w:rPr>
        <w:t xml:space="preserve">  </w:t>
      </w:r>
      <w:r>
        <w:rPr>
          <w:rFonts w:hAnsi="宋体"/>
          <w:color w:val="auto"/>
          <w:highlight w:val="none"/>
        </w:rPr>
        <w:t>话：</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电</w:t>
      </w:r>
      <w:r>
        <w:rPr>
          <w:color w:val="auto"/>
          <w:highlight w:val="none"/>
        </w:rPr>
        <w:t xml:space="preserve">  </w:t>
      </w:r>
      <w:r>
        <w:rPr>
          <w:rFonts w:hAnsi="宋体"/>
          <w:color w:val="auto"/>
          <w:highlight w:val="none"/>
        </w:rPr>
        <w:t>话：</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071CA87D">
      <w:pPr>
        <w:spacing w:line="360" w:lineRule="auto"/>
        <w:rPr>
          <w:color w:val="auto"/>
          <w:highlight w:val="none"/>
        </w:rPr>
      </w:pPr>
      <w:r>
        <w:rPr>
          <w:rFonts w:hAnsi="宋体"/>
          <w:color w:val="auto"/>
          <w:highlight w:val="none"/>
        </w:rPr>
        <w:t>传</w:t>
      </w:r>
      <w:r>
        <w:rPr>
          <w:color w:val="auto"/>
          <w:highlight w:val="none"/>
        </w:rPr>
        <w:t xml:space="preserve">  </w:t>
      </w:r>
      <w:r>
        <w:rPr>
          <w:rFonts w:hAnsi="宋体"/>
          <w:color w:val="auto"/>
          <w:highlight w:val="none"/>
        </w:rPr>
        <w:t>真：</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传</w:t>
      </w:r>
      <w:r>
        <w:rPr>
          <w:color w:val="auto"/>
          <w:highlight w:val="none"/>
        </w:rPr>
        <w:t xml:space="preserve">  </w:t>
      </w:r>
      <w:r>
        <w:rPr>
          <w:rFonts w:hAnsi="宋体"/>
          <w:color w:val="auto"/>
          <w:highlight w:val="none"/>
        </w:rPr>
        <w:t>真：</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rFonts w:ascii="宋体" w:hAnsi="宋体"/>
          <w:color w:val="auto"/>
          <w:highlight w:val="none"/>
          <w:u w:val="single"/>
        </w:rPr>
        <w:t></w:t>
      </w:r>
    </w:p>
    <w:p w14:paraId="1A44069C">
      <w:pPr>
        <w:spacing w:line="360" w:lineRule="auto"/>
        <w:rPr>
          <w:color w:val="auto"/>
          <w:highlight w:val="none"/>
        </w:rPr>
      </w:pPr>
      <w:r>
        <w:rPr>
          <w:rFonts w:hAnsi="宋体"/>
          <w:color w:val="auto"/>
          <w:highlight w:val="none"/>
        </w:rPr>
        <w:t>开户银行：</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开户银行：</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2E876AFD">
      <w:pPr>
        <w:tabs>
          <w:tab w:val="left" w:pos="2880"/>
          <w:tab w:val="left" w:pos="3060"/>
          <w:tab w:val="left" w:pos="4500"/>
        </w:tabs>
        <w:spacing w:line="360" w:lineRule="auto"/>
        <w:rPr>
          <w:color w:val="auto"/>
          <w:highlight w:val="none"/>
        </w:rPr>
      </w:pPr>
      <w:r>
        <w:rPr>
          <w:rFonts w:hAnsi="宋体"/>
          <w:color w:val="auto"/>
          <w:highlight w:val="none"/>
        </w:rPr>
        <w:t>账</w:t>
      </w:r>
      <w:r>
        <w:rPr>
          <w:color w:val="auto"/>
          <w:highlight w:val="none"/>
        </w:rPr>
        <w:t xml:space="preserve">  </w:t>
      </w:r>
      <w:r>
        <w:rPr>
          <w:rFonts w:hAnsi="宋体"/>
          <w:color w:val="auto"/>
          <w:highlight w:val="none"/>
        </w:rPr>
        <w:t>号：</w:t>
      </w:r>
      <w:r>
        <w:rPr>
          <w:rFonts w:ascii="宋体" w:hAnsi="宋体"/>
          <w:color w:val="auto"/>
          <w:highlight w:val="none"/>
          <w:u w:val="single"/>
        </w:rPr>
        <w:t></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账</w:t>
      </w:r>
      <w:r>
        <w:rPr>
          <w:color w:val="auto"/>
          <w:highlight w:val="none"/>
        </w:rPr>
        <w:t xml:space="preserve">  </w:t>
      </w:r>
      <w:r>
        <w:rPr>
          <w:rFonts w:hAnsi="宋体"/>
          <w:color w:val="auto"/>
          <w:highlight w:val="none"/>
        </w:rPr>
        <w:t>号：</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0622DC98">
      <w:pPr>
        <w:tabs>
          <w:tab w:val="left" w:pos="7200"/>
          <w:tab w:val="left" w:pos="7380"/>
          <w:tab w:val="left" w:pos="7560"/>
        </w:tabs>
        <w:spacing w:line="360" w:lineRule="auto"/>
        <w:rPr>
          <w:color w:val="auto"/>
          <w:highlight w:val="none"/>
        </w:rPr>
      </w:pPr>
      <w:r>
        <w:rPr>
          <w:rFonts w:hAnsi="宋体"/>
          <w:color w:val="auto"/>
          <w:highlight w:val="none"/>
        </w:rPr>
        <w:t>邮政编码：</w:t>
      </w:r>
      <w:r>
        <w:rPr>
          <w:color w:val="auto"/>
          <w:highlight w:val="none"/>
          <w:u w:val="single"/>
        </w:rPr>
        <w:t xml:space="preserve"> </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邮政编码：</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6831730E">
      <w:pPr>
        <w:spacing w:before="120" w:beforeLines="50" w:after="120" w:afterLines="50" w:line="440" w:lineRule="exact"/>
        <w:jc w:val="center"/>
        <w:rPr>
          <w:rFonts w:ascii="黑体" w:hAnsi="宋体" w:eastAsia="黑体"/>
          <w:color w:val="auto"/>
          <w:sz w:val="32"/>
          <w:szCs w:val="32"/>
          <w:highlight w:val="none"/>
        </w:rPr>
      </w:pPr>
    </w:p>
    <w:p w14:paraId="07021690">
      <w:pPr>
        <w:spacing w:before="120" w:beforeLines="50" w:after="120" w:afterLines="50" w:line="440" w:lineRule="exact"/>
        <w:jc w:val="center"/>
        <w:rPr>
          <w:rFonts w:ascii="黑体" w:hAnsi="宋体" w:eastAsia="黑体"/>
          <w:color w:val="auto"/>
          <w:sz w:val="32"/>
          <w:szCs w:val="32"/>
          <w:highlight w:val="none"/>
        </w:rPr>
      </w:pPr>
    </w:p>
    <w:p w14:paraId="2D130DC7">
      <w:pPr>
        <w:spacing w:before="120" w:beforeLines="50" w:after="120" w:afterLines="50" w:line="440" w:lineRule="exact"/>
        <w:jc w:val="center"/>
        <w:rPr>
          <w:rFonts w:ascii="黑体" w:hAnsi="宋体" w:eastAsia="黑体"/>
          <w:color w:val="auto"/>
          <w:sz w:val="32"/>
          <w:szCs w:val="32"/>
          <w:highlight w:val="none"/>
        </w:rPr>
      </w:pPr>
    </w:p>
    <w:p w14:paraId="44071264">
      <w:pPr>
        <w:spacing w:before="120" w:beforeLines="50" w:after="120" w:afterLines="50" w:line="440" w:lineRule="exact"/>
        <w:jc w:val="center"/>
        <w:rPr>
          <w:rFonts w:ascii="黑体" w:hAnsi="宋体" w:eastAsia="黑体"/>
          <w:color w:val="auto"/>
          <w:sz w:val="32"/>
          <w:szCs w:val="32"/>
          <w:highlight w:val="none"/>
        </w:rPr>
      </w:pPr>
    </w:p>
    <w:p w14:paraId="6BED3F5B">
      <w:pPr>
        <w:spacing w:line="360" w:lineRule="auto"/>
        <w:rPr>
          <w:rFonts w:ascii="宋体"/>
          <w:color w:val="auto"/>
          <w:highlight w:val="none"/>
        </w:rPr>
      </w:pPr>
    </w:p>
    <w:p w14:paraId="71094372">
      <w:pPr>
        <w:spacing w:line="360" w:lineRule="auto"/>
        <w:rPr>
          <w:rFonts w:ascii="宋体"/>
          <w:color w:val="auto"/>
          <w:highlight w:val="none"/>
        </w:rPr>
      </w:pPr>
    </w:p>
    <w:p w14:paraId="5E08645D">
      <w:pPr>
        <w:spacing w:line="360" w:lineRule="auto"/>
        <w:rPr>
          <w:rFonts w:ascii="宋体"/>
          <w:color w:val="auto"/>
          <w:highlight w:val="none"/>
        </w:rPr>
      </w:pPr>
    </w:p>
    <w:p w14:paraId="1EF87013">
      <w:pPr>
        <w:spacing w:line="360" w:lineRule="auto"/>
        <w:rPr>
          <w:rFonts w:ascii="宋体"/>
          <w:color w:val="auto"/>
          <w:highlight w:val="none"/>
        </w:rPr>
      </w:pPr>
    </w:p>
    <w:p w14:paraId="39C1DD82">
      <w:pPr>
        <w:spacing w:line="440" w:lineRule="exact"/>
        <w:rPr>
          <w:rFonts w:eastAsia="黑体"/>
          <w:color w:val="auto"/>
          <w:sz w:val="30"/>
          <w:szCs w:val="30"/>
          <w:highlight w:val="none"/>
        </w:rPr>
      </w:pPr>
      <w:r>
        <w:rPr>
          <w:rFonts w:eastAsia="仿宋_GB2312" w:cs="仿宋_GB2312"/>
          <w:color w:val="auto"/>
          <w:sz w:val="30"/>
          <w:szCs w:val="30"/>
          <w:highlight w:val="none"/>
        </w:rPr>
        <w:br w:type="page"/>
      </w:r>
      <w:r>
        <w:rPr>
          <w:rFonts w:eastAsia="仿宋_GB2312"/>
          <w:color w:val="auto"/>
          <w:sz w:val="30"/>
          <w:szCs w:val="30"/>
          <w:highlight w:val="none"/>
        </w:rPr>
        <w:t>附件</w:t>
      </w:r>
      <w:r>
        <w:rPr>
          <w:rFonts w:hint="eastAsia" w:eastAsia="仿宋_GB2312"/>
          <w:color w:val="auto"/>
          <w:sz w:val="30"/>
          <w:szCs w:val="30"/>
          <w:highlight w:val="none"/>
        </w:rPr>
        <w:t>3</w:t>
      </w:r>
      <w:r>
        <w:rPr>
          <w:rFonts w:eastAsia="仿宋_GB2312"/>
          <w:color w:val="auto"/>
          <w:sz w:val="30"/>
          <w:szCs w:val="30"/>
          <w:highlight w:val="none"/>
        </w:rPr>
        <w:t>：</w:t>
      </w:r>
    </w:p>
    <w:p w14:paraId="778304FE">
      <w:pPr>
        <w:spacing w:before="120" w:beforeLines="50" w:after="120" w:afterLines="50" w:line="440" w:lineRule="exact"/>
        <w:jc w:val="center"/>
        <w:rPr>
          <w:rFonts w:eastAsia="黑体"/>
          <w:color w:val="auto"/>
          <w:sz w:val="30"/>
          <w:szCs w:val="30"/>
          <w:highlight w:val="none"/>
        </w:rPr>
      </w:pPr>
      <w:r>
        <w:rPr>
          <w:rFonts w:eastAsia="黑体"/>
          <w:color w:val="auto"/>
          <w:sz w:val="30"/>
          <w:szCs w:val="30"/>
          <w:highlight w:val="none"/>
        </w:rPr>
        <w:t>主要建设工程文件目录</w:t>
      </w:r>
    </w:p>
    <w:tbl>
      <w:tblPr>
        <w:tblStyle w:val="5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4BE02C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noWrap w:val="0"/>
            <w:vAlign w:val="center"/>
          </w:tcPr>
          <w:p w14:paraId="025F1AF7">
            <w:pPr>
              <w:pStyle w:val="21"/>
              <w:keepNext/>
              <w:spacing w:after="0" w:line="440" w:lineRule="exact"/>
              <w:ind w:left="63" w:right="63"/>
              <w:rPr>
                <w:rFonts w:eastAsia="仿宋_GB2312"/>
                <w:color w:val="auto"/>
                <w:sz w:val="28"/>
                <w:szCs w:val="30"/>
                <w:highlight w:val="none"/>
              </w:rPr>
            </w:pPr>
            <w:r>
              <w:rPr>
                <w:rFonts w:eastAsia="仿宋_GB2312"/>
                <w:color w:val="auto"/>
                <w:sz w:val="28"/>
                <w:szCs w:val="30"/>
                <w:highlight w:val="none"/>
              </w:rPr>
              <w:t>文件名称</w:t>
            </w:r>
          </w:p>
        </w:tc>
        <w:tc>
          <w:tcPr>
            <w:tcW w:w="1276" w:type="dxa"/>
            <w:tcBorders>
              <w:top w:val="single" w:color="auto" w:sz="12" w:space="0"/>
              <w:bottom w:val="double" w:color="auto" w:sz="6" w:space="0"/>
            </w:tcBorders>
            <w:noWrap w:val="0"/>
            <w:vAlign w:val="center"/>
          </w:tcPr>
          <w:p w14:paraId="11014F05">
            <w:pPr>
              <w:pStyle w:val="21"/>
              <w:keepNext/>
              <w:spacing w:after="0" w:line="440" w:lineRule="exact"/>
              <w:ind w:left="63" w:right="63"/>
              <w:rPr>
                <w:rFonts w:eastAsia="仿宋_GB2312"/>
                <w:color w:val="auto"/>
                <w:sz w:val="28"/>
                <w:szCs w:val="30"/>
                <w:highlight w:val="none"/>
              </w:rPr>
            </w:pPr>
            <w:r>
              <w:rPr>
                <w:rFonts w:eastAsia="仿宋_GB2312"/>
                <w:color w:val="auto"/>
                <w:sz w:val="28"/>
                <w:szCs w:val="30"/>
                <w:highlight w:val="none"/>
              </w:rPr>
              <w:t>套数</w:t>
            </w:r>
          </w:p>
        </w:tc>
        <w:tc>
          <w:tcPr>
            <w:tcW w:w="1450" w:type="dxa"/>
            <w:tcBorders>
              <w:top w:val="single" w:color="auto" w:sz="12" w:space="0"/>
              <w:bottom w:val="double" w:color="auto" w:sz="6" w:space="0"/>
            </w:tcBorders>
            <w:noWrap w:val="0"/>
            <w:vAlign w:val="center"/>
          </w:tcPr>
          <w:p w14:paraId="4A523BCE">
            <w:pPr>
              <w:pStyle w:val="21"/>
              <w:keepNext/>
              <w:spacing w:after="0" w:line="440" w:lineRule="exact"/>
              <w:ind w:left="63" w:right="63"/>
              <w:rPr>
                <w:rFonts w:eastAsia="仿宋_GB2312"/>
                <w:color w:val="auto"/>
                <w:sz w:val="28"/>
                <w:szCs w:val="30"/>
                <w:highlight w:val="none"/>
              </w:rPr>
            </w:pPr>
            <w:r>
              <w:rPr>
                <w:rFonts w:eastAsia="仿宋_GB2312"/>
                <w:color w:val="auto"/>
                <w:sz w:val="28"/>
                <w:szCs w:val="30"/>
                <w:highlight w:val="none"/>
              </w:rPr>
              <w:t>费用</w:t>
            </w:r>
            <w:r>
              <w:rPr>
                <w:rFonts w:hint="eastAsia" w:eastAsia="仿宋_GB2312"/>
                <w:color w:val="auto"/>
                <w:sz w:val="28"/>
                <w:szCs w:val="30"/>
                <w:highlight w:val="none"/>
              </w:rPr>
              <w:t>（元）</w:t>
            </w:r>
          </w:p>
        </w:tc>
        <w:tc>
          <w:tcPr>
            <w:tcW w:w="1243" w:type="dxa"/>
            <w:tcBorders>
              <w:top w:val="single" w:color="auto" w:sz="12" w:space="0"/>
              <w:bottom w:val="double" w:color="auto" w:sz="6" w:space="0"/>
            </w:tcBorders>
            <w:noWrap w:val="0"/>
            <w:vAlign w:val="center"/>
          </w:tcPr>
          <w:p w14:paraId="48BF9BD7">
            <w:pPr>
              <w:pStyle w:val="21"/>
              <w:keepNext/>
              <w:spacing w:after="0" w:line="440" w:lineRule="exact"/>
              <w:ind w:left="63" w:right="63"/>
              <w:rPr>
                <w:rFonts w:eastAsia="仿宋_GB2312"/>
                <w:color w:val="auto"/>
                <w:sz w:val="28"/>
                <w:szCs w:val="30"/>
                <w:highlight w:val="none"/>
              </w:rPr>
            </w:pPr>
            <w:r>
              <w:rPr>
                <w:rFonts w:eastAsia="仿宋_GB2312"/>
                <w:color w:val="auto"/>
                <w:sz w:val="28"/>
                <w:szCs w:val="30"/>
                <w:highlight w:val="none"/>
              </w:rPr>
              <w:t>质量</w:t>
            </w:r>
          </w:p>
        </w:tc>
        <w:tc>
          <w:tcPr>
            <w:tcW w:w="1450" w:type="dxa"/>
            <w:tcBorders>
              <w:top w:val="single" w:color="auto" w:sz="12" w:space="0"/>
              <w:bottom w:val="double" w:color="auto" w:sz="6" w:space="0"/>
            </w:tcBorders>
            <w:noWrap w:val="0"/>
            <w:vAlign w:val="top"/>
          </w:tcPr>
          <w:p w14:paraId="1824D4F9">
            <w:pPr>
              <w:spacing w:line="440" w:lineRule="exact"/>
              <w:jc w:val="center"/>
              <w:rPr>
                <w:rFonts w:eastAsia="仿宋_GB2312"/>
                <w:color w:val="auto"/>
                <w:sz w:val="28"/>
                <w:szCs w:val="30"/>
                <w:highlight w:val="none"/>
              </w:rPr>
            </w:pPr>
            <w:r>
              <w:rPr>
                <w:rFonts w:eastAsia="仿宋_GB2312"/>
                <w:color w:val="auto"/>
                <w:sz w:val="28"/>
                <w:szCs w:val="30"/>
                <w:highlight w:val="none"/>
              </w:rPr>
              <w:t>移交时间</w:t>
            </w:r>
          </w:p>
        </w:tc>
        <w:tc>
          <w:tcPr>
            <w:tcW w:w="1667" w:type="dxa"/>
            <w:tcBorders>
              <w:top w:val="single" w:color="auto" w:sz="12" w:space="0"/>
              <w:bottom w:val="double" w:color="auto" w:sz="6" w:space="0"/>
            </w:tcBorders>
            <w:noWrap w:val="0"/>
            <w:vAlign w:val="top"/>
          </w:tcPr>
          <w:p w14:paraId="2A3382F8">
            <w:pPr>
              <w:spacing w:line="440" w:lineRule="exact"/>
              <w:jc w:val="center"/>
              <w:rPr>
                <w:rFonts w:eastAsia="仿宋_GB2312"/>
                <w:color w:val="auto"/>
                <w:sz w:val="28"/>
                <w:szCs w:val="30"/>
                <w:highlight w:val="none"/>
              </w:rPr>
            </w:pPr>
            <w:r>
              <w:rPr>
                <w:rFonts w:eastAsia="仿宋_GB2312"/>
                <w:color w:val="auto"/>
                <w:sz w:val="28"/>
                <w:szCs w:val="30"/>
                <w:highlight w:val="none"/>
              </w:rPr>
              <w:t>责任人</w:t>
            </w:r>
          </w:p>
        </w:tc>
      </w:tr>
      <w:tr w14:paraId="6631D9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noWrap w:val="0"/>
            <w:vAlign w:val="center"/>
          </w:tcPr>
          <w:p w14:paraId="3D265BB6">
            <w:pPr>
              <w:pStyle w:val="21"/>
              <w:keepNext/>
              <w:spacing w:after="0" w:line="440" w:lineRule="exact"/>
              <w:ind w:left="63" w:right="63"/>
              <w:rPr>
                <w:rFonts w:eastAsia="仿宋_GB2312"/>
                <w:color w:val="auto"/>
                <w:sz w:val="30"/>
                <w:szCs w:val="30"/>
                <w:highlight w:val="none"/>
              </w:rPr>
            </w:pPr>
          </w:p>
        </w:tc>
        <w:tc>
          <w:tcPr>
            <w:tcW w:w="1276" w:type="dxa"/>
            <w:tcBorders>
              <w:top w:val="double" w:color="auto" w:sz="6" w:space="0"/>
              <w:bottom w:val="single" w:color="auto" w:sz="6" w:space="0"/>
            </w:tcBorders>
            <w:noWrap w:val="0"/>
            <w:vAlign w:val="center"/>
          </w:tcPr>
          <w:p w14:paraId="000B22CB">
            <w:pPr>
              <w:pStyle w:val="21"/>
              <w:keepNext/>
              <w:spacing w:after="0" w:line="440" w:lineRule="exact"/>
              <w:ind w:left="63" w:right="63"/>
              <w:rPr>
                <w:rFonts w:eastAsia="仿宋_GB2312"/>
                <w:color w:val="auto"/>
                <w:sz w:val="30"/>
                <w:szCs w:val="30"/>
                <w:highlight w:val="none"/>
              </w:rPr>
            </w:pPr>
          </w:p>
        </w:tc>
        <w:tc>
          <w:tcPr>
            <w:tcW w:w="1450" w:type="dxa"/>
            <w:tcBorders>
              <w:top w:val="double" w:color="auto" w:sz="6" w:space="0"/>
              <w:bottom w:val="single" w:color="auto" w:sz="6" w:space="0"/>
            </w:tcBorders>
            <w:noWrap w:val="0"/>
            <w:vAlign w:val="center"/>
          </w:tcPr>
          <w:p w14:paraId="201BFC93">
            <w:pPr>
              <w:pStyle w:val="21"/>
              <w:keepNext/>
              <w:spacing w:after="0" w:line="440" w:lineRule="exact"/>
              <w:ind w:left="63" w:right="63"/>
              <w:rPr>
                <w:rFonts w:eastAsia="仿宋_GB2312"/>
                <w:color w:val="auto"/>
                <w:sz w:val="30"/>
                <w:szCs w:val="30"/>
                <w:highlight w:val="none"/>
              </w:rPr>
            </w:pPr>
          </w:p>
        </w:tc>
        <w:tc>
          <w:tcPr>
            <w:tcW w:w="1243" w:type="dxa"/>
            <w:tcBorders>
              <w:top w:val="double" w:color="auto" w:sz="6" w:space="0"/>
              <w:bottom w:val="single" w:color="auto" w:sz="6" w:space="0"/>
            </w:tcBorders>
            <w:noWrap w:val="0"/>
            <w:vAlign w:val="center"/>
          </w:tcPr>
          <w:p w14:paraId="469AC39D">
            <w:pPr>
              <w:pStyle w:val="21"/>
              <w:keepNext/>
              <w:spacing w:after="0" w:line="440" w:lineRule="exact"/>
              <w:ind w:left="63" w:right="63"/>
              <w:rPr>
                <w:rFonts w:eastAsia="仿宋_GB2312"/>
                <w:color w:val="auto"/>
                <w:sz w:val="30"/>
                <w:szCs w:val="30"/>
                <w:highlight w:val="none"/>
              </w:rPr>
            </w:pPr>
          </w:p>
        </w:tc>
        <w:tc>
          <w:tcPr>
            <w:tcW w:w="1450" w:type="dxa"/>
            <w:tcBorders>
              <w:top w:val="double" w:color="auto" w:sz="6" w:space="0"/>
              <w:bottom w:val="single" w:color="auto" w:sz="6" w:space="0"/>
            </w:tcBorders>
            <w:noWrap w:val="0"/>
            <w:vAlign w:val="center"/>
          </w:tcPr>
          <w:p w14:paraId="7700AA8E">
            <w:pPr>
              <w:pStyle w:val="21"/>
              <w:keepNext/>
              <w:spacing w:after="0" w:line="440" w:lineRule="exact"/>
              <w:ind w:left="63" w:right="63"/>
              <w:rPr>
                <w:rFonts w:eastAsia="仿宋_GB2312"/>
                <w:color w:val="auto"/>
                <w:sz w:val="30"/>
                <w:szCs w:val="30"/>
                <w:highlight w:val="none"/>
              </w:rPr>
            </w:pPr>
          </w:p>
        </w:tc>
        <w:tc>
          <w:tcPr>
            <w:tcW w:w="1667" w:type="dxa"/>
            <w:tcBorders>
              <w:top w:val="double" w:color="auto" w:sz="6" w:space="0"/>
              <w:bottom w:val="single" w:color="auto" w:sz="6" w:space="0"/>
            </w:tcBorders>
            <w:noWrap w:val="0"/>
            <w:vAlign w:val="center"/>
          </w:tcPr>
          <w:p w14:paraId="71872485">
            <w:pPr>
              <w:pStyle w:val="21"/>
              <w:keepNext/>
              <w:spacing w:after="0" w:line="440" w:lineRule="exact"/>
              <w:ind w:left="63" w:right="63"/>
              <w:rPr>
                <w:rFonts w:eastAsia="仿宋_GB2312"/>
                <w:color w:val="auto"/>
                <w:sz w:val="30"/>
                <w:szCs w:val="30"/>
                <w:highlight w:val="none"/>
              </w:rPr>
            </w:pPr>
          </w:p>
        </w:tc>
      </w:tr>
      <w:tr w14:paraId="559EA9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noWrap w:val="0"/>
            <w:vAlign w:val="center"/>
          </w:tcPr>
          <w:p w14:paraId="65ABA7BA">
            <w:pPr>
              <w:pStyle w:val="21"/>
              <w:keepNext/>
              <w:spacing w:after="0" w:line="440" w:lineRule="exact"/>
              <w:ind w:left="63" w:right="63"/>
              <w:rPr>
                <w:rFonts w:eastAsia="仿宋_GB2312"/>
                <w:color w:val="auto"/>
                <w:sz w:val="30"/>
                <w:szCs w:val="30"/>
                <w:highlight w:val="none"/>
              </w:rPr>
            </w:pPr>
          </w:p>
        </w:tc>
        <w:tc>
          <w:tcPr>
            <w:tcW w:w="1276" w:type="dxa"/>
            <w:tcBorders>
              <w:top w:val="nil"/>
            </w:tcBorders>
            <w:noWrap w:val="0"/>
            <w:vAlign w:val="center"/>
          </w:tcPr>
          <w:p w14:paraId="0BA675EF">
            <w:pPr>
              <w:pStyle w:val="21"/>
              <w:keepNext/>
              <w:spacing w:after="0" w:line="440" w:lineRule="exact"/>
              <w:ind w:left="63" w:right="63"/>
              <w:rPr>
                <w:rFonts w:eastAsia="仿宋_GB2312"/>
                <w:color w:val="auto"/>
                <w:sz w:val="30"/>
                <w:szCs w:val="30"/>
                <w:highlight w:val="none"/>
              </w:rPr>
            </w:pPr>
          </w:p>
        </w:tc>
        <w:tc>
          <w:tcPr>
            <w:tcW w:w="1450" w:type="dxa"/>
            <w:tcBorders>
              <w:top w:val="nil"/>
            </w:tcBorders>
            <w:noWrap w:val="0"/>
            <w:vAlign w:val="center"/>
          </w:tcPr>
          <w:p w14:paraId="762A0CB3">
            <w:pPr>
              <w:pStyle w:val="21"/>
              <w:keepNext/>
              <w:spacing w:after="0" w:line="440" w:lineRule="exact"/>
              <w:ind w:left="63" w:right="63"/>
              <w:rPr>
                <w:rFonts w:eastAsia="仿宋_GB2312"/>
                <w:color w:val="auto"/>
                <w:sz w:val="30"/>
                <w:szCs w:val="30"/>
                <w:highlight w:val="none"/>
              </w:rPr>
            </w:pPr>
          </w:p>
        </w:tc>
        <w:tc>
          <w:tcPr>
            <w:tcW w:w="1243" w:type="dxa"/>
            <w:tcBorders>
              <w:top w:val="nil"/>
            </w:tcBorders>
            <w:noWrap w:val="0"/>
            <w:vAlign w:val="center"/>
          </w:tcPr>
          <w:p w14:paraId="3AD95CA6">
            <w:pPr>
              <w:pStyle w:val="21"/>
              <w:keepNext/>
              <w:spacing w:after="0" w:line="440" w:lineRule="exact"/>
              <w:ind w:left="63" w:right="63"/>
              <w:rPr>
                <w:rFonts w:eastAsia="仿宋_GB2312"/>
                <w:color w:val="auto"/>
                <w:sz w:val="30"/>
                <w:szCs w:val="30"/>
                <w:highlight w:val="none"/>
              </w:rPr>
            </w:pPr>
          </w:p>
        </w:tc>
        <w:tc>
          <w:tcPr>
            <w:tcW w:w="1450" w:type="dxa"/>
            <w:tcBorders>
              <w:top w:val="nil"/>
            </w:tcBorders>
            <w:noWrap w:val="0"/>
            <w:vAlign w:val="center"/>
          </w:tcPr>
          <w:p w14:paraId="40213899">
            <w:pPr>
              <w:pStyle w:val="21"/>
              <w:keepNext/>
              <w:spacing w:after="0" w:line="440" w:lineRule="exact"/>
              <w:ind w:left="63" w:right="63"/>
              <w:rPr>
                <w:rFonts w:eastAsia="仿宋_GB2312"/>
                <w:color w:val="auto"/>
                <w:sz w:val="30"/>
                <w:szCs w:val="30"/>
                <w:highlight w:val="none"/>
              </w:rPr>
            </w:pPr>
          </w:p>
        </w:tc>
        <w:tc>
          <w:tcPr>
            <w:tcW w:w="1667" w:type="dxa"/>
            <w:tcBorders>
              <w:top w:val="nil"/>
            </w:tcBorders>
            <w:noWrap w:val="0"/>
            <w:vAlign w:val="center"/>
          </w:tcPr>
          <w:p w14:paraId="5AB6212E">
            <w:pPr>
              <w:pStyle w:val="21"/>
              <w:keepNext/>
              <w:spacing w:after="0" w:line="440" w:lineRule="exact"/>
              <w:ind w:left="63" w:right="63"/>
              <w:rPr>
                <w:rFonts w:eastAsia="仿宋_GB2312"/>
                <w:color w:val="auto"/>
                <w:sz w:val="30"/>
                <w:szCs w:val="30"/>
                <w:highlight w:val="none"/>
              </w:rPr>
            </w:pPr>
          </w:p>
        </w:tc>
      </w:tr>
      <w:tr w14:paraId="483483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2B036901">
            <w:pPr>
              <w:pStyle w:val="21"/>
              <w:keepNext/>
              <w:spacing w:after="0" w:line="440" w:lineRule="exact"/>
              <w:ind w:left="63" w:right="63"/>
              <w:rPr>
                <w:rFonts w:eastAsia="仿宋_GB2312"/>
                <w:color w:val="auto"/>
                <w:sz w:val="30"/>
                <w:szCs w:val="30"/>
                <w:highlight w:val="none"/>
              </w:rPr>
            </w:pPr>
          </w:p>
        </w:tc>
        <w:tc>
          <w:tcPr>
            <w:tcW w:w="1276" w:type="dxa"/>
            <w:noWrap w:val="0"/>
            <w:vAlign w:val="center"/>
          </w:tcPr>
          <w:p w14:paraId="50BE2334">
            <w:pPr>
              <w:pStyle w:val="21"/>
              <w:keepNext/>
              <w:spacing w:after="0" w:line="440" w:lineRule="exact"/>
              <w:ind w:left="63" w:right="63"/>
              <w:rPr>
                <w:rFonts w:eastAsia="仿宋_GB2312"/>
                <w:color w:val="auto"/>
                <w:sz w:val="30"/>
                <w:szCs w:val="30"/>
                <w:highlight w:val="none"/>
              </w:rPr>
            </w:pPr>
          </w:p>
        </w:tc>
        <w:tc>
          <w:tcPr>
            <w:tcW w:w="1450" w:type="dxa"/>
            <w:noWrap w:val="0"/>
            <w:vAlign w:val="center"/>
          </w:tcPr>
          <w:p w14:paraId="10D23A88">
            <w:pPr>
              <w:pStyle w:val="21"/>
              <w:keepNext/>
              <w:spacing w:after="0" w:line="440" w:lineRule="exact"/>
              <w:ind w:left="63" w:right="63"/>
              <w:rPr>
                <w:rFonts w:eastAsia="仿宋_GB2312"/>
                <w:color w:val="auto"/>
                <w:sz w:val="30"/>
                <w:szCs w:val="30"/>
                <w:highlight w:val="none"/>
              </w:rPr>
            </w:pPr>
          </w:p>
        </w:tc>
        <w:tc>
          <w:tcPr>
            <w:tcW w:w="1243" w:type="dxa"/>
            <w:noWrap w:val="0"/>
            <w:vAlign w:val="center"/>
          </w:tcPr>
          <w:p w14:paraId="317FA06D">
            <w:pPr>
              <w:pStyle w:val="21"/>
              <w:keepNext/>
              <w:spacing w:after="0" w:line="440" w:lineRule="exact"/>
              <w:ind w:left="63" w:right="63"/>
              <w:rPr>
                <w:rFonts w:eastAsia="仿宋_GB2312"/>
                <w:color w:val="auto"/>
                <w:sz w:val="30"/>
                <w:szCs w:val="30"/>
                <w:highlight w:val="none"/>
              </w:rPr>
            </w:pPr>
          </w:p>
        </w:tc>
        <w:tc>
          <w:tcPr>
            <w:tcW w:w="1450" w:type="dxa"/>
            <w:noWrap w:val="0"/>
            <w:vAlign w:val="center"/>
          </w:tcPr>
          <w:p w14:paraId="0D236F74">
            <w:pPr>
              <w:pStyle w:val="21"/>
              <w:keepNext/>
              <w:spacing w:after="0" w:line="440" w:lineRule="exact"/>
              <w:ind w:left="63" w:right="63"/>
              <w:rPr>
                <w:rFonts w:eastAsia="仿宋_GB2312"/>
                <w:color w:val="auto"/>
                <w:sz w:val="30"/>
                <w:szCs w:val="30"/>
                <w:highlight w:val="none"/>
              </w:rPr>
            </w:pPr>
          </w:p>
        </w:tc>
        <w:tc>
          <w:tcPr>
            <w:tcW w:w="1667" w:type="dxa"/>
            <w:noWrap w:val="0"/>
            <w:vAlign w:val="center"/>
          </w:tcPr>
          <w:p w14:paraId="484C66B8">
            <w:pPr>
              <w:pStyle w:val="21"/>
              <w:keepNext/>
              <w:spacing w:after="0" w:line="440" w:lineRule="exact"/>
              <w:ind w:left="63" w:right="63"/>
              <w:rPr>
                <w:rFonts w:eastAsia="仿宋_GB2312"/>
                <w:color w:val="auto"/>
                <w:sz w:val="30"/>
                <w:szCs w:val="30"/>
                <w:highlight w:val="none"/>
              </w:rPr>
            </w:pPr>
          </w:p>
        </w:tc>
      </w:tr>
      <w:tr w14:paraId="0B9A7D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789809D">
            <w:pPr>
              <w:pStyle w:val="21"/>
              <w:keepNext/>
              <w:spacing w:after="0" w:line="440" w:lineRule="exact"/>
              <w:ind w:left="63" w:right="63"/>
              <w:rPr>
                <w:rFonts w:eastAsia="仿宋_GB2312"/>
                <w:color w:val="auto"/>
                <w:sz w:val="30"/>
                <w:szCs w:val="30"/>
                <w:highlight w:val="none"/>
              </w:rPr>
            </w:pPr>
          </w:p>
        </w:tc>
        <w:tc>
          <w:tcPr>
            <w:tcW w:w="1276" w:type="dxa"/>
            <w:noWrap w:val="0"/>
            <w:vAlign w:val="center"/>
          </w:tcPr>
          <w:p w14:paraId="2FD6DCA7">
            <w:pPr>
              <w:pStyle w:val="21"/>
              <w:keepNext/>
              <w:spacing w:after="0" w:line="440" w:lineRule="exact"/>
              <w:ind w:left="63" w:right="63"/>
              <w:rPr>
                <w:rFonts w:eastAsia="仿宋_GB2312"/>
                <w:color w:val="auto"/>
                <w:sz w:val="30"/>
                <w:szCs w:val="30"/>
                <w:highlight w:val="none"/>
              </w:rPr>
            </w:pPr>
          </w:p>
        </w:tc>
        <w:tc>
          <w:tcPr>
            <w:tcW w:w="1450" w:type="dxa"/>
            <w:noWrap w:val="0"/>
            <w:vAlign w:val="center"/>
          </w:tcPr>
          <w:p w14:paraId="4321B3BF">
            <w:pPr>
              <w:pStyle w:val="21"/>
              <w:keepNext/>
              <w:spacing w:after="0" w:line="440" w:lineRule="exact"/>
              <w:ind w:left="63" w:right="63"/>
              <w:rPr>
                <w:rFonts w:eastAsia="仿宋_GB2312"/>
                <w:color w:val="auto"/>
                <w:sz w:val="30"/>
                <w:szCs w:val="30"/>
                <w:highlight w:val="none"/>
              </w:rPr>
            </w:pPr>
          </w:p>
        </w:tc>
        <w:tc>
          <w:tcPr>
            <w:tcW w:w="1243" w:type="dxa"/>
            <w:noWrap w:val="0"/>
            <w:vAlign w:val="center"/>
          </w:tcPr>
          <w:p w14:paraId="058AC690">
            <w:pPr>
              <w:pStyle w:val="21"/>
              <w:keepNext/>
              <w:spacing w:after="0" w:line="440" w:lineRule="exact"/>
              <w:ind w:left="63" w:right="63"/>
              <w:rPr>
                <w:rFonts w:eastAsia="仿宋_GB2312"/>
                <w:color w:val="auto"/>
                <w:sz w:val="30"/>
                <w:szCs w:val="30"/>
                <w:highlight w:val="none"/>
              </w:rPr>
            </w:pPr>
          </w:p>
        </w:tc>
        <w:tc>
          <w:tcPr>
            <w:tcW w:w="1450" w:type="dxa"/>
            <w:noWrap w:val="0"/>
            <w:vAlign w:val="center"/>
          </w:tcPr>
          <w:p w14:paraId="27A81629">
            <w:pPr>
              <w:pStyle w:val="21"/>
              <w:keepNext/>
              <w:spacing w:after="0" w:line="440" w:lineRule="exact"/>
              <w:ind w:left="63" w:right="63"/>
              <w:rPr>
                <w:rFonts w:eastAsia="仿宋_GB2312"/>
                <w:color w:val="auto"/>
                <w:sz w:val="30"/>
                <w:szCs w:val="30"/>
                <w:highlight w:val="none"/>
              </w:rPr>
            </w:pPr>
          </w:p>
        </w:tc>
        <w:tc>
          <w:tcPr>
            <w:tcW w:w="1667" w:type="dxa"/>
            <w:noWrap w:val="0"/>
            <w:vAlign w:val="center"/>
          </w:tcPr>
          <w:p w14:paraId="6994AFD5">
            <w:pPr>
              <w:pStyle w:val="21"/>
              <w:keepNext/>
              <w:spacing w:after="0" w:line="440" w:lineRule="exact"/>
              <w:ind w:left="63" w:right="63"/>
              <w:rPr>
                <w:rFonts w:eastAsia="仿宋_GB2312"/>
                <w:color w:val="auto"/>
                <w:sz w:val="30"/>
                <w:szCs w:val="30"/>
                <w:highlight w:val="none"/>
              </w:rPr>
            </w:pPr>
          </w:p>
        </w:tc>
      </w:tr>
      <w:tr w14:paraId="667181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B25796A">
            <w:pPr>
              <w:pStyle w:val="21"/>
              <w:keepNext/>
              <w:spacing w:after="0" w:line="440" w:lineRule="exact"/>
              <w:ind w:left="63" w:right="63"/>
              <w:rPr>
                <w:rFonts w:eastAsia="仿宋_GB2312"/>
                <w:color w:val="auto"/>
                <w:sz w:val="30"/>
                <w:szCs w:val="30"/>
                <w:highlight w:val="none"/>
              </w:rPr>
            </w:pPr>
          </w:p>
        </w:tc>
        <w:tc>
          <w:tcPr>
            <w:tcW w:w="1276" w:type="dxa"/>
            <w:noWrap w:val="0"/>
            <w:vAlign w:val="center"/>
          </w:tcPr>
          <w:p w14:paraId="2BB3E6EE">
            <w:pPr>
              <w:pStyle w:val="21"/>
              <w:keepNext/>
              <w:spacing w:after="0" w:line="440" w:lineRule="exact"/>
              <w:ind w:left="63" w:right="63"/>
              <w:rPr>
                <w:rFonts w:eastAsia="仿宋_GB2312"/>
                <w:color w:val="auto"/>
                <w:sz w:val="30"/>
                <w:szCs w:val="30"/>
                <w:highlight w:val="none"/>
              </w:rPr>
            </w:pPr>
          </w:p>
        </w:tc>
        <w:tc>
          <w:tcPr>
            <w:tcW w:w="1450" w:type="dxa"/>
            <w:noWrap w:val="0"/>
            <w:vAlign w:val="center"/>
          </w:tcPr>
          <w:p w14:paraId="697B0CD8">
            <w:pPr>
              <w:pStyle w:val="21"/>
              <w:keepNext/>
              <w:spacing w:after="0" w:line="440" w:lineRule="exact"/>
              <w:ind w:left="63" w:right="63"/>
              <w:rPr>
                <w:rFonts w:eastAsia="仿宋_GB2312"/>
                <w:color w:val="auto"/>
                <w:sz w:val="30"/>
                <w:szCs w:val="30"/>
                <w:highlight w:val="none"/>
              </w:rPr>
            </w:pPr>
          </w:p>
        </w:tc>
        <w:tc>
          <w:tcPr>
            <w:tcW w:w="1243" w:type="dxa"/>
            <w:noWrap w:val="0"/>
            <w:vAlign w:val="center"/>
          </w:tcPr>
          <w:p w14:paraId="6EA71C82">
            <w:pPr>
              <w:pStyle w:val="21"/>
              <w:keepNext/>
              <w:spacing w:after="0" w:line="440" w:lineRule="exact"/>
              <w:ind w:left="63" w:right="63"/>
              <w:rPr>
                <w:rFonts w:eastAsia="仿宋_GB2312"/>
                <w:color w:val="auto"/>
                <w:sz w:val="30"/>
                <w:szCs w:val="30"/>
                <w:highlight w:val="none"/>
              </w:rPr>
            </w:pPr>
          </w:p>
        </w:tc>
        <w:tc>
          <w:tcPr>
            <w:tcW w:w="1450" w:type="dxa"/>
            <w:noWrap w:val="0"/>
            <w:vAlign w:val="center"/>
          </w:tcPr>
          <w:p w14:paraId="2409892C">
            <w:pPr>
              <w:pStyle w:val="21"/>
              <w:keepNext/>
              <w:spacing w:after="0" w:line="440" w:lineRule="exact"/>
              <w:ind w:left="63" w:right="63"/>
              <w:rPr>
                <w:rFonts w:eastAsia="仿宋_GB2312"/>
                <w:color w:val="auto"/>
                <w:sz w:val="30"/>
                <w:szCs w:val="30"/>
                <w:highlight w:val="none"/>
              </w:rPr>
            </w:pPr>
          </w:p>
        </w:tc>
        <w:tc>
          <w:tcPr>
            <w:tcW w:w="1667" w:type="dxa"/>
            <w:noWrap w:val="0"/>
            <w:vAlign w:val="center"/>
          </w:tcPr>
          <w:p w14:paraId="777A2944">
            <w:pPr>
              <w:pStyle w:val="21"/>
              <w:keepNext/>
              <w:spacing w:after="0" w:line="440" w:lineRule="exact"/>
              <w:ind w:left="63" w:right="63"/>
              <w:rPr>
                <w:rFonts w:eastAsia="仿宋_GB2312"/>
                <w:color w:val="auto"/>
                <w:sz w:val="30"/>
                <w:szCs w:val="30"/>
                <w:highlight w:val="none"/>
              </w:rPr>
            </w:pPr>
          </w:p>
        </w:tc>
      </w:tr>
      <w:tr w14:paraId="0EDAC4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A99FB44">
            <w:pPr>
              <w:pStyle w:val="21"/>
              <w:keepNext/>
              <w:spacing w:after="0" w:line="440" w:lineRule="exact"/>
              <w:ind w:left="63" w:right="63"/>
              <w:rPr>
                <w:rFonts w:eastAsia="仿宋_GB2312"/>
                <w:color w:val="auto"/>
                <w:sz w:val="30"/>
                <w:szCs w:val="30"/>
                <w:highlight w:val="none"/>
              </w:rPr>
            </w:pPr>
          </w:p>
        </w:tc>
        <w:tc>
          <w:tcPr>
            <w:tcW w:w="1276" w:type="dxa"/>
            <w:noWrap w:val="0"/>
            <w:vAlign w:val="center"/>
          </w:tcPr>
          <w:p w14:paraId="5C2D961B">
            <w:pPr>
              <w:pStyle w:val="21"/>
              <w:keepNext/>
              <w:spacing w:after="0" w:line="440" w:lineRule="exact"/>
              <w:ind w:left="63" w:right="63"/>
              <w:rPr>
                <w:rFonts w:eastAsia="仿宋_GB2312"/>
                <w:color w:val="auto"/>
                <w:sz w:val="30"/>
                <w:szCs w:val="30"/>
                <w:highlight w:val="none"/>
              </w:rPr>
            </w:pPr>
          </w:p>
        </w:tc>
        <w:tc>
          <w:tcPr>
            <w:tcW w:w="1450" w:type="dxa"/>
            <w:noWrap w:val="0"/>
            <w:vAlign w:val="center"/>
          </w:tcPr>
          <w:p w14:paraId="27ACEF1F">
            <w:pPr>
              <w:pStyle w:val="21"/>
              <w:keepNext/>
              <w:spacing w:after="0" w:line="440" w:lineRule="exact"/>
              <w:ind w:left="63" w:right="63"/>
              <w:rPr>
                <w:rFonts w:eastAsia="仿宋_GB2312"/>
                <w:color w:val="auto"/>
                <w:sz w:val="30"/>
                <w:szCs w:val="30"/>
                <w:highlight w:val="none"/>
              </w:rPr>
            </w:pPr>
          </w:p>
        </w:tc>
        <w:tc>
          <w:tcPr>
            <w:tcW w:w="1243" w:type="dxa"/>
            <w:noWrap w:val="0"/>
            <w:vAlign w:val="center"/>
          </w:tcPr>
          <w:p w14:paraId="0E0ABADE">
            <w:pPr>
              <w:pStyle w:val="21"/>
              <w:keepNext/>
              <w:spacing w:after="0" w:line="440" w:lineRule="exact"/>
              <w:ind w:left="63" w:right="63"/>
              <w:rPr>
                <w:rFonts w:eastAsia="仿宋_GB2312"/>
                <w:color w:val="auto"/>
                <w:sz w:val="30"/>
                <w:szCs w:val="30"/>
                <w:highlight w:val="none"/>
              </w:rPr>
            </w:pPr>
          </w:p>
        </w:tc>
        <w:tc>
          <w:tcPr>
            <w:tcW w:w="1450" w:type="dxa"/>
            <w:noWrap w:val="0"/>
            <w:vAlign w:val="center"/>
          </w:tcPr>
          <w:p w14:paraId="128244F6">
            <w:pPr>
              <w:pStyle w:val="21"/>
              <w:keepNext/>
              <w:spacing w:after="0" w:line="440" w:lineRule="exact"/>
              <w:ind w:left="63" w:right="63"/>
              <w:rPr>
                <w:rFonts w:eastAsia="仿宋_GB2312"/>
                <w:color w:val="auto"/>
                <w:sz w:val="30"/>
                <w:szCs w:val="30"/>
                <w:highlight w:val="none"/>
              </w:rPr>
            </w:pPr>
          </w:p>
        </w:tc>
        <w:tc>
          <w:tcPr>
            <w:tcW w:w="1667" w:type="dxa"/>
            <w:noWrap w:val="0"/>
            <w:vAlign w:val="center"/>
          </w:tcPr>
          <w:p w14:paraId="0A8DE266">
            <w:pPr>
              <w:pStyle w:val="21"/>
              <w:keepNext/>
              <w:spacing w:after="0" w:line="440" w:lineRule="exact"/>
              <w:ind w:left="63" w:right="63"/>
              <w:rPr>
                <w:rFonts w:eastAsia="仿宋_GB2312"/>
                <w:color w:val="auto"/>
                <w:sz w:val="30"/>
                <w:szCs w:val="30"/>
                <w:highlight w:val="none"/>
              </w:rPr>
            </w:pPr>
          </w:p>
        </w:tc>
      </w:tr>
      <w:tr w14:paraId="2090C2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2A93B9BF">
            <w:pPr>
              <w:pStyle w:val="21"/>
              <w:keepNext/>
              <w:spacing w:after="0" w:line="440" w:lineRule="exact"/>
              <w:ind w:left="63" w:right="63"/>
              <w:rPr>
                <w:rFonts w:eastAsia="仿宋_GB2312"/>
                <w:color w:val="auto"/>
                <w:sz w:val="30"/>
                <w:szCs w:val="30"/>
                <w:highlight w:val="none"/>
              </w:rPr>
            </w:pPr>
          </w:p>
        </w:tc>
        <w:tc>
          <w:tcPr>
            <w:tcW w:w="1276" w:type="dxa"/>
            <w:noWrap w:val="0"/>
            <w:vAlign w:val="center"/>
          </w:tcPr>
          <w:p w14:paraId="6B35A3CC">
            <w:pPr>
              <w:pStyle w:val="21"/>
              <w:keepNext/>
              <w:spacing w:after="0" w:line="440" w:lineRule="exact"/>
              <w:ind w:left="63" w:right="63"/>
              <w:rPr>
                <w:rFonts w:eastAsia="仿宋_GB2312"/>
                <w:color w:val="auto"/>
                <w:sz w:val="30"/>
                <w:szCs w:val="30"/>
                <w:highlight w:val="none"/>
              </w:rPr>
            </w:pPr>
          </w:p>
        </w:tc>
        <w:tc>
          <w:tcPr>
            <w:tcW w:w="1450" w:type="dxa"/>
            <w:noWrap w:val="0"/>
            <w:vAlign w:val="center"/>
          </w:tcPr>
          <w:p w14:paraId="1DA7C73F">
            <w:pPr>
              <w:pStyle w:val="21"/>
              <w:keepNext/>
              <w:spacing w:after="0" w:line="440" w:lineRule="exact"/>
              <w:ind w:left="63" w:right="63"/>
              <w:rPr>
                <w:rFonts w:eastAsia="仿宋_GB2312"/>
                <w:color w:val="auto"/>
                <w:sz w:val="30"/>
                <w:szCs w:val="30"/>
                <w:highlight w:val="none"/>
              </w:rPr>
            </w:pPr>
          </w:p>
        </w:tc>
        <w:tc>
          <w:tcPr>
            <w:tcW w:w="1243" w:type="dxa"/>
            <w:noWrap w:val="0"/>
            <w:vAlign w:val="center"/>
          </w:tcPr>
          <w:p w14:paraId="552122AC">
            <w:pPr>
              <w:pStyle w:val="21"/>
              <w:keepNext/>
              <w:spacing w:after="0" w:line="440" w:lineRule="exact"/>
              <w:ind w:left="63" w:right="63"/>
              <w:rPr>
                <w:rFonts w:eastAsia="仿宋_GB2312"/>
                <w:color w:val="auto"/>
                <w:sz w:val="30"/>
                <w:szCs w:val="30"/>
                <w:highlight w:val="none"/>
              </w:rPr>
            </w:pPr>
          </w:p>
        </w:tc>
        <w:tc>
          <w:tcPr>
            <w:tcW w:w="1450" w:type="dxa"/>
            <w:noWrap w:val="0"/>
            <w:vAlign w:val="center"/>
          </w:tcPr>
          <w:p w14:paraId="0819B725">
            <w:pPr>
              <w:pStyle w:val="21"/>
              <w:keepNext/>
              <w:spacing w:after="0" w:line="440" w:lineRule="exact"/>
              <w:ind w:left="63" w:right="63"/>
              <w:rPr>
                <w:rFonts w:eastAsia="仿宋_GB2312"/>
                <w:color w:val="auto"/>
                <w:sz w:val="30"/>
                <w:szCs w:val="30"/>
                <w:highlight w:val="none"/>
              </w:rPr>
            </w:pPr>
          </w:p>
        </w:tc>
        <w:tc>
          <w:tcPr>
            <w:tcW w:w="1667" w:type="dxa"/>
            <w:noWrap w:val="0"/>
            <w:vAlign w:val="center"/>
          </w:tcPr>
          <w:p w14:paraId="2B1B8AC0">
            <w:pPr>
              <w:pStyle w:val="21"/>
              <w:keepNext/>
              <w:spacing w:after="0" w:line="440" w:lineRule="exact"/>
              <w:ind w:left="63" w:right="63"/>
              <w:rPr>
                <w:rFonts w:eastAsia="仿宋_GB2312"/>
                <w:color w:val="auto"/>
                <w:sz w:val="30"/>
                <w:szCs w:val="30"/>
                <w:highlight w:val="none"/>
              </w:rPr>
            </w:pPr>
          </w:p>
        </w:tc>
      </w:tr>
      <w:tr w14:paraId="357D53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13340CA8">
            <w:pPr>
              <w:pStyle w:val="21"/>
              <w:keepNext/>
              <w:spacing w:after="0" w:line="440" w:lineRule="exact"/>
              <w:ind w:left="63" w:right="63"/>
              <w:rPr>
                <w:rFonts w:eastAsia="仿宋_GB2312"/>
                <w:color w:val="auto"/>
                <w:sz w:val="30"/>
                <w:szCs w:val="30"/>
                <w:highlight w:val="none"/>
              </w:rPr>
            </w:pPr>
          </w:p>
        </w:tc>
        <w:tc>
          <w:tcPr>
            <w:tcW w:w="1276" w:type="dxa"/>
            <w:noWrap w:val="0"/>
            <w:vAlign w:val="center"/>
          </w:tcPr>
          <w:p w14:paraId="0C7370E5">
            <w:pPr>
              <w:pStyle w:val="21"/>
              <w:keepNext/>
              <w:spacing w:after="0" w:line="440" w:lineRule="exact"/>
              <w:ind w:left="63" w:right="63"/>
              <w:rPr>
                <w:rFonts w:eastAsia="仿宋_GB2312"/>
                <w:color w:val="auto"/>
                <w:sz w:val="30"/>
                <w:szCs w:val="30"/>
                <w:highlight w:val="none"/>
              </w:rPr>
            </w:pPr>
          </w:p>
        </w:tc>
        <w:tc>
          <w:tcPr>
            <w:tcW w:w="1450" w:type="dxa"/>
            <w:noWrap w:val="0"/>
            <w:vAlign w:val="center"/>
          </w:tcPr>
          <w:p w14:paraId="15915009">
            <w:pPr>
              <w:pStyle w:val="21"/>
              <w:keepNext/>
              <w:spacing w:after="0" w:line="440" w:lineRule="exact"/>
              <w:ind w:left="63" w:right="63"/>
              <w:rPr>
                <w:rFonts w:eastAsia="仿宋_GB2312"/>
                <w:color w:val="auto"/>
                <w:sz w:val="30"/>
                <w:szCs w:val="30"/>
                <w:highlight w:val="none"/>
              </w:rPr>
            </w:pPr>
          </w:p>
        </w:tc>
        <w:tc>
          <w:tcPr>
            <w:tcW w:w="1243" w:type="dxa"/>
            <w:noWrap w:val="0"/>
            <w:vAlign w:val="center"/>
          </w:tcPr>
          <w:p w14:paraId="0ECB1062">
            <w:pPr>
              <w:pStyle w:val="21"/>
              <w:keepNext/>
              <w:spacing w:after="0" w:line="440" w:lineRule="exact"/>
              <w:ind w:left="63" w:right="63"/>
              <w:rPr>
                <w:rFonts w:eastAsia="仿宋_GB2312"/>
                <w:color w:val="auto"/>
                <w:sz w:val="30"/>
                <w:szCs w:val="30"/>
                <w:highlight w:val="none"/>
              </w:rPr>
            </w:pPr>
          </w:p>
        </w:tc>
        <w:tc>
          <w:tcPr>
            <w:tcW w:w="1450" w:type="dxa"/>
            <w:noWrap w:val="0"/>
            <w:vAlign w:val="center"/>
          </w:tcPr>
          <w:p w14:paraId="5A19DA94">
            <w:pPr>
              <w:pStyle w:val="21"/>
              <w:keepNext/>
              <w:spacing w:after="0" w:line="440" w:lineRule="exact"/>
              <w:ind w:left="63" w:right="63"/>
              <w:rPr>
                <w:rFonts w:eastAsia="仿宋_GB2312"/>
                <w:color w:val="auto"/>
                <w:sz w:val="30"/>
                <w:szCs w:val="30"/>
                <w:highlight w:val="none"/>
              </w:rPr>
            </w:pPr>
          </w:p>
        </w:tc>
        <w:tc>
          <w:tcPr>
            <w:tcW w:w="1667" w:type="dxa"/>
            <w:noWrap w:val="0"/>
            <w:vAlign w:val="center"/>
          </w:tcPr>
          <w:p w14:paraId="5351F0F2">
            <w:pPr>
              <w:pStyle w:val="21"/>
              <w:keepNext/>
              <w:spacing w:after="0" w:line="440" w:lineRule="exact"/>
              <w:ind w:left="63" w:right="63"/>
              <w:rPr>
                <w:rFonts w:eastAsia="仿宋_GB2312"/>
                <w:color w:val="auto"/>
                <w:sz w:val="30"/>
                <w:szCs w:val="30"/>
                <w:highlight w:val="none"/>
              </w:rPr>
            </w:pPr>
          </w:p>
        </w:tc>
      </w:tr>
      <w:tr w14:paraId="33DF0F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6D64835">
            <w:pPr>
              <w:rPr>
                <w:rFonts w:eastAsia="仿宋_GB2312"/>
                <w:color w:val="auto"/>
                <w:sz w:val="30"/>
                <w:szCs w:val="30"/>
                <w:highlight w:val="none"/>
              </w:rPr>
            </w:pPr>
          </w:p>
        </w:tc>
        <w:tc>
          <w:tcPr>
            <w:tcW w:w="1276" w:type="dxa"/>
            <w:noWrap w:val="0"/>
            <w:vAlign w:val="top"/>
          </w:tcPr>
          <w:p w14:paraId="07CF8FAF">
            <w:pPr>
              <w:rPr>
                <w:rFonts w:eastAsia="仿宋_GB2312"/>
                <w:color w:val="auto"/>
                <w:sz w:val="30"/>
                <w:szCs w:val="30"/>
                <w:highlight w:val="none"/>
              </w:rPr>
            </w:pPr>
          </w:p>
        </w:tc>
        <w:tc>
          <w:tcPr>
            <w:tcW w:w="1450" w:type="dxa"/>
            <w:noWrap w:val="0"/>
            <w:vAlign w:val="top"/>
          </w:tcPr>
          <w:p w14:paraId="3FF55654">
            <w:pPr>
              <w:rPr>
                <w:rFonts w:eastAsia="仿宋_GB2312"/>
                <w:color w:val="auto"/>
                <w:sz w:val="30"/>
                <w:szCs w:val="30"/>
                <w:highlight w:val="none"/>
              </w:rPr>
            </w:pPr>
          </w:p>
        </w:tc>
        <w:tc>
          <w:tcPr>
            <w:tcW w:w="1243" w:type="dxa"/>
            <w:noWrap w:val="0"/>
            <w:vAlign w:val="top"/>
          </w:tcPr>
          <w:p w14:paraId="53FE38C3">
            <w:pPr>
              <w:rPr>
                <w:rFonts w:eastAsia="仿宋_GB2312"/>
                <w:color w:val="auto"/>
                <w:sz w:val="30"/>
                <w:szCs w:val="30"/>
                <w:highlight w:val="none"/>
              </w:rPr>
            </w:pPr>
          </w:p>
        </w:tc>
        <w:tc>
          <w:tcPr>
            <w:tcW w:w="1450" w:type="dxa"/>
            <w:noWrap w:val="0"/>
            <w:vAlign w:val="top"/>
          </w:tcPr>
          <w:p w14:paraId="633D5CE8">
            <w:pPr>
              <w:rPr>
                <w:rFonts w:eastAsia="仿宋_GB2312"/>
                <w:color w:val="auto"/>
                <w:sz w:val="30"/>
                <w:szCs w:val="30"/>
                <w:highlight w:val="none"/>
              </w:rPr>
            </w:pPr>
          </w:p>
        </w:tc>
        <w:tc>
          <w:tcPr>
            <w:tcW w:w="1667" w:type="dxa"/>
            <w:noWrap w:val="0"/>
            <w:vAlign w:val="top"/>
          </w:tcPr>
          <w:p w14:paraId="79A7004F">
            <w:pPr>
              <w:rPr>
                <w:rFonts w:eastAsia="仿宋_GB2312"/>
                <w:color w:val="auto"/>
                <w:sz w:val="30"/>
                <w:szCs w:val="30"/>
                <w:highlight w:val="none"/>
              </w:rPr>
            </w:pPr>
          </w:p>
        </w:tc>
      </w:tr>
      <w:tr w14:paraId="4415D0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14E552AC">
            <w:pPr>
              <w:pStyle w:val="21"/>
              <w:keepNext/>
              <w:spacing w:after="0" w:line="440" w:lineRule="exact"/>
              <w:ind w:left="63" w:right="63"/>
              <w:rPr>
                <w:rFonts w:eastAsia="仿宋_GB2312"/>
                <w:color w:val="auto"/>
                <w:sz w:val="30"/>
                <w:szCs w:val="30"/>
                <w:highlight w:val="none"/>
              </w:rPr>
            </w:pPr>
          </w:p>
        </w:tc>
        <w:tc>
          <w:tcPr>
            <w:tcW w:w="1276" w:type="dxa"/>
            <w:noWrap w:val="0"/>
            <w:vAlign w:val="center"/>
          </w:tcPr>
          <w:p w14:paraId="04296355">
            <w:pPr>
              <w:pStyle w:val="21"/>
              <w:keepNext/>
              <w:spacing w:after="0" w:line="440" w:lineRule="exact"/>
              <w:ind w:left="63" w:right="63"/>
              <w:rPr>
                <w:rFonts w:eastAsia="仿宋_GB2312"/>
                <w:color w:val="auto"/>
                <w:sz w:val="30"/>
                <w:szCs w:val="30"/>
                <w:highlight w:val="none"/>
              </w:rPr>
            </w:pPr>
          </w:p>
        </w:tc>
        <w:tc>
          <w:tcPr>
            <w:tcW w:w="1450" w:type="dxa"/>
            <w:noWrap w:val="0"/>
            <w:vAlign w:val="center"/>
          </w:tcPr>
          <w:p w14:paraId="4CC1CA9A">
            <w:pPr>
              <w:pStyle w:val="21"/>
              <w:keepNext/>
              <w:spacing w:after="0" w:line="440" w:lineRule="exact"/>
              <w:ind w:left="63" w:right="63"/>
              <w:rPr>
                <w:rFonts w:eastAsia="仿宋_GB2312"/>
                <w:color w:val="auto"/>
                <w:sz w:val="30"/>
                <w:szCs w:val="30"/>
                <w:highlight w:val="none"/>
              </w:rPr>
            </w:pPr>
          </w:p>
        </w:tc>
        <w:tc>
          <w:tcPr>
            <w:tcW w:w="1243" w:type="dxa"/>
            <w:noWrap w:val="0"/>
            <w:vAlign w:val="center"/>
          </w:tcPr>
          <w:p w14:paraId="78424507">
            <w:pPr>
              <w:pStyle w:val="21"/>
              <w:keepNext/>
              <w:spacing w:after="0" w:line="440" w:lineRule="exact"/>
              <w:ind w:left="63" w:right="63"/>
              <w:rPr>
                <w:rFonts w:eastAsia="仿宋_GB2312"/>
                <w:color w:val="auto"/>
                <w:sz w:val="30"/>
                <w:szCs w:val="30"/>
                <w:highlight w:val="none"/>
              </w:rPr>
            </w:pPr>
          </w:p>
        </w:tc>
        <w:tc>
          <w:tcPr>
            <w:tcW w:w="1450" w:type="dxa"/>
            <w:noWrap w:val="0"/>
            <w:vAlign w:val="center"/>
          </w:tcPr>
          <w:p w14:paraId="379FEEBF">
            <w:pPr>
              <w:pStyle w:val="21"/>
              <w:keepNext/>
              <w:spacing w:after="0" w:line="440" w:lineRule="exact"/>
              <w:ind w:left="63" w:right="63"/>
              <w:rPr>
                <w:rFonts w:eastAsia="仿宋_GB2312"/>
                <w:color w:val="auto"/>
                <w:sz w:val="30"/>
                <w:szCs w:val="30"/>
                <w:highlight w:val="none"/>
              </w:rPr>
            </w:pPr>
          </w:p>
        </w:tc>
        <w:tc>
          <w:tcPr>
            <w:tcW w:w="1667" w:type="dxa"/>
            <w:noWrap w:val="0"/>
            <w:vAlign w:val="center"/>
          </w:tcPr>
          <w:p w14:paraId="234C8904">
            <w:pPr>
              <w:pStyle w:val="21"/>
              <w:keepNext/>
              <w:spacing w:after="0" w:line="440" w:lineRule="exact"/>
              <w:ind w:left="63" w:right="63"/>
              <w:rPr>
                <w:rFonts w:eastAsia="仿宋_GB2312"/>
                <w:color w:val="auto"/>
                <w:sz w:val="30"/>
                <w:szCs w:val="30"/>
                <w:highlight w:val="none"/>
              </w:rPr>
            </w:pPr>
          </w:p>
        </w:tc>
      </w:tr>
      <w:tr w14:paraId="0F4AD7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978A6F4">
            <w:pPr>
              <w:rPr>
                <w:rFonts w:eastAsia="仿宋_GB2312"/>
                <w:color w:val="auto"/>
                <w:sz w:val="30"/>
                <w:szCs w:val="30"/>
                <w:highlight w:val="none"/>
              </w:rPr>
            </w:pPr>
          </w:p>
        </w:tc>
        <w:tc>
          <w:tcPr>
            <w:tcW w:w="1276" w:type="dxa"/>
            <w:noWrap w:val="0"/>
            <w:vAlign w:val="top"/>
          </w:tcPr>
          <w:p w14:paraId="6CD405B4">
            <w:pPr>
              <w:rPr>
                <w:rFonts w:eastAsia="仿宋_GB2312"/>
                <w:color w:val="auto"/>
                <w:sz w:val="30"/>
                <w:szCs w:val="30"/>
                <w:highlight w:val="none"/>
              </w:rPr>
            </w:pPr>
          </w:p>
        </w:tc>
        <w:tc>
          <w:tcPr>
            <w:tcW w:w="1450" w:type="dxa"/>
            <w:noWrap w:val="0"/>
            <w:vAlign w:val="top"/>
          </w:tcPr>
          <w:p w14:paraId="0DAC9207">
            <w:pPr>
              <w:rPr>
                <w:rFonts w:eastAsia="仿宋_GB2312"/>
                <w:color w:val="auto"/>
                <w:sz w:val="30"/>
                <w:szCs w:val="30"/>
                <w:highlight w:val="none"/>
              </w:rPr>
            </w:pPr>
          </w:p>
        </w:tc>
        <w:tc>
          <w:tcPr>
            <w:tcW w:w="1243" w:type="dxa"/>
            <w:noWrap w:val="0"/>
            <w:vAlign w:val="top"/>
          </w:tcPr>
          <w:p w14:paraId="32FBA5B9">
            <w:pPr>
              <w:rPr>
                <w:rFonts w:eastAsia="仿宋_GB2312"/>
                <w:color w:val="auto"/>
                <w:sz w:val="30"/>
                <w:szCs w:val="30"/>
                <w:highlight w:val="none"/>
              </w:rPr>
            </w:pPr>
          </w:p>
        </w:tc>
        <w:tc>
          <w:tcPr>
            <w:tcW w:w="1450" w:type="dxa"/>
            <w:noWrap w:val="0"/>
            <w:vAlign w:val="top"/>
          </w:tcPr>
          <w:p w14:paraId="1E9556F2">
            <w:pPr>
              <w:rPr>
                <w:rFonts w:eastAsia="仿宋_GB2312"/>
                <w:color w:val="auto"/>
                <w:sz w:val="30"/>
                <w:szCs w:val="30"/>
                <w:highlight w:val="none"/>
              </w:rPr>
            </w:pPr>
          </w:p>
        </w:tc>
        <w:tc>
          <w:tcPr>
            <w:tcW w:w="1667" w:type="dxa"/>
            <w:noWrap w:val="0"/>
            <w:vAlign w:val="top"/>
          </w:tcPr>
          <w:p w14:paraId="7D82EC0B">
            <w:pPr>
              <w:rPr>
                <w:rFonts w:eastAsia="仿宋_GB2312"/>
                <w:color w:val="auto"/>
                <w:sz w:val="30"/>
                <w:szCs w:val="30"/>
                <w:highlight w:val="none"/>
              </w:rPr>
            </w:pPr>
          </w:p>
        </w:tc>
      </w:tr>
      <w:tr w14:paraId="4297BB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184FE08">
            <w:pPr>
              <w:rPr>
                <w:rFonts w:eastAsia="仿宋_GB2312"/>
                <w:color w:val="auto"/>
                <w:sz w:val="30"/>
                <w:szCs w:val="30"/>
                <w:highlight w:val="none"/>
              </w:rPr>
            </w:pPr>
          </w:p>
        </w:tc>
        <w:tc>
          <w:tcPr>
            <w:tcW w:w="1276" w:type="dxa"/>
            <w:noWrap w:val="0"/>
            <w:vAlign w:val="top"/>
          </w:tcPr>
          <w:p w14:paraId="18431F5B">
            <w:pPr>
              <w:rPr>
                <w:rFonts w:eastAsia="仿宋_GB2312"/>
                <w:color w:val="auto"/>
                <w:sz w:val="30"/>
                <w:szCs w:val="30"/>
                <w:highlight w:val="none"/>
              </w:rPr>
            </w:pPr>
          </w:p>
        </w:tc>
        <w:tc>
          <w:tcPr>
            <w:tcW w:w="1450" w:type="dxa"/>
            <w:noWrap w:val="0"/>
            <w:vAlign w:val="top"/>
          </w:tcPr>
          <w:p w14:paraId="52605307">
            <w:pPr>
              <w:rPr>
                <w:rFonts w:eastAsia="仿宋_GB2312"/>
                <w:color w:val="auto"/>
                <w:sz w:val="30"/>
                <w:szCs w:val="30"/>
                <w:highlight w:val="none"/>
              </w:rPr>
            </w:pPr>
          </w:p>
        </w:tc>
        <w:tc>
          <w:tcPr>
            <w:tcW w:w="1243" w:type="dxa"/>
            <w:noWrap w:val="0"/>
            <w:vAlign w:val="top"/>
          </w:tcPr>
          <w:p w14:paraId="3FBF3DE7">
            <w:pPr>
              <w:rPr>
                <w:rFonts w:eastAsia="仿宋_GB2312"/>
                <w:color w:val="auto"/>
                <w:sz w:val="30"/>
                <w:szCs w:val="30"/>
                <w:highlight w:val="none"/>
              </w:rPr>
            </w:pPr>
          </w:p>
        </w:tc>
        <w:tc>
          <w:tcPr>
            <w:tcW w:w="1450" w:type="dxa"/>
            <w:noWrap w:val="0"/>
            <w:vAlign w:val="top"/>
          </w:tcPr>
          <w:p w14:paraId="6BB17452">
            <w:pPr>
              <w:rPr>
                <w:rFonts w:eastAsia="仿宋_GB2312"/>
                <w:color w:val="auto"/>
                <w:sz w:val="30"/>
                <w:szCs w:val="30"/>
                <w:highlight w:val="none"/>
              </w:rPr>
            </w:pPr>
          </w:p>
        </w:tc>
        <w:tc>
          <w:tcPr>
            <w:tcW w:w="1667" w:type="dxa"/>
            <w:noWrap w:val="0"/>
            <w:vAlign w:val="top"/>
          </w:tcPr>
          <w:p w14:paraId="3E888054">
            <w:pPr>
              <w:rPr>
                <w:rFonts w:eastAsia="仿宋_GB2312"/>
                <w:color w:val="auto"/>
                <w:sz w:val="30"/>
                <w:szCs w:val="30"/>
                <w:highlight w:val="none"/>
              </w:rPr>
            </w:pPr>
          </w:p>
        </w:tc>
      </w:tr>
      <w:tr w14:paraId="7F51A3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7AA0A26">
            <w:pPr>
              <w:rPr>
                <w:rFonts w:eastAsia="仿宋_GB2312"/>
                <w:color w:val="auto"/>
                <w:sz w:val="30"/>
                <w:szCs w:val="30"/>
                <w:highlight w:val="none"/>
              </w:rPr>
            </w:pPr>
          </w:p>
        </w:tc>
        <w:tc>
          <w:tcPr>
            <w:tcW w:w="1276" w:type="dxa"/>
            <w:noWrap w:val="0"/>
            <w:vAlign w:val="top"/>
          </w:tcPr>
          <w:p w14:paraId="11650DEF">
            <w:pPr>
              <w:rPr>
                <w:rFonts w:eastAsia="仿宋_GB2312"/>
                <w:color w:val="auto"/>
                <w:sz w:val="30"/>
                <w:szCs w:val="30"/>
                <w:highlight w:val="none"/>
              </w:rPr>
            </w:pPr>
          </w:p>
        </w:tc>
        <w:tc>
          <w:tcPr>
            <w:tcW w:w="1450" w:type="dxa"/>
            <w:noWrap w:val="0"/>
            <w:vAlign w:val="top"/>
          </w:tcPr>
          <w:p w14:paraId="5C1D4276">
            <w:pPr>
              <w:rPr>
                <w:rFonts w:eastAsia="仿宋_GB2312"/>
                <w:color w:val="auto"/>
                <w:sz w:val="30"/>
                <w:szCs w:val="30"/>
                <w:highlight w:val="none"/>
              </w:rPr>
            </w:pPr>
          </w:p>
        </w:tc>
        <w:tc>
          <w:tcPr>
            <w:tcW w:w="1243" w:type="dxa"/>
            <w:noWrap w:val="0"/>
            <w:vAlign w:val="top"/>
          </w:tcPr>
          <w:p w14:paraId="58C21516">
            <w:pPr>
              <w:rPr>
                <w:rFonts w:eastAsia="仿宋_GB2312"/>
                <w:color w:val="auto"/>
                <w:sz w:val="30"/>
                <w:szCs w:val="30"/>
                <w:highlight w:val="none"/>
              </w:rPr>
            </w:pPr>
          </w:p>
        </w:tc>
        <w:tc>
          <w:tcPr>
            <w:tcW w:w="1450" w:type="dxa"/>
            <w:noWrap w:val="0"/>
            <w:vAlign w:val="top"/>
          </w:tcPr>
          <w:p w14:paraId="3E0CC2B5">
            <w:pPr>
              <w:rPr>
                <w:rFonts w:eastAsia="仿宋_GB2312"/>
                <w:color w:val="auto"/>
                <w:sz w:val="30"/>
                <w:szCs w:val="30"/>
                <w:highlight w:val="none"/>
              </w:rPr>
            </w:pPr>
          </w:p>
        </w:tc>
        <w:tc>
          <w:tcPr>
            <w:tcW w:w="1667" w:type="dxa"/>
            <w:noWrap w:val="0"/>
            <w:vAlign w:val="top"/>
          </w:tcPr>
          <w:p w14:paraId="69B56A0F">
            <w:pPr>
              <w:rPr>
                <w:rFonts w:eastAsia="仿宋_GB2312"/>
                <w:color w:val="auto"/>
                <w:sz w:val="30"/>
                <w:szCs w:val="30"/>
                <w:highlight w:val="none"/>
              </w:rPr>
            </w:pPr>
          </w:p>
        </w:tc>
      </w:tr>
      <w:tr w14:paraId="5E6E97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0F6CF683">
            <w:pPr>
              <w:rPr>
                <w:rFonts w:eastAsia="仿宋_GB2312"/>
                <w:color w:val="auto"/>
                <w:sz w:val="30"/>
                <w:szCs w:val="30"/>
                <w:highlight w:val="none"/>
              </w:rPr>
            </w:pPr>
          </w:p>
        </w:tc>
        <w:tc>
          <w:tcPr>
            <w:tcW w:w="1276" w:type="dxa"/>
            <w:noWrap w:val="0"/>
            <w:vAlign w:val="top"/>
          </w:tcPr>
          <w:p w14:paraId="59586CB5">
            <w:pPr>
              <w:rPr>
                <w:rFonts w:eastAsia="仿宋_GB2312"/>
                <w:color w:val="auto"/>
                <w:sz w:val="30"/>
                <w:szCs w:val="30"/>
                <w:highlight w:val="none"/>
              </w:rPr>
            </w:pPr>
          </w:p>
        </w:tc>
        <w:tc>
          <w:tcPr>
            <w:tcW w:w="1450" w:type="dxa"/>
            <w:noWrap w:val="0"/>
            <w:vAlign w:val="top"/>
          </w:tcPr>
          <w:p w14:paraId="7D30FD1F">
            <w:pPr>
              <w:rPr>
                <w:rFonts w:eastAsia="仿宋_GB2312"/>
                <w:color w:val="auto"/>
                <w:sz w:val="30"/>
                <w:szCs w:val="30"/>
                <w:highlight w:val="none"/>
              </w:rPr>
            </w:pPr>
          </w:p>
        </w:tc>
        <w:tc>
          <w:tcPr>
            <w:tcW w:w="1243" w:type="dxa"/>
            <w:noWrap w:val="0"/>
            <w:vAlign w:val="top"/>
          </w:tcPr>
          <w:p w14:paraId="4F56F9A9">
            <w:pPr>
              <w:rPr>
                <w:rFonts w:eastAsia="仿宋_GB2312"/>
                <w:color w:val="auto"/>
                <w:sz w:val="30"/>
                <w:szCs w:val="30"/>
                <w:highlight w:val="none"/>
              </w:rPr>
            </w:pPr>
          </w:p>
        </w:tc>
        <w:tc>
          <w:tcPr>
            <w:tcW w:w="1450" w:type="dxa"/>
            <w:noWrap w:val="0"/>
            <w:vAlign w:val="top"/>
          </w:tcPr>
          <w:p w14:paraId="3C8D437E">
            <w:pPr>
              <w:rPr>
                <w:rFonts w:eastAsia="仿宋_GB2312"/>
                <w:color w:val="auto"/>
                <w:sz w:val="30"/>
                <w:szCs w:val="30"/>
                <w:highlight w:val="none"/>
              </w:rPr>
            </w:pPr>
          </w:p>
        </w:tc>
        <w:tc>
          <w:tcPr>
            <w:tcW w:w="1667" w:type="dxa"/>
            <w:noWrap w:val="0"/>
            <w:vAlign w:val="top"/>
          </w:tcPr>
          <w:p w14:paraId="42CB2A06">
            <w:pPr>
              <w:rPr>
                <w:rFonts w:eastAsia="仿宋_GB2312"/>
                <w:color w:val="auto"/>
                <w:sz w:val="30"/>
                <w:szCs w:val="30"/>
                <w:highlight w:val="none"/>
              </w:rPr>
            </w:pPr>
          </w:p>
        </w:tc>
      </w:tr>
      <w:tr w14:paraId="0A1F82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768DBAA">
            <w:pPr>
              <w:rPr>
                <w:rFonts w:eastAsia="仿宋_GB2312"/>
                <w:color w:val="auto"/>
                <w:sz w:val="30"/>
                <w:szCs w:val="30"/>
                <w:highlight w:val="none"/>
              </w:rPr>
            </w:pPr>
          </w:p>
        </w:tc>
        <w:tc>
          <w:tcPr>
            <w:tcW w:w="1276" w:type="dxa"/>
            <w:noWrap w:val="0"/>
            <w:vAlign w:val="top"/>
          </w:tcPr>
          <w:p w14:paraId="381762F3">
            <w:pPr>
              <w:rPr>
                <w:rFonts w:eastAsia="仿宋_GB2312"/>
                <w:color w:val="auto"/>
                <w:sz w:val="30"/>
                <w:szCs w:val="30"/>
                <w:highlight w:val="none"/>
              </w:rPr>
            </w:pPr>
          </w:p>
        </w:tc>
        <w:tc>
          <w:tcPr>
            <w:tcW w:w="1450" w:type="dxa"/>
            <w:noWrap w:val="0"/>
            <w:vAlign w:val="top"/>
          </w:tcPr>
          <w:p w14:paraId="50D48E62">
            <w:pPr>
              <w:rPr>
                <w:rFonts w:eastAsia="仿宋_GB2312"/>
                <w:color w:val="auto"/>
                <w:sz w:val="30"/>
                <w:szCs w:val="30"/>
                <w:highlight w:val="none"/>
              </w:rPr>
            </w:pPr>
          </w:p>
        </w:tc>
        <w:tc>
          <w:tcPr>
            <w:tcW w:w="1243" w:type="dxa"/>
            <w:noWrap w:val="0"/>
            <w:vAlign w:val="top"/>
          </w:tcPr>
          <w:p w14:paraId="1490C3BB">
            <w:pPr>
              <w:rPr>
                <w:rFonts w:eastAsia="仿宋_GB2312"/>
                <w:color w:val="auto"/>
                <w:sz w:val="30"/>
                <w:szCs w:val="30"/>
                <w:highlight w:val="none"/>
              </w:rPr>
            </w:pPr>
          </w:p>
        </w:tc>
        <w:tc>
          <w:tcPr>
            <w:tcW w:w="1450" w:type="dxa"/>
            <w:noWrap w:val="0"/>
            <w:vAlign w:val="top"/>
          </w:tcPr>
          <w:p w14:paraId="1A648848">
            <w:pPr>
              <w:rPr>
                <w:rFonts w:eastAsia="仿宋_GB2312"/>
                <w:color w:val="auto"/>
                <w:sz w:val="30"/>
                <w:szCs w:val="30"/>
                <w:highlight w:val="none"/>
              </w:rPr>
            </w:pPr>
          </w:p>
        </w:tc>
        <w:tc>
          <w:tcPr>
            <w:tcW w:w="1667" w:type="dxa"/>
            <w:noWrap w:val="0"/>
            <w:vAlign w:val="top"/>
          </w:tcPr>
          <w:p w14:paraId="620CB90D">
            <w:pPr>
              <w:rPr>
                <w:rFonts w:eastAsia="仿宋_GB2312"/>
                <w:color w:val="auto"/>
                <w:sz w:val="30"/>
                <w:szCs w:val="30"/>
                <w:highlight w:val="none"/>
              </w:rPr>
            </w:pPr>
          </w:p>
        </w:tc>
      </w:tr>
      <w:tr w14:paraId="021DC9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3684996D">
            <w:pPr>
              <w:rPr>
                <w:rFonts w:eastAsia="仿宋_GB2312"/>
                <w:color w:val="auto"/>
                <w:sz w:val="30"/>
                <w:szCs w:val="30"/>
                <w:highlight w:val="none"/>
              </w:rPr>
            </w:pPr>
          </w:p>
        </w:tc>
        <w:tc>
          <w:tcPr>
            <w:tcW w:w="1276" w:type="dxa"/>
            <w:noWrap w:val="0"/>
            <w:vAlign w:val="top"/>
          </w:tcPr>
          <w:p w14:paraId="686803ED">
            <w:pPr>
              <w:rPr>
                <w:rFonts w:eastAsia="仿宋_GB2312"/>
                <w:color w:val="auto"/>
                <w:sz w:val="30"/>
                <w:szCs w:val="30"/>
                <w:highlight w:val="none"/>
              </w:rPr>
            </w:pPr>
          </w:p>
        </w:tc>
        <w:tc>
          <w:tcPr>
            <w:tcW w:w="1450" w:type="dxa"/>
            <w:noWrap w:val="0"/>
            <w:vAlign w:val="top"/>
          </w:tcPr>
          <w:p w14:paraId="4C705E26">
            <w:pPr>
              <w:rPr>
                <w:rFonts w:eastAsia="仿宋_GB2312"/>
                <w:color w:val="auto"/>
                <w:sz w:val="30"/>
                <w:szCs w:val="30"/>
                <w:highlight w:val="none"/>
              </w:rPr>
            </w:pPr>
          </w:p>
        </w:tc>
        <w:tc>
          <w:tcPr>
            <w:tcW w:w="1243" w:type="dxa"/>
            <w:noWrap w:val="0"/>
            <w:vAlign w:val="top"/>
          </w:tcPr>
          <w:p w14:paraId="265C0ED3">
            <w:pPr>
              <w:rPr>
                <w:rFonts w:eastAsia="仿宋_GB2312"/>
                <w:color w:val="auto"/>
                <w:sz w:val="30"/>
                <w:szCs w:val="30"/>
                <w:highlight w:val="none"/>
              </w:rPr>
            </w:pPr>
          </w:p>
        </w:tc>
        <w:tc>
          <w:tcPr>
            <w:tcW w:w="1450" w:type="dxa"/>
            <w:noWrap w:val="0"/>
            <w:vAlign w:val="top"/>
          </w:tcPr>
          <w:p w14:paraId="7985166B">
            <w:pPr>
              <w:rPr>
                <w:rFonts w:eastAsia="仿宋_GB2312"/>
                <w:color w:val="auto"/>
                <w:sz w:val="30"/>
                <w:szCs w:val="30"/>
                <w:highlight w:val="none"/>
              </w:rPr>
            </w:pPr>
          </w:p>
        </w:tc>
        <w:tc>
          <w:tcPr>
            <w:tcW w:w="1667" w:type="dxa"/>
            <w:noWrap w:val="0"/>
            <w:vAlign w:val="top"/>
          </w:tcPr>
          <w:p w14:paraId="61F08A5D">
            <w:pPr>
              <w:rPr>
                <w:rFonts w:eastAsia="仿宋_GB2312"/>
                <w:color w:val="auto"/>
                <w:sz w:val="30"/>
                <w:szCs w:val="30"/>
                <w:highlight w:val="none"/>
              </w:rPr>
            </w:pPr>
          </w:p>
        </w:tc>
      </w:tr>
      <w:tr w14:paraId="5094A4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55D7F22F">
            <w:pPr>
              <w:rPr>
                <w:rFonts w:eastAsia="仿宋_GB2312"/>
                <w:color w:val="auto"/>
                <w:sz w:val="30"/>
                <w:szCs w:val="30"/>
                <w:highlight w:val="none"/>
              </w:rPr>
            </w:pPr>
          </w:p>
        </w:tc>
        <w:tc>
          <w:tcPr>
            <w:tcW w:w="1276" w:type="dxa"/>
            <w:noWrap w:val="0"/>
            <w:vAlign w:val="top"/>
          </w:tcPr>
          <w:p w14:paraId="4D86B158">
            <w:pPr>
              <w:rPr>
                <w:rFonts w:eastAsia="仿宋_GB2312"/>
                <w:color w:val="auto"/>
                <w:sz w:val="30"/>
                <w:szCs w:val="30"/>
                <w:highlight w:val="none"/>
              </w:rPr>
            </w:pPr>
          </w:p>
        </w:tc>
        <w:tc>
          <w:tcPr>
            <w:tcW w:w="1450" w:type="dxa"/>
            <w:noWrap w:val="0"/>
            <w:vAlign w:val="top"/>
          </w:tcPr>
          <w:p w14:paraId="7ECEAC45">
            <w:pPr>
              <w:rPr>
                <w:rFonts w:eastAsia="仿宋_GB2312"/>
                <w:color w:val="auto"/>
                <w:sz w:val="30"/>
                <w:szCs w:val="30"/>
                <w:highlight w:val="none"/>
              </w:rPr>
            </w:pPr>
          </w:p>
        </w:tc>
        <w:tc>
          <w:tcPr>
            <w:tcW w:w="1243" w:type="dxa"/>
            <w:noWrap w:val="0"/>
            <w:vAlign w:val="top"/>
          </w:tcPr>
          <w:p w14:paraId="245D15FE">
            <w:pPr>
              <w:rPr>
                <w:rFonts w:eastAsia="仿宋_GB2312"/>
                <w:color w:val="auto"/>
                <w:sz w:val="30"/>
                <w:szCs w:val="30"/>
                <w:highlight w:val="none"/>
              </w:rPr>
            </w:pPr>
          </w:p>
        </w:tc>
        <w:tc>
          <w:tcPr>
            <w:tcW w:w="1450" w:type="dxa"/>
            <w:noWrap w:val="0"/>
            <w:vAlign w:val="top"/>
          </w:tcPr>
          <w:p w14:paraId="71953108">
            <w:pPr>
              <w:rPr>
                <w:rFonts w:eastAsia="仿宋_GB2312"/>
                <w:color w:val="auto"/>
                <w:sz w:val="30"/>
                <w:szCs w:val="30"/>
                <w:highlight w:val="none"/>
              </w:rPr>
            </w:pPr>
          </w:p>
        </w:tc>
        <w:tc>
          <w:tcPr>
            <w:tcW w:w="1667" w:type="dxa"/>
            <w:noWrap w:val="0"/>
            <w:vAlign w:val="top"/>
          </w:tcPr>
          <w:p w14:paraId="08AD0359">
            <w:pPr>
              <w:rPr>
                <w:rFonts w:eastAsia="仿宋_GB2312"/>
                <w:color w:val="auto"/>
                <w:sz w:val="30"/>
                <w:szCs w:val="30"/>
                <w:highlight w:val="none"/>
              </w:rPr>
            </w:pPr>
          </w:p>
        </w:tc>
      </w:tr>
      <w:tr w14:paraId="25D5B5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025A5F90">
            <w:pPr>
              <w:rPr>
                <w:rFonts w:eastAsia="仿宋_GB2312"/>
                <w:color w:val="auto"/>
                <w:sz w:val="30"/>
                <w:szCs w:val="30"/>
                <w:highlight w:val="none"/>
              </w:rPr>
            </w:pPr>
          </w:p>
        </w:tc>
        <w:tc>
          <w:tcPr>
            <w:tcW w:w="1276" w:type="dxa"/>
            <w:noWrap w:val="0"/>
            <w:vAlign w:val="top"/>
          </w:tcPr>
          <w:p w14:paraId="17C8C00B">
            <w:pPr>
              <w:rPr>
                <w:rFonts w:eastAsia="仿宋_GB2312"/>
                <w:color w:val="auto"/>
                <w:sz w:val="30"/>
                <w:szCs w:val="30"/>
                <w:highlight w:val="none"/>
              </w:rPr>
            </w:pPr>
          </w:p>
        </w:tc>
        <w:tc>
          <w:tcPr>
            <w:tcW w:w="1450" w:type="dxa"/>
            <w:noWrap w:val="0"/>
            <w:vAlign w:val="top"/>
          </w:tcPr>
          <w:p w14:paraId="07E4164F">
            <w:pPr>
              <w:rPr>
                <w:rFonts w:eastAsia="仿宋_GB2312"/>
                <w:color w:val="auto"/>
                <w:sz w:val="30"/>
                <w:szCs w:val="30"/>
                <w:highlight w:val="none"/>
              </w:rPr>
            </w:pPr>
          </w:p>
        </w:tc>
        <w:tc>
          <w:tcPr>
            <w:tcW w:w="1243" w:type="dxa"/>
            <w:noWrap w:val="0"/>
            <w:vAlign w:val="top"/>
          </w:tcPr>
          <w:p w14:paraId="44B8D472">
            <w:pPr>
              <w:rPr>
                <w:rFonts w:eastAsia="仿宋_GB2312"/>
                <w:color w:val="auto"/>
                <w:sz w:val="30"/>
                <w:szCs w:val="30"/>
                <w:highlight w:val="none"/>
              </w:rPr>
            </w:pPr>
          </w:p>
        </w:tc>
        <w:tc>
          <w:tcPr>
            <w:tcW w:w="1450" w:type="dxa"/>
            <w:noWrap w:val="0"/>
            <w:vAlign w:val="top"/>
          </w:tcPr>
          <w:p w14:paraId="4125F5C0">
            <w:pPr>
              <w:rPr>
                <w:rFonts w:eastAsia="仿宋_GB2312"/>
                <w:color w:val="auto"/>
                <w:sz w:val="30"/>
                <w:szCs w:val="30"/>
                <w:highlight w:val="none"/>
              </w:rPr>
            </w:pPr>
          </w:p>
        </w:tc>
        <w:tc>
          <w:tcPr>
            <w:tcW w:w="1667" w:type="dxa"/>
            <w:noWrap w:val="0"/>
            <w:vAlign w:val="top"/>
          </w:tcPr>
          <w:p w14:paraId="074F8DBD">
            <w:pPr>
              <w:rPr>
                <w:rFonts w:eastAsia="仿宋_GB2312"/>
                <w:color w:val="auto"/>
                <w:sz w:val="30"/>
                <w:szCs w:val="30"/>
                <w:highlight w:val="none"/>
              </w:rPr>
            </w:pPr>
          </w:p>
        </w:tc>
      </w:tr>
      <w:tr w14:paraId="326ED1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85618C4">
            <w:pPr>
              <w:rPr>
                <w:rFonts w:eastAsia="仿宋_GB2312"/>
                <w:color w:val="auto"/>
                <w:sz w:val="30"/>
                <w:szCs w:val="30"/>
                <w:highlight w:val="none"/>
              </w:rPr>
            </w:pPr>
          </w:p>
        </w:tc>
        <w:tc>
          <w:tcPr>
            <w:tcW w:w="1276" w:type="dxa"/>
            <w:noWrap w:val="0"/>
            <w:vAlign w:val="top"/>
          </w:tcPr>
          <w:p w14:paraId="1C70E690">
            <w:pPr>
              <w:rPr>
                <w:rFonts w:eastAsia="仿宋_GB2312"/>
                <w:color w:val="auto"/>
                <w:sz w:val="30"/>
                <w:szCs w:val="30"/>
                <w:highlight w:val="none"/>
              </w:rPr>
            </w:pPr>
          </w:p>
        </w:tc>
        <w:tc>
          <w:tcPr>
            <w:tcW w:w="1450" w:type="dxa"/>
            <w:noWrap w:val="0"/>
            <w:vAlign w:val="top"/>
          </w:tcPr>
          <w:p w14:paraId="34162B7A">
            <w:pPr>
              <w:rPr>
                <w:rFonts w:eastAsia="仿宋_GB2312"/>
                <w:color w:val="auto"/>
                <w:sz w:val="30"/>
                <w:szCs w:val="30"/>
                <w:highlight w:val="none"/>
              </w:rPr>
            </w:pPr>
          </w:p>
        </w:tc>
        <w:tc>
          <w:tcPr>
            <w:tcW w:w="1243" w:type="dxa"/>
            <w:noWrap w:val="0"/>
            <w:vAlign w:val="top"/>
          </w:tcPr>
          <w:p w14:paraId="081AA998">
            <w:pPr>
              <w:rPr>
                <w:rFonts w:eastAsia="仿宋_GB2312"/>
                <w:color w:val="auto"/>
                <w:sz w:val="30"/>
                <w:szCs w:val="30"/>
                <w:highlight w:val="none"/>
              </w:rPr>
            </w:pPr>
          </w:p>
        </w:tc>
        <w:tc>
          <w:tcPr>
            <w:tcW w:w="1450" w:type="dxa"/>
            <w:noWrap w:val="0"/>
            <w:vAlign w:val="top"/>
          </w:tcPr>
          <w:p w14:paraId="40325299">
            <w:pPr>
              <w:rPr>
                <w:rFonts w:eastAsia="仿宋_GB2312"/>
                <w:color w:val="auto"/>
                <w:sz w:val="30"/>
                <w:szCs w:val="30"/>
                <w:highlight w:val="none"/>
              </w:rPr>
            </w:pPr>
          </w:p>
        </w:tc>
        <w:tc>
          <w:tcPr>
            <w:tcW w:w="1667" w:type="dxa"/>
            <w:noWrap w:val="0"/>
            <w:vAlign w:val="top"/>
          </w:tcPr>
          <w:p w14:paraId="0972CD75">
            <w:pPr>
              <w:rPr>
                <w:rFonts w:eastAsia="仿宋_GB2312"/>
                <w:color w:val="auto"/>
                <w:sz w:val="30"/>
                <w:szCs w:val="30"/>
                <w:highlight w:val="none"/>
              </w:rPr>
            </w:pPr>
          </w:p>
        </w:tc>
      </w:tr>
    </w:tbl>
    <w:p w14:paraId="4DD7A5B7">
      <w:pPr>
        <w:spacing w:line="440" w:lineRule="exact"/>
        <w:rPr>
          <w:rFonts w:hint="eastAsia" w:eastAsia="仿宋_GB2312"/>
          <w:color w:val="auto"/>
          <w:sz w:val="30"/>
          <w:szCs w:val="30"/>
          <w:highlight w:val="none"/>
        </w:rPr>
      </w:pPr>
    </w:p>
    <w:p w14:paraId="18CBD099">
      <w:pPr>
        <w:spacing w:line="440" w:lineRule="exact"/>
        <w:rPr>
          <w:rFonts w:eastAsia="黑体"/>
          <w:color w:val="auto"/>
          <w:sz w:val="30"/>
          <w:szCs w:val="30"/>
          <w:highlight w:val="none"/>
        </w:rPr>
      </w:pPr>
      <w:r>
        <w:rPr>
          <w:rFonts w:eastAsia="仿宋_GB2312"/>
          <w:color w:val="auto"/>
          <w:sz w:val="30"/>
          <w:szCs w:val="30"/>
          <w:highlight w:val="none"/>
        </w:rPr>
        <w:br w:type="page"/>
      </w:r>
      <w:r>
        <w:rPr>
          <w:rFonts w:hint="eastAsia" w:eastAsia="仿宋_GB2312" w:cs="仿宋_GB2312"/>
          <w:color w:val="auto"/>
          <w:sz w:val="30"/>
          <w:szCs w:val="30"/>
          <w:highlight w:val="none"/>
        </w:rPr>
        <w:t>附件</w:t>
      </w:r>
      <w:r>
        <w:rPr>
          <w:rFonts w:hint="eastAsia" w:eastAsia="仿宋_GB2312"/>
          <w:color w:val="auto"/>
          <w:sz w:val="30"/>
          <w:szCs w:val="30"/>
          <w:highlight w:val="none"/>
        </w:rPr>
        <w:t>4</w:t>
      </w:r>
      <w:r>
        <w:rPr>
          <w:rFonts w:hint="eastAsia" w:eastAsia="仿宋_GB2312" w:cs="仿宋_GB2312"/>
          <w:color w:val="auto"/>
          <w:sz w:val="30"/>
          <w:szCs w:val="30"/>
          <w:highlight w:val="none"/>
        </w:rPr>
        <w:t>：</w:t>
      </w:r>
    </w:p>
    <w:p w14:paraId="2AFC3A5D">
      <w:pPr>
        <w:spacing w:before="120" w:beforeLines="50" w:after="120" w:afterLines="50" w:line="440" w:lineRule="exact"/>
        <w:jc w:val="center"/>
        <w:rPr>
          <w:rFonts w:eastAsia="黑体"/>
          <w:color w:val="auto"/>
          <w:sz w:val="30"/>
          <w:szCs w:val="30"/>
          <w:highlight w:val="none"/>
        </w:rPr>
      </w:pPr>
      <w:r>
        <w:rPr>
          <w:rFonts w:hint="eastAsia" w:eastAsia="黑体" w:cs="黑体"/>
          <w:color w:val="auto"/>
          <w:sz w:val="30"/>
          <w:szCs w:val="30"/>
          <w:highlight w:val="none"/>
        </w:rPr>
        <w:t>承包人用于本工程施工的机械设备表</w:t>
      </w:r>
    </w:p>
    <w:tbl>
      <w:tblPr>
        <w:tblStyle w:val="5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6B14C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62" w:type="dxa"/>
            <w:noWrap w:val="0"/>
            <w:vAlign w:val="center"/>
          </w:tcPr>
          <w:p w14:paraId="11F8E867">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序号</w:t>
            </w:r>
          </w:p>
        </w:tc>
        <w:tc>
          <w:tcPr>
            <w:tcW w:w="1418" w:type="dxa"/>
            <w:noWrap w:val="0"/>
            <w:vAlign w:val="center"/>
          </w:tcPr>
          <w:p w14:paraId="63EF6AB5">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机械或设备名称</w:t>
            </w:r>
          </w:p>
        </w:tc>
        <w:tc>
          <w:tcPr>
            <w:tcW w:w="850" w:type="dxa"/>
            <w:noWrap w:val="0"/>
            <w:vAlign w:val="center"/>
          </w:tcPr>
          <w:p w14:paraId="2D6A72B0">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规格型号</w:t>
            </w:r>
          </w:p>
        </w:tc>
        <w:tc>
          <w:tcPr>
            <w:tcW w:w="1058" w:type="dxa"/>
            <w:noWrap w:val="0"/>
            <w:vAlign w:val="center"/>
          </w:tcPr>
          <w:p w14:paraId="505AC652">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数量</w:t>
            </w:r>
          </w:p>
        </w:tc>
        <w:tc>
          <w:tcPr>
            <w:tcW w:w="880" w:type="dxa"/>
            <w:noWrap w:val="0"/>
            <w:vAlign w:val="center"/>
          </w:tcPr>
          <w:p w14:paraId="4045B018">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产地</w:t>
            </w:r>
          </w:p>
        </w:tc>
        <w:tc>
          <w:tcPr>
            <w:tcW w:w="1020" w:type="dxa"/>
            <w:noWrap w:val="0"/>
            <w:vAlign w:val="center"/>
          </w:tcPr>
          <w:p w14:paraId="71128480">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制造年份</w:t>
            </w:r>
          </w:p>
        </w:tc>
        <w:tc>
          <w:tcPr>
            <w:tcW w:w="1480" w:type="dxa"/>
            <w:noWrap w:val="0"/>
            <w:vAlign w:val="center"/>
          </w:tcPr>
          <w:p w14:paraId="0DB81462">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额定功率（</w:t>
            </w:r>
            <w:r>
              <w:rPr>
                <w:rFonts w:eastAsia="仿宋_GB2312"/>
                <w:color w:val="auto"/>
                <w:sz w:val="28"/>
                <w:szCs w:val="28"/>
                <w:highlight w:val="none"/>
              </w:rPr>
              <w:t>kW</w:t>
            </w:r>
            <w:r>
              <w:rPr>
                <w:rFonts w:hint="eastAsia" w:eastAsia="仿宋_GB2312" w:cs="仿宋_GB2312"/>
                <w:color w:val="auto"/>
                <w:sz w:val="28"/>
                <w:szCs w:val="28"/>
                <w:highlight w:val="none"/>
              </w:rPr>
              <w:t>）</w:t>
            </w:r>
          </w:p>
        </w:tc>
        <w:tc>
          <w:tcPr>
            <w:tcW w:w="1020" w:type="dxa"/>
            <w:noWrap w:val="0"/>
            <w:vAlign w:val="center"/>
          </w:tcPr>
          <w:p w14:paraId="0130C6D1">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生产能力</w:t>
            </w:r>
          </w:p>
        </w:tc>
        <w:tc>
          <w:tcPr>
            <w:tcW w:w="921" w:type="dxa"/>
            <w:noWrap w:val="0"/>
            <w:vAlign w:val="center"/>
          </w:tcPr>
          <w:p w14:paraId="5D89B5FF">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备注</w:t>
            </w:r>
          </w:p>
        </w:tc>
      </w:tr>
      <w:tr w14:paraId="0E8EE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7E7113E0">
            <w:pPr>
              <w:pStyle w:val="21"/>
              <w:keepNext/>
              <w:spacing w:after="0" w:line="440" w:lineRule="exact"/>
              <w:ind w:left="63" w:right="63"/>
              <w:rPr>
                <w:rFonts w:eastAsia="仿宋_GB2312"/>
                <w:color w:val="auto"/>
                <w:sz w:val="30"/>
                <w:szCs w:val="30"/>
                <w:highlight w:val="none"/>
              </w:rPr>
            </w:pPr>
          </w:p>
        </w:tc>
        <w:tc>
          <w:tcPr>
            <w:tcW w:w="1418" w:type="dxa"/>
            <w:noWrap w:val="0"/>
            <w:vAlign w:val="center"/>
          </w:tcPr>
          <w:p w14:paraId="42C61E84">
            <w:pPr>
              <w:pStyle w:val="21"/>
              <w:keepNext/>
              <w:spacing w:after="0" w:line="440" w:lineRule="exact"/>
              <w:ind w:left="63" w:right="63"/>
              <w:rPr>
                <w:rFonts w:eastAsia="仿宋_GB2312"/>
                <w:color w:val="auto"/>
                <w:sz w:val="30"/>
                <w:szCs w:val="30"/>
                <w:highlight w:val="none"/>
              </w:rPr>
            </w:pPr>
          </w:p>
        </w:tc>
        <w:tc>
          <w:tcPr>
            <w:tcW w:w="850" w:type="dxa"/>
            <w:noWrap w:val="0"/>
            <w:vAlign w:val="center"/>
          </w:tcPr>
          <w:p w14:paraId="27FC5C7F">
            <w:pPr>
              <w:pStyle w:val="21"/>
              <w:keepNext/>
              <w:spacing w:after="0" w:line="440" w:lineRule="exact"/>
              <w:ind w:left="63" w:right="63"/>
              <w:rPr>
                <w:rFonts w:eastAsia="仿宋_GB2312"/>
                <w:color w:val="auto"/>
                <w:sz w:val="30"/>
                <w:szCs w:val="30"/>
                <w:highlight w:val="none"/>
              </w:rPr>
            </w:pPr>
          </w:p>
        </w:tc>
        <w:tc>
          <w:tcPr>
            <w:tcW w:w="1058" w:type="dxa"/>
            <w:noWrap w:val="0"/>
            <w:vAlign w:val="center"/>
          </w:tcPr>
          <w:p w14:paraId="477D73B4">
            <w:pPr>
              <w:pStyle w:val="21"/>
              <w:keepNext/>
              <w:spacing w:after="0" w:line="440" w:lineRule="exact"/>
              <w:ind w:left="63" w:right="63"/>
              <w:rPr>
                <w:rFonts w:eastAsia="仿宋_GB2312"/>
                <w:color w:val="auto"/>
                <w:sz w:val="30"/>
                <w:szCs w:val="30"/>
                <w:highlight w:val="none"/>
              </w:rPr>
            </w:pPr>
          </w:p>
        </w:tc>
        <w:tc>
          <w:tcPr>
            <w:tcW w:w="880" w:type="dxa"/>
            <w:noWrap w:val="0"/>
            <w:vAlign w:val="center"/>
          </w:tcPr>
          <w:p w14:paraId="5B9332B1">
            <w:pPr>
              <w:pStyle w:val="21"/>
              <w:keepNext/>
              <w:spacing w:after="0" w:line="440" w:lineRule="exact"/>
              <w:ind w:left="63" w:right="63"/>
              <w:rPr>
                <w:rFonts w:eastAsia="仿宋_GB2312"/>
                <w:color w:val="auto"/>
                <w:sz w:val="30"/>
                <w:szCs w:val="30"/>
                <w:highlight w:val="none"/>
              </w:rPr>
            </w:pPr>
          </w:p>
        </w:tc>
        <w:tc>
          <w:tcPr>
            <w:tcW w:w="1020" w:type="dxa"/>
            <w:noWrap w:val="0"/>
            <w:vAlign w:val="center"/>
          </w:tcPr>
          <w:p w14:paraId="0164F4FB">
            <w:pPr>
              <w:pStyle w:val="21"/>
              <w:keepNext/>
              <w:spacing w:after="0" w:line="440" w:lineRule="exact"/>
              <w:ind w:left="63" w:right="63"/>
              <w:rPr>
                <w:rFonts w:eastAsia="仿宋_GB2312"/>
                <w:color w:val="auto"/>
                <w:sz w:val="30"/>
                <w:szCs w:val="30"/>
                <w:highlight w:val="none"/>
              </w:rPr>
            </w:pPr>
          </w:p>
        </w:tc>
        <w:tc>
          <w:tcPr>
            <w:tcW w:w="1480" w:type="dxa"/>
            <w:noWrap w:val="0"/>
            <w:vAlign w:val="center"/>
          </w:tcPr>
          <w:p w14:paraId="731EF862">
            <w:pPr>
              <w:pStyle w:val="21"/>
              <w:keepNext/>
              <w:spacing w:after="0" w:line="440" w:lineRule="exact"/>
              <w:ind w:left="63" w:right="63"/>
              <w:rPr>
                <w:rFonts w:eastAsia="仿宋_GB2312"/>
                <w:color w:val="auto"/>
                <w:sz w:val="30"/>
                <w:szCs w:val="30"/>
                <w:highlight w:val="none"/>
              </w:rPr>
            </w:pPr>
          </w:p>
        </w:tc>
        <w:tc>
          <w:tcPr>
            <w:tcW w:w="1020" w:type="dxa"/>
            <w:noWrap w:val="0"/>
            <w:vAlign w:val="center"/>
          </w:tcPr>
          <w:p w14:paraId="1C0666D3">
            <w:pPr>
              <w:pStyle w:val="21"/>
              <w:keepNext/>
              <w:spacing w:after="0" w:line="440" w:lineRule="exact"/>
              <w:ind w:left="63" w:right="63"/>
              <w:rPr>
                <w:rFonts w:eastAsia="仿宋_GB2312"/>
                <w:color w:val="auto"/>
                <w:sz w:val="30"/>
                <w:szCs w:val="30"/>
                <w:highlight w:val="none"/>
              </w:rPr>
            </w:pPr>
          </w:p>
        </w:tc>
        <w:tc>
          <w:tcPr>
            <w:tcW w:w="921" w:type="dxa"/>
            <w:noWrap w:val="0"/>
            <w:vAlign w:val="center"/>
          </w:tcPr>
          <w:p w14:paraId="23087B7A">
            <w:pPr>
              <w:pStyle w:val="21"/>
              <w:keepNext/>
              <w:spacing w:after="0" w:line="440" w:lineRule="exact"/>
              <w:ind w:left="63" w:right="63"/>
              <w:rPr>
                <w:rFonts w:eastAsia="仿宋_GB2312"/>
                <w:color w:val="auto"/>
                <w:sz w:val="30"/>
                <w:szCs w:val="30"/>
                <w:highlight w:val="none"/>
              </w:rPr>
            </w:pPr>
          </w:p>
        </w:tc>
      </w:tr>
      <w:tr w14:paraId="422CA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3772275F">
            <w:pPr>
              <w:pStyle w:val="21"/>
              <w:keepNext/>
              <w:spacing w:after="0" w:line="440" w:lineRule="exact"/>
              <w:ind w:left="63" w:right="63"/>
              <w:rPr>
                <w:rFonts w:eastAsia="仿宋_GB2312"/>
                <w:color w:val="auto"/>
                <w:sz w:val="30"/>
                <w:szCs w:val="30"/>
                <w:highlight w:val="none"/>
              </w:rPr>
            </w:pPr>
          </w:p>
        </w:tc>
        <w:tc>
          <w:tcPr>
            <w:tcW w:w="1418" w:type="dxa"/>
            <w:noWrap w:val="0"/>
            <w:vAlign w:val="center"/>
          </w:tcPr>
          <w:p w14:paraId="42277D5A">
            <w:pPr>
              <w:pStyle w:val="21"/>
              <w:keepNext/>
              <w:spacing w:after="0" w:line="440" w:lineRule="exact"/>
              <w:ind w:left="63" w:right="63"/>
              <w:rPr>
                <w:rFonts w:eastAsia="仿宋_GB2312"/>
                <w:color w:val="auto"/>
                <w:sz w:val="30"/>
                <w:szCs w:val="30"/>
                <w:highlight w:val="none"/>
              </w:rPr>
            </w:pPr>
          </w:p>
        </w:tc>
        <w:tc>
          <w:tcPr>
            <w:tcW w:w="850" w:type="dxa"/>
            <w:noWrap w:val="0"/>
            <w:vAlign w:val="center"/>
          </w:tcPr>
          <w:p w14:paraId="6A340305">
            <w:pPr>
              <w:pStyle w:val="21"/>
              <w:keepNext/>
              <w:spacing w:after="0" w:line="440" w:lineRule="exact"/>
              <w:ind w:left="63" w:right="63"/>
              <w:rPr>
                <w:rFonts w:eastAsia="仿宋_GB2312"/>
                <w:color w:val="auto"/>
                <w:sz w:val="30"/>
                <w:szCs w:val="30"/>
                <w:highlight w:val="none"/>
              </w:rPr>
            </w:pPr>
          </w:p>
        </w:tc>
        <w:tc>
          <w:tcPr>
            <w:tcW w:w="1058" w:type="dxa"/>
            <w:noWrap w:val="0"/>
            <w:vAlign w:val="center"/>
          </w:tcPr>
          <w:p w14:paraId="5F57D013">
            <w:pPr>
              <w:pStyle w:val="21"/>
              <w:keepNext/>
              <w:spacing w:after="0" w:line="440" w:lineRule="exact"/>
              <w:ind w:left="63" w:right="63"/>
              <w:rPr>
                <w:rFonts w:eastAsia="仿宋_GB2312"/>
                <w:color w:val="auto"/>
                <w:sz w:val="30"/>
                <w:szCs w:val="30"/>
                <w:highlight w:val="none"/>
              </w:rPr>
            </w:pPr>
          </w:p>
        </w:tc>
        <w:tc>
          <w:tcPr>
            <w:tcW w:w="880" w:type="dxa"/>
            <w:noWrap w:val="0"/>
            <w:vAlign w:val="center"/>
          </w:tcPr>
          <w:p w14:paraId="3A71EFFE">
            <w:pPr>
              <w:pStyle w:val="21"/>
              <w:keepNext/>
              <w:spacing w:after="0" w:line="440" w:lineRule="exact"/>
              <w:ind w:left="63" w:right="63"/>
              <w:rPr>
                <w:rFonts w:eastAsia="仿宋_GB2312"/>
                <w:color w:val="auto"/>
                <w:sz w:val="30"/>
                <w:szCs w:val="30"/>
                <w:highlight w:val="none"/>
              </w:rPr>
            </w:pPr>
          </w:p>
        </w:tc>
        <w:tc>
          <w:tcPr>
            <w:tcW w:w="1020" w:type="dxa"/>
            <w:noWrap w:val="0"/>
            <w:vAlign w:val="center"/>
          </w:tcPr>
          <w:p w14:paraId="50B2ABA2">
            <w:pPr>
              <w:pStyle w:val="21"/>
              <w:keepNext/>
              <w:spacing w:after="0" w:line="440" w:lineRule="exact"/>
              <w:ind w:left="63" w:right="63"/>
              <w:rPr>
                <w:rFonts w:eastAsia="仿宋_GB2312"/>
                <w:color w:val="auto"/>
                <w:sz w:val="30"/>
                <w:szCs w:val="30"/>
                <w:highlight w:val="none"/>
              </w:rPr>
            </w:pPr>
          </w:p>
        </w:tc>
        <w:tc>
          <w:tcPr>
            <w:tcW w:w="1480" w:type="dxa"/>
            <w:noWrap w:val="0"/>
            <w:vAlign w:val="center"/>
          </w:tcPr>
          <w:p w14:paraId="4EC1AD89">
            <w:pPr>
              <w:pStyle w:val="21"/>
              <w:keepNext/>
              <w:spacing w:after="0" w:line="440" w:lineRule="exact"/>
              <w:ind w:left="63" w:right="63"/>
              <w:rPr>
                <w:rFonts w:eastAsia="仿宋_GB2312"/>
                <w:color w:val="auto"/>
                <w:sz w:val="30"/>
                <w:szCs w:val="30"/>
                <w:highlight w:val="none"/>
              </w:rPr>
            </w:pPr>
          </w:p>
        </w:tc>
        <w:tc>
          <w:tcPr>
            <w:tcW w:w="1020" w:type="dxa"/>
            <w:noWrap w:val="0"/>
            <w:vAlign w:val="center"/>
          </w:tcPr>
          <w:p w14:paraId="0BEB911B">
            <w:pPr>
              <w:pStyle w:val="21"/>
              <w:keepNext/>
              <w:spacing w:after="0" w:line="440" w:lineRule="exact"/>
              <w:ind w:left="63" w:right="63"/>
              <w:rPr>
                <w:rFonts w:eastAsia="仿宋_GB2312"/>
                <w:color w:val="auto"/>
                <w:sz w:val="30"/>
                <w:szCs w:val="30"/>
                <w:highlight w:val="none"/>
              </w:rPr>
            </w:pPr>
          </w:p>
        </w:tc>
        <w:tc>
          <w:tcPr>
            <w:tcW w:w="921" w:type="dxa"/>
            <w:noWrap w:val="0"/>
            <w:vAlign w:val="center"/>
          </w:tcPr>
          <w:p w14:paraId="1CCFE368">
            <w:pPr>
              <w:pStyle w:val="21"/>
              <w:keepNext/>
              <w:spacing w:after="0" w:line="440" w:lineRule="exact"/>
              <w:ind w:left="63" w:right="63"/>
              <w:rPr>
                <w:rFonts w:eastAsia="仿宋_GB2312"/>
                <w:color w:val="auto"/>
                <w:sz w:val="30"/>
                <w:szCs w:val="30"/>
                <w:highlight w:val="none"/>
              </w:rPr>
            </w:pPr>
          </w:p>
        </w:tc>
      </w:tr>
      <w:tr w14:paraId="34FBE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0A243CEE">
            <w:pPr>
              <w:pStyle w:val="21"/>
              <w:keepNext/>
              <w:spacing w:after="0" w:line="440" w:lineRule="exact"/>
              <w:ind w:left="63" w:right="63"/>
              <w:rPr>
                <w:rFonts w:eastAsia="仿宋_GB2312"/>
                <w:color w:val="auto"/>
                <w:sz w:val="30"/>
                <w:szCs w:val="30"/>
                <w:highlight w:val="none"/>
              </w:rPr>
            </w:pPr>
          </w:p>
        </w:tc>
        <w:tc>
          <w:tcPr>
            <w:tcW w:w="1418" w:type="dxa"/>
            <w:noWrap w:val="0"/>
            <w:vAlign w:val="center"/>
          </w:tcPr>
          <w:p w14:paraId="2E813341">
            <w:pPr>
              <w:pStyle w:val="21"/>
              <w:keepNext/>
              <w:spacing w:after="0" w:line="440" w:lineRule="exact"/>
              <w:ind w:left="63" w:right="63"/>
              <w:rPr>
                <w:rFonts w:eastAsia="仿宋_GB2312"/>
                <w:color w:val="auto"/>
                <w:sz w:val="30"/>
                <w:szCs w:val="30"/>
                <w:highlight w:val="none"/>
              </w:rPr>
            </w:pPr>
          </w:p>
        </w:tc>
        <w:tc>
          <w:tcPr>
            <w:tcW w:w="850" w:type="dxa"/>
            <w:noWrap w:val="0"/>
            <w:vAlign w:val="center"/>
          </w:tcPr>
          <w:p w14:paraId="1B274E55">
            <w:pPr>
              <w:pStyle w:val="21"/>
              <w:keepNext/>
              <w:spacing w:after="0" w:line="440" w:lineRule="exact"/>
              <w:ind w:left="63" w:right="63"/>
              <w:rPr>
                <w:rFonts w:eastAsia="仿宋_GB2312"/>
                <w:color w:val="auto"/>
                <w:sz w:val="30"/>
                <w:szCs w:val="30"/>
                <w:highlight w:val="none"/>
              </w:rPr>
            </w:pPr>
          </w:p>
        </w:tc>
        <w:tc>
          <w:tcPr>
            <w:tcW w:w="1058" w:type="dxa"/>
            <w:noWrap w:val="0"/>
            <w:vAlign w:val="center"/>
          </w:tcPr>
          <w:p w14:paraId="4F276216">
            <w:pPr>
              <w:pStyle w:val="21"/>
              <w:keepNext/>
              <w:spacing w:after="0" w:line="440" w:lineRule="exact"/>
              <w:ind w:left="63" w:right="63"/>
              <w:rPr>
                <w:rFonts w:eastAsia="仿宋_GB2312"/>
                <w:color w:val="auto"/>
                <w:sz w:val="30"/>
                <w:szCs w:val="30"/>
                <w:highlight w:val="none"/>
              </w:rPr>
            </w:pPr>
          </w:p>
        </w:tc>
        <w:tc>
          <w:tcPr>
            <w:tcW w:w="880" w:type="dxa"/>
            <w:noWrap w:val="0"/>
            <w:vAlign w:val="center"/>
          </w:tcPr>
          <w:p w14:paraId="6671D038">
            <w:pPr>
              <w:pStyle w:val="21"/>
              <w:keepNext/>
              <w:spacing w:after="0" w:line="440" w:lineRule="exact"/>
              <w:ind w:left="63" w:right="63"/>
              <w:rPr>
                <w:rFonts w:eastAsia="仿宋_GB2312"/>
                <w:color w:val="auto"/>
                <w:sz w:val="30"/>
                <w:szCs w:val="30"/>
                <w:highlight w:val="none"/>
              </w:rPr>
            </w:pPr>
          </w:p>
        </w:tc>
        <w:tc>
          <w:tcPr>
            <w:tcW w:w="1020" w:type="dxa"/>
            <w:noWrap w:val="0"/>
            <w:vAlign w:val="center"/>
          </w:tcPr>
          <w:p w14:paraId="165C93D6">
            <w:pPr>
              <w:pStyle w:val="21"/>
              <w:keepNext/>
              <w:spacing w:after="0" w:line="440" w:lineRule="exact"/>
              <w:ind w:left="63" w:right="63"/>
              <w:rPr>
                <w:rFonts w:eastAsia="仿宋_GB2312"/>
                <w:color w:val="auto"/>
                <w:sz w:val="30"/>
                <w:szCs w:val="30"/>
                <w:highlight w:val="none"/>
              </w:rPr>
            </w:pPr>
          </w:p>
        </w:tc>
        <w:tc>
          <w:tcPr>
            <w:tcW w:w="1480" w:type="dxa"/>
            <w:noWrap w:val="0"/>
            <w:vAlign w:val="center"/>
          </w:tcPr>
          <w:p w14:paraId="52247371">
            <w:pPr>
              <w:pStyle w:val="21"/>
              <w:keepNext/>
              <w:spacing w:after="0" w:line="440" w:lineRule="exact"/>
              <w:ind w:left="63" w:right="63"/>
              <w:rPr>
                <w:rFonts w:eastAsia="仿宋_GB2312"/>
                <w:color w:val="auto"/>
                <w:sz w:val="30"/>
                <w:szCs w:val="30"/>
                <w:highlight w:val="none"/>
              </w:rPr>
            </w:pPr>
          </w:p>
        </w:tc>
        <w:tc>
          <w:tcPr>
            <w:tcW w:w="1020" w:type="dxa"/>
            <w:noWrap w:val="0"/>
            <w:vAlign w:val="center"/>
          </w:tcPr>
          <w:p w14:paraId="04CAC4D0">
            <w:pPr>
              <w:pStyle w:val="21"/>
              <w:keepNext/>
              <w:spacing w:after="0" w:line="440" w:lineRule="exact"/>
              <w:ind w:left="63" w:right="63"/>
              <w:rPr>
                <w:rFonts w:eastAsia="仿宋_GB2312"/>
                <w:color w:val="auto"/>
                <w:sz w:val="30"/>
                <w:szCs w:val="30"/>
                <w:highlight w:val="none"/>
              </w:rPr>
            </w:pPr>
          </w:p>
        </w:tc>
        <w:tc>
          <w:tcPr>
            <w:tcW w:w="921" w:type="dxa"/>
            <w:noWrap w:val="0"/>
            <w:vAlign w:val="center"/>
          </w:tcPr>
          <w:p w14:paraId="796A76DE">
            <w:pPr>
              <w:pStyle w:val="21"/>
              <w:keepNext/>
              <w:spacing w:after="0" w:line="440" w:lineRule="exact"/>
              <w:ind w:left="63" w:right="63"/>
              <w:rPr>
                <w:rFonts w:eastAsia="仿宋_GB2312"/>
                <w:color w:val="auto"/>
                <w:sz w:val="30"/>
                <w:szCs w:val="30"/>
                <w:highlight w:val="none"/>
              </w:rPr>
            </w:pPr>
          </w:p>
        </w:tc>
      </w:tr>
      <w:tr w14:paraId="44D0A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6ADA3979">
            <w:pPr>
              <w:pStyle w:val="21"/>
              <w:keepNext/>
              <w:spacing w:after="0" w:line="440" w:lineRule="exact"/>
              <w:ind w:left="63" w:right="63"/>
              <w:rPr>
                <w:rFonts w:eastAsia="仿宋_GB2312"/>
                <w:color w:val="auto"/>
                <w:sz w:val="30"/>
                <w:szCs w:val="30"/>
                <w:highlight w:val="none"/>
              </w:rPr>
            </w:pPr>
          </w:p>
        </w:tc>
        <w:tc>
          <w:tcPr>
            <w:tcW w:w="1418" w:type="dxa"/>
            <w:noWrap w:val="0"/>
            <w:vAlign w:val="center"/>
          </w:tcPr>
          <w:p w14:paraId="31DA0507">
            <w:pPr>
              <w:pStyle w:val="21"/>
              <w:keepNext/>
              <w:spacing w:after="0" w:line="440" w:lineRule="exact"/>
              <w:ind w:left="63" w:right="63"/>
              <w:rPr>
                <w:rFonts w:eastAsia="仿宋_GB2312"/>
                <w:color w:val="auto"/>
                <w:sz w:val="30"/>
                <w:szCs w:val="30"/>
                <w:highlight w:val="none"/>
              </w:rPr>
            </w:pPr>
          </w:p>
        </w:tc>
        <w:tc>
          <w:tcPr>
            <w:tcW w:w="850" w:type="dxa"/>
            <w:noWrap w:val="0"/>
            <w:vAlign w:val="center"/>
          </w:tcPr>
          <w:p w14:paraId="229E7A43">
            <w:pPr>
              <w:pStyle w:val="21"/>
              <w:keepNext/>
              <w:spacing w:after="0" w:line="440" w:lineRule="exact"/>
              <w:ind w:left="63" w:right="63"/>
              <w:rPr>
                <w:rFonts w:eastAsia="仿宋_GB2312"/>
                <w:color w:val="auto"/>
                <w:sz w:val="30"/>
                <w:szCs w:val="30"/>
                <w:highlight w:val="none"/>
              </w:rPr>
            </w:pPr>
          </w:p>
        </w:tc>
        <w:tc>
          <w:tcPr>
            <w:tcW w:w="1058" w:type="dxa"/>
            <w:noWrap w:val="0"/>
            <w:vAlign w:val="center"/>
          </w:tcPr>
          <w:p w14:paraId="5262C582">
            <w:pPr>
              <w:pStyle w:val="21"/>
              <w:keepNext/>
              <w:spacing w:after="0" w:line="440" w:lineRule="exact"/>
              <w:ind w:left="63" w:right="63"/>
              <w:rPr>
                <w:rFonts w:eastAsia="仿宋_GB2312"/>
                <w:color w:val="auto"/>
                <w:sz w:val="30"/>
                <w:szCs w:val="30"/>
                <w:highlight w:val="none"/>
              </w:rPr>
            </w:pPr>
          </w:p>
        </w:tc>
        <w:tc>
          <w:tcPr>
            <w:tcW w:w="880" w:type="dxa"/>
            <w:noWrap w:val="0"/>
            <w:vAlign w:val="center"/>
          </w:tcPr>
          <w:p w14:paraId="3BB4C9B5">
            <w:pPr>
              <w:pStyle w:val="21"/>
              <w:keepNext/>
              <w:spacing w:after="0" w:line="440" w:lineRule="exact"/>
              <w:ind w:left="63" w:right="63"/>
              <w:rPr>
                <w:rFonts w:eastAsia="仿宋_GB2312"/>
                <w:color w:val="auto"/>
                <w:sz w:val="30"/>
                <w:szCs w:val="30"/>
                <w:highlight w:val="none"/>
              </w:rPr>
            </w:pPr>
          </w:p>
        </w:tc>
        <w:tc>
          <w:tcPr>
            <w:tcW w:w="1020" w:type="dxa"/>
            <w:noWrap w:val="0"/>
            <w:vAlign w:val="center"/>
          </w:tcPr>
          <w:p w14:paraId="419223E9">
            <w:pPr>
              <w:pStyle w:val="21"/>
              <w:keepNext/>
              <w:spacing w:after="0" w:line="440" w:lineRule="exact"/>
              <w:ind w:left="63" w:right="63"/>
              <w:rPr>
                <w:rFonts w:eastAsia="仿宋_GB2312"/>
                <w:color w:val="auto"/>
                <w:sz w:val="30"/>
                <w:szCs w:val="30"/>
                <w:highlight w:val="none"/>
              </w:rPr>
            </w:pPr>
          </w:p>
        </w:tc>
        <w:tc>
          <w:tcPr>
            <w:tcW w:w="1480" w:type="dxa"/>
            <w:noWrap w:val="0"/>
            <w:vAlign w:val="center"/>
          </w:tcPr>
          <w:p w14:paraId="6B8009C9">
            <w:pPr>
              <w:pStyle w:val="21"/>
              <w:keepNext/>
              <w:spacing w:after="0" w:line="440" w:lineRule="exact"/>
              <w:ind w:left="63" w:right="63"/>
              <w:rPr>
                <w:rFonts w:eastAsia="仿宋_GB2312"/>
                <w:color w:val="auto"/>
                <w:sz w:val="30"/>
                <w:szCs w:val="30"/>
                <w:highlight w:val="none"/>
              </w:rPr>
            </w:pPr>
          </w:p>
        </w:tc>
        <w:tc>
          <w:tcPr>
            <w:tcW w:w="1020" w:type="dxa"/>
            <w:noWrap w:val="0"/>
            <w:vAlign w:val="center"/>
          </w:tcPr>
          <w:p w14:paraId="32391374">
            <w:pPr>
              <w:pStyle w:val="21"/>
              <w:keepNext/>
              <w:spacing w:after="0" w:line="440" w:lineRule="exact"/>
              <w:ind w:left="63" w:right="63"/>
              <w:rPr>
                <w:rFonts w:eastAsia="仿宋_GB2312"/>
                <w:color w:val="auto"/>
                <w:sz w:val="30"/>
                <w:szCs w:val="30"/>
                <w:highlight w:val="none"/>
              </w:rPr>
            </w:pPr>
          </w:p>
        </w:tc>
        <w:tc>
          <w:tcPr>
            <w:tcW w:w="921" w:type="dxa"/>
            <w:noWrap w:val="0"/>
            <w:vAlign w:val="center"/>
          </w:tcPr>
          <w:p w14:paraId="0445BCB3">
            <w:pPr>
              <w:pStyle w:val="21"/>
              <w:keepNext/>
              <w:spacing w:after="0" w:line="440" w:lineRule="exact"/>
              <w:ind w:left="63" w:right="63"/>
              <w:rPr>
                <w:rFonts w:eastAsia="仿宋_GB2312"/>
                <w:color w:val="auto"/>
                <w:sz w:val="30"/>
                <w:szCs w:val="30"/>
                <w:highlight w:val="none"/>
              </w:rPr>
            </w:pPr>
          </w:p>
        </w:tc>
      </w:tr>
      <w:tr w14:paraId="7860A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7B7BFB1A">
            <w:pPr>
              <w:pStyle w:val="21"/>
              <w:keepNext/>
              <w:spacing w:after="0" w:line="440" w:lineRule="exact"/>
              <w:ind w:left="63" w:right="63"/>
              <w:rPr>
                <w:rFonts w:eastAsia="仿宋_GB2312"/>
                <w:color w:val="auto"/>
                <w:sz w:val="30"/>
                <w:szCs w:val="30"/>
                <w:highlight w:val="none"/>
              </w:rPr>
            </w:pPr>
          </w:p>
        </w:tc>
        <w:tc>
          <w:tcPr>
            <w:tcW w:w="1418" w:type="dxa"/>
            <w:noWrap w:val="0"/>
            <w:vAlign w:val="center"/>
          </w:tcPr>
          <w:p w14:paraId="366657F6">
            <w:pPr>
              <w:pStyle w:val="21"/>
              <w:keepNext/>
              <w:spacing w:after="0" w:line="440" w:lineRule="exact"/>
              <w:ind w:left="63" w:right="63"/>
              <w:rPr>
                <w:rFonts w:eastAsia="仿宋_GB2312"/>
                <w:color w:val="auto"/>
                <w:sz w:val="30"/>
                <w:szCs w:val="30"/>
                <w:highlight w:val="none"/>
              </w:rPr>
            </w:pPr>
          </w:p>
        </w:tc>
        <w:tc>
          <w:tcPr>
            <w:tcW w:w="850" w:type="dxa"/>
            <w:noWrap w:val="0"/>
            <w:vAlign w:val="center"/>
          </w:tcPr>
          <w:p w14:paraId="17DA2BFA">
            <w:pPr>
              <w:pStyle w:val="21"/>
              <w:keepNext/>
              <w:spacing w:after="0" w:line="440" w:lineRule="exact"/>
              <w:ind w:left="63" w:right="63"/>
              <w:rPr>
                <w:rFonts w:eastAsia="仿宋_GB2312"/>
                <w:color w:val="auto"/>
                <w:sz w:val="30"/>
                <w:szCs w:val="30"/>
                <w:highlight w:val="none"/>
              </w:rPr>
            </w:pPr>
          </w:p>
        </w:tc>
        <w:tc>
          <w:tcPr>
            <w:tcW w:w="1058" w:type="dxa"/>
            <w:noWrap w:val="0"/>
            <w:vAlign w:val="center"/>
          </w:tcPr>
          <w:p w14:paraId="676B6916">
            <w:pPr>
              <w:pStyle w:val="21"/>
              <w:keepNext/>
              <w:spacing w:after="0" w:line="440" w:lineRule="exact"/>
              <w:ind w:left="63" w:right="63"/>
              <w:rPr>
                <w:rFonts w:eastAsia="仿宋_GB2312"/>
                <w:color w:val="auto"/>
                <w:sz w:val="30"/>
                <w:szCs w:val="30"/>
                <w:highlight w:val="none"/>
              </w:rPr>
            </w:pPr>
          </w:p>
        </w:tc>
        <w:tc>
          <w:tcPr>
            <w:tcW w:w="880" w:type="dxa"/>
            <w:noWrap w:val="0"/>
            <w:vAlign w:val="center"/>
          </w:tcPr>
          <w:p w14:paraId="3CD0A70D">
            <w:pPr>
              <w:pStyle w:val="21"/>
              <w:keepNext/>
              <w:spacing w:after="0" w:line="440" w:lineRule="exact"/>
              <w:ind w:left="63" w:right="63"/>
              <w:rPr>
                <w:rFonts w:eastAsia="仿宋_GB2312"/>
                <w:color w:val="auto"/>
                <w:sz w:val="30"/>
                <w:szCs w:val="30"/>
                <w:highlight w:val="none"/>
              </w:rPr>
            </w:pPr>
          </w:p>
        </w:tc>
        <w:tc>
          <w:tcPr>
            <w:tcW w:w="1020" w:type="dxa"/>
            <w:noWrap w:val="0"/>
            <w:vAlign w:val="center"/>
          </w:tcPr>
          <w:p w14:paraId="769BDA99">
            <w:pPr>
              <w:pStyle w:val="21"/>
              <w:keepNext/>
              <w:spacing w:after="0" w:line="440" w:lineRule="exact"/>
              <w:ind w:left="63" w:right="63"/>
              <w:rPr>
                <w:rFonts w:eastAsia="仿宋_GB2312"/>
                <w:color w:val="auto"/>
                <w:sz w:val="30"/>
                <w:szCs w:val="30"/>
                <w:highlight w:val="none"/>
              </w:rPr>
            </w:pPr>
          </w:p>
        </w:tc>
        <w:tc>
          <w:tcPr>
            <w:tcW w:w="1480" w:type="dxa"/>
            <w:noWrap w:val="0"/>
            <w:vAlign w:val="center"/>
          </w:tcPr>
          <w:p w14:paraId="7278C54A">
            <w:pPr>
              <w:pStyle w:val="21"/>
              <w:keepNext/>
              <w:spacing w:after="0" w:line="440" w:lineRule="exact"/>
              <w:ind w:left="63" w:right="63"/>
              <w:rPr>
                <w:rFonts w:eastAsia="仿宋_GB2312"/>
                <w:color w:val="auto"/>
                <w:sz w:val="30"/>
                <w:szCs w:val="30"/>
                <w:highlight w:val="none"/>
              </w:rPr>
            </w:pPr>
          </w:p>
        </w:tc>
        <w:tc>
          <w:tcPr>
            <w:tcW w:w="1020" w:type="dxa"/>
            <w:noWrap w:val="0"/>
            <w:vAlign w:val="center"/>
          </w:tcPr>
          <w:p w14:paraId="2458B341">
            <w:pPr>
              <w:pStyle w:val="21"/>
              <w:keepNext/>
              <w:spacing w:after="0" w:line="440" w:lineRule="exact"/>
              <w:ind w:left="63" w:right="63"/>
              <w:rPr>
                <w:rFonts w:eastAsia="仿宋_GB2312"/>
                <w:color w:val="auto"/>
                <w:sz w:val="30"/>
                <w:szCs w:val="30"/>
                <w:highlight w:val="none"/>
              </w:rPr>
            </w:pPr>
          </w:p>
        </w:tc>
        <w:tc>
          <w:tcPr>
            <w:tcW w:w="921" w:type="dxa"/>
            <w:noWrap w:val="0"/>
            <w:vAlign w:val="center"/>
          </w:tcPr>
          <w:p w14:paraId="582B0053">
            <w:pPr>
              <w:pStyle w:val="21"/>
              <w:keepNext/>
              <w:spacing w:after="0" w:line="440" w:lineRule="exact"/>
              <w:ind w:left="63" w:right="63"/>
              <w:rPr>
                <w:rFonts w:eastAsia="仿宋_GB2312"/>
                <w:color w:val="auto"/>
                <w:sz w:val="30"/>
                <w:szCs w:val="30"/>
                <w:highlight w:val="none"/>
              </w:rPr>
            </w:pPr>
          </w:p>
        </w:tc>
      </w:tr>
      <w:tr w14:paraId="6BA59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036E8779">
            <w:pPr>
              <w:pStyle w:val="21"/>
              <w:keepNext/>
              <w:spacing w:after="0" w:line="440" w:lineRule="exact"/>
              <w:ind w:left="63" w:right="63"/>
              <w:rPr>
                <w:rFonts w:eastAsia="仿宋_GB2312"/>
                <w:color w:val="auto"/>
                <w:sz w:val="30"/>
                <w:szCs w:val="30"/>
                <w:highlight w:val="none"/>
              </w:rPr>
            </w:pPr>
          </w:p>
        </w:tc>
        <w:tc>
          <w:tcPr>
            <w:tcW w:w="1418" w:type="dxa"/>
            <w:noWrap w:val="0"/>
            <w:vAlign w:val="center"/>
          </w:tcPr>
          <w:p w14:paraId="67F42891">
            <w:pPr>
              <w:pStyle w:val="21"/>
              <w:keepNext/>
              <w:spacing w:after="0" w:line="440" w:lineRule="exact"/>
              <w:ind w:left="63" w:right="63"/>
              <w:rPr>
                <w:rFonts w:eastAsia="仿宋_GB2312"/>
                <w:color w:val="auto"/>
                <w:sz w:val="30"/>
                <w:szCs w:val="30"/>
                <w:highlight w:val="none"/>
              </w:rPr>
            </w:pPr>
          </w:p>
        </w:tc>
        <w:tc>
          <w:tcPr>
            <w:tcW w:w="850" w:type="dxa"/>
            <w:noWrap w:val="0"/>
            <w:vAlign w:val="center"/>
          </w:tcPr>
          <w:p w14:paraId="695FFEA2">
            <w:pPr>
              <w:pStyle w:val="21"/>
              <w:keepNext/>
              <w:spacing w:after="0" w:line="440" w:lineRule="exact"/>
              <w:ind w:left="63" w:right="63"/>
              <w:rPr>
                <w:rFonts w:eastAsia="仿宋_GB2312"/>
                <w:color w:val="auto"/>
                <w:sz w:val="30"/>
                <w:szCs w:val="30"/>
                <w:highlight w:val="none"/>
              </w:rPr>
            </w:pPr>
          </w:p>
        </w:tc>
        <w:tc>
          <w:tcPr>
            <w:tcW w:w="1058" w:type="dxa"/>
            <w:noWrap w:val="0"/>
            <w:vAlign w:val="center"/>
          </w:tcPr>
          <w:p w14:paraId="0CCE78C8">
            <w:pPr>
              <w:pStyle w:val="21"/>
              <w:keepNext/>
              <w:spacing w:after="0" w:line="440" w:lineRule="exact"/>
              <w:ind w:left="63" w:right="63"/>
              <w:rPr>
                <w:rFonts w:eastAsia="仿宋_GB2312"/>
                <w:color w:val="auto"/>
                <w:sz w:val="30"/>
                <w:szCs w:val="30"/>
                <w:highlight w:val="none"/>
              </w:rPr>
            </w:pPr>
          </w:p>
        </w:tc>
        <w:tc>
          <w:tcPr>
            <w:tcW w:w="880" w:type="dxa"/>
            <w:noWrap w:val="0"/>
            <w:vAlign w:val="center"/>
          </w:tcPr>
          <w:p w14:paraId="1B726928">
            <w:pPr>
              <w:pStyle w:val="21"/>
              <w:keepNext/>
              <w:spacing w:after="0" w:line="440" w:lineRule="exact"/>
              <w:ind w:left="63" w:right="63"/>
              <w:rPr>
                <w:rFonts w:eastAsia="仿宋_GB2312"/>
                <w:color w:val="auto"/>
                <w:sz w:val="30"/>
                <w:szCs w:val="30"/>
                <w:highlight w:val="none"/>
              </w:rPr>
            </w:pPr>
          </w:p>
        </w:tc>
        <w:tc>
          <w:tcPr>
            <w:tcW w:w="1020" w:type="dxa"/>
            <w:noWrap w:val="0"/>
            <w:vAlign w:val="center"/>
          </w:tcPr>
          <w:p w14:paraId="0FECFFC7">
            <w:pPr>
              <w:pStyle w:val="21"/>
              <w:keepNext/>
              <w:spacing w:after="0" w:line="440" w:lineRule="exact"/>
              <w:ind w:left="63" w:right="63"/>
              <w:rPr>
                <w:rFonts w:eastAsia="仿宋_GB2312"/>
                <w:color w:val="auto"/>
                <w:sz w:val="30"/>
                <w:szCs w:val="30"/>
                <w:highlight w:val="none"/>
              </w:rPr>
            </w:pPr>
          </w:p>
        </w:tc>
        <w:tc>
          <w:tcPr>
            <w:tcW w:w="1480" w:type="dxa"/>
            <w:noWrap w:val="0"/>
            <w:vAlign w:val="center"/>
          </w:tcPr>
          <w:p w14:paraId="34EB39E0">
            <w:pPr>
              <w:pStyle w:val="21"/>
              <w:keepNext/>
              <w:spacing w:after="0" w:line="440" w:lineRule="exact"/>
              <w:ind w:left="63" w:right="63"/>
              <w:rPr>
                <w:rFonts w:eastAsia="仿宋_GB2312"/>
                <w:color w:val="auto"/>
                <w:sz w:val="30"/>
                <w:szCs w:val="30"/>
                <w:highlight w:val="none"/>
              </w:rPr>
            </w:pPr>
          </w:p>
        </w:tc>
        <w:tc>
          <w:tcPr>
            <w:tcW w:w="1020" w:type="dxa"/>
            <w:noWrap w:val="0"/>
            <w:vAlign w:val="center"/>
          </w:tcPr>
          <w:p w14:paraId="3CF907BC">
            <w:pPr>
              <w:pStyle w:val="21"/>
              <w:keepNext/>
              <w:spacing w:after="0" w:line="440" w:lineRule="exact"/>
              <w:ind w:left="63" w:right="63"/>
              <w:rPr>
                <w:rFonts w:eastAsia="仿宋_GB2312"/>
                <w:color w:val="auto"/>
                <w:sz w:val="30"/>
                <w:szCs w:val="30"/>
                <w:highlight w:val="none"/>
              </w:rPr>
            </w:pPr>
          </w:p>
        </w:tc>
        <w:tc>
          <w:tcPr>
            <w:tcW w:w="921" w:type="dxa"/>
            <w:noWrap w:val="0"/>
            <w:vAlign w:val="center"/>
          </w:tcPr>
          <w:p w14:paraId="5AA83066">
            <w:pPr>
              <w:pStyle w:val="21"/>
              <w:keepNext/>
              <w:spacing w:after="0" w:line="440" w:lineRule="exact"/>
              <w:ind w:left="63" w:right="63"/>
              <w:rPr>
                <w:rFonts w:eastAsia="仿宋_GB2312"/>
                <w:color w:val="auto"/>
                <w:sz w:val="30"/>
                <w:szCs w:val="30"/>
                <w:highlight w:val="none"/>
              </w:rPr>
            </w:pPr>
          </w:p>
        </w:tc>
      </w:tr>
      <w:tr w14:paraId="71D6C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0C73FEDE">
            <w:pPr>
              <w:pStyle w:val="21"/>
              <w:keepNext/>
              <w:spacing w:after="0" w:line="440" w:lineRule="exact"/>
              <w:ind w:left="63" w:right="63"/>
              <w:rPr>
                <w:rFonts w:eastAsia="仿宋_GB2312"/>
                <w:color w:val="auto"/>
                <w:sz w:val="30"/>
                <w:szCs w:val="30"/>
                <w:highlight w:val="none"/>
              </w:rPr>
            </w:pPr>
          </w:p>
        </w:tc>
        <w:tc>
          <w:tcPr>
            <w:tcW w:w="1418" w:type="dxa"/>
            <w:noWrap w:val="0"/>
            <w:vAlign w:val="center"/>
          </w:tcPr>
          <w:p w14:paraId="10A83023">
            <w:pPr>
              <w:pStyle w:val="21"/>
              <w:keepNext/>
              <w:spacing w:after="0" w:line="440" w:lineRule="exact"/>
              <w:ind w:left="63" w:right="63"/>
              <w:rPr>
                <w:rFonts w:eastAsia="仿宋_GB2312"/>
                <w:color w:val="auto"/>
                <w:sz w:val="30"/>
                <w:szCs w:val="30"/>
                <w:highlight w:val="none"/>
              </w:rPr>
            </w:pPr>
          </w:p>
        </w:tc>
        <w:tc>
          <w:tcPr>
            <w:tcW w:w="850" w:type="dxa"/>
            <w:noWrap w:val="0"/>
            <w:vAlign w:val="center"/>
          </w:tcPr>
          <w:p w14:paraId="5FDF1619">
            <w:pPr>
              <w:pStyle w:val="21"/>
              <w:keepNext/>
              <w:spacing w:after="0" w:line="440" w:lineRule="exact"/>
              <w:ind w:left="63" w:right="63"/>
              <w:rPr>
                <w:rFonts w:eastAsia="仿宋_GB2312"/>
                <w:color w:val="auto"/>
                <w:sz w:val="30"/>
                <w:szCs w:val="30"/>
                <w:highlight w:val="none"/>
              </w:rPr>
            </w:pPr>
          </w:p>
        </w:tc>
        <w:tc>
          <w:tcPr>
            <w:tcW w:w="1058" w:type="dxa"/>
            <w:noWrap w:val="0"/>
            <w:vAlign w:val="center"/>
          </w:tcPr>
          <w:p w14:paraId="04A2A7E0">
            <w:pPr>
              <w:pStyle w:val="21"/>
              <w:keepNext/>
              <w:spacing w:after="0" w:line="440" w:lineRule="exact"/>
              <w:ind w:left="63" w:right="63"/>
              <w:rPr>
                <w:rFonts w:eastAsia="仿宋_GB2312"/>
                <w:color w:val="auto"/>
                <w:sz w:val="30"/>
                <w:szCs w:val="30"/>
                <w:highlight w:val="none"/>
              </w:rPr>
            </w:pPr>
          </w:p>
        </w:tc>
        <w:tc>
          <w:tcPr>
            <w:tcW w:w="880" w:type="dxa"/>
            <w:noWrap w:val="0"/>
            <w:vAlign w:val="center"/>
          </w:tcPr>
          <w:p w14:paraId="78A83CE8">
            <w:pPr>
              <w:pStyle w:val="21"/>
              <w:keepNext/>
              <w:spacing w:after="0" w:line="440" w:lineRule="exact"/>
              <w:ind w:left="63" w:right="63"/>
              <w:rPr>
                <w:rFonts w:eastAsia="仿宋_GB2312"/>
                <w:color w:val="auto"/>
                <w:sz w:val="30"/>
                <w:szCs w:val="30"/>
                <w:highlight w:val="none"/>
              </w:rPr>
            </w:pPr>
          </w:p>
        </w:tc>
        <w:tc>
          <w:tcPr>
            <w:tcW w:w="1020" w:type="dxa"/>
            <w:noWrap w:val="0"/>
            <w:vAlign w:val="center"/>
          </w:tcPr>
          <w:p w14:paraId="44EF49A9">
            <w:pPr>
              <w:pStyle w:val="21"/>
              <w:keepNext/>
              <w:spacing w:after="0" w:line="440" w:lineRule="exact"/>
              <w:ind w:left="63" w:right="63"/>
              <w:rPr>
                <w:rFonts w:eastAsia="仿宋_GB2312"/>
                <w:color w:val="auto"/>
                <w:sz w:val="30"/>
                <w:szCs w:val="30"/>
                <w:highlight w:val="none"/>
              </w:rPr>
            </w:pPr>
          </w:p>
        </w:tc>
        <w:tc>
          <w:tcPr>
            <w:tcW w:w="1480" w:type="dxa"/>
            <w:noWrap w:val="0"/>
            <w:vAlign w:val="center"/>
          </w:tcPr>
          <w:p w14:paraId="49417B42">
            <w:pPr>
              <w:pStyle w:val="21"/>
              <w:keepNext/>
              <w:spacing w:after="0" w:line="440" w:lineRule="exact"/>
              <w:ind w:left="63" w:right="63"/>
              <w:rPr>
                <w:rFonts w:eastAsia="仿宋_GB2312"/>
                <w:color w:val="auto"/>
                <w:sz w:val="30"/>
                <w:szCs w:val="30"/>
                <w:highlight w:val="none"/>
              </w:rPr>
            </w:pPr>
          </w:p>
        </w:tc>
        <w:tc>
          <w:tcPr>
            <w:tcW w:w="1020" w:type="dxa"/>
            <w:noWrap w:val="0"/>
            <w:vAlign w:val="center"/>
          </w:tcPr>
          <w:p w14:paraId="4C22CCC4">
            <w:pPr>
              <w:pStyle w:val="21"/>
              <w:keepNext/>
              <w:spacing w:after="0" w:line="440" w:lineRule="exact"/>
              <w:ind w:left="63" w:right="63"/>
              <w:rPr>
                <w:rFonts w:eastAsia="仿宋_GB2312"/>
                <w:color w:val="auto"/>
                <w:sz w:val="30"/>
                <w:szCs w:val="30"/>
                <w:highlight w:val="none"/>
              </w:rPr>
            </w:pPr>
          </w:p>
        </w:tc>
        <w:tc>
          <w:tcPr>
            <w:tcW w:w="921" w:type="dxa"/>
            <w:noWrap w:val="0"/>
            <w:vAlign w:val="center"/>
          </w:tcPr>
          <w:p w14:paraId="74B57C86">
            <w:pPr>
              <w:pStyle w:val="21"/>
              <w:keepNext/>
              <w:spacing w:after="0" w:line="440" w:lineRule="exact"/>
              <w:ind w:left="63" w:right="63"/>
              <w:rPr>
                <w:rFonts w:eastAsia="仿宋_GB2312"/>
                <w:color w:val="auto"/>
                <w:sz w:val="30"/>
                <w:szCs w:val="30"/>
                <w:highlight w:val="none"/>
              </w:rPr>
            </w:pPr>
          </w:p>
        </w:tc>
      </w:tr>
      <w:tr w14:paraId="50AAD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5E69858C">
            <w:pPr>
              <w:pStyle w:val="21"/>
              <w:keepNext/>
              <w:spacing w:after="0" w:line="440" w:lineRule="exact"/>
              <w:ind w:left="63" w:right="63"/>
              <w:rPr>
                <w:rFonts w:eastAsia="仿宋_GB2312"/>
                <w:color w:val="auto"/>
                <w:sz w:val="30"/>
                <w:szCs w:val="30"/>
                <w:highlight w:val="none"/>
              </w:rPr>
            </w:pPr>
          </w:p>
        </w:tc>
        <w:tc>
          <w:tcPr>
            <w:tcW w:w="1418" w:type="dxa"/>
            <w:noWrap w:val="0"/>
            <w:vAlign w:val="center"/>
          </w:tcPr>
          <w:p w14:paraId="1CC961A0">
            <w:pPr>
              <w:pStyle w:val="21"/>
              <w:keepNext/>
              <w:spacing w:after="0" w:line="440" w:lineRule="exact"/>
              <w:ind w:left="63" w:right="63"/>
              <w:rPr>
                <w:rFonts w:eastAsia="仿宋_GB2312"/>
                <w:color w:val="auto"/>
                <w:sz w:val="30"/>
                <w:szCs w:val="30"/>
                <w:highlight w:val="none"/>
              </w:rPr>
            </w:pPr>
          </w:p>
        </w:tc>
        <w:tc>
          <w:tcPr>
            <w:tcW w:w="850" w:type="dxa"/>
            <w:noWrap w:val="0"/>
            <w:vAlign w:val="center"/>
          </w:tcPr>
          <w:p w14:paraId="0B506168">
            <w:pPr>
              <w:pStyle w:val="21"/>
              <w:keepNext/>
              <w:spacing w:after="0" w:line="440" w:lineRule="exact"/>
              <w:ind w:left="63" w:right="63"/>
              <w:rPr>
                <w:rFonts w:eastAsia="仿宋_GB2312"/>
                <w:color w:val="auto"/>
                <w:sz w:val="30"/>
                <w:szCs w:val="30"/>
                <w:highlight w:val="none"/>
              </w:rPr>
            </w:pPr>
          </w:p>
        </w:tc>
        <w:tc>
          <w:tcPr>
            <w:tcW w:w="1058" w:type="dxa"/>
            <w:noWrap w:val="0"/>
            <w:vAlign w:val="center"/>
          </w:tcPr>
          <w:p w14:paraId="302D3878">
            <w:pPr>
              <w:pStyle w:val="21"/>
              <w:keepNext/>
              <w:spacing w:after="0" w:line="440" w:lineRule="exact"/>
              <w:ind w:left="63" w:right="63"/>
              <w:rPr>
                <w:rFonts w:eastAsia="仿宋_GB2312"/>
                <w:color w:val="auto"/>
                <w:sz w:val="30"/>
                <w:szCs w:val="30"/>
                <w:highlight w:val="none"/>
              </w:rPr>
            </w:pPr>
          </w:p>
        </w:tc>
        <w:tc>
          <w:tcPr>
            <w:tcW w:w="880" w:type="dxa"/>
            <w:noWrap w:val="0"/>
            <w:vAlign w:val="center"/>
          </w:tcPr>
          <w:p w14:paraId="075A72E4">
            <w:pPr>
              <w:pStyle w:val="21"/>
              <w:keepNext/>
              <w:spacing w:after="0" w:line="440" w:lineRule="exact"/>
              <w:ind w:left="63" w:right="63"/>
              <w:rPr>
                <w:rFonts w:eastAsia="仿宋_GB2312"/>
                <w:color w:val="auto"/>
                <w:sz w:val="30"/>
                <w:szCs w:val="30"/>
                <w:highlight w:val="none"/>
              </w:rPr>
            </w:pPr>
          </w:p>
        </w:tc>
        <w:tc>
          <w:tcPr>
            <w:tcW w:w="1020" w:type="dxa"/>
            <w:noWrap w:val="0"/>
            <w:vAlign w:val="center"/>
          </w:tcPr>
          <w:p w14:paraId="6E725575">
            <w:pPr>
              <w:pStyle w:val="21"/>
              <w:keepNext/>
              <w:spacing w:after="0" w:line="440" w:lineRule="exact"/>
              <w:ind w:left="63" w:right="63"/>
              <w:rPr>
                <w:rFonts w:eastAsia="仿宋_GB2312"/>
                <w:color w:val="auto"/>
                <w:sz w:val="30"/>
                <w:szCs w:val="30"/>
                <w:highlight w:val="none"/>
              </w:rPr>
            </w:pPr>
          </w:p>
        </w:tc>
        <w:tc>
          <w:tcPr>
            <w:tcW w:w="1480" w:type="dxa"/>
            <w:noWrap w:val="0"/>
            <w:vAlign w:val="center"/>
          </w:tcPr>
          <w:p w14:paraId="20F65398">
            <w:pPr>
              <w:pStyle w:val="21"/>
              <w:keepNext/>
              <w:spacing w:after="0" w:line="440" w:lineRule="exact"/>
              <w:ind w:left="63" w:right="63"/>
              <w:rPr>
                <w:rFonts w:eastAsia="仿宋_GB2312"/>
                <w:color w:val="auto"/>
                <w:sz w:val="30"/>
                <w:szCs w:val="30"/>
                <w:highlight w:val="none"/>
              </w:rPr>
            </w:pPr>
          </w:p>
        </w:tc>
        <w:tc>
          <w:tcPr>
            <w:tcW w:w="1020" w:type="dxa"/>
            <w:noWrap w:val="0"/>
            <w:vAlign w:val="center"/>
          </w:tcPr>
          <w:p w14:paraId="2C9DE9BB">
            <w:pPr>
              <w:pStyle w:val="21"/>
              <w:keepNext/>
              <w:spacing w:after="0" w:line="440" w:lineRule="exact"/>
              <w:ind w:left="63" w:right="63"/>
              <w:rPr>
                <w:rFonts w:eastAsia="仿宋_GB2312"/>
                <w:color w:val="auto"/>
                <w:sz w:val="30"/>
                <w:szCs w:val="30"/>
                <w:highlight w:val="none"/>
              </w:rPr>
            </w:pPr>
          </w:p>
        </w:tc>
        <w:tc>
          <w:tcPr>
            <w:tcW w:w="921" w:type="dxa"/>
            <w:noWrap w:val="0"/>
            <w:vAlign w:val="center"/>
          </w:tcPr>
          <w:p w14:paraId="2034B1A9">
            <w:pPr>
              <w:pStyle w:val="21"/>
              <w:keepNext/>
              <w:spacing w:after="0" w:line="440" w:lineRule="exact"/>
              <w:ind w:left="63" w:right="63"/>
              <w:rPr>
                <w:rFonts w:eastAsia="仿宋_GB2312"/>
                <w:color w:val="auto"/>
                <w:sz w:val="30"/>
                <w:szCs w:val="30"/>
                <w:highlight w:val="none"/>
              </w:rPr>
            </w:pPr>
          </w:p>
        </w:tc>
      </w:tr>
      <w:tr w14:paraId="43708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614996AA">
            <w:pPr>
              <w:rPr>
                <w:rFonts w:eastAsia="仿宋_GB2312"/>
                <w:color w:val="auto"/>
                <w:sz w:val="30"/>
                <w:szCs w:val="30"/>
                <w:highlight w:val="none"/>
              </w:rPr>
            </w:pPr>
          </w:p>
        </w:tc>
        <w:tc>
          <w:tcPr>
            <w:tcW w:w="1418" w:type="dxa"/>
            <w:noWrap w:val="0"/>
            <w:vAlign w:val="top"/>
          </w:tcPr>
          <w:p w14:paraId="78A01244">
            <w:pPr>
              <w:rPr>
                <w:rFonts w:eastAsia="仿宋_GB2312"/>
                <w:color w:val="auto"/>
                <w:sz w:val="30"/>
                <w:szCs w:val="30"/>
                <w:highlight w:val="none"/>
              </w:rPr>
            </w:pPr>
          </w:p>
        </w:tc>
        <w:tc>
          <w:tcPr>
            <w:tcW w:w="850" w:type="dxa"/>
            <w:noWrap w:val="0"/>
            <w:vAlign w:val="top"/>
          </w:tcPr>
          <w:p w14:paraId="5A06A013">
            <w:pPr>
              <w:rPr>
                <w:rFonts w:eastAsia="仿宋_GB2312"/>
                <w:color w:val="auto"/>
                <w:sz w:val="30"/>
                <w:szCs w:val="30"/>
                <w:highlight w:val="none"/>
              </w:rPr>
            </w:pPr>
          </w:p>
        </w:tc>
        <w:tc>
          <w:tcPr>
            <w:tcW w:w="1058" w:type="dxa"/>
            <w:noWrap w:val="0"/>
            <w:vAlign w:val="top"/>
          </w:tcPr>
          <w:p w14:paraId="5A46CBA9">
            <w:pPr>
              <w:rPr>
                <w:rFonts w:eastAsia="仿宋_GB2312"/>
                <w:color w:val="auto"/>
                <w:sz w:val="30"/>
                <w:szCs w:val="30"/>
                <w:highlight w:val="none"/>
              </w:rPr>
            </w:pPr>
          </w:p>
        </w:tc>
        <w:tc>
          <w:tcPr>
            <w:tcW w:w="880" w:type="dxa"/>
            <w:noWrap w:val="0"/>
            <w:vAlign w:val="top"/>
          </w:tcPr>
          <w:p w14:paraId="498F9A55">
            <w:pPr>
              <w:rPr>
                <w:rFonts w:eastAsia="仿宋_GB2312"/>
                <w:color w:val="auto"/>
                <w:sz w:val="30"/>
                <w:szCs w:val="30"/>
                <w:highlight w:val="none"/>
              </w:rPr>
            </w:pPr>
          </w:p>
        </w:tc>
        <w:tc>
          <w:tcPr>
            <w:tcW w:w="1020" w:type="dxa"/>
            <w:noWrap w:val="0"/>
            <w:vAlign w:val="top"/>
          </w:tcPr>
          <w:p w14:paraId="78683E87">
            <w:pPr>
              <w:rPr>
                <w:rFonts w:eastAsia="仿宋_GB2312"/>
                <w:color w:val="auto"/>
                <w:sz w:val="30"/>
                <w:szCs w:val="30"/>
                <w:highlight w:val="none"/>
              </w:rPr>
            </w:pPr>
          </w:p>
        </w:tc>
        <w:tc>
          <w:tcPr>
            <w:tcW w:w="1480" w:type="dxa"/>
            <w:noWrap w:val="0"/>
            <w:vAlign w:val="top"/>
          </w:tcPr>
          <w:p w14:paraId="5D2C306F">
            <w:pPr>
              <w:rPr>
                <w:rFonts w:eastAsia="仿宋_GB2312"/>
                <w:color w:val="auto"/>
                <w:sz w:val="30"/>
                <w:szCs w:val="30"/>
                <w:highlight w:val="none"/>
              </w:rPr>
            </w:pPr>
          </w:p>
        </w:tc>
        <w:tc>
          <w:tcPr>
            <w:tcW w:w="1020" w:type="dxa"/>
            <w:noWrap w:val="0"/>
            <w:vAlign w:val="top"/>
          </w:tcPr>
          <w:p w14:paraId="0332EB65">
            <w:pPr>
              <w:rPr>
                <w:rFonts w:eastAsia="仿宋_GB2312"/>
                <w:color w:val="auto"/>
                <w:sz w:val="30"/>
                <w:szCs w:val="30"/>
                <w:highlight w:val="none"/>
              </w:rPr>
            </w:pPr>
          </w:p>
        </w:tc>
        <w:tc>
          <w:tcPr>
            <w:tcW w:w="921" w:type="dxa"/>
            <w:noWrap w:val="0"/>
            <w:vAlign w:val="top"/>
          </w:tcPr>
          <w:p w14:paraId="6EBD75F2">
            <w:pPr>
              <w:rPr>
                <w:rFonts w:eastAsia="仿宋_GB2312"/>
                <w:color w:val="auto"/>
                <w:sz w:val="30"/>
                <w:szCs w:val="30"/>
                <w:highlight w:val="none"/>
              </w:rPr>
            </w:pPr>
          </w:p>
        </w:tc>
      </w:tr>
      <w:tr w14:paraId="323CF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040EC4A2">
            <w:pPr>
              <w:pStyle w:val="21"/>
              <w:keepNext/>
              <w:spacing w:after="0" w:line="440" w:lineRule="exact"/>
              <w:ind w:left="63" w:right="63"/>
              <w:rPr>
                <w:rFonts w:eastAsia="仿宋_GB2312"/>
                <w:color w:val="auto"/>
                <w:sz w:val="30"/>
                <w:szCs w:val="30"/>
                <w:highlight w:val="none"/>
              </w:rPr>
            </w:pPr>
          </w:p>
        </w:tc>
        <w:tc>
          <w:tcPr>
            <w:tcW w:w="1418" w:type="dxa"/>
            <w:noWrap w:val="0"/>
            <w:vAlign w:val="center"/>
          </w:tcPr>
          <w:p w14:paraId="4CBC53F9">
            <w:pPr>
              <w:pStyle w:val="21"/>
              <w:keepNext/>
              <w:spacing w:after="0" w:line="440" w:lineRule="exact"/>
              <w:ind w:left="63" w:right="63"/>
              <w:rPr>
                <w:rFonts w:eastAsia="仿宋_GB2312"/>
                <w:color w:val="auto"/>
                <w:sz w:val="30"/>
                <w:szCs w:val="30"/>
                <w:highlight w:val="none"/>
              </w:rPr>
            </w:pPr>
          </w:p>
        </w:tc>
        <w:tc>
          <w:tcPr>
            <w:tcW w:w="850" w:type="dxa"/>
            <w:noWrap w:val="0"/>
            <w:vAlign w:val="center"/>
          </w:tcPr>
          <w:p w14:paraId="1BD7BEF0">
            <w:pPr>
              <w:pStyle w:val="21"/>
              <w:keepNext/>
              <w:spacing w:after="0" w:line="440" w:lineRule="exact"/>
              <w:ind w:left="63" w:right="63"/>
              <w:rPr>
                <w:rFonts w:eastAsia="仿宋_GB2312"/>
                <w:color w:val="auto"/>
                <w:sz w:val="30"/>
                <w:szCs w:val="30"/>
                <w:highlight w:val="none"/>
              </w:rPr>
            </w:pPr>
          </w:p>
        </w:tc>
        <w:tc>
          <w:tcPr>
            <w:tcW w:w="1058" w:type="dxa"/>
            <w:noWrap w:val="0"/>
            <w:vAlign w:val="center"/>
          </w:tcPr>
          <w:p w14:paraId="78BE572F">
            <w:pPr>
              <w:pStyle w:val="21"/>
              <w:keepNext/>
              <w:spacing w:after="0" w:line="440" w:lineRule="exact"/>
              <w:ind w:left="63" w:right="63"/>
              <w:rPr>
                <w:rFonts w:eastAsia="仿宋_GB2312"/>
                <w:color w:val="auto"/>
                <w:sz w:val="30"/>
                <w:szCs w:val="30"/>
                <w:highlight w:val="none"/>
              </w:rPr>
            </w:pPr>
          </w:p>
        </w:tc>
        <w:tc>
          <w:tcPr>
            <w:tcW w:w="880" w:type="dxa"/>
            <w:noWrap w:val="0"/>
            <w:vAlign w:val="center"/>
          </w:tcPr>
          <w:p w14:paraId="769C3A2D">
            <w:pPr>
              <w:pStyle w:val="21"/>
              <w:keepNext/>
              <w:spacing w:after="0" w:line="440" w:lineRule="exact"/>
              <w:ind w:left="63" w:right="63"/>
              <w:rPr>
                <w:rFonts w:eastAsia="仿宋_GB2312"/>
                <w:color w:val="auto"/>
                <w:sz w:val="30"/>
                <w:szCs w:val="30"/>
                <w:highlight w:val="none"/>
              </w:rPr>
            </w:pPr>
          </w:p>
        </w:tc>
        <w:tc>
          <w:tcPr>
            <w:tcW w:w="1020" w:type="dxa"/>
            <w:noWrap w:val="0"/>
            <w:vAlign w:val="center"/>
          </w:tcPr>
          <w:p w14:paraId="640EC91E">
            <w:pPr>
              <w:pStyle w:val="21"/>
              <w:keepNext/>
              <w:spacing w:after="0" w:line="440" w:lineRule="exact"/>
              <w:ind w:left="63" w:right="63"/>
              <w:rPr>
                <w:rFonts w:eastAsia="仿宋_GB2312"/>
                <w:color w:val="auto"/>
                <w:sz w:val="30"/>
                <w:szCs w:val="30"/>
                <w:highlight w:val="none"/>
              </w:rPr>
            </w:pPr>
          </w:p>
        </w:tc>
        <w:tc>
          <w:tcPr>
            <w:tcW w:w="1480" w:type="dxa"/>
            <w:noWrap w:val="0"/>
            <w:vAlign w:val="center"/>
          </w:tcPr>
          <w:p w14:paraId="2CCB1024">
            <w:pPr>
              <w:pStyle w:val="21"/>
              <w:keepNext/>
              <w:spacing w:after="0" w:line="440" w:lineRule="exact"/>
              <w:ind w:left="63" w:right="63"/>
              <w:rPr>
                <w:rFonts w:eastAsia="仿宋_GB2312"/>
                <w:color w:val="auto"/>
                <w:sz w:val="30"/>
                <w:szCs w:val="30"/>
                <w:highlight w:val="none"/>
              </w:rPr>
            </w:pPr>
          </w:p>
        </w:tc>
        <w:tc>
          <w:tcPr>
            <w:tcW w:w="1020" w:type="dxa"/>
            <w:noWrap w:val="0"/>
            <w:vAlign w:val="center"/>
          </w:tcPr>
          <w:p w14:paraId="4121C709">
            <w:pPr>
              <w:pStyle w:val="21"/>
              <w:keepNext/>
              <w:spacing w:after="0" w:line="440" w:lineRule="exact"/>
              <w:ind w:left="63" w:right="63"/>
              <w:rPr>
                <w:rFonts w:eastAsia="仿宋_GB2312"/>
                <w:color w:val="auto"/>
                <w:sz w:val="30"/>
                <w:szCs w:val="30"/>
                <w:highlight w:val="none"/>
              </w:rPr>
            </w:pPr>
          </w:p>
        </w:tc>
        <w:tc>
          <w:tcPr>
            <w:tcW w:w="921" w:type="dxa"/>
            <w:noWrap w:val="0"/>
            <w:vAlign w:val="center"/>
          </w:tcPr>
          <w:p w14:paraId="28C2955E">
            <w:pPr>
              <w:pStyle w:val="21"/>
              <w:keepNext/>
              <w:spacing w:after="0" w:line="440" w:lineRule="exact"/>
              <w:ind w:left="63" w:right="63"/>
              <w:rPr>
                <w:rFonts w:eastAsia="仿宋_GB2312"/>
                <w:color w:val="auto"/>
                <w:sz w:val="30"/>
                <w:szCs w:val="30"/>
                <w:highlight w:val="none"/>
              </w:rPr>
            </w:pPr>
          </w:p>
        </w:tc>
      </w:tr>
      <w:tr w14:paraId="71332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5890279E">
            <w:pPr>
              <w:rPr>
                <w:rFonts w:eastAsia="仿宋_GB2312"/>
                <w:color w:val="auto"/>
                <w:sz w:val="30"/>
                <w:szCs w:val="30"/>
                <w:highlight w:val="none"/>
              </w:rPr>
            </w:pPr>
          </w:p>
        </w:tc>
        <w:tc>
          <w:tcPr>
            <w:tcW w:w="1418" w:type="dxa"/>
            <w:noWrap w:val="0"/>
            <w:vAlign w:val="top"/>
          </w:tcPr>
          <w:p w14:paraId="7833037D">
            <w:pPr>
              <w:rPr>
                <w:rFonts w:eastAsia="仿宋_GB2312"/>
                <w:color w:val="auto"/>
                <w:sz w:val="30"/>
                <w:szCs w:val="30"/>
                <w:highlight w:val="none"/>
              </w:rPr>
            </w:pPr>
          </w:p>
        </w:tc>
        <w:tc>
          <w:tcPr>
            <w:tcW w:w="850" w:type="dxa"/>
            <w:noWrap w:val="0"/>
            <w:vAlign w:val="top"/>
          </w:tcPr>
          <w:p w14:paraId="62A5DE6A">
            <w:pPr>
              <w:rPr>
                <w:rFonts w:eastAsia="仿宋_GB2312"/>
                <w:color w:val="auto"/>
                <w:sz w:val="30"/>
                <w:szCs w:val="30"/>
                <w:highlight w:val="none"/>
              </w:rPr>
            </w:pPr>
          </w:p>
        </w:tc>
        <w:tc>
          <w:tcPr>
            <w:tcW w:w="1058" w:type="dxa"/>
            <w:noWrap w:val="0"/>
            <w:vAlign w:val="top"/>
          </w:tcPr>
          <w:p w14:paraId="00E56DD4">
            <w:pPr>
              <w:rPr>
                <w:rFonts w:eastAsia="仿宋_GB2312"/>
                <w:color w:val="auto"/>
                <w:sz w:val="30"/>
                <w:szCs w:val="30"/>
                <w:highlight w:val="none"/>
              </w:rPr>
            </w:pPr>
          </w:p>
        </w:tc>
        <w:tc>
          <w:tcPr>
            <w:tcW w:w="880" w:type="dxa"/>
            <w:noWrap w:val="0"/>
            <w:vAlign w:val="top"/>
          </w:tcPr>
          <w:p w14:paraId="72A1EE94">
            <w:pPr>
              <w:rPr>
                <w:rFonts w:eastAsia="仿宋_GB2312"/>
                <w:color w:val="auto"/>
                <w:sz w:val="30"/>
                <w:szCs w:val="30"/>
                <w:highlight w:val="none"/>
              </w:rPr>
            </w:pPr>
          </w:p>
        </w:tc>
        <w:tc>
          <w:tcPr>
            <w:tcW w:w="1020" w:type="dxa"/>
            <w:noWrap w:val="0"/>
            <w:vAlign w:val="top"/>
          </w:tcPr>
          <w:p w14:paraId="15A7F130">
            <w:pPr>
              <w:rPr>
                <w:rFonts w:eastAsia="仿宋_GB2312"/>
                <w:color w:val="auto"/>
                <w:sz w:val="30"/>
                <w:szCs w:val="30"/>
                <w:highlight w:val="none"/>
              </w:rPr>
            </w:pPr>
          </w:p>
        </w:tc>
        <w:tc>
          <w:tcPr>
            <w:tcW w:w="1480" w:type="dxa"/>
            <w:noWrap w:val="0"/>
            <w:vAlign w:val="top"/>
          </w:tcPr>
          <w:p w14:paraId="3791DC29">
            <w:pPr>
              <w:rPr>
                <w:rFonts w:eastAsia="仿宋_GB2312"/>
                <w:color w:val="auto"/>
                <w:sz w:val="30"/>
                <w:szCs w:val="30"/>
                <w:highlight w:val="none"/>
              </w:rPr>
            </w:pPr>
          </w:p>
        </w:tc>
        <w:tc>
          <w:tcPr>
            <w:tcW w:w="1020" w:type="dxa"/>
            <w:noWrap w:val="0"/>
            <w:vAlign w:val="top"/>
          </w:tcPr>
          <w:p w14:paraId="5DD1EC35">
            <w:pPr>
              <w:rPr>
                <w:rFonts w:eastAsia="仿宋_GB2312"/>
                <w:color w:val="auto"/>
                <w:sz w:val="30"/>
                <w:szCs w:val="30"/>
                <w:highlight w:val="none"/>
              </w:rPr>
            </w:pPr>
          </w:p>
        </w:tc>
        <w:tc>
          <w:tcPr>
            <w:tcW w:w="921" w:type="dxa"/>
            <w:noWrap w:val="0"/>
            <w:vAlign w:val="top"/>
          </w:tcPr>
          <w:p w14:paraId="7C3E3B95">
            <w:pPr>
              <w:rPr>
                <w:rFonts w:eastAsia="仿宋_GB2312"/>
                <w:color w:val="auto"/>
                <w:sz w:val="30"/>
                <w:szCs w:val="30"/>
                <w:highlight w:val="none"/>
              </w:rPr>
            </w:pPr>
          </w:p>
        </w:tc>
      </w:tr>
      <w:tr w14:paraId="70EB5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1AF8C35E">
            <w:pPr>
              <w:rPr>
                <w:rFonts w:eastAsia="仿宋_GB2312"/>
                <w:color w:val="auto"/>
                <w:sz w:val="30"/>
                <w:szCs w:val="30"/>
                <w:highlight w:val="none"/>
              </w:rPr>
            </w:pPr>
          </w:p>
        </w:tc>
        <w:tc>
          <w:tcPr>
            <w:tcW w:w="1418" w:type="dxa"/>
            <w:noWrap w:val="0"/>
            <w:vAlign w:val="top"/>
          </w:tcPr>
          <w:p w14:paraId="76EC42AA">
            <w:pPr>
              <w:rPr>
                <w:rFonts w:eastAsia="仿宋_GB2312"/>
                <w:color w:val="auto"/>
                <w:sz w:val="30"/>
                <w:szCs w:val="30"/>
                <w:highlight w:val="none"/>
              </w:rPr>
            </w:pPr>
          </w:p>
        </w:tc>
        <w:tc>
          <w:tcPr>
            <w:tcW w:w="850" w:type="dxa"/>
            <w:noWrap w:val="0"/>
            <w:vAlign w:val="top"/>
          </w:tcPr>
          <w:p w14:paraId="58205DAA">
            <w:pPr>
              <w:rPr>
                <w:rFonts w:eastAsia="仿宋_GB2312"/>
                <w:color w:val="auto"/>
                <w:sz w:val="30"/>
                <w:szCs w:val="30"/>
                <w:highlight w:val="none"/>
              </w:rPr>
            </w:pPr>
          </w:p>
        </w:tc>
        <w:tc>
          <w:tcPr>
            <w:tcW w:w="1058" w:type="dxa"/>
            <w:noWrap w:val="0"/>
            <w:vAlign w:val="top"/>
          </w:tcPr>
          <w:p w14:paraId="443370E2">
            <w:pPr>
              <w:rPr>
                <w:rFonts w:eastAsia="仿宋_GB2312"/>
                <w:color w:val="auto"/>
                <w:sz w:val="30"/>
                <w:szCs w:val="30"/>
                <w:highlight w:val="none"/>
              </w:rPr>
            </w:pPr>
          </w:p>
        </w:tc>
        <w:tc>
          <w:tcPr>
            <w:tcW w:w="880" w:type="dxa"/>
            <w:noWrap w:val="0"/>
            <w:vAlign w:val="top"/>
          </w:tcPr>
          <w:p w14:paraId="451E04AB">
            <w:pPr>
              <w:rPr>
                <w:rFonts w:eastAsia="仿宋_GB2312"/>
                <w:color w:val="auto"/>
                <w:sz w:val="30"/>
                <w:szCs w:val="30"/>
                <w:highlight w:val="none"/>
              </w:rPr>
            </w:pPr>
          </w:p>
        </w:tc>
        <w:tc>
          <w:tcPr>
            <w:tcW w:w="1020" w:type="dxa"/>
            <w:noWrap w:val="0"/>
            <w:vAlign w:val="top"/>
          </w:tcPr>
          <w:p w14:paraId="5FD458CE">
            <w:pPr>
              <w:rPr>
                <w:rFonts w:eastAsia="仿宋_GB2312"/>
                <w:color w:val="auto"/>
                <w:sz w:val="30"/>
                <w:szCs w:val="30"/>
                <w:highlight w:val="none"/>
              </w:rPr>
            </w:pPr>
          </w:p>
        </w:tc>
        <w:tc>
          <w:tcPr>
            <w:tcW w:w="1480" w:type="dxa"/>
            <w:noWrap w:val="0"/>
            <w:vAlign w:val="top"/>
          </w:tcPr>
          <w:p w14:paraId="3AC9618A">
            <w:pPr>
              <w:rPr>
                <w:rFonts w:eastAsia="仿宋_GB2312"/>
                <w:color w:val="auto"/>
                <w:sz w:val="30"/>
                <w:szCs w:val="30"/>
                <w:highlight w:val="none"/>
              </w:rPr>
            </w:pPr>
          </w:p>
        </w:tc>
        <w:tc>
          <w:tcPr>
            <w:tcW w:w="1020" w:type="dxa"/>
            <w:noWrap w:val="0"/>
            <w:vAlign w:val="top"/>
          </w:tcPr>
          <w:p w14:paraId="7F140692">
            <w:pPr>
              <w:rPr>
                <w:rFonts w:eastAsia="仿宋_GB2312"/>
                <w:color w:val="auto"/>
                <w:sz w:val="30"/>
                <w:szCs w:val="30"/>
                <w:highlight w:val="none"/>
              </w:rPr>
            </w:pPr>
          </w:p>
        </w:tc>
        <w:tc>
          <w:tcPr>
            <w:tcW w:w="921" w:type="dxa"/>
            <w:noWrap w:val="0"/>
            <w:vAlign w:val="top"/>
          </w:tcPr>
          <w:p w14:paraId="35CFD2D2">
            <w:pPr>
              <w:rPr>
                <w:rFonts w:eastAsia="仿宋_GB2312"/>
                <w:color w:val="auto"/>
                <w:sz w:val="30"/>
                <w:szCs w:val="30"/>
                <w:highlight w:val="none"/>
              </w:rPr>
            </w:pPr>
          </w:p>
        </w:tc>
      </w:tr>
      <w:tr w14:paraId="5AF77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3DF50324">
            <w:pPr>
              <w:rPr>
                <w:rFonts w:eastAsia="仿宋_GB2312"/>
                <w:color w:val="auto"/>
                <w:sz w:val="30"/>
                <w:szCs w:val="30"/>
                <w:highlight w:val="none"/>
              </w:rPr>
            </w:pPr>
          </w:p>
        </w:tc>
        <w:tc>
          <w:tcPr>
            <w:tcW w:w="1418" w:type="dxa"/>
            <w:noWrap w:val="0"/>
            <w:vAlign w:val="top"/>
          </w:tcPr>
          <w:p w14:paraId="6E959367">
            <w:pPr>
              <w:rPr>
                <w:rFonts w:eastAsia="仿宋_GB2312"/>
                <w:color w:val="auto"/>
                <w:sz w:val="30"/>
                <w:szCs w:val="30"/>
                <w:highlight w:val="none"/>
              </w:rPr>
            </w:pPr>
          </w:p>
        </w:tc>
        <w:tc>
          <w:tcPr>
            <w:tcW w:w="850" w:type="dxa"/>
            <w:noWrap w:val="0"/>
            <w:vAlign w:val="top"/>
          </w:tcPr>
          <w:p w14:paraId="5CB335D7">
            <w:pPr>
              <w:rPr>
                <w:rFonts w:eastAsia="仿宋_GB2312"/>
                <w:color w:val="auto"/>
                <w:sz w:val="30"/>
                <w:szCs w:val="30"/>
                <w:highlight w:val="none"/>
              </w:rPr>
            </w:pPr>
          </w:p>
        </w:tc>
        <w:tc>
          <w:tcPr>
            <w:tcW w:w="1058" w:type="dxa"/>
            <w:noWrap w:val="0"/>
            <w:vAlign w:val="top"/>
          </w:tcPr>
          <w:p w14:paraId="242A2434">
            <w:pPr>
              <w:rPr>
                <w:rFonts w:eastAsia="仿宋_GB2312"/>
                <w:color w:val="auto"/>
                <w:sz w:val="30"/>
                <w:szCs w:val="30"/>
                <w:highlight w:val="none"/>
              </w:rPr>
            </w:pPr>
          </w:p>
        </w:tc>
        <w:tc>
          <w:tcPr>
            <w:tcW w:w="880" w:type="dxa"/>
            <w:noWrap w:val="0"/>
            <w:vAlign w:val="top"/>
          </w:tcPr>
          <w:p w14:paraId="6BE03A34">
            <w:pPr>
              <w:rPr>
                <w:rFonts w:eastAsia="仿宋_GB2312"/>
                <w:color w:val="auto"/>
                <w:sz w:val="30"/>
                <w:szCs w:val="30"/>
                <w:highlight w:val="none"/>
              </w:rPr>
            </w:pPr>
          </w:p>
        </w:tc>
        <w:tc>
          <w:tcPr>
            <w:tcW w:w="1020" w:type="dxa"/>
            <w:noWrap w:val="0"/>
            <w:vAlign w:val="top"/>
          </w:tcPr>
          <w:p w14:paraId="40000B77">
            <w:pPr>
              <w:rPr>
                <w:rFonts w:eastAsia="仿宋_GB2312"/>
                <w:color w:val="auto"/>
                <w:sz w:val="30"/>
                <w:szCs w:val="30"/>
                <w:highlight w:val="none"/>
              </w:rPr>
            </w:pPr>
          </w:p>
        </w:tc>
        <w:tc>
          <w:tcPr>
            <w:tcW w:w="1480" w:type="dxa"/>
            <w:noWrap w:val="0"/>
            <w:vAlign w:val="top"/>
          </w:tcPr>
          <w:p w14:paraId="1AC1FE90">
            <w:pPr>
              <w:rPr>
                <w:rFonts w:eastAsia="仿宋_GB2312"/>
                <w:color w:val="auto"/>
                <w:sz w:val="30"/>
                <w:szCs w:val="30"/>
                <w:highlight w:val="none"/>
              </w:rPr>
            </w:pPr>
          </w:p>
        </w:tc>
        <w:tc>
          <w:tcPr>
            <w:tcW w:w="1020" w:type="dxa"/>
            <w:noWrap w:val="0"/>
            <w:vAlign w:val="top"/>
          </w:tcPr>
          <w:p w14:paraId="408E8D4F">
            <w:pPr>
              <w:rPr>
                <w:rFonts w:eastAsia="仿宋_GB2312"/>
                <w:color w:val="auto"/>
                <w:sz w:val="30"/>
                <w:szCs w:val="30"/>
                <w:highlight w:val="none"/>
              </w:rPr>
            </w:pPr>
          </w:p>
        </w:tc>
        <w:tc>
          <w:tcPr>
            <w:tcW w:w="921" w:type="dxa"/>
            <w:noWrap w:val="0"/>
            <w:vAlign w:val="top"/>
          </w:tcPr>
          <w:p w14:paraId="0CC22A12">
            <w:pPr>
              <w:rPr>
                <w:rFonts w:eastAsia="仿宋_GB2312"/>
                <w:color w:val="auto"/>
                <w:sz w:val="30"/>
                <w:szCs w:val="30"/>
                <w:highlight w:val="none"/>
              </w:rPr>
            </w:pPr>
          </w:p>
        </w:tc>
      </w:tr>
      <w:tr w14:paraId="51D13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26F5A71D">
            <w:pPr>
              <w:rPr>
                <w:rFonts w:eastAsia="仿宋_GB2312"/>
                <w:color w:val="auto"/>
                <w:sz w:val="30"/>
                <w:szCs w:val="30"/>
                <w:highlight w:val="none"/>
              </w:rPr>
            </w:pPr>
          </w:p>
        </w:tc>
        <w:tc>
          <w:tcPr>
            <w:tcW w:w="1418" w:type="dxa"/>
            <w:noWrap w:val="0"/>
            <w:vAlign w:val="top"/>
          </w:tcPr>
          <w:p w14:paraId="302F6537">
            <w:pPr>
              <w:rPr>
                <w:rFonts w:eastAsia="仿宋_GB2312"/>
                <w:color w:val="auto"/>
                <w:sz w:val="30"/>
                <w:szCs w:val="30"/>
                <w:highlight w:val="none"/>
              </w:rPr>
            </w:pPr>
          </w:p>
        </w:tc>
        <w:tc>
          <w:tcPr>
            <w:tcW w:w="850" w:type="dxa"/>
            <w:noWrap w:val="0"/>
            <w:vAlign w:val="top"/>
          </w:tcPr>
          <w:p w14:paraId="00B4B044">
            <w:pPr>
              <w:rPr>
                <w:rFonts w:eastAsia="仿宋_GB2312"/>
                <w:color w:val="auto"/>
                <w:sz w:val="30"/>
                <w:szCs w:val="30"/>
                <w:highlight w:val="none"/>
              </w:rPr>
            </w:pPr>
          </w:p>
        </w:tc>
        <w:tc>
          <w:tcPr>
            <w:tcW w:w="1058" w:type="dxa"/>
            <w:noWrap w:val="0"/>
            <w:vAlign w:val="top"/>
          </w:tcPr>
          <w:p w14:paraId="5495A3A4">
            <w:pPr>
              <w:rPr>
                <w:rFonts w:eastAsia="仿宋_GB2312"/>
                <w:color w:val="auto"/>
                <w:sz w:val="30"/>
                <w:szCs w:val="30"/>
                <w:highlight w:val="none"/>
              </w:rPr>
            </w:pPr>
          </w:p>
        </w:tc>
        <w:tc>
          <w:tcPr>
            <w:tcW w:w="880" w:type="dxa"/>
            <w:noWrap w:val="0"/>
            <w:vAlign w:val="top"/>
          </w:tcPr>
          <w:p w14:paraId="34ACB6B5">
            <w:pPr>
              <w:rPr>
                <w:rFonts w:eastAsia="仿宋_GB2312"/>
                <w:color w:val="auto"/>
                <w:sz w:val="30"/>
                <w:szCs w:val="30"/>
                <w:highlight w:val="none"/>
              </w:rPr>
            </w:pPr>
          </w:p>
        </w:tc>
        <w:tc>
          <w:tcPr>
            <w:tcW w:w="1020" w:type="dxa"/>
            <w:noWrap w:val="0"/>
            <w:vAlign w:val="top"/>
          </w:tcPr>
          <w:p w14:paraId="38F79E77">
            <w:pPr>
              <w:rPr>
                <w:rFonts w:eastAsia="仿宋_GB2312"/>
                <w:color w:val="auto"/>
                <w:sz w:val="30"/>
                <w:szCs w:val="30"/>
                <w:highlight w:val="none"/>
              </w:rPr>
            </w:pPr>
          </w:p>
        </w:tc>
        <w:tc>
          <w:tcPr>
            <w:tcW w:w="1480" w:type="dxa"/>
            <w:noWrap w:val="0"/>
            <w:vAlign w:val="top"/>
          </w:tcPr>
          <w:p w14:paraId="69B6F269">
            <w:pPr>
              <w:rPr>
                <w:rFonts w:eastAsia="仿宋_GB2312"/>
                <w:color w:val="auto"/>
                <w:sz w:val="30"/>
                <w:szCs w:val="30"/>
                <w:highlight w:val="none"/>
              </w:rPr>
            </w:pPr>
          </w:p>
        </w:tc>
        <w:tc>
          <w:tcPr>
            <w:tcW w:w="1020" w:type="dxa"/>
            <w:noWrap w:val="0"/>
            <w:vAlign w:val="top"/>
          </w:tcPr>
          <w:p w14:paraId="3BCCFD3A">
            <w:pPr>
              <w:rPr>
                <w:rFonts w:eastAsia="仿宋_GB2312"/>
                <w:color w:val="auto"/>
                <w:sz w:val="30"/>
                <w:szCs w:val="30"/>
                <w:highlight w:val="none"/>
              </w:rPr>
            </w:pPr>
          </w:p>
        </w:tc>
        <w:tc>
          <w:tcPr>
            <w:tcW w:w="921" w:type="dxa"/>
            <w:noWrap w:val="0"/>
            <w:vAlign w:val="top"/>
          </w:tcPr>
          <w:p w14:paraId="5147F3B4">
            <w:pPr>
              <w:rPr>
                <w:rFonts w:eastAsia="仿宋_GB2312"/>
                <w:color w:val="auto"/>
                <w:sz w:val="30"/>
                <w:szCs w:val="30"/>
                <w:highlight w:val="none"/>
              </w:rPr>
            </w:pPr>
          </w:p>
        </w:tc>
      </w:tr>
      <w:tr w14:paraId="3313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5224CA69">
            <w:pPr>
              <w:rPr>
                <w:rFonts w:eastAsia="仿宋_GB2312"/>
                <w:color w:val="auto"/>
                <w:sz w:val="30"/>
                <w:szCs w:val="30"/>
                <w:highlight w:val="none"/>
              </w:rPr>
            </w:pPr>
          </w:p>
        </w:tc>
        <w:tc>
          <w:tcPr>
            <w:tcW w:w="1418" w:type="dxa"/>
            <w:noWrap w:val="0"/>
            <w:vAlign w:val="top"/>
          </w:tcPr>
          <w:p w14:paraId="5DE925F5">
            <w:pPr>
              <w:rPr>
                <w:rFonts w:eastAsia="仿宋_GB2312"/>
                <w:color w:val="auto"/>
                <w:sz w:val="30"/>
                <w:szCs w:val="30"/>
                <w:highlight w:val="none"/>
              </w:rPr>
            </w:pPr>
          </w:p>
        </w:tc>
        <w:tc>
          <w:tcPr>
            <w:tcW w:w="850" w:type="dxa"/>
            <w:noWrap w:val="0"/>
            <w:vAlign w:val="top"/>
          </w:tcPr>
          <w:p w14:paraId="74704294">
            <w:pPr>
              <w:rPr>
                <w:rFonts w:eastAsia="仿宋_GB2312"/>
                <w:color w:val="auto"/>
                <w:sz w:val="30"/>
                <w:szCs w:val="30"/>
                <w:highlight w:val="none"/>
              </w:rPr>
            </w:pPr>
          </w:p>
        </w:tc>
        <w:tc>
          <w:tcPr>
            <w:tcW w:w="1058" w:type="dxa"/>
            <w:noWrap w:val="0"/>
            <w:vAlign w:val="top"/>
          </w:tcPr>
          <w:p w14:paraId="2E89201D">
            <w:pPr>
              <w:rPr>
                <w:rFonts w:eastAsia="仿宋_GB2312"/>
                <w:color w:val="auto"/>
                <w:sz w:val="30"/>
                <w:szCs w:val="30"/>
                <w:highlight w:val="none"/>
              </w:rPr>
            </w:pPr>
          </w:p>
        </w:tc>
        <w:tc>
          <w:tcPr>
            <w:tcW w:w="880" w:type="dxa"/>
            <w:noWrap w:val="0"/>
            <w:vAlign w:val="top"/>
          </w:tcPr>
          <w:p w14:paraId="40A7EFD8">
            <w:pPr>
              <w:rPr>
                <w:rFonts w:eastAsia="仿宋_GB2312"/>
                <w:color w:val="auto"/>
                <w:sz w:val="30"/>
                <w:szCs w:val="30"/>
                <w:highlight w:val="none"/>
              </w:rPr>
            </w:pPr>
          </w:p>
        </w:tc>
        <w:tc>
          <w:tcPr>
            <w:tcW w:w="1020" w:type="dxa"/>
            <w:noWrap w:val="0"/>
            <w:vAlign w:val="top"/>
          </w:tcPr>
          <w:p w14:paraId="27669F99">
            <w:pPr>
              <w:rPr>
                <w:rFonts w:eastAsia="仿宋_GB2312"/>
                <w:color w:val="auto"/>
                <w:sz w:val="30"/>
                <w:szCs w:val="30"/>
                <w:highlight w:val="none"/>
              </w:rPr>
            </w:pPr>
          </w:p>
        </w:tc>
        <w:tc>
          <w:tcPr>
            <w:tcW w:w="1480" w:type="dxa"/>
            <w:noWrap w:val="0"/>
            <w:vAlign w:val="top"/>
          </w:tcPr>
          <w:p w14:paraId="7EAF502D">
            <w:pPr>
              <w:rPr>
                <w:rFonts w:eastAsia="仿宋_GB2312"/>
                <w:color w:val="auto"/>
                <w:sz w:val="30"/>
                <w:szCs w:val="30"/>
                <w:highlight w:val="none"/>
              </w:rPr>
            </w:pPr>
          </w:p>
        </w:tc>
        <w:tc>
          <w:tcPr>
            <w:tcW w:w="1020" w:type="dxa"/>
            <w:noWrap w:val="0"/>
            <w:vAlign w:val="top"/>
          </w:tcPr>
          <w:p w14:paraId="2AFA324C">
            <w:pPr>
              <w:rPr>
                <w:rFonts w:eastAsia="仿宋_GB2312"/>
                <w:color w:val="auto"/>
                <w:sz w:val="30"/>
                <w:szCs w:val="30"/>
                <w:highlight w:val="none"/>
              </w:rPr>
            </w:pPr>
          </w:p>
        </w:tc>
        <w:tc>
          <w:tcPr>
            <w:tcW w:w="921" w:type="dxa"/>
            <w:noWrap w:val="0"/>
            <w:vAlign w:val="top"/>
          </w:tcPr>
          <w:p w14:paraId="1B5B2D73">
            <w:pPr>
              <w:rPr>
                <w:rFonts w:eastAsia="仿宋_GB2312"/>
                <w:color w:val="auto"/>
                <w:sz w:val="30"/>
                <w:szCs w:val="30"/>
                <w:highlight w:val="none"/>
              </w:rPr>
            </w:pPr>
          </w:p>
        </w:tc>
      </w:tr>
      <w:tr w14:paraId="67CCA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2D1C9D3B">
            <w:pPr>
              <w:rPr>
                <w:rFonts w:eastAsia="仿宋_GB2312"/>
                <w:color w:val="auto"/>
                <w:sz w:val="30"/>
                <w:szCs w:val="30"/>
                <w:highlight w:val="none"/>
              </w:rPr>
            </w:pPr>
          </w:p>
        </w:tc>
        <w:tc>
          <w:tcPr>
            <w:tcW w:w="1418" w:type="dxa"/>
            <w:noWrap w:val="0"/>
            <w:vAlign w:val="top"/>
          </w:tcPr>
          <w:p w14:paraId="7830FF39">
            <w:pPr>
              <w:rPr>
                <w:rFonts w:eastAsia="仿宋_GB2312"/>
                <w:color w:val="auto"/>
                <w:sz w:val="30"/>
                <w:szCs w:val="30"/>
                <w:highlight w:val="none"/>
              </w:rPr>
            </w:pPr>
          </w:p>
        </w:tc>
        <w:tc>
          <w:tcPr>
            <w:tcW w:w="850" w:type="dxa"/>
            <w:noWrap w:val="0"/>
            <w:vAlign w:val="top"/>
          </w:tcPr>
          <w:p w14:paraId="657BA1D0">
            <w:pPr>
              <w:rPr>
                <w:rFonts w:eastAsia="仿宋_GB2312"/>
                <w:color w:val="auto"/>
                <w:sz w:val="30"/>
                <w:szCs w:val="30"/>
                <w:highlight w:val="none"/>
              </w:rPr>
            </w:pPr>
          </w:p>
        </w:tc>
        <w:tc>
          <w:tcPr>
            <w:tcW w:w="1058" w:type="dxa"/>
            <w:noWrap w:val="0"/>
            <w:vAlign w:val="top"/>
          </w:tcPr>
          <w:p w14:paraId="3DEFC952">
            <w:pPr>
              <w:rPr>
                <w:rFonts w:eastAsia="仿宋_GB2312"/>
                <w:color w:val="auto"/>
                <w:sz w:val="30"/>
                <w:szCs w:val="30"/>
                <w:highlight w:val="none"/>
              </w:rPr>
            </w:pPr>
          </w:p>
        </w:tc>
        <w:tc>
          <w:tcPr>
            <w:tcW w:w="880" w:type="dxa"/>
            <w:noWrap w:val="0"/>
            <w:vAlign w:val="top"/>
          </w:tcPr>
          <w:p w14:paraId="698D3EF8">
            <w:pPr>
              <w:rPr>
                <w:rFonts w:eastAsia="仿宋_GB2312"/>
                <w:color w:val="auto"/>
                <w:sz w:val="30"/>
                <w:szCs w:val="30"/>
                <w:highlight w:val="none"/>
              </w:rPr>
            </w:pPr>
          </w:p>
        </w:tc>
        <w:tc>
          <w:tcPr>
            <w:tcW w:w="1020" w:type="dxa"/>
            <w:noWrap w:val="0"/>
            <w:vAlign w:val="top"/>
          </w:tcPr>
          <w:p w14:paraId="30DA9B82">
            <w:pPr>
              <w:rPr>
                <w:rFonts w:eastAsia="仿宋_GB2312"/>
                <w:color w:val="auto"/>
                <w:sz w:val="30"/>
                <w:szCs w:val="30"/>
                <w:highlight w:val="none"/>
              </w:rPr>
            </w:pPr>
          </w:p>
        </w:tc>
        <w:tc>
          <w:tcPr>
            <w:tcW w:w="1480" w:type="dxa"/>
            <w:noWrap w:val="0"/>
            <w:vAlign w:val="top"/>
          </w:tcPr>
          <w:p w14:paraId="57ABBBED">
            <w:pPr>
              <w:rPr>
                <w:rFonts w:eastAsia="仿宋_GB2312"/>
                <w:color w:val="auto"/>
                <w:sz w:val="30"/>
                <w:szCs w:val="30"/>
                <w:highlight w:val="none"/>
              </w:rPr>
            </w:pPr>
          </w:p>
        </w:tc>
        <w:tc>
          <w:tcPr>
            <w:tcW w:w="1020" w:type="dxa"/>
            <w:noWrap w:val="0"/>
            <w:vAlign w:val="top"/>
          </w:tcPr>
          <w:p w14:paraId="41C88B83">
            <w:pPr>
              <w:rPr>
                <w:rFonts w:eastAsia="仿宋_GB2312"/>
                <w:color w:val="auto"/>
                <w:sz w:val="30"/>
                <w:szCs w:val="30"/>
                <w:highlight w:val="none"/>
              </w:rPr>
            </w:pPr>
          </w:p>
        </w:tc>
        <w:tc>
          <w:tcPr>
            <w:tcW w:w="921" w:type="dxa"/>
            <w:noWrap w:val="0"/>
            <w:vAlign w:val="top"/>
          </w:tcPr>
          <w:p w14:paraId="5A6A7BE3">
            <w:pPr>
              <w:rPr>
                <w:rFonts w:eastAsia="仿宋_GB2312"/>
                <w:color w:val="auto"/>
                <w:sz w:val="30"/>
                <w:szCs w:val="30"/>
                <w:highlight w:val="none"/>
              </w:rPr>
            </w:pPr>
          </w:p>
        </w:tc>
      </w:tr>
      <w:tr w14:paraId="4869B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52E2892B">
            <w:pPr>
              <w:rPr>
                <w:rFonts w:eastAsia="仿宋_GB2312"/>
                <w:color w:val="auto"/>
                <w:sz w:val="30"/>
                <w:szCs w:val="30"/>
                <w:highlight w:val="none"/>
              </w:rPr>
            </w:pPr>
          </w:p>
        </w:tc>
        <w:tc>
          <w:tcPr>
            <w:tcW w:w="1418" w:type="dxa"/>
            <w:noWrap w:val="0"/>
            <w:vAlign w:val="top"/>
          </w:tcPr>
          <w:p w14:paraId="0F0F927C">
            <w:pPr>
              <w:rPr>
                <w:rFonts w:eastAsia="仿宋_GB2312"/>
                <w:color w:val="auto"/>
                <w:sz w:val="30"/>
                <w:szCs w:val="30"/>
                <w:highlight w:val="none"/>
              </w:rPr>
            </w:pPr>
          </w:p>
        </w:tc>
        <w:tc>
          <w:tcPr>
            <w:tcW w:w="850" w:type="dxa"/>
            <w:noWrap w:val="0"/>
            <w:vAlign w:val="top"/>
          </w:tcPr>
          <w:p w14:paraId="18B194FA">
            <w:pPr>
              <w:rPr>
                <w:rFonts w:eastAsia="仿宋_GB2312"/>
                <w:color w:val="auto"/>
                <w:sz w:val="30"/>
                <w:szCs w:val="30"/>
                <w:highlight w:val="none"/>
              </w:rPr>
            </w:pPr>
          </w:p>
        </w:tc>
        <w:tc>
          <w:tcPr>
            <w:tcW w:w="1058" w:type="dxa"/>
            <w:noWrap w:val="0"/>
            <w:vAlign w:val="top"/>
          </w:tcPr>
          <w:p w14:paraId="0BF1CC6B">
            <w:pPr>
              <w:rPr>
                <w:rFonts w:eastAsia="仿宋_GB2312"/>
                <w:color w:val="auto"/>
                <w:sz w:val="30"/>
                <w:szCs w:val="30"/>
                <w:highlight w:val="none"/>
              </w:rPr>
            </w:pPr>
          </w:p>
        </w:tc>
        <w:tc>
          <w:tcPr>
            <w:tcW w:w="880" w:type="dxa"/>
            <w:noWrap w:val="0"/>
            <w:vAlign w:val="top"/>
          </w:tcPr>
          <w:p w14:paraId="3F1162C5">
            <w:pPr>
              <w:rPr>
                <w:rFonts w:eastAsia="仿宋_GB2312"/>
                <w:color w:val="auto"/>
                <w:sz w:val="30"/>
                <w:szCs w:val="30"/>
                <w:highlight w:val="none"/>
              </w:rPr>
            </w:pPr>
          </w:p>
        </w:tc>
        <w:tc>
          <w:tcPr>
            <w:tcW w:w="1020" w:type="dxa"/>
            <w:noWrap w:val="0"/>
            <w:vAlign w:val="top"/>
          </w:tcPr>
          <w:p w14:paraId="2B6C93FE">
            <w:pPr>
              <w:rPr>
                <w:rFonts w:eastAsia="仿宋_GB2312"/>
                <w:color w:val="auto"/>
                <w:sz w:val="30"/>
                <w:szCs w:val="30"/>
                <w:highlight w:val="none"/>
              </w:rPr>
            </w:pPr>
          </w:p>
        </w:tc>
        <w:tc>
          <w:tcPr>
            <w:tcW w:w="1480" w:type="dxa"/>
            <w:noWrap w:val="0"/>
            <w:vAlign w:val="top"/>
          </w:tcPr>
          <w:p w14:paraId="7E17E774">
            <w:pPr>
              <w:rPr>
                <w:rFonts w:eastAsia="仿宋_GB2312"/>
                <w:color w:val="auto"/>
                <w:sz w:val="30"/>
                <w:szCs w:val="30"/>
                <w:highlight w:val="none"/>
              </w:rPr>
            </w:pPr>
          </w:p>
        </w:tc>
        <w:tc>
          <w:tcPr>
            <w:tcW w:w="1020" w:type="dxa"/>
            <w:noWrap w:val="0"/>
            <w:vAlign w:val="top"/>
          </w:tcPr>
          <w:p w14:paraId="076EA213">
            <w:pPr>
              <w:rPr>
                <w:rFonts w:eastAsia="仿宋_GB2312"/>
                <w:color w:val="auto"/>
                <w:sz w:val="30"/>
                <w:szCs w:val="30"/>
                <w:highlight w:val="none"/>
              </w:rPr>
            </w:pPr>
          </w:p>
        </w:tc>
        <w:tc>
          <w:tcPr>
            <w:tcW w:w="921" w:type="dxa"/>
            <w:noWrap w:val="0"/>
            <w:vAlign w:val="top"/>
          </w:tcPr>
          <w:p w14:paraId="65C64549">
            <w:pPr>
              <w:rPr>
                <w:rFonts w:eastAsia="仿宋_GB2312"/>
                <w:color w:val="auto"/>
                <w:sz w:val="30"/>
                <w:szCs w:val="30"/>
                <w:highlight w:val="none"/>
              </w:rPr>
            </w:pPr>
          </w:p>
        </w:tc>
      </w:tr>
      <w:tr w14:paraId="3F63C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07C298B0">
            <w:pPr>
              <w:rPr>
                <w:rFonts w:eastAsia="仿宋_GB2312"/>
                <w:color w:val="auto"/>
                <w:sz w:val="30"/>
                <w:szCs w:val="30"/>
                <w:highlight w:val="none"/>
              </w:rPr>
            </w:pPr>
          </w:p>
        </w:tc>
        <w:tc>
          <w:tcPr>
            <w:tcW w:w="1418" w:type="dxa"/>
            <w:noWrap w:val="0"/>
            <w:vAlign w:val="top"/>
          </w:tcPr>
          <w:p w14:paraId="432934B5">
            <w:pPr>
              <w:rPr>
                <w:rFonts w:eastAsia="仿宋_GB2312"/>
                <w:color w:val="auto"/>
                <w:sz w:val="30"/>
                <w:szCs w:val="30"/>
                <w:highlight w:val="none"/>
              </w:rPr>
            </w:pPr>
          </w:p>
        </w:tc>
        <w:tc>
          <w:tcPr>
            <w:tcW w:w="850" w:type="dxa"/>
            <w:noWrap w:val="0"/>
            <w:vAlign w:val="top"/>
          </w:tcPr>
          <w:p w14:paraId="017224B0">
            <w:pPr>
              <w:rPr>
                <w:rFonts w:eastAsia="仿宋_GB2312"/>
                <w:color w:val="auto"/>
                <w:sz w:val="30"/>
                <w:szCs w:val="30"/>
                <w:highlight w:val="none"/>
              </w:rPr>
            </w:pPr>
          </w:p>
        </w:tc>
        <w:tc>
          <w:tcPr>
            <w:tcW w:w="1058" w:type="dxa"/>
            <w:noWrap w:val="0"/>
            <w:vAlign w:val="top"/>
          </w:tcPr>
          <w:p w14:paraId="1C204A3D">
            <w:pPr>
              <w:rPr>
                <w:rFonts w:eastAsia="仿宋_GB2312"/>
                <w:color w:val="auto"/>
                <w:sz w:val="30"/>
                <w:szCs w:val="30"/>
                <w:highlight w:val="none"/>
              </w:rPr>
            </w:pPr>
          </w:p>
        </w:tc>
        <w:tc>
          <w:tcPr>
            <w:tcW w:w="880" w:type="dxa"/>
            <w:noWrap w:val="0"/>
            <w:vAlign w:val="top"/>
          </w:tcPr>
          <w:p w14:paraId="5935924B">
            <w:pPr>
              <w:rPr>
                <w:rFonts w:eastAsia="仿宋_GB2312"/>
                <w:color w:val="auto"/>
                <w:sz w:val="30"/>
                <w:szCs w:val="30"/>
                <w:highlight w:val="none"/>
              </w:rPr>
            </w:pPr>
          </w:p>
        </w:tc>
        <w:tc>
          <w:tcPr>
            <w:tcW w:w="1020" w:type="dxa"/>
            <w:noWrap w:val="0"/>
            <w:vAlign w:val="top"/>
          </w:tcPr>
          <w:p w14:paraId="23BF2D1C">
            <w:pPr>
              <w:rPr>
                <w:rFonts w:eastAsia="仿宋_GB2312"/>
                <w:color w:val="auto"/>
                <w:sz w:val="30"/>
                <w:szCs w:val="30"/>
                <w:highlight w:val="none"/>
              </w:rPr>
            </w:pPr>
          </w:p>
        </w:tc>
        <w:tc>
          <w:tcPr>
            <w:tcW w:w="1480" w:type="dxa"/>
            <w:noWrap w:val="0"/>
            <w:vAlign w:val="top"/>
          </w:tcPr>
          <w:p w14:paraId="6044404C">
            <w:pPr>
              <w:rPr>
                <w:rFonts w:eastAsia="仿宋_GB2312"/>
                <w:color w:val="auto"/>
                <w:sz w:val="30"/>
                <w:szCs w:val="30"/>
                <w:highlight w:val="none"/>
              </w:rPr>
            </w:pPr>
          </w:p>
        </w:tc>
        <w:tc>
          <w:tcPr>
            <w:tcW w:w="1020" w:type="dxa"/>
            <w:noWrap w:val="0"/>
            <w:vAlign w:val="top"/>
          </w:tcPr>
          <w:p w14:paraId="55C7CF27">
            <w:pPr>
              <w:rPr>
                <w:rFonts w:eastAsia="仿宋_GB2312"/>
                <w:color w:val="auto"/>
                <w:sz w:val="30"/>
                <w:szCs w:val="30"/>
                <w:highlight w:val="none"/>
              </w:rPr>
            </w:pPr>
          </w:p>
        </w:tc>
        <w:tc>
          <w:tcPr>
            <w:tcW w:w="921" w:type="dxa"/>
            <w:noWrap w:val="0"/>
            <w:vAlign w:val="top"/>
          </w:tcPr>
          <w:p w14:paraId="3D7065DF">
            <w:pPr>
              <w:rPr>
                <w:rFonts w:eastAsia="仿宋_GB2312"/>
                <w:color w:val="auto"/>
                <w:sz w:val="30"/>
                <w:szCs w:val="30"/>
                <w:highlight w:val="none"/>
              </w:rPr>
            </w:pPr>
          </w:p>
        </w:tc>
      </w:tr>
      <w:tr w14:paraId="2696E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38D624BF">
            <w:pPr>
              <w:rPr>
                <w:rFonts w:eastAsia="仿宋_GB2312"/>
                <w:color w:val="auto"/>
                <w:sz w:val="30"/>
                <w:szCs w:val="30"/>
                <w:highlight w:val="none"/>
              </w:rPr>
            </w:pPr>
          </w:p>
        </w:tc>
        <w:tc>
          <w:tcPr>
            <w:tcW w:w="1418" w:type="dxa"/>
            <w:noWrap w:val="0"/>
            <w:vAlign w:val="top"/>
          </w:tcPr>
          <w:p w14:paraId="54CA8742">
            <w:pPr>
              <w:rPr>
                <w:rFonts w:eastAsia="仿宋_GB2312"/>
                <w:color w:val="auto"/>
                <w:sz w:val="30"/>
                <w:szCs w:val="30"/>
                <w:highlight w:val="none"/>
              </w:rPr>
            </w:pPr>
          </w:p>
        </w:tc>
        <w:tc>
          <w:tcPr>
            <w:tcW w:w="850" w:type="dxa"/>
            <w:noWrap w:val="0"/>
            <w:vAlign w:val="top"/>
          </w:tcPr>
          <w:p w14:paraId="11F544EF">
            <w:pPr>
              <w:rPr>
                <w:rFonts w:eastAsia="仿宋_GB2312"/>
                <w:color w:val="auto"/>
                <w:sz w:val="30"/>
                <w:szCs w:val="30"/>
                <w:highlight w:val="none"/>
              </w:rPr>
            </w:pPr>
          </w:p>
        </w:tc>
        <w:tc>
          <w:tcPr>
            <w:tcW w:w="1058" w:type="dxa"/>
            <w:noWrap w:val="0"/>
            <w:vAlign w:val="top"/>
          </w:tcPr>
          <w:p w14:paraId="1D65F127">
            <w:pPr>
              <w:rPr>
                <w:rFonts w:eastAsia="仿宋_GB2312"/>
                <w:color w:val="auto"/>
                <w:sz w:val="30"/>
                <w:szCs w:val="30"/>
                <w:highlight w:val="none"/>
              </w:rPr>
            </w:pPr>
          </w:p>
        </w:tc>
        <w:tc>
          <w:tcPr>
            <w:tcW w:w="880" w:type="dxa"/>
            <w:noWrap w:val="0"/>
            <w:vAlign w:val="top"/>
          </w:tcPr>
          <w:p w14:paraId="5902AEDC">
            <w:pPr>
              <w:rPr>
                <w:rFonts w:eastAsia="仿宋_GB2312"/>
                <w:color w:val="auto"/>
                <w:sz w:val="30"/>
                <w:szCs w:val="30"/>
                <w:highlight w:val="none"/>
              </w:rPr>
            </w:pPr>
          </w:p>
        </w:tc>
        <w:tc>
          <w:tcPr>
            <w:tcW w:w="1020" w:type="dxa"/>
            <w:noWrap w:val="0"/>
            <w:vAlign w:val="top"/>
          </w:tcPr>
          <w:p w14:paraId="3B1CE622">
            <w:pPr>
              <w:rPr>
                <w:rFonts w:eastAsia="仿宋_GB2312"/>
                <w:color w:val="auto"/>
                <w:sz w:val="30"/>
                <w:szCs w:val="30"/>
                <w:highlight w:val="none"/>
              </w:rPr>
            </w:pPr>
          </w:p>
        </w:tc>
        <w:tc>
          <w:tcPr>
            <w:tcW w:w="1480" w:type="dxa"/>
            <w:noWrap w:val="0"/>
            <w:vAlign w:val="top"/>
          </w:tcPr>
          <w:p w14:paraId="4CF3DE2F">
            <w:pPr>
              <w:rPr>
                <w:rFonts w:eastAsia="仿宋_GB2312"/>
                <w:color w:val="auto"/>
                <w:sz w:val="30"/>
                <w:szCs w:val="30"/>
                <w:highlight w:val="none"/>
              </w:rPr>
            </w:pPr>
          </w:p>
        </w:tc>
        <w:tc>
          <w:tcPr>
            <w:tcW w:w="1020" w:type="dxa"/>
            <w:noWrap w:val="0"/>
            <w:vAlign w:val="top"/>
          </w:tcPr>
          <w:p w14:paraId="359B017E">
            <w:pPr>
              <w:rPr>
                <w:rFonts w:eastAsia="仿宋_GB2312"/>
                <w:color w:val="auto"/>
                <w:sz w:val="30"/>
                <w:szCs w:val="30"/>
                <w:highlight w:val="none"/>
              </w:rPr>
            </w:pPr>
          </w:p>
        </w:tc>
        <w:tc>
          <w:tcPr>
            <w:tcW w:w="921" w:type="dxa"/>
            <w:noWrap w:val="0"/>
            <w:vAlign w:val="top"/>
          </w:tcPr>
          <w:p w14:paraId="4D3D83E4">
            <w:pPr>
              <w:rPr>
                <w:rFonts w:eastAsia="仿宋_GB2312"/>
                <w:color w:val="auto"/>
                <w:sz w:val="30"/>
                <w:szCs w:val="30"/>
                <w:highlight w:val="none"/>
              </w:rPr>
            </w:pPr>
          </w:p>
        </w:tc>
      </w:tr>
    </w:tbl>
    <w:p w14:paraId="5F256A39">
      <w:pPr>
        <w:spacing w:line="440" w:lineRule="exact"/>
        <w:rPr>
          <w:rFonts w:eastAsia="仿宋_GB2312"/>
          <w:color w:val="auto"/>
          <w:sz w:val="30"/>
          <w:szCs w:val="30"/>
          <w:highlight w:val="none"/>
        </w:rPr>
        <w:sectPr>
          <w:pgSz w:w="11907" w:h="16840"/>
          <w:pgMar w:top="1440" w:right="1440" w:bottom="1440" w:left="1797" w:header="851" w:footer="851" w:gutter="0"/>
          <w:cols w:space="720" w:num="1"/>
          <w:docGrid w:linePitch="312" w:charSpace="0"/>
        </w:sectPr>
      </w:pPr>
    </w:p>
    <w:p w14:paraId="3A483201">
      <w:pPr>
        <w:spacing w:line="440" w:lineRule="exact"/>
        <w:jc w:val="left"/>
        <w:rPr>
          <w:rFonts w:eastAsia="黑体"/>
          <w:color w:val="auto"/>
          <w:sz w:val="30"/>
          <w:szCs w:val="30"/>
          <w:highlight w:val="none"/>
        </w:rPr>
      </w:pPr>
      <w:r>
        <w:rPr>
          <w:rFonts w:hint="eastAsia" w:eastAsia="仿宋_GB2312" w:cs="仿宋_GB2312"/>
          <w:color w:val="auto"/>
          <w:sz w:val="30"/>
          <w:szCs w:val="30"/>
          <w:highlight w:val="none"/>
        </w:rPr>
        <w:t>附</w:t>
      </w:r>
      <w:bookmarkStart w:id="859" w:name="_Toc296347227"/>
      <w:bookmarkStart w:id="860" w:name="_Toc296346729"/>
      <w:bookmarkStart w:id="861" w:name="_Toc296891056"/>
      <w:bookmarkStart w:id="862" w:name="_Toc267261699"/>
      <w:bookmarkStart w:id="863" w:name="_Toc296503228"/>
      <w:bookmarkStart w:id="864" w:name="_Toc296891268"/>
      <w:bookmarkStart w:id="865" w:name="_Toc296944567"/>
      <w:r>
        <w:rPr>
          <w:rFonts w:hint="eastAsia" w:eastAsia="仿宋_GB2312" w:cs="仿宋_GB2312"/>
          <w:color w:val="auto"/>
          <w:sz w:val="30"/>
          <w:szCs w:val="30"/>
          <w:highlight w:val="none"/>
        </w:rPr>
        <w:t>件</w:t>
      </w:r>
      <w:r>
        <w:rPr>
          <w:rFonts w:hint="eastAsia" w:eastAsia="仿宋_GB2312"/>
          <w:color w:val="auto"/>
          <w:sz w:val="30"/>
          <w:szCs w:val="30"/>
          <w:highlight w:val="none"/>
        </w:rPr>
        <w:t>5</w:t>
      </w:r>
      <w:r>
        <w:rPr>
          <w:rFonts w:hint="eastAsia" w:eastAsia="仿宋_GB2312" w:cs="仿宋_GB2312"/>
          <w:color w:val="auto"/>
          <w:sz w:val="30"/>
          <w:szCs w:val="30"/>
          <w:highlight w:val="none"/>
        </w:rPr>
        <w:t>：</w:t>
      </w:r>
    </w:p>
    <w:bookmarkEnd w:id="859"/>
    <w:bookmarkEnd w:id="860"/>
    <w:bookmarkEnd w:id="861"/>
    <w:bookmarkEnd w:id="862"/>
    <w:bookmarkEnd w:id="863"/>
    <w:bookmarkEnd w:id="864"/>
    <w:bookmarkEnd w:id="865"/>
    <w:p w14:paraId="1B2BBEE6">
      <w:pPr>
        <w:spacing w:before="120" w:beforeLines="50" w:after="120" w:afterLines="50" w:line="440" w:lineRule="exact"/>
        <w:jc w:val="center"/>
        <w:rPr>
          <w:rFonts w:eastAsia="黑体"/>
          <w:color w:val="auto"/>
          <w:sz w:val="30"/>
          <w:szCs w:val="30"/>
          <w:highlight w:val="none"/>
        </w:rPr>
      </w:pPr>
      <w:r>
        <w:rPr>
          <w:rFonts w:hint="eastAsia" w:eastAsia="黑体" w:cs="黑体"/>
          <w:color w:val="auto"/>
          <w:sz w:val="30"/>
          <w:szCs w:val="30"/>
          <w:highlight w:val="none"/>
        </w:rPr>
        <w:t>承包人主要施工管理人员表</w:t>
      </w:r>
    </w:p>
    <w:tbl>
      <w:tblPr>
        <w:tblStyle w:val="5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134"/>
        <w:gridCol w:w="1134"/>
        <w:gridCol w:w="4252"/>
      </w:tblGrid>
      <w:tr w14:paraId="4B2EA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72907664">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名</w:t>
            </w:r>
            <w:r>
              <w:rPr>
                <w:rFonts w:eastAsia="仿宋_GB2312"/>
                <w:color w:val="auto"/>
                <w:sz w:val="28"/>
                <w:szCs w:val="28"/>
                <w:highlight w:val="none"/>
              </w:rPr>
              <w:t xml:space="preserve">    </w:t>
            </w:r>
            <w:r>
              <w:rPr>
                <w:rFonts w:hint="eastAsia" w:eastAsia="仿宋_GB2312" w:cs="仿宋_GB2312"/>
                <w:color w:val="auto"/>
                <w:sz w:val="28"/>
                <w:szCs w:val="28"/>
                <w:highlight w:val="none"/>
              </w:rPr>
              <w:t>称</w:t>
            </w:r>
          </w:p>
        </w:tc>
        <w:tc>
          <w:tcPr>
            <w:tcW w:w="1418" w:type="dxa"/>
            <w:noWrap w:val="0"/>
            <w:vAlign w:val="center"/>
          </w:tcPr>
          <w:p w14:paraId="6B2C3376">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姓名</w:t>
            </w:r>
          </w:p>
        </w:tc>
        <w:tc>
          <w:tcPr>
            <w:tcW w:w="1134" w:type="dxa"/>
            <w:noWrap w:val="0"/>
            <w:vAlign w:val="center"/>
          </w:tcPr>
          <w:p w14:paraId="7FFB697F">
            <w:pPr>
              <w:pStyle w:val="21"/>
              <w:keepNext/>
              <w:spacing w:after="0" w:line="440" w:lineRule="exact"/>
              <w:ind w:left="63" w:right="63"/>
              <w:rPr>
                <w:rFonts w:eastAsia="仿宋_GB2312"/>
                <w:color w:val="auto"/>
                <w:sz w:val="30"/>
                <w:szCs w:val="30"/>
                <w:highlight w:val="none"/>
              </w:rPr>
            </w:pPr>
            <w:r>
              <w:rPr>
                <w:rFonts w:hint="eastAsia" w:eastAsia="仿宋_GB2312" w:cs="仿宋_GB2312"/>
                <w:color w:val="auto"/>
                <w:sz w:val="30"/>
                <w:szCs w:val="30"/>
                <w:highlight w:val="none"/>
              </w:rPr>
              <w:t>职务</w:t>
            </w:r>
          </w:p>
        </w:tc>
        <w:tc>
          <w:tcPr>
            <w:tcW w:w="1134" w:type="dxa"/>
            <w:noWrap w:val="0"/>
            <w:vAlign w:val="center"/>
          </w:tcPr>
          <w:p w14:paraId="3AE30BAB">
            <w:pPr>
              <w:pStyle w:val="21"/>
              <w:keepNext/>
              <w:spacing w:after="0" w:line="440" w:lineRule="exact"/>
              <w:ind w:left="63" w:right="63"/>
              <w:rPr>
                <w:rFonts w:eastAsia="仿宋_GB2312"/>
                <w:color w:val="auto"/>
                <w:sz w:val="30"/>
                <w:szCs w:val="30"/>
                <w:highlight w:val="none"/>
              </w:rPr>
            </w:pPr>
            <w:r>
              <w:rPr>
                <w:rFonts w:hint="eastAsia" w:eastAsia="仿宋_GB2312" w:cs="仿宋_GB2312"/>
                <w:color w:val="auto"/>
                <w:sz w:val="30"/>
                <w:szCs w:val="30"/>
                <w:highlight w:val="none"/>
              </w:rPr>
              <w:t>职称</w:t>
            </w:r>
          </w:p>
        </w:tc>
        <w:tc>
          <w:tcPr>
            <w:tcW w:w="4252" w:type="dxa"/>
            <w:noWrap w:val="0"/>
            <w:vAlign w:val="center"/>
          </w:tcPr>
          <w:p w14:paraId="391CA4F9">
            <w:pPr>
              <w:pStyle w:val="21"/>
              <w:keepNext/>
              <w:spacing w:after="0" w:line="440" w:lineRule="exact"/>
              <w:ind w:left="0" w:leftChars="0" w:right="63"/>
              <w:rPr>
                <w:rFonts w:eastAsia="仿宋_GB2312"/>
                <w:color w:val="auto"/>
                <w:sz w:val="30"/>
                <w:szCs w:val="30"/>
                <w:highlight w:val="none"/>
              </w:rPr>
            </w:pPr>
            <w:r>
              <w:rPr>
                <w:rFonts w:hint="eastAsia" w:eastAsia="仿宋_GB2312" w:cs="仿宋_GB2312"/>
                <w:color w:val="auto"/>
                <w:sz w:val="30"/>
                <w:szCs w:val="30"/>
                <w:highlight w:val="none"/>
              </w:rPr>
              <w:t>计划进场时间</w:t>
            </w:r>
          </w:p>
        </w:tc>
      </w:tr>
      <w:tr w14:paraId="78EF4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6F6CB20C">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一、总部人员</w:t>
            </w:r>
          </w:p>
        </w:tc>
      </w:tr>
      <w:tr w14:paraId="27421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500221C7">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项目主管</w:t>
            </w:r>
          </w:p>
        </w:tc>
        <w:tc>
          <w:tcPr>
            <w:tcW w:w="1418" w:type="dxa"/>
            <w:noWrap w:val="0"/>
            <w:vAlign w:val="center"/>
          </w:tcPr>
          <w:p w14:paraId="0C5BB652">
            <w:pPr>
              <w:pStyle w:val="21"/>
              <w:keepNext/>
              <w:spacing w:after="0" w:line="440" w:lineRule="exact"/>
              <w:ind w:left="63" w:right="63"/>
              <w:rPr>
                <w:rFonts w:eastAsia="仿宋_GB2312"/>
                <w:color w:val="auto"/>
                <w:sz w:val="28"/>
                <w:szCs w:val="28"/>
                <w:highlight w:val="none"/>
              </w:rPr>
            </w:pPr>
          </w:p>
        </w:tc>
        <w:tc>
          <w:tcPr>
            <w:tcW w:w="1134" w:type="dxa"/>
            <w:noWrap w:val="0"/>
            <w:vAlign w:val="center"/>
          </w:tcPr>
          <w:p w14:paraId="73DB0A1D">
            <w:pPr>
              <w:pStyle w:val="21"/>
              <w:keepNext/>
              <w:spacing w:after="0" w:line="440" w:lineRule="exact"/>
              <w:ind w:left="63" w:right="63"/>
              <w:rPr>
                <w:rFonts w:eastAsia="仿宋_GB2312"/>
                <w:color w:val="auto"/>
                <w:sz w:val="30"/>
                <w:szCs w:val="30"/>
                <w:highlight w:val="none"/>
              </w:rPr>
            </w:pPr>
          </w:p>
        </w:tc>
        <w:tc>
          <w:tcPr>
            <w:tcW w:w="1134" w:type="dxa"/>
            <w:noWrap w:val="0"/>
            <w:vAlign w:val="center"/>
          </w:tcPr>
          <w:p w14:paraId="39C38F3A">
            <w:pPr>
              <w:pStyle w:val="21"/>
              <w:keepNext/>
              <w:spacing w:after="0" w:line="440" w:lineRule="exact"/>
              <w:ind w:left="63" w:right="63"/>
              <w:rPr>
                <w:rFonts w:eastAsia="仿宋_GB2312"/>
                <w:color w:val="auto"/>
                <w:sz w:val="30"/>
                <w:szCs w:val="30"/>
                <w:highlight w:val="none"/>
              </w:rPr>
            </w:pPr>
          </w:p>
        </w:tc>
        <w:tc>
          <w:tcPr>
            <w:tcW w:w="4252" w:type="dxa"/>
            <w:noWrap w:val="0"/>
            <w:vAlign w:val="center"/>
          </w:tcPr>
          <w:p w14:paraId="40E77E01">
            <w:pPr>
              <w:pStyle w:val="21"/>
              <w:keepNext/>
              <w:spacing w:after="0" w:line="440" w:lineRule="exact"/>
              <w:ind w:left="63" w:right="63"/>
              <w:rPr>
                <w:rFonts w:eastAsia="仿宋_GB2312"/>
                <w:color w:val="auto"/>
                <w:sz w:val="30"/>
                <w:szCs w:val="30"/>
                <w:highlight w:val="none"/>
              </w:rPr>
            </w:pPr>
          </w:p>
        </w:tc>
      </w:tr>
      <w:tr w14:paraId="44D1E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1C333209">
            <w:pPr>
              <w:pStyle w:val="21"/>
              <w:keepNext/>
              <w:spacing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其他人员</w:t>
            </w:r>
          </w:p>
        </w:tc>
        <w:tc>
          <w:tcPr>
            <w:tcW w:w="1418" w:type="dxa"/>
            <w:noWrap w:val="0"/>
            <w:vAlign w:val="center"/>
          </w:tcPr>
          <w:p w14:paraId="246CB1C4">
            <w:pPr>
              <w:pStyle w:val="21"/>
              <w:keepNext/>
              <w:spacing w:after="0" w:line="440" w:lineRule="exact"/>
              <w:ind w:left="63" w:right="63"/>
              <w:rPr>
                <w:rFonts w:eastAsia="仿宋_GB2312"/>
                <w:color w:val="auto"/>
                <w:sz w:val="28"/>
                <w:szCs w:val="28"/>
                <w:highlight w:val="none"/>
              </w:rPr>
            </w:pPr>
          </w:p>
        </w:tc>
        <w:tc>
          <w:tcPr>
            <w:tcW w:w="1134" w:type="dxa"/>
            <w:noWrap w:val="0"/>
            <w:vAlign w:val="center"/>
          </w:tcPr>
          <w:p w14:paraId="518BEAB2">
            <w:pPr>
              <w:pStyle w:val="21"/>
              <w:keepNext/>
              <w:spacing w:after="0" w:line="440" w:lineRule="exact"/>
              <w:ind w:left="63" w:right="63"/>
              <w:rPr>
                <w:rFonts w:eastAsia="仿宋_GB2312"/>
                <w:color w:val="auto"/>
                <w:sz w:val="30"/>
                <w:szCs w:val="30"/>
                <w:highlight w:val="none"/>
              </w:rPr>
            </w:pPr>
          </w:p>
        </w:tc>
        <w:tc>
          <w:tcPr>
            <w:tcW w:w="1134" w:type="dxa"/>
            <w:noWrap w:val="0"/>
            <w:vAlign w:val="center"/>
          </w:tcPr>
          <w:p w14:paraId="184A5B8C">
            <w:pPr>
              <w:pStyle w:val="21"/>
              <w:keepNext/>
              <w:spacing w:after="0" w:line="440" w:lineRule="exact"/>
              <w:ind w:left="63" w:right="63"/>
              <w:rPr>
                <w:rFonts w:eastAsia="仿宋_GB2312"/>
                <w:color w:val="auto"/>
                <w:sz w:val="30"/>
                <w:szCs w:val="30"/>
                <w:highlight w:val="none"/>
              </w:rPr>
            </w:pPr>
          </w:p>
        </w:tc>
        <w:tc>
          <w:tcPr>
            <w:tcW w:w="4252" w:type="dxa"/>
            <w:noWrap w:val="0"/>
            <w:vAlign w:val="center"/>
          </w:tcPr>
          <w:p w14:paraId="7A9A42C3">
            <w:pPr>
              <w:pStyle w:val="21"/>
              <w:keepNext/>
              <w:spacing w:after="0" w:line="440" w:lineRule="exact"/>
              <w:ind w:left="63" w:right="63"/>
              <w:rPr>
                <w:rFonts w:eastAsia="仿宋_GB2312"/>
                <w:color w:val="auto"/>
                <w:sz w:val="30"/>
                <w:szCs w:val="30"/>
                <w:highlight w:val="none"/>
              </w:rPr>
            </w:pPr>
          </w:p>
        </w:tc>
      </w:tr>
      <w:tr w14:paraId="5C6E8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6ADB6BEF">
            <w:pPr>
              <w:pStyle w:val="21"/>
              <w:keepNext/>
              <w:spacing w:after="0" w:line="440" w:lineRule="exact"/>
              <w:ind w:left="63" w:right="63"/>
              <w:rPr>
                <w:rFonts w:eastAsia="仿宋_GB2312"/>
                <w:color w:val="auto"/>
                <w:sz w:val="28"/>
                <w:szCs w:val="28"/>
                <w:highlight w:val="none"/>
              </w:rPr>
            </w:pPr>
          </w:p>
        </w:tc>
        <w:tc>
          <w:tcPr>
            <w:tcW w:w="1418" w:type="dxa"/>
            <w:noWrap w:val="0"/>
            <w:vAlign w:val="center"/>
          </w:tcPr>
          <w:p w14:paraId="4F8DE50B">
            <w:pPr>
              <w:pStyle w:val="21"/>
              <w:keepNext/>
              <w:spacing w:after="0" w:line="440" w:lineRule="exact"/>
              <w:ind w:left="63" w:right="63"/>
              <w:rPr>
                <w:rFonts w:eastAsia="仿宋_GB2312"/>
                <w:color w:val="auto"/>
                <w:sz w:val="28"/>
                <w:szCs w:val="28"/>
                <w:highlight w:val="none"/>
              </w:rPr>
            </w:pPr>
          </w:p>
        </w:tc>
        <w:tc>
          <w:tcPr>
            <w:tcW w:w="1134" w:type="dxa"/>
            <w:noWrap w:val="0"/>
            <w:vAlign w:val="center"/>
          </w:tcPr>
          <w:p w14:paraId="2B13EEA0">
            <w:pPr>
              <w:pStyle w:val="21"/>
              <w:keepNext/>
              <w:spacing w:after="0" w:line="440" w:lineRule="exact"/>
              <w:ind w:left="63" w:right="63"/>
              <w:rPr>
                <w:rFonts w:eastAsia="仿宋_GB2312"/>
                <w:color w:val="auto"/>
                <w:sz w:val="30"/>
                <w:szCs w:val="30"/>
                <w:highlight w:val="none"/>
              </w:rPr>
            </w:pPr>
          </w:p>
        </w:tc>
        <w:tc>
          <w:tcPr>
            <w:tcW w:w="1134" w:type="dxa"/>
            <w:noWrap w:val="0"/>
            <w:vAlign w:val="center"/>
          </w:tcPr>
          <w:p w14:paraId="212C22AD">
            <w:pPr>
              <w:pStyle w:val="21"/>
              <w:keepNext/>
              <w:spacing w:after="0" w:line="440" w:lineRule="exact"/>
              <w:ind w:left="63" w:right="63"/>
              <w:rPr>
                <w:rFonts w:eastAsia="仿宋_GB2312"/>
                <w:color w:val="auto"/>
                <w:sz w:val="30"/>
                <w:szCs w:val="30"/>
                <w:highlight w:val="none"/>
              </w:rPr>
            </w:pPr>
          </w:p>
        </w:tc>
        <w:tc>
          <w:tcPr>
            <w:tcW w:w="4252" w:type="dxa"/>
            <w:noWrap w:val="0"/>
            <w:vAlign w:val="center"/>
          </w:tcPr>
          <w:p w14:paraId="31F93EBA">
            <w:pPr>
              <w:pStyle w:val="21"/>
              <w:keepNext/>
              <w:spacing w:after="0" w:line="440" w:lineRule="exact"/>
              <w:ind w:left="63" w:right="63"/>
              <w:rPr>
                <w:rFonts w:eastAsia="仿宋_GB2312"/>
                <w:color w:val="auto"/>
                <w:sz w:val="30"/>
                <w:szCs w:val="30"/>
                <w:highlight w:val="none"/>
              </w:rPr>
            </w:pPr>
          </w:p>
        </w:tc>
      </w:tr>
      <w:tr w14:paraId="72FBE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392720B6">
            <w:pPr>
              <w:pStyle w:val="21"/>
              <w:keepNext/>
              <w:spacing w:after="0" w:line="440" w:lineRule="exact"/>
              <w:ind w:left="63" w:right="63"/>
              <w:rPr>
                <w:rFonts w:eastAsia="仿宋_GB2312"/>
                <w:color w:val="auto"/>
                <w:sz w:val="28"/>
                <w:szCs w:val="28"/>
                <w:highlight w:val="none"/>
              </w:rPr>
            </w:pPr>
          </w:p>
        </w:tc>
        <w:tc>
          <w:tcPr>
            <w:tcW w:w="1418" w:type="dxa"/>
            <w:noWrap w:val="0"/>
            <w:vAlign w:val="center"/>
          </w:tcPr>
          <w:p w14:paraId="6D0984AD">
            <w:pPr>
              <w:pStyle w:val="21"/>
              <w:keepNext/>
              <w:spacing w:after="0" w:line="440" w:lineRule="exact"/>
              <w:ind w:left="63" w:right="63"/>
              <w:rPr>
                <w:rFonts w:eastAsia="仿宋_GB2312"/>
                <w:color w:val="auto"/>
                <w:sz w:val="28"/>
                <w:szCs w:val="28"/>
                <w:highlight w:val="none"/>
              </w:rPr>
            </w:pPr>
          </w:p>
        </w:tc>
        <w:tc>
          <w:tcPr>
            <w:tcW w:w="1134" w:type="dxa"/>
            <w:noWrap w:val="0"/>
            <w:vAlign w:val="center"/>
          </w:tcPr>
          <w:p w14:paraId="658F8CA6">
            <w:pPr>
              <w:pStyle w:val="21"/>
              <w:keepNext/>
              <w:spacing w:after="0" w:line="440" w:lineRule="exact"/>
              <w:ind w:left="63" w:right="63"/>
              <w:rPr>
                <w:rFonts w:eastAsia="仿宋_GB2312"/>
                <w:color w:val="auto"/>
                <w:sz w:val="30"/>
                <w:szCs w:val="30"/>
                <w:highlight w:val="none"/>
              </w:rPr>
            </w:pPr>
          </w:p>
        </w:tc>
        <w:tc>
          <w:tcPr>
            <w:tcW w:w="1134" w:type="dxa"/>
            <w:noWrap w:val="0"/>
            <w:vAlign w:val="center"/>
          </w:tcPr>
          <w:p w14:paraId="75C528BA">
            <w:pPr>
              <w:pStyle w:val="21"/>
              <w:keepNext/>
              <w:spacing w:after="0" w:line="440" w:lineRule="exact"/>
              <w:ind w:left="63" w:right="63"/>
              <w:rPr>
                <w:rFonts w:eastAsia="仿宋_GB2312"/>
                <w:color w:val="auto"/>
                <w:sz w:val="30"/>
                <w:szCs w:val="30"/>
                <w:highlight w:val="none"/>
              </w:rPr>
            </w:pPr>
          </w:p>
        </w:tc>
        <w:tc>
          <w:tcPr>
            <w:tcW w:w="4252" w:type="dxa"/>
            <w:noWrap w:val="0"/>
            <w:vAlign w:val="center"/>
          </w:tcPr>
          <w:p w14:paraId="1E7D978B">
            <w:pPr>
              <w:pStyle w:val="21"/>
              <w:keepNext/>
              <w:spacing w:after="0" w:line="440" w:lineRule="exact"/>
              <w:ind w:left="63" w:right="63"/>
              <w:rPr>
                <w:rFonts w:eastAsia="仿宋_GB2312"/>
                <w:color w:val="auto"/>
                <w:sz w:val="30"/>
                <w:szCs w:val="30"/>
                <w:highlight w:val="none"/>
              </w:rPr>
            </w:pPr>
          </w:p>
        </w:tc>
      </w:tr>
      <w:tr w14:paraId="679ED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423C7412">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二、现场人员</w:t>
            </w:r>
          </w:p>
        </w:tc>
      </w:tr>
      <w:tr w14:paraId="632C0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6F23D4A9">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项目经理</w:t>
            </w:r>
          </w:p>
        </w:tc>
        <w:tc>
          <w:tcPr>
            <w:tcW w:w="1418" w:type="dxa"/>
            <w:noWrap w:val="0"/>
            <w:vAlign w:val="center"/>
          </w:tcPr>
          <w:p w14:paraId="5BFED9C0">
            <w:pPr>
              <w:pStyle w:val="21"/>
              <w:keepNext/>
              <w:spacing w:after="0" w:line="440" w:lineRule="exact"/>
              <w:ind w:left="63" w:right="63"/>
              <w:rPr>
                <w:rFonts w:eastAsia="仿宋_GB2312"/>
                <w:color w:val="auto"/>
                <w:sz w:val="28"/>
                <w:szCs w:val="28"/>
                <w:highlight w:val="none"/>
              </w:rPr>
            </w:pPr>
          </w:p>
        </w:tc>
        <w:tc>
          <w:tcPr>
            <w:tcW w:w="1134" w:type="dxa"/>
            <w:noWrap w:val="0"/>
            <w:vAlign w:val="center"/>
          </w:tcPr>
          <w:p w14:paraId="5BD86CA8">
            <w:pPr>
              <w:pStyle w:val="21"/>
              <w:keepNext/>
              <w:spacing w:after="0" w:line="440" w:lineRule="exact"/>
              <w:ind w:left="63" w:right="63"/>
              <w:rPr>
                <w:rFonts w:eastAsia="仿宋_GB2312"/>
                <w:color w:val="auto"/>
                <w:sz w:val="30"/>
                <w:szCs w:val="30"/>
                <w:highlight w:val="none"/>
              </w:rPr>
            </w:pPr>
          </w:p>
        </w:tc>
        <w:tc>
          <w:tcPr>
            <w:tcW w:w="1134" w:type="dxa"/>
            <w:noWrap w:val="0"/>
            <w:vAlign w:val="center"/>
          </w:tcPr>
          <w:p w14:paraId="795872A0">
            <w:pPr>
              <w:pStyle w:val="21"/>
              <w:keepNext/>
              <w:spacing w:after="0" w:line="440" w:lineRule="exact"/>
              <w:ind w:left="63" w:right="63"/>
              <w:rPr>
                <w:rFonts w:eastAsia="仿宋_GB2312"/>
                <w:color w:val="auto"/>
                <w:sz w:val="30"/>
                <w:szCs w:val="30"/>
                <w:highlight w:val="none"/>
              </w:rPr>
            </w:pPr>
          </w:p>
        </w:tc>
        <w:tc>
          <w:tcPr>
            <w:tcW w:w="4252" w:type="dxa"/>
            <w:noWrap w:val="0"/>
            <w:vAlign w:val="center"/>
          </w:tcPr>
          <w:p w14:paraId="776CFBA6">
            <w:pPr>
              <w:pStyle w:val="21"/>
              <w:keepNext/>
              <w:spacing w:after="0" w:line="440" w:lineRule="exact"/>
              <w:ind w:left="63" w:right="63"/>
              <w:rPr>
                <w:rFonts w:eastAsia="仿宋_GB2312"/>
                <w:color w:val="auto"/>
                <w:sz w:val="30"/>
                <w:szCs w:val="30"/>
                <w:highlight w:val="none"/>
              </w:rPr>
            </w:pPr>
          </w:p>
        </w:tc>
      </w:tr>
      <w:tr w14:paraId="18DDF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0111ED31">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项目副经理</w:t>
            </w:r>
          </w:p>
        </w:tc>
        <w:tc>
          <w:tcPr>
            <w:tcW w:w="1418" w:type="dxa"/>
            <w:noWrap w:val="0"/>
            <w:vAlign w:val="center"/>
          </w:tcPr>
          <w:p w14:paraId="0A1054BB">
            <w:pPr>
              <w:pStyle w:val="21"/>
              <w:keepNext/>
              <w:spacing w:after="0" w:line="440" w:lineRule="exact"/>
              <w:ind w:left="63" w:right="63"/>
              <w:rPr>
                <w:rFonts w:eastAsia="仿宋_GB2312"/>
                <w:color w:val="auto"/>
                <w:sz w:val="28"/>
                <w:szCs w:val="28"/>
                <w:highlight w:val="none"/>
              </w:rPr>
            </w:pPr>
          </w:p>
        </w:tc>
        <w:tc>
          <w:tcPr>
            <w:tcW w:w="1134" w:type="dxa"/>
            <w:noWrap w:val="0"/>
            <w:vAlign w:val="center"/>
          </w:tcPr>
          <w:p w14:paraId="39E244B3">
            <w:pPr>
              <w:pStyle w:val="21"/>
              <w:keepNext/>
              <w:spacing w:after="0" w:line="440" w:lineRule="exact"/>
              <w:ind w:left="63" w:right="63"/>
              <w:rPr>
                <w:rFonts w:eastAsia="仿宋_GB2312"/>
                <w:color w:val="auto"/>
                <w:sz w:val="30"/>
                <w:szCs w:val="30"/>
                <w:highlight w:val="none"/>
              </w:rPr>
            </w:pPr>
          </w:p>
        </w:tc>
        <w:tc>
          <w:tcPr>
            <w:tcW w:w="1134" w:type="dxa"/>
            <w:noWrap w:val="0"/>
            <w:vAlign w:val="center"/>
          </w:tcPr>
          <w:p w14:paraId="2AA15977">
            <w:pPr>
              <w:pStyle w:val="21"/>
              <w:keepNext/>
              <w:spacing w:after="0" w:line="440" w:lineRule="exact"/>
              <w:ind w:left="63" w:right="63"/>
              <w:rPr>
                <w:rFonts w:eastAsia="仿宋_GB2312"/>
                <w:color w:val="auto"/>
                <w:sz w:val="30"/>
                <w:szCs w:val="30"/>
                <w:highlight w:val="none"/>
              </w:rPr>
            </w:pPr>
          </w:p>
        </w:tc>
        <w:tc>
          <w:tcPr>
            <w:tcW w:w="4252" w:type="dxa"/>
            <w:noWrap w:val="0"/>
            <w:vAlign w:val="center"/>
          </w:tcPr>
          <w:p w14:paraId="2E2CFD41">
            <w:pPr>
              <w:pStyle w:val="21"/>
              <w:keepNext/>
              <w:spacing w:after="0" w:line="440" w:lineRule="exact"/>
              <w:ind w:left="63" w:right="63"/>
              <w:rPr>
                <w:rFonts w:eastAsia="仿宋_GB2312"/>
                <w:color w:val="auto"/>
                <w:sz w:val="30"/>
                <w:szCs w:val="30"/>
                <w:highlight w:val="none"/>
              </w:rPr>
            </w:pPr>
          </w:p>
        </w:tc>
      </w:tr>
      <w:tr w14:paraId="4E6E9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2DD1BEB5">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技术负责人</w:t>
            </w:r>
          </w:p>
        </w:tc>
        <w:tc>
          <w:tcPr>
            <w:tcW w:w="1418" w:type="dxa"/>
            <w:noWrap w:val="0"/>
            <w:vAlign w:val="center"/>
          </w:tcPr>
          <w:p w14:paraId="0556865F">
            <w:pPr>
              <w:pStyle w:val="21"/>
              <w:keepNext/>
              <w:spacing w:after="0" w:line="440" w:lineRule="exact"/>
              <w:ind w:left="63" w:right="63"/>
              <w:rPr>
                <w:rFonts w:eastAsia="仿宋_GB2312"/>
                <w:color w:val="auto"/>
                <w:sz w:val="28"/>
                <w:szCs w:val="28"/>
                <w:highlight w:val="none"/>
              </w:rPr>
            </w:pPr>
          </w:p>
        </w:tc>
        <w:tc>
          <w:tcPr>
            <w:tcW w:w="1134" w:type="dxa"/>
            <w:noWrap w:val="0"/>
            <w:vAlign w:val="center"/>
          </w:tcPr>
          <w:p w14:paraId="39E04ACA">
            <w:pPr>
              <w:pStyle w:val="21"/>
              <w:keepNext/>
              <w:spacing w:after="0" w:line="440" w:lineRule="exact"/>
              <w:ind w:left="63" w:right="63"/>
              <w:rPr>
                <w:rFonts w:eastAsia="仿宋_GB2312"/>
                <w:color w:val="auto"/>
                <w:sz w:val="30"/>
                <w:szCs w:val="30"/>
                <w:highlight w:val="none"/>
              </w:rPr>
            </w:pPr>
          </w:p>
        </w:tc>
        <w:tc>
          <w:tcPr>
            <w:tcW w:w="1134" w:type="dxa"/>
            <w:noWrap w:val="0"/>
            <w:vAlign w:val="center"/>
          </w:tcPr>
          <w:p w14:paraId="0AC0762C">
            <w:pPr>
              <w:pStyle w:val="21"/>
              <w:keepNext/>
              <w:spacing w:after="0" w:line="440" w:lineRule="exact"/>
              <w:ind w:left="63" w:right="63"/>
              <w:rPr>
                <w:rFonts w:eastAsia="仿宋_GB2312"/>
                <w:color w:val="auto"/>
                <w:sz w:val="30"/>
                <w:szCs w:val="30"/>
                <w:highlight w:val="none"/>
              </w:rPr>
            </w:pPr>
          </w:p>
        </w:tc>
        <w:tc>
          <w:tcPr>
            <w:tcW w:w="4252" w:type="dxa"/>
            <w:noWrap w:val="0"/>
            <w:vAlign w:val="center"/>
          </w:tcPr>
          <w:p w14:paraId="7919DE13">
            <w:pPr>
              <w:pStyle w:val="21"/>
              <w:keepNext/>
              <w:spacing w:after="0" w:line="440" w:lineRule="exact"/>
              <w:ind w:left="63" w:right="63"/>
              <w:rPr>
                <w:rFonts w:eastAsia="仿宋_GB2312"/>
                <w:color w:val="auto"/>
                <w:sz w:val="30"/>
                <w:szCs w:val="30"/>
                <w:highlight w:val="none"/>
              </w:rPr>
            </w:pPr>
          </w:p>
        </w:tc>
      </w:tr>
      <w:tr w14:paraId="0962A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12D853B4">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造价管理</w:t>
            </w:r>
          </w:p>
        </w:tc>
        <w:tc>
          <w:tcPr>
            <w:tcW w:w="1418" w:type="dxa"/>
            <w:noWrap w:val="0"/>
            <w:vAlign w:val="center"/>
          </w:tcPr>
          <w:p w14:paraId="02BEC823">
            <w:pPr>
              <w:pStyle w:val="21"/>
              <w:keepNext/>
              <w:spacing w:after="0" w:line="440" w:lineRule="exact"/>
              <w:ind w:left="63" w:right="63"/>
              <w:rPr>
                <w:rFonts w:eastAsia="仿宋_GB2312"/>
                <w:color w:val="auto"/>
                <w:sz w:val="28"/>
                <w:szCs w:val="28"/>
                <w:highlight w:val="none"/>
              </w:rPr>
            </w:pPr>
          </w:p>
        </w:tc>
        <w:tc>
          <w:tcPr>
            <w:tcW w:w="1134" w:type="dxa"/>
            <w:noWrap w:val="0"/>
            <w:vAlign w:val="center"/>
          </w:tcPr>
          <w:p w14:paraId="657605E9">
            <w:pPr>
              <w:pStyle w:val="21"/>
              <w:keepNext/>
              <w:spacing w:after="0" w:line="440" w:lineRule="exact"/>
              <w:ind w:left="63" w:right="63"/>
              <w:rPr>
                <w:rFonts w:eastAsia="仿宋_GB2312"/>
                <w:color w:val="auto"/>
                <w:sz w:val="30"/>
                <w:szCs w:val="30"/>
                <w:highlight w:val="none"/>
              </w:rPr>
            </w:pPr>
          </w:p>
        </w:tc>
        <w:tc>
          <w:tcPr>
            <w:tcW w:w="1134" w:type="dxa"/>
            <w:noWrap w:val="0"/>
            <w:vAlign w:val="center"/>
          </w:tcPr>
          <w:p w14:paraId="19E27685">
            <w:pPr>
              <w:pStyle w:val="21"/>
              <w:keepNext/>
              <w:spacing w:after="0" w:line="440" w:lineRule="exact"/>
              <w:ind w:left="63" w:right="63"/>
              <w:rPr>
                <w:rFonts w:eastAsia="仿宋_GB2312"/>
                <w:color w:val="auto"/>
                <w:sz w:val="30"/>
                <w:szCs w:val="30"/>
                <w:highlight w:val="none"/>
              </w:rPr>
            </w:pPr>
          </w:p>
        </w:tc>
        <w:tc>
          <w:tcPr>
            <w:tcW w:w="4252" w:type="dxa"/>
            <w:noWrap w:val="0"/>
            <w:vAlign w:val="center"/>
          </w:tcPr>
          <w:p w14:paraId="02B891DD">
            <w:pPr>
              <w:pStyle w:val="21"/>
              <w:keepNext/>
              <w:spacing w:after="0" w:line="440" w:lineRule="exact"/>
              <w:ind w:left="63" w:right="63"/>
              <w:rPr>
                <w:rFonts w:eastAsia="仿宋_GB2312"/>
                <w:color w:val="auto"/>
                <w:sz w:val="30"/>
                <w:szCs w:val="30"/>
                <w:highlight w:val="none"/>
              </w:rPr>
            </w:pPr>
          </w:p>
        </w:tc>
      </w:tr>
      <w:tr w14:paraId="3EAE0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576D4321">
            <w:pPr>
              <w:pStyle w:val="21"/>
              <w:keepNext/>
              <w:spacing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质量管理</w:t>
            </w:r>
          </w:p>
        </w:tc>
        <w:tc>
          <w:tcPr>
            <w:tcW w:w="1418" w:type="dxa"/>
            <w:noWrap w:val="0"/>
            <w:vAlign w:val="center"/>
          </w:tcPr>
          <w:p w14:paraId="49F7D8FB">
            <w:pPr>
              <w:pStyle w:val="21"/>
              <w:keepNext/>
              <w:spacing w:after="0" w:line="440" w:lineRule="exact"/>
              <w:ind w:left="63" w:right="63"/>
              <w:rPr>
                <w:rFonts w:eastAsia="仿宋_GB2312"/>
                <w:color w:val="auto"/>
                <w:sz w:val="28"/>
                <w:szCs w:val="28"/>
                <w:highlight w:val="none"/>
              </w:rPr>
            </w:pPr>
          </w:p>
        </w:tc>
        <w:tc>
          <w:tcPr>
            <w:tcW w:w="1134" w:type="dxa"/>
            <w:noWrap w:val="0"/>
            <w:vAlign w:val="center"/>
          </w:tcPr>
          <w:p w14:paraId="20D86763">
            <w:pPr>
              <w:pStyle w:val="21"/>
              <w:keepNext/>
              <w:spacing w:after="0" w:line="440" w:lineRule="exact"/>
              <w:ind w:left="63" w:right="63"/>
              <w:rPr>
                <w:rFonts w:eastAsia="仿宋_GB2312"/>
                <w:color w:val="auto"/>
                <w:sz w:val="30"/>
                <w:szCs w:val="30"/>
                <w:highlight w:val="none"/>
              </w:rPr>
            </w:pPr>
          </w:p>
        </w:tc>
        <w:tc>
          <w:tcPr>
            <w:tcW w:w="1134" w:type="dxa"/>
            <w:noWrap w:val="0"/>
            <w:vAlign w:val="center"/>
          </w:tcPr>
          <w:p w14:paraId="7C3B3296">
            <w:pPr>
              <w:pStyle w:val="21"/>
              <w:keepNext/>
              <w:spacing w:after="0" w:line="440" w:lineRule="exact"/>
              <w:ind w:left="63" w:right="63"/>
              <w:rPr>
                <w:rFonts w:eastAsia="仿宋_GB2312"/>
                <w:color w:val="auto"/>
                <w:sz w:val="30"/>
                <w:szCs w:val="30"/>
                <w:highlight w:val="none"/>
              </w:rPr>
            </w:pPr>
          </w:p>
        </w:tc>
        <w:tc>
          <w:tcPr>
            <w:tcW w:w="4252" w:type="dxa"/>
            <w:noWrap w:val="0"/>
            <w:vAlign w:val="center"/>
          </w:tcPr>
          <w:p w14:paraId="0041DDB7">
            <w:pPr>
              <w:pStyle w:val="21"/>
              <w:keepNext/>
              <w:spacing w:after="0" w:line="440" w:lineRule="exact"/>
              <w:ind w:left="63" w:right="63"/>
              <w:rPr>
                <w:rFonts w:eastAsia="仿宋_GB2312"/>
                <w:color w:val="auto"/>
                <w:sz w:val="30"/>
                <w:szCs w:val="30"/>
                <w:highlight w:val="none"/>
              </w:rPr>
            </w:pPr>
          </w:p>
        </w:tc>
      </w:tr>
      <w:tr w14:paraId="292A5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459ABD0C">
            <w:pPr>
              <w:pStyle w:val="21"/>
              <w:keepNext/>
              <w:spacing w:line="440" w:lineRule="exact"/>
              <w:ind w:left="63" w:right="63"/>
              <w:rPr>
                <w:rFonts w:eastAsia="仿宋_GB2312"/>
                <w:color w:val="auto"/>
                <w:sz w:val="28"/>
                <w:szCs w:val="28"/>
                <w:highlight w:val="none"/>
              </w:rPr>
            </w:pPr>
          </w:p>
        </w:tc>
        <w:tc>
          <w:tcPr>
            <w:tcW w:w="1418" w:type="dxa"/>
            <w:noWrap w:val="0"/>
            <w:vAlign w:val="center"/>
          </w:tcPr>
          <w:p w14:paraId="4F2B63D6">
            <w:pPr>
              <w:pStyle w:val="21"/>
              <w:keepNext/>
              <w:spacing w:after="0" w:line="440" w:lineRule="exact"/>
              <w:ind w:left="63" w:right="63"/>
              <w:rPr>
                <w:rFonts w:eastAsia="仿宋_GB2312"/>
                <w:color w:val="auto"/>
                <w:sz w:val="28"/>
                <w:szCs w:val="28"/>
                <w:highlight w:val="none"/>
              </w:rPr>
            </w:pPr>
          </w:p>
        </w:tc>
        <w:tc>
          <w:tcPr>
            <w:tcW w:w="1134" w:type="dxa"/>
            <w:noWrap w:val="0"/>
            <w:vAlign w:val="center"/>
          </w:tcPr>
          <w:p w14:paraId="3747F39B">
            <w:pPr>
              <w:pStyle w:val="21"/>
              <w:keepNext/>
              <w:spacing w:after="0" w:line="440" w:lineRule="exact"/>
              <w:ind w:left="63" w:right="63"/>
              <w:rPr>
                <w:rFonts w:eastAsia="仿宋_GB2312"/>
                <w:color w:val="auto"/>
                <w:sz w:val="30"/>
                <w:szCs w:val="30"/>
                <w:highlight w:val="none"/>
              </w:rPr>
            </w:pPr>
          </w:p>
        </w:tc>
        <w:tc>
          <w:tcPr>
            <w:tcW w:w="1134" w:type="dxa"/>
            <w:noWrap w:val="0"/>
            <w:vAlign w:val="center"/>
          </w:tcPr>
          <w:p w14:paraId="2A5EA8F9">
            <w:pPr>
              <w:pStyle w:val="21"/>
              <w:keepNext/>
              <w:spacing w:after="0" w:line="440" w:lineRule="exact"/>
              <w:ind w:left="63" w:right="63"/>
              <w:rPr>
                <w:rFonts w:eastAsia="仿宋_GB2312"/>
                <w:color w:val="auto"/>
                <w:sz w:val="30"/>
                <w:szCs w:val="30"/>
                <w:highlight w:val="none"/>
              </w:rPr>
            </w:pPr>
          </w:p>
        </w:tc>
        <w:tc>
          <w:tcPr>
            <w:tcW w:w="4252" w:type="dxa"/>
            <w:noWrap w:val="0"/>
            <w:vAlign w:val="center"/>
          </w:tcPr>
          <w:p w14:paraId="6F396B00">
            <w:pPr>
              <w:pStyle w:val="21"/>
              <w:keepNext/>
              <w:spacing w:after="0" w:line="440" w:lineRule="exact"/>
              <w:ind w:left="63" w:right="63"/>
              <w:rPr>
                <w:rFonts w:eastAsia="仿宋_GB2312"/>
                <w:color w:val="auto"/>
                <w:sz w:val="30"/>
                <w:szCs w:val="30"/>
                <w:highlight w:val="none"/>
              </w:rPr>
            </w:pPr>
          </w:p>
        </w:tc>
      </w:tr>
      <w:tr w14:paraId="72CEA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1154BD9A">
            <w:pPr>
              <w:pStyle w:val="21"/>
              <w:keepNext/>
              <w:spacing w:after="0" w:line="440" w:lineRule="exact"/>
              <w:ind w:left="63" w:right="63"/>
              <w:rPr>
                <w:rFonts w:eastAsia="仿宋_GB2312"/>
                <w:color w:val="auto"/>
                <w:sz w:val="28"/>
                <w:szCs w:val="28"/>
                <w:highlight w:val="none"/>
              </w:rPr>
            </w:pPr>
          </w:p>
        </w:tc>
        <w:tc>
          <w:tcPr>
            <w:tcW w:w="1418" w:type="dxa"/>
            <w:noWrap w:val="0"/>
            <w:vAlign w:val="center"/>
          </w:tcPr>
          <w:p w14:paraId="3D57F7D6">
            <w:pPr>
              <w:pStyle w:val="21"/>
              <w:keepNext/>
              <w:spacing w:after="0" w:line="440" w:lineRule="exact"/>
              <w:ind w:left="63" w:right="63"/>
              <w:rPr>
                <w:rFonts w:eastAsia="仿宋_GB2312"/>
                <w:color w:val="auto"/>
                <w:sz w:val="28"/>
                <w:szCs w:val="28"/>
                <w:highlight w:val="none"/>
              </w:rPr>
            </w:pPr>
          </w:p>
        </w:tc>
        <w:tc>
          <w:tcPr>
            <w:tcW w:w="1134" w:type="dxa"/>
            <w:noWrap w:val="0"/>
            <w:vAlign w:val="center"/>
          </w:tcPr>
          <w:p w14:paraId="2BD97AC7">
            <w:pPr>
              <w:pStyle w:val="21"/>
              <w:keepNext/>
              <w:spacing w:after="0" w:line="440" w:lineRule="exact"/>
              <w:ind w:left="63" w:right="63"/>
              <w:rPr>
                <w:rFonts w:eastAsia="仿宋_GB2312"/>
                <w:color w:val="auto"/>
                <w:sz w:val="30"/>
                <w:szCs w:val="30"/>
                <w:highlight w:val="none"/>
              </w:rPr>
            </w:pPr>
          </w:p>
        </w:tc>
        <w:tc>
          <w:tcPr>
            <w:tcW w:w="1134" w:type="dxa"/>
            <w:noWrap w:val="0"/>
            <w:vAlign w:val="center"/>
          </w:tcPr>
          <w:p w14:paraId="59866AE3">
            <w:pPr>
              <w:pStyle w:val="21"/>
              <w:keepNext/>
              <w:spacing w:after="0" w:line="440" w:lineRule="exact"/>
              <w:ind w:left="63" w:right="63"/>
              <w:rPr>
                <w:rFonts w:eastAsia="仿宋_GB2312"/>
                <w:color w:val="auto"/>
                <w:sz w:val="30"/>
                <w:szCs w:val="30"/>
                <w:highlight w:val="none"/>
              </w:rPr>
            </w:pPr>
          </w:p>
        </w:tc>
        <w:tc>
          <w:tcPr>
            <w:tcW w:w="4252" w:type="dxa"/>
            <w:noWrap w:val="0"/>
            <w:vAlign w:val="center"/>
          </w:tcPr>
          <w:p w14:paraId="20D3D0FD">
            <w:pPr>
              <w:pStyle w:val="21"/>
              <w:keepNext/>
              <w:spacing w:after="0" w:line="440" w:lineRule="exact"/>
              <w:ind w:left="63" w:right="63"/>
              <w:rPr>
                <w:rFonts w:eastAsia="仿宋_GB2312"/>
                <w:color w:val="auto"/>
                <w:sz w:val="30"/>
                <w:szCs w:val="30"/>
                <w:highlight w:val="none"/>
              </w:rPr>
            </w:pPr>
          </w:p>
        </w:tc>
      </w:tr>
      <w:tr w14:paraId="4C6A7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7D1AAC2A">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材料管理</w:t>
            </w:r>
          </w:p>
        </w:tc>
        <w:tc>
          <w:tcPr>
            <w:tcW w:w="1418" w:type="dxa"/>
            <w:noWrap w:val="0"/>
            <w:vAlign w:val="center"/>
          </w:tcPr>
          <w:p w14:paraId="763A8969">
            <w:pPr>
              <w:pStyle w:val="21"/>
              <w:keepNext/>
              <w:spacing w:after="0" w:line="440" w:lineRule="exact"/>
              <w:ind w:left="63" w:right="63"/>
              <w:rPr>
                <w:rFonts w:eastAsia="仿宋_GB2312"/>
                <w:color w:val="auto"/>
                <w:sz w:val="28"/>
                <w:szCs w:val="28"/>
                <w:highlight w:val="none"/>
              </w:rPr>
            </w:pPr>
          </w:p>
        </w:tc>
        <w:tc>
          <w:tcPr>
            <w:tcW w:w="1134" w:type="dxa"/>
            <w:noWrap w:val="0"/>
            <w:vAlign w:val="center"/>
          </w:tcPr>
          <w:p w14:paraId="4F42EFF3">
            <w:pPr>
              <w:pStyle w:val="21"/>
              <w:keepNext/>
              <w:spacing w:after="0" w:line="440" w:lineRule="exact"/>
              <w:ind w:left="63" w:right="63"/>
              <w:rPr>
                <w:rFonts w:eastAsia="仿宋_GB2312"/>
                <w:color w:val="auto"/>
                <w:sz w:val="30"/>
                <w:szCs w:val="30"/>
                <w:highlight w:val="none"/>
              </w:rPr>
            </w:pPr>
          </w:p>
        </w:tc>
        <w:tc>
          <w:tcPr>
            <w:tcW w:w="1134" w:type="dxa"/>
            <w:noWrap w:val="0"/>
            <w:vAlign w:val="center"/>
          </w:tcPr>
          <w:p w14:paraId="457E7452">
            <w:pPr>
              <w:pStyle w:val="21"/>
              <w:keepNext/>
              <w:spacing w:after="0" w:line="440" w:lineRule="exact"/>
              <w:ind w:left="63" w:right="63"/>
              <w:rPr>
                <w:rFonts w:eastAsia="仿宋_GB2312"/>
                <w:color w:val="auto"/>
                <w:sz w:val="30"/>
                <w:szCs w:val="30"/>
                <w:highlight w:val="none"/>
              </w:rPr>
            </w:pPr>
          </w:p>
        </w:tc>
        <w:tc>
          <w:tcPr>
            <w:tcW w:w="4252" w:type="dxa"/>
            <w:noWrap w:val="0"/>
            <w:vAlign w:val="center"/>
          </w:tcPr>
          <w:p w14:paraId="51C16011">
            <w:pPr>
              <w:pStyle w:val="21"/>
              <w:keepNext/>
              <w:spacing w:after="0" w:line="440" w:lineRule="exact"/>
              <w:ind w:left="63" w:right="63"/>
              <w:rPr>
                <w:rFonts w:eastAsia="仿宋_GB2312"/>
                <w:color w:val="auto"/>
                <w:sz w:val="30"/>
                <w:szCs w:val="30"/>
                <w:highlight w:val="none"/>
              </w:rPr>
            </w:pPr>
          </w:p>
        </w:tc>
      </w:tr>
      <w:tr w14:paraId="14AEC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0ED6CD22">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计划管理</w:t>
            </w:r>
          </w:p>
        </w:tc>
        <w:tc>
          <w:tcPr>
            <w:tcW w:w="1418" w:type="dxa"/>
            <w:noWrap w:val="0"/>
            <w:vAlign w:val="center"/>
          </w:tcPr>
          <w:p w14:paraId="0B44F973">
            <w:pPr>
              <w:pStyle w:val="21"/>
              <w:keepNext/>
              <w:spacing w:after="0" w:line="440" w:lineRule="exact"/>
              <w:ind w:left="63" w:right="63"/>
              <w:rPr>
                <w:rFonts w:eastAsia="仿宋_GB2312"/>
                <w:color w:val="auto"/>
                <w:sz w:val="28"/>
                <w:szCs w:val="28"/>
                <w:highlight w:val="none"/>
              </w:rPr>
            </w:pPr>
          </w:p>
        </w:tc>
        <w:tc>
          <w:tcPr>
            <w:tcW w:w="1134" w:type="dxa"/>
            <w:noWrap w:val="0"/>
            <w:vAlign w:val="center"/>
          </w:tcPr>
          <w:p w14:paraId="0C7BCC17">
            <w:pPr>
              <w:pStyle w:val="21"/>
              <w:keepNext/>
              <w:spacing w:after="0" w:line="440" w:lineRule="exact"/>
              <w:ind w:left="63" w:right="63"/>
              <w:rPr>
                <w:rFonts w:eastAsia="仿宋_GB2312"/>
                <w:color w:val="auto"/>
                <w:sz w:val="30"/>
                <w:szCs w:val="30"/>
                <w:highlight w:val="none"/>
              </w:rPr>
            </w:pPr>
          </w:p>
        </w:tc>
        <w:tc>
          <w:tcPr>
            <w:tcW w:w="1134" w:type="dxa"/>
            <w:noWrap w:val="0"/>
            <w:vAlign w:val="center"/>
          </w:tcPr>
          <w:p w14:paraId="04737F64">
            <w:pPr>
              <w:pStyle w:val="21"/>
              <w:keepNext/>
              <w:spacing w:after="0" w:line="440" w:lineRule="exact"/>
              <w:ind w:left="63" w:right="63"/>
              <w:rPr>
                <w:rFonts w:eastAsia="仿宋_GB2312"/>
                <w:color w:val="auto"/>
                <w:sz w:val="30"/>
                <w:szCs w:val="30"/>
                <w:highlight w:val="none"/>
              </w:rPr>
            </w:pPr>
          </w:p>
        </w:tc>
        <w:tc>
          <w:tcPr>
            <w:tcW w:w="4252" w:type="dxa"/>
            <w:noWrap w:val="0"/>
            <w:vAlign w:val="center"/>
          </w:tcPr>
          <w:p w14:paraId="5D00CFE7">
            <w:pPr>
              <w:pStyle w:val="21"/>
              <w:keepNext/>
              <w:spacing w:after="0" w:line="440" w:lineRule="exact"/>
              <w:ind w:left="63" w:right="63"/>
              <w:rPr>
                <w:rFonts w:eastAsia="仿宋_GB2312"/>
                <w:color w:val="auto"/>
                <w:sz w:val="30"/>
                <w:szCs w:val="30"/>
                <w:highlight w:val="none"/>
              </w:rPr>
            </w:pPr>
          </w:p>
        </w:tc>
      </w:tr>
      <w:tr w14:paraId="11B57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549F164E">
            <w:pPr>
              <w:pStyle w:val="21"/>
              <w:keepNext/>
              <w:spacing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安全管理</w:t>
            </w:r>
          </w:p>
        </w:tc>
        <w:tc>
          <w:tcPr>
            <w:tcW w:w="1418" w:type="dxa"/>
            <w:noWrap w:val="0"/>
            <w:vAlign w:val="center"/>
          </w:tcPr>
          <w:p w14:paraId="6CD47D12">
            <w:pPr>
              <w:pStyle w:val="21"/>
              <w:keepNext/>
              <w:spacing w:after="0" w:line="440" w:lineRule="exact"/>
              <w:ind w:left="63" w:right="63"/>
              <w:rPr>
                <w:rFonts w:eastAsia="仿宋_GB2312"/>
                <w:color w:val="auto"/>
                <w:sz w:val="28"/>
                <w:szCs w:val="28"/>
                <w:highlight w:val="none"/>
              </w:rPr>
            </w:pPr>
          </w:p>
        </w:tc>
        <w:tc>
          <w:tcPr>
            <w:tcW w:w="1134" w:type="dxa"/>
            <w:noWrap w:val="0"/>
            <w:vAlign w:val="center"/>
          </w:tcPr>
          <w:p w14:paraId="2B62FEF0">
            <w:pPr>
              <w:pStyle w:val="21"/>
              <w:keepNext/>
              <w:spacing w:after="0" w:line="440" w:lineRule="exact"/>
              <w:ind w:left="63" w:right="63"/>
              <w:rPr>
                <w:rFonts w:eastAsia="仿宋_GB2312"/>
                <w:color w:val="auto"/>
                <w:sz w:val="30"/>
                <w:szCs w:val="30"/>
                <w:highlight w:val="none"/>
              </w:rPr>
            </w:pPr>
          </w:p>
        </w:tc>
        <w:tc>
          <w:tcPr>
            <w:tcW w:w="1134" w:type="dxa"/>
            <w:noWrap w:val="0"/>
            <w:vAlign w:val="center"/>
          </w:tcPr>
          <w:p w14:paraId="463E09A1">
            <w:pPr>
              <w:pStyle w:val="21"/>
              <w:keepNext/>
              <w:spacing w:after="0" w:line="440" w:lineRule="exact"/>
              <w:ind w:left="63" w:right="63"/>
              <w:rPr>
                <w:rFonts w:eastAsia="仿宋_GB2312"/>
                <w:color w:val="auto"/>
                <w:sz w:val="30"/>
                <w:szCs w:val="30"/>
                <w:highlight w:val="none"/>
              </w:rPr>
            </w:pPr>
          </w:p>
        </w:tc>
        <w:tc>
          <w:tcPr>
            <w:tcW w:w="4252" w:type="dxa"/>
            <w:noWrap w:val="0"/>
            <w:vAlign w:val="center"/>
          </w:tcPr>
          <w:p w14:paraId="6A729A0E">
            <w:pPr>
              <w:pStyle w:val="21"/>
              <w:keepNext/>
              <w:spacing w:after="0" w:line="440" w:lineRule="exact"/>
              <w:ind w:left="63" w:right="63"/>
              <w:rPr>
                <w:rFonts w:eastAsia="仿宋_GB2312"/>
                <w:color w:val="auto"/>
                <w:sz w:val="30"/>
                <w:szCs w:val="30"/>
                <w:highlight w:val="none"/>
              </w:rPr>
            </w:pPr>
          </w:p>
        </w:tc>
      </w:tr>
      <w:tr w14:paraId="7CDDB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439D5C8A">
            <w:pPr>
              <w:pStyle w:val="21"/>
              <w:keepNext/>
              <w:spacing w:line="440" w:lineRule="exact"/>
              <w:ind w:left="63" w:right="63"/>
              <w:rPr>
                <w:rFonts w:eastAsia="仿宋_GB2312"/>
                <w:color w:val="auto"/>
                <w:sz w:val="28"/>
                <w:szCs w:val="28"/>
                <w:highlight w:val="none"/>
              </w:rPr>
            </w:pPr>
          </w:p>
        </w:tc>
        <w:tc>
          <w:tcPr>
            <w:tcW w:w="1418" w:type="dxa"/>
            <w:noWrap w:val="0"/>
            <w:vAlign w:val="center"/>
          </w:tcPr>
          <w:p w14:paraId="3C3D38F5">
            <w:pPr>
              <w:pStyle w:val="21"/>
              <w:keepNext/>
              <w:spacing w:after="0" w:line="440" w:lineRule="exact"/>
              <w:ind w:left="63" w:right="63"/>
              <w:rPr>
                <w:rFonts w:eastAsia="仿宋_GB2312"/>
                <w:color w:val="auto"/>
                <w:sz w:val="28"/>
                <w:szCs w:val="28"/>
                <w:highlight w:val="none"/>
              </w:rPr>
            </w:pPr>
          </w:p>
        </w:tc>
        <w:tc>
          <w:tcPr>
            <w:tcW w:w="1134" w:type="dxa"/>
            <w:noWrap w:val="0"/>
            <w:vAlign w:val="center"/>
          </w:tcPr>
          <w:p w14:paraId="33AFBE08">
            <w:pPr>
              <w:pStyle w:val="21"/>
              <w:keepNext/>
              <w:spacing w:after="0" w:line="440" w:lineRule="exact"/>
              <w:ind w:left="63" w:right="63"/>
              <w:rPr>
                <w:rFonts w:eastAsia="仿宋_GB2312"/>
                <w:color w:val="auto"/>
                <w:sz w:val="30"/>
                <w:szCs w:val="30"/>
                <w:highlight w:val="none"/>
              </w:rPr>
            </w:pPr>
          </w:p>
        </w:tc>
        <w:tc>
          <w:tcPr>
            <w:tcW w:w="1134" w:type="dxa"/>
            <w:noWrap w:val="0"/>
            <w:vAlign w:val="center"/>
          </w:tcPr>
          <w:p w14:paraId="01295879">
            <w:pPr>
              <w:pStyle w:val="21"/>
              <w:keepNext/>
              <w:spacing w:after="0" w:line="440" w:lineRule="exact"/>
              <w:ind w:left="63" w:right="63"/>
              <w:rPr>
                <w:rFonts w:eastAsia="仿宋_GB2312"/>
                <w:color w:val="auto"/>
                <w:sz w:val="30"/>
                <w:szCs w:val="30"/>
                <w:highlight w:val="none"/>
              </w:rPr>
            </w:pPr>
          </w:p>
        </w:tc>
        <w:tc>
          <w:tcPr>
            <w:tcW w:w="4252" w:type="dxa"/>
            <w:noWrap w:val="0"/>
            <w:vAlign w:val="center"/>
          </w:tcPr>
          <w:p w14:paraId="0090087D">
            <w:pPr>
              <w:pStyle w:val="21"/>
              <w:keepNext/>
              <w:spacing w:after="0" w:line="440" w:lineRule="exact"/>
              <w:ind w:left="63" w:right="63"/>
              <w:rPr>
                <w:rFonts w:eastAsia="仿宋_GB2312"/>
                <w:color w:val="auto"/>
                <w:sz w:val="30"/>
                <w:szCs w:val="30"/>
                <w:highlight w:val="none"/>
              </w:rPr>
            </w:pPr>
          </w:p>
        </w:tc>
      </w:tr>
      <w:tr w14:paraId="4FB05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6EE9A7F0">
            <w:pPr>
              <w:pStyle w:val="21"/>
              <w:keepNext/>
              <w:spacing w:after="0" w:line="440" w:lineRule="exact"/>
              <w:ind w:left="63" w:right="63"/>
              <w:rPr>
                <w:rFonts w:eastAsia="仿宋_GB2312"/>
                <w:color w:val="auto"/>
                <w:sz w:val="28"/>
                <w:szCs w:val="28"/>
                <w:highlight w:val="none"/>
              </w:rPr>
            </w:pPr>
          </w:p>
        </w:tc>
        <w:tc>
          <w:tcPr>
            <w:tcW w:w="1418" w:type="dxa"/>
            <w:noWrap w:val="0"/>
            <w:vAlign w:val="center"/>
          </w:tcPr>
          <w:p w14:paraId="4CFB8E2C">
            <w:pPr>
              <w:pStyle w:val="21"/>
              <w:keepNext/>
              <w:spacing w:after="0" w:line="440" w:lineRule="exact"/>
              <w:ind w:left="63" w:right="63"/>
              <w:rPr>
                <w:rFonts w:eastAsia="仿宋_GB2312"/>
                <w:color w:val="auto"/>
                <w:sz w:val="28"/>
                <w:szCs w:val="28"/>
                <w:highlight w:val="none"/>
              </w:rPr>
            </w:pPr>
          </w:p>
        </w:tc>
        <w:tc>
          <w:tcPr>
            <w:tcW w:w="1134" w:type="dxa"/>
            <w:noWrap w:val="0"/>
            <w:vAlign w:val="center"/>
          </w:tcPr>
          <w:p w14:paraId="5AC00B40">
            <w:pPr>
              <w:pStyle w:val="21"/>
              <w:keepNext/>
              <w:spacing w:after="0" w:line="440" w:lineRule="exact"/>
              <w:ind w:left="63" w:right="63"/>
              <w:rPr>
                <w:rFonts w:eastAsia="仿宋_GB2312"/>
                <w:color w:val="auto"/>
                <w:sz w:val="30"/>
                <w:szCs w:val="30"/>
                <w:highlight w:val="none"/>
              </w:rPr>
            </w:pPr>
          </w:p>
        </w:tc>
        <w:tc>
          <w:tcPr>
            <w:tcW w:w="1134" w:type="dxa"/>
            <w:noWrap w:val="0"/>
            <w:vAlign w:val="center"/>
          </w:tcPr>
          <w:p w14:paraId="1536A2FC">
            <w:pPr>
              <w:pStyle w:val="21"/>
              <w:keepNext/>
              <w:spacing w:after="0" w:line="440" w:lineRule="exact"/>
              <w:ind w:left="63" w:right="63"/>
              <w:rPr>
                <w:rFonts w:eastAsia="仿宋_GB2312"/>
                <w:color w:val="auto"/>
                <w:sz w:val="30"/>
                <w:szCs w:val="30"/>
                <w:highlight w:val="none"/>
              </w:rPr>
            </w:pPr>
          </w:p>
        </w:tc>
        <w:tc>
          <w:tcPr>
            <w:tcW w:w="4252" w:type="dxa"/>
            <w:noWrap w:val="0"/>
            <w:vAlign w:val="center"/>
          </w:tcPr>
          <w:p w14:paraId="3BA75CA4">
            <w:pPr>
              <w:pStyle w:val="21"/>
              <w:keepNext/>
              <w:spacing w:after="0" w:line="440" w:lineRule="exact"/>
              <w:ind w:left="63" w:right="63"/>
              <w:rPr>
                <w:rFonts w:eastAsia="仿宋_GB2312"/>
                <w:color w:val="auto"/>
                <w:sz w:val="30"/>
                <w:szCs w:val="30"/>
                <w:highlight w:val="none"/>
              </w:rPr>
            </w:pPr>
          </w:p>
        </w:tc>
      </w:tr>
      <w:tr w14:paraId="03457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5A84B244">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其他人员</w:t>
            </w:r>
          </w:p>
        </w:tc>
        <w:tc>
          <w:tcPr>
            <w:tcW w:w="1418" w:type="dxa"/>
            <w:noWrap w:val="0"/>
            <w:vAlign w:val="center"/>
          </w:tcPr>
          <w:p w14:paraId="10E1BE90">
            <w:pPr>
              <w:pStyle w:val="21"/>
              <w:keepNext/>
              <w:spacing w:after="0" w:line="440" w:lineRule="exact"/>
              <w:ind w:left="63" w:right="63"/>
              <w:rPr>
                <w:rFonts w:eastAsia="仿宋_GB2312"/>
                <w:color w:val="auto"/>
                <w:sz w:val="28"/>
                <w:szCs w:val="28"/>
                <w:highlight w:val="none"/>
              </w:rPr>
            </w:pPr>
          </w:p>
        </w:tc>
        <w:tc>
          <w:tcPr>
            <w:tcW w:w="1134" w:type="dxa"/>
            <w:noWrap w:val="0"/>
            <w:vAlign w:val="center"/>
          </w:tcPr>
          <w:p w14:paraId="24338399">
            <w:pPr>
              <w:pStyle w:val="21"/>
              <w:keepNext/>
              <w:spacing w:after="0" w:line="440" w:lineRule="exact"/>
              <w:ind w:left="63" w:right="63"/>
              <w:rPr>
                <w:rFonts w:eastAsia="仿宋_GB2312"/>
                <w:color w:val="auto"/>
                <w:sz w:val="30"/>
                <w:szCs w:val="30"/>
                <w:highlight w:val="none"/>
              </w:rPr>
            </w:pPr>
          </w:p>
        </w:tc>
        <w:tc>
          <w:tcPr>
            <w:tcW w:w="1134" w:type="dxa"/>
            <w:noWrap w:val="0"/>
            <w:vAlign w:val="center"/>
          </w:tcPr>
          <w:p w14:paraId="4F4689A8">
            <w:pPr>
              <w:pStyle w:val="21"/>
              <w:keepNext/>
              <w:spacing w:after="0" w:line="440" w:lineRule="exact"/>
              <w:ind w:left="63" w:right="63"/>
              <w:rPr>
                <w:rFonts w:eastAsia="仿宋_GB2312"/>
                <w:color w:val="auto"/>
                <w:sz w:val="30"/>
                <w:szCs w:val="30"/>
                <w:highlight w:val="none"/>
              </w:rPr>
            </w:pPr>
          </w:p>
        </w:tc>
        <w:tc>
          <w:tcPr>
            <w:tcW w:w="4252" w:type="dxa"/>
            <w:noWrap w:val="0"/>
            <w:vAlign w:val="center"/>
          </w:tcPr>
          <w:p w14:paraId="1CA282D1">
            <w:pPr>
              <w:pStyle w:val="21"/>
              <w:keepNext/>
              <w:spacing w:after="0" w:line="440" w:lineRule="exact"/>
              <w:ind w:left="63" w:right="63"/>
              <w:rPr>
                <w:rFonts w:eastAsia="仿宋_GB2312"/>
                <w:color w:val="auto"/>
                <w:sz w:val="30"/>
                <w:szCs w:val="30"/>
                <w:highlight w:val="none"/>
              </w:rPr>
            </w:pPr>
          </w:p>
        </w:tc>
      </w:tr>
      <w:tr w14:paraId="65C03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31A6A1C8">
            <w:pPr>
              <w:pStyle w:val="21"/>
              <w:keepNext/>
              <w:spacing w:after="0" w:line="440" w:lineRule="exact"/>
              <w:ind w:left="63" w:right="63"/>
              <w:rPr>
                <w:rFonts w:eastAsia="仿宋_GB2312"/>
                <w:color w:val="auto"/>
                <w:sz w:val="28"/>
                <w:szCs w:val="28"/>
                <w:highlight w:val="none"/>
              </w:rPr>
            </w:pPr>
          </w:p>
        </w:tc>
        <w:tc>
          <w:tcPr>
            <w:tcW w:w="1418" w:type="dxa"/>
            <w:noWrap w:val="0"/>
            <w:vAlign w:val="center"/>
          </w:tcPr>
          <w:p w14:paraId="2A8F616D">
            <w:pPr>
              <w:pStyle w:val="21"/>
              <w:keepNext/>
              <w:spacing w:after="0" w:line="440" w:lineRule="exact"/>
              <w:ind w:left="63" w:right="63"/>
              <w:rPr>
                <w:rFonts w:eastAsia="仿宋_GB2312"/>
                <w:color w:val="auto"/>
                <w:sz w:val="28"/>
                <w:szCs w:val="28"/>
                <w:highlight w:val="none"/>
              </w:rPr>
            </w:pPr>
          </w:p>
        </w:tc>
        <w:tc>
          <w:tcPr>
            <w:tcW w:w="1134" w:type="dxa"/>
            <w:noWrap w:val="0"/>
            <w:vAlign w:val="center"/>
          </w:tcPr>
          <w:p w14:paraId="2A299594">
            <w:pPr>
              <w:pStyle w:val="21"/>
              <w:keepNext/>
              <w:spacing w:after="0" w:line="440" w:lineRule="exact"/>
              <w:ind w:left="63" w:right="63"/>
              <w:rPr>
                <w:rFonts w:eastAsia="仿宋_GB2312"/>
                <w:color w:val="auto"/>
                <w:sz w:val="30"/>
                <w:szCs w:val="30"/>
                <w:highlight w:val="none"/>
              </w:rPr>
            </w:pPr>
          </w:p>
        </w:tc>
        <w:tc>
          <w:tcPr>
            <w:tcW w:w="1134" w:type="dxa"/>
            <w:noWrap w:val="0"/>
            <w:vAlign w:val="center"/>
          </w:tcPr>
          <w:p w14:paraId="4C40E676">
            <w:pPr>
              <w:pStyle w:val="21"/>
              <w:keepNext/>
              <w:spacing w:after="0" w:line="440" w:lineRule="exact"/>
              <w:ind w:left="63" w:right="63"/>
              <w:rPr>
                <w:rFonts w:eastAsia="仿宋_GB2312"/>
                <w:color w:val="auto"/>
                <w:sz w:val="30"/>
                <w:szCs w:val="30"/>
                <w:highlight w:val="none"/>
              </w:rPr>
            </w:pPr>
          </w:p>
        </w:tc>
        <w:tc>
          <w:tcPr>
            <w:tcW w:w="4252" w:type="dxa"/>
            <w:noWrap w:val="0"/>
            <w:vAlign w:val="center"/>
          </w:tcPr>
          <w:p w14:paraId="20954240">
            <w:pPr>
              <w:pStyle w:val="21"/>
              <w:keepNext/>
              <w:spacing w:after="0" w:line="440" w:lineRule="exact"/>
              <w:ind w:left="63" w:right="63"/>
              <w:rPr>
                <w:rFonts w:eastAsia="仿宋_GB2312"/>
                <w:color w:val="auto"/>
                <w:sz w:val="30"/>
                <w:szCs w:val="30"/>
                <w:highlight w:val="none"/>
              </w:rPr>
            </w:pPr>
          </w:p>
        </w:tc>
      </w:tr>
      <w:tr w14:paraId="27797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266BC6DF">
            <w:pPr>
              <w:pStyle w:val="21"/>
              <w:keepNext/>
              <w:spacing w:after="0" w:line="440" w:lineRule="exact"/>
              <w:ind w:left="63" w:right="63"/>
              <w:rPr>
                <w:rFonts w:eastAsia="仿宋_GB2312"/>
                <w:color w:val="auto"/>
                <w:sz w:val="28"/>
                <w:szCs w:val="28"/>
                <w:highlight w:val="none"/>
              </w:rPr>
            </w:pPr>
          </w:p>
        </w:tc>
        <w:tc>
          <w:tcPr>
            <w:tcW w:w="1418" w:type="dxa"/>
            <w:noWrap w:val="0"/>
            <w:vAlign w:val="center"/>
          </w:tcPr>
          <w:p w14:paraId="7B22EC48">
            <w:pPr>
              <w:pStyle w:val="21"/>
              <w:keepNext/>
              <w:spacing w:after="0" w:line="440" w:lineRule="exact"/>
              <w:ind w:left="63" w:right="63"/>
              <w:rPr>
                <w:rFonts w:eastAsia="仿宋_GB2312"/>
                <w:color w:val="auto"/>
                <w:sz w:val="28"/>
                <w:szCs w:val="28"/>
                <w:highlight w:val="none"/>
              </w:rPr>
            </w:pPr>
          </w:p>
        </w:tc>
        <w:tc>
          <w:tcPr>
            <w:tcW w:w="1134" w:type="dxa"/>
            <w:noWrap w:val="0"/>
            <w:vAlign w:val="center"/>
          </w:tcPr>
          <w:p w14:paraId="74128660">
            <w:pPr>
              <w:pStyle w:val="21"/>
              <w:keepNext/>
              <w:spacing w:after="0" w:line="440" w:lineRule="exact"/>
              <w:ind w:left="63" w:right="63"/>
              <w:rPr>
                <w:rFonts w:eastAsia="仿宋_GB2312"/>
                <w:color w:val="auto"/>
                <w:sz w:val="30"/>
                <w:szCs w:val="30"/>
                <w:highlight w:val="none"/>
              </w:rPr>
            </w:pPr>
          </w:p>
        </w:tc>
        <w:tc>
          <w:tcPr>
            <w:tcW w:w="1134" w:type="dxa"/>
            <w:noWrap w:val="0"/>
            <w:vAlign w:val="center"/>
          </w:tcPr>
          <w:p w14:paraId="11DD50D8">
            <w:pPr>
              <w:pStyle w:val="21"/>
              <w:keepNext/>
              <w:spacing w:after="0" w:line="440" w:lineRule="exact"/>
              <w:ind w:left="63" w:right="63"/>
              <w:rPr>
                <w:rFonts w:eastAsia="仿宋_GB2312"/>
                <w:color w:val="auto"/>
                <w:sz w:val="30"/>
                <w:szCs w:val="30"/>
                <w:highlight w:val="none"/>
              </w:rPr>
            </w:pPr>
          </w:p>
        </w:tc>
        <w:tc>
          <w:tcPr>
            <w:tcW w:w="4252" w:type="dxa"/>
            <w:noWrap w:val="0"/>
            <w:vAlign w:val="center"/>
          </w:tcPr>
          <w:p w14:paraId="442FD2EA">
            <w:pPr>
              <w:pStyle w:val="21"/>
              <w:keepNext/>
              <w:spacing w:after="0" w:line="440" w:lineRule="exact"/>
              <w:ind w:left="63" w:right="63"/>
              <w:rPr>
                <w:rFonts w:eastAsia="仿宋_GB2312"/>
                <w:color w:val="auto"/>
                <w:sz w:val="30"/>
                <w:szCs w:val="30"/>
                <w:highlight w:val="none"/>
              </w:rPr>
            </w:pPr>
          </w:p>
        </w:tc>
      </w:tr>
      <w:tr w14:paraId="653C6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121119B5">
            <w:pPr>
              <w:pStyle w:val="21"/>
              <w:keepNext/>
              <w:spacing w:after="0" w:line="440" w:lineRule="exact"/>
              <w:ind w:left="63" w:right="63"/>
              <w:rPr>
                <w:rFonts w:eastAsia="仿宋_GB2312"/>
                <w:color w:val="auto"/>
                <w:sz w:val="28"/>
                <w:szCs w:val="28"/>
                <w:highlight w:val="none"/>
              </w:rPr>
            </w:pPr>
          </w:p>
        </w:tc>
        <w:tc>
          <w:tcPr>
            <w:tcW w:w="1418" w:type="dxa"/>
            <w:noWrap w:val="0"/>
            <w:vAlign w:val="center"/>
          </w:tcPr>
          <w:p w14:paraId="1A666FD4">
            <w:pPr>
              <w:pStyle w:val="21"/>
              <w:keepNext/>
              <w:spacing w:after="0" w:line="440" w:lineRule="exact"/>
              <w:ind w:left="63" w:right="63"/>
              <w:rPr>
                <w:rFonts w:eastAsia="仿宋_GB2312"/>
                <w:color w:val="auto"/>
                <w:sz w:val="28"/>
                <w:szCs w:val="28"/>
                <w:highlight w:val="none"/>
              </w:rPr>
            </w:pPr>
          </w:p>
        </w:tc>
        <w:tc>
          <w:tcPr>
            <w:tcW w:w="1134" w:type="dxa"/>
            <w:noWrap w:val="0"/>
            <w:vAlign w:val="center"/>
          </w:tcPr>
          <w:p w14:paraId="0B5C3D8D">
            <w:pPr>
              <w:pStyle w:val="21"/>
              <w:keepNext/>
              <w:spacing w:after="0" w:line="440" w:lineRule="exact"/>
              <w:ind w:left="63" w:right="63"/>
              <w:rPr>
                <w:rFonts w:eastAsia="仿宋_GB2312"/>
                <w:color w:val="auto"/>
                <w:sz w:val="30"/>
                <w:szCs w:val="30"/>
                <w:highlight w:val="none"/>
              </w:rPr>
            </w:pPr>
          </w:p>
        </w:tc>
        <w:tc>
          <w:tcPr>
            <w:tcW w:w="1134" w:type="dxa"/>
            <w:noWrap w:val="0"/>
            <w:vAlign w:val="center"/>
          </w:tcPr>
          <w:p w14:paraId="3A1626B7">
            <w:pPr>
              <w:pStyle w:val="21"/>
              <w:keepNext/>
              <w:spacing w:after="0" w:line="440" w:lineRule="exact"/>
              <w:ind w:left="63" w:right="63"/>
              <w:rPr>
                <w:rFonts w:eastAsia="仿宋_GB2312"/>
                <w:color w:val="auto"/>
                <w:sz w:val="30"/>
                <w:szCs w:val="30"/>
                <w:highlight w:val="none"/>
              </w:rPr>
            </w:pPr>
          </w:p>
        </w:tc>
        <w:tc>
          <w:tcPr>
            <w:tcW w:w="4252" w:type="dxa"/>
            <w:noWrap w:val="0"/>
            <w:vAlign w:val="center"/>
          </w:tcPr>
          <w:p w14:paraId="13FCF937">
            <w:pPr>
              <w:pStyle w:val="21"/>
              <w:keepNext/>
              <w:spacing w:after="0" w:line="440" w:lineRule="exact"/>
              <w:ind w:left="63" w:right="63"/>
              <w:rPr>
                <w:rFonts w:eastAsia="仿宋_GB2312"/>
                <w:color w:val="auto"/>
                <w:sz w:val="30"/>
                <w:szCs w:val="30"/>
                <w:highlight w:val="none"/>
              </w:rPr>
            </w:pPr>
          </w:p>
        </w:tc>
      </w:tr>
      <w:tr w14:paraId="6EF07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0539870E">
            <w:pPr>
              <w:pStyle w:val="21"/>
              <w:keepNext/>
              <w:spacing w:after="0" w:line="440" w:lineRule="exact"/>
              <w:ind w:left="63" w:right="63"/>
              <w:rPr>
                <w:rFonts w:eastAsia="仿宋_GB2312"/>
                <w:color w:val="auto"/>
                <w:sz w:val="28"/>
                <w:szCs w:val="28"/>
                <w:highlight w:val="none"/>
              </w:rPr>
            </w:pPr>
          </w:p>
        </w:tc>
        <w:tc>
          <w:tcPr>
            <w:tcW w:w="1418" w:type="dxa"/>
            <w:noWrap w:val="0"/>
            <w:vAlign w:val="center"/>
          </w:tcPr>
          <w:p w14:paraId="0152F5E9">
            <w:pPr>
              <w:pStyle w:val="21"/>
              <w:keepNext/>
              <w:spacing w:after="0" w:line="440" w:lineRule="exact"/>
              <w:ind w:left="63" w:right="63"/>
              <w:rPr>
                <w:rFonts w:eastAsia="仿宋_GB2312"/>
                <w:color w:val="auto"/>
                <w:sz w:val="28"/>
                <w:szCs w:val="28"/>
                <w:highlight w:val="none"/>
              </w:rPr>
            </w:pPr>
          </w:p>
        </w:tc>
        <w:tc>
          <w:tcPr>
            <w:tcW w:w="1134" w:type="dxa"/>
            <w:noWrap w:val="0"/>
            <w:vAlign w:val="center"/>
          </w:tcPr>
          <w:p w14:paraId="6D53D2D8">
            <w:pPr>
              <w:pStyle w:val="21"/>
              <w:keepNext/>
              <w:spacing w:after="0" w:line="440" w:lineRule="exact"/>
              <w:ind w:left="63" w:right="63"/>
              <w:rPr>
                <w:rFonts w:eastAsia="仿宋_GB2312"/>
                <w:color w:val="auto"/>
                <w:sz w:val="30"/>
                <w:szCs w:val="30"/>
                <w:highlight w:val="none"/>
              </w:rPr>
            </w:pPr>
          </w:p>
        </w:tc>
        <w:tc>
          <w:tcPr>
            <w:tcW w:w="1134" w:type="dxa"/>
            <w:noWrap w:val="0"/>
            <w:vAlign w:val="center"/>
          </w:tcPr>
          <w:p w14:paraId="25939C50">
            <w:pPr>
              <w:pStyle w:val="21"/>
              <w:keepNext/>
              <w:spacing w:after="0" w:line="440" w:lineRule="exact"/>
              <w:ind w:left="63" w:right="63"/>
              <w:rPr>
                <w:rFonts w:eastAsia="仿宋_GB2312"/>
                <w:color w:val="auto"/>
                <w:sz w:val="30"/>
                <w:szCs w:val="30"/>
                <w:highlight w:val="none"/>
              </w:rPr>
            </w:pPr>
          </w:p>
        </w:tc>
        <w:tc>
          <w:tcPr>
            <w:tcW w:w="4252" w:type="dxa"/>
            <w:noWrap w:val="0"/>
            <w:vAlign w:val="center"/>
          </w:tcPr>
          <w:p w14:paraId="40350EAB">
            <w:pPr>
              <w:pStyle w:val="21"/>
              <w:keepNext/>
              <w:spacing w:after="0" w:line="440" w:lineRule="exact"/>
              <w:ind w:left="63" w:right="63"/>
              <w:rPr>
                <w:rFonts w:eastAsia="仿宋_GB2312"/>
                <w:color w:val="auto"/>
                <w:sz w:val="30"/>
                <w:szCs w:val="30"/>
                <w:highlight w:val="none"/>
              </w:rPr>
            </w:pPr>
          </w:p>
        </w:tc>
      </w:tr>
      <w:tr w14:paraId="472AA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7399C734">
            <w:pPr>
              <w:pStyle w:val="21"/>
              <w:keepNext/>
              <w:spacing w:after="0" w:line="440" w:lineRule="exact"/>
              <w:ind w:left="63" w:right="63"/>
              <w:rPr>
                <w:rFonts w:eastAsia="仿宋_GB2312"/>
                <w:color w:val="auto"/>
                <w:sz w:val="28"/>
                <w:szCs w:val="28"/>
                <w:highlight w:val="none"/>
              </w:rPr>
            </w:pPr>
          </w:p>
        </w:tc>
        <w:tc>
          <w:tcPr>
            <w:tcW w:w="1418" w:type="dxa"/>
            <w:noWrap w:val="0"/>
            <w:vAlign w:val="center"/>
          </w:tcPr>
          <w:p w14:paraId="666A329E">
            <w:pPr>
              <w:pStyle w:val="21"/>
              <w:keepNext/>
              <w:spacing w:after="0" w:line="440" w:lineRule="exact"/>
              <w:ind w:left="63" w:right="63"/>
              <w:rPr>
                <w:rFonts w:eastAsia="仿宋_GB2312"/>
                <w:color w:val="auto"/>
                <w:sz w:val="28"/>
                <w:szCs w:val="28"/>
                <w:highlight w:val="none"/>
              </w:rPr>
            </w:pPr>
          </w:p>
        </w:tc>
        <w:tc>
          <w:tcPr>
            <w:tcW w:w="1134" w:type="dxa"/>
            <w:noWrap w:val="0"/>
            <w:vAlign w:val="center"/>
          </w:tcPr>
          <w:p w14:paraId="7B5136FB">
            <w:pPr>
              <w:pStyle w:val="21"/>
              <w:keepNext/>
              <w:spacing w:after="0" w:line="440" w:lineRule="exact"/>
              <w:ind w:left="63" w:right="63"/>
              <w:rPr>
                <w:rFonts w:eastAsia="仿宋_GB2312"/>
                <w:color w:val="auto"/>
                <w:sz w:val="30"/>
                <w:szCs w:val="30"/>
                <w:highlight w:val="none"/>
              </w:rPr>
            </w:pPr>
          </w:p>
        </w:tc>
        <w:tc>
          <w:tcPr>
            <w:tcW w:w="1134" w:type="dxa"/>
            <w:noWrap w:val="0"/>
            <w:vAlign w:val="center"/>
          </w:tcPr>
          <w:p w14:paraId="696B3A2D">
            <w:pPr>
              <w:pStyle w:val="21"/>
              <w:keepNext/>
              <w:spacing w:after="0" w:line="440" w:lineRule="exact"/>
              <w:ind w:left="63" w:right="63"/>
              <w:rPr>
                <w:rFonts w:eastAsia="仿宋_GB2312"/>
                <w:color w:val="auto"/>
                <w:sz w:val="30"/>
                <w:szCs w:val="30"/>
                <w:highlight w:val="none"/>
              </w:rPr>
            </w:pPr>
          </w:p>
        </w:tc>
        <w:tc>
          <w:tcPr>
            <w:tcW w:w="4252" w:type="dxa"/>
            <w:noWrap w:val="0"/>
            <w:vAlign w:val="center"/>
          </w:tcPr>
          <w:p w14:paraId="72A88219">
            <w:pPr>
              <w:pStyle w:val="21"/>
              <w:keepNext/>
              <w:spacing w:after="0" w:line="440" w:lineRule="exact"/>
              <w:ind w:left="63" w:right="63"/>
              <w:rPr>
                <w:rFonts w:eastAsia="仿宋_GB2312"/>
                <w:color w:val="auto"/>
                <w:sz w:val="30"/>
                <w:szCs w:val="30"/>
                <w:highlight w:val="none"/>
              </w:rPr>
            </w:pPr>
          </w:p>
        </w:tc>
      </w:tr>
    </w:tbl>
    <w:p w14:paraId="5B78CC47">
      <w:pPr>
        <w:spacing w:line="440" w:lineRule="exact"/>
        <w:rPr>
          <w:rFonts w:eastAsia="黑体"/>
          <w:color w:val="auto"/>
          <w:sz w:val="30"/>
          <w:szCs w:val="30"/>
          <w:highlight w:val="none"/>
        </w:rPr>
      </w:pPr>
      <w:r>
        <w:rPr>
          <w:rFonts w:eastAsia="仿宋_GB2312"/>
          <w:color w:val="auto"/>
          <w:sz w:val="30"/>
          <w:szCs w:val="30"/>
          <w:highlight w:val="none"/>
        </w:rPr>
        <w:br w:type="page"/>
      </w:r>
      <w:r>
        <w:rPr>
          <w:rFonts w:hint="eastAsia" w:eastAsia="仿宋_GB2312" w:cs="仿宋_GB2312"/>
          <w:color w:val="auto"/>
          <w:sz w:val="30"/>
          <w:szCs w:val="30"/>
          <w:highlight w:val="none"/>
        </w:rPr>
        <w:t>附</w:t>
      </w:r>
      <w:bookmarkStart w:id="866" w:name="_Toc296891269"/>
      <w:bookmarkStart w:id="867" w:name="_Toc296346730"/>
      <w:bookmarkStart w:id="868" w:name="_Toc296944568"/>
      <w:bookmarkStart w:id="869" w:name="_Toc296891057"/>
      <w:bookmarkStart w:id="870" w:name="_Toc296503229"/>
      <w:bookmarkStart w:id="871" w:name="_Toc296347228"/>
      <w:r>
        <w:rPr>
          <w:rFonts w:hint="eastAsia" w:eastAsia="仿宋_GB2312" w:cs="仿宋_GB2312"/>
          <w:color w:val="auto"/>
          <w:sz w:val="30"/>
          <w:szCs w:val="30"/>
          <w:highlight w:val="none"/>
        </w:rPr>
        <w:t>件</w:t>
      </w:r>
      <w:r>
        <w:rPr>
          <w:rFonts w:hint="eastAsia" w:eastAsia="仿宋_GB2312"/>
          <w:color w:val="auto"/>
          <w:sz w:val="30"/>
          <w:szCs w:val="30"/>
          <w:highlight w:val="none"/>
        </w:rPr>
        <w:t>6</w:t>
      </w:r>
      <w:r>
        <w:rPr>
          <w:rFonts w:hint="eastAsia" w:eastAsia="仿宋_GB2312" w:cs="仿宋_GB2312"/>
          <w:color w:val="auto"/>
          <w:sz w:val="30"/>
          <w:szCs w:val="30"/>
          <w:highlight w:val="none"/>
        </w:rPr>
        <w:t>：</w:t>
      </w:r>
    </w:p>
    <w:bookmarkEnd w:id="866"/>
    <w:bookmarkEnd w:id="867"/>
    <w:bookmarkEnd w:id="868"/>
    <w:bookmarkEnd w:id="869"/>
    <w:bookmarkEnd w:id="870"/>
    <w:bookmarkEnd w:id="871"/>
    <w:p w14:paraId="0A66E95D">
      <w:pPr>
        <w:spacing w:before="120" w:beforeLines="50" w:after="120" w:afterLines="50" w:line="440" w:lineRule="exact"/>
        <w:jc w:val="center"/>
        <w:rPr>
          <w:rFonts w:eastAsia="黑体"/>
          <w:color w:val="auto"/>
          <w:sz w:val="30"/>
          <w:szCs w:val="30"/>
          <w:highlight w:val="none"/>
        </w:rPr>
      </w:pPr>
      <w:r>
        <w:rPr>
          <w:rFonts w:hint="eastAsia" w:eastAsia="黑体" w:cs="黑体"/>
          <w:color w:val="auto"/>
          <w:sz w:val="30"/>
          <w:szCs w:val="30"/>
          <w:highlight w:val="none"/>
        </w:rPr>
        <w:t>分包人主要施工管理人员表</w:t>
      </w:r>
    </w:p>
    <w:tbl>
      <w:tblPr>
        <w:tblStyle w:val="5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134"/>
        <w:gridCol w:w="1134"/>
        <w:gridCol w:w="4252"/>
      </w:tblGrid>
      <w:tr w14:paraId="2508E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40798E9C">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名</w:t>
            </w:r>
            <w:r>
              <w:rPr>
                <w:rFonts w:eastAsia="仿宋_GB2312"/>
                <w:color w:val="auto"/>
                <w:sz w:val="28"/>
                <w:szCs w:val="28"/>
                <w:highlight w:val="none"/>
              </w:rPr>
              <w:t xml:space="preserve">    </w:t>
            </w:r>
            <w:r>
              <w:rPr>
                <w:rFonts w:hint="eastAsia" w:eastAsia="仿宋_GB2312" w:cs="仿宋_GB2312"/>
                <w:color w:val="auto"/>
                <w:sz w:val="28"/>
                <w:szCs w:val="28"/>
                <w:highlight w:val="none"/>
              </w:rPr>
              <w:t>称</w:t>
            </w:r>
          </w:p>
        </w:tc>
        <w:tc>
          <w:tcPr>
            <w:tcW w:w="1418" w:type="dxa"/>
            <w:noWrap w:val="0"/>
            <w:vAlign w:val="center"/>
          </w:tcPr>
          <w:p w14:paraId="0B460E63">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姓名</w:t>
            </w:r>
          </w:p>
        </w:tc>
        <w:tc>
          <w:tcPr>
            <w:tcW w:w="1134" w:type="dxa"/>
            <w:noWrap w:val="0"/>
            <w:vAlign w:val="center"/>
          </w:tcPr>
          <w:p w14:paraId="4ABD4DF7">
            <w:pPr>
              <w:pStyle w:val="21"/>
              <w:keepNext/>
              <w:spacing w:after="0" w:line="440" w:lineRule="exact"/>
              <w:ind w:left="63" w:right="63"/>
              <w:rPr>
                <w:rFonts w:eastAsia="仿宋_GB2312"/>
                <w:color w:val="auto"/>
                <w:sz w:val="30"/>
                <w:szCs w:val="30"/>
                <w:highlight w:val="none"/>
              </w:rPr>
            </w:pPr>
            <w:r>
              <w:rPr>
                <w:rFonts w:hint="eastAsia" w:eastAsia="仿宋_GB2312" w:cs="仿宋_GB2312"/>
                <w:color w:val="auto"/>
                <w:sz w:val="30"/>
                <w:szCs w:val="30"/>
                <w:highlight w:val="none"/>
              </w:rPr>
              <w:t>职务</w:t>
            </w:r>
          </w:p>
        </w:tc>
        <w:tc>
          <w:tcPr>
            <w:tcW w:w="1134" w:type="dxa"/>
            <w:noWrap w:val="0"/>
            <w:vAlign w:val="center"/>
          </w:tcPr>
          <w:p w14:paraId="0EF94E0A">
            <w:pPr>
              <w:pStyle w:val="21"/>
              <w:keepNext/>
              <w:spacing w:after="0" w:line="440" w:lineRule="exact"/>
              <w:ind w:left="63" w:right="63"/>
              <w:rPr>
                <w:rFonts w:eastAsia="仿宋_GB2312"/>
                <w:color w:val="auto"/>
                <w:sz w:val="30"/>
                <w:szCs w:val="30"/>
                <w:highlight w:val="none"/>
              </w:rPr>
            </w:pPr>
            <w:r>
              <w:rPr>
                <w:rFonts w:hint="eastAsia" w:eastAsia="仿宋_GB2312" w:cs="仿宋_GB2312"/>
                <w:color w:val="auto"/>
                <w:sz w:val="30"/>
                <w:szCs w:val="30"/>
                <w:highlight w:val="none"/>
              </w:rPr>
              <w:t>职称</w:t>
            </w:r>
          </w:p>
        </w:tc>
        <w:tc>
          <w:tcPr>
            <w:tcW w:w="4252" w:type="dxa"/>
            <w:noWrap w:val="0"/>
            <w:vAlign w:val="center"/>
          </w:tcPr>
          <w:p w14:paraId="6C434120">
            <w:pPr>
              <w:pStyle w:val="21"/>
              <w:keepNext/>
              <w:spacing w:after="0" w:line="440" w:lineRule="exact"/>
              <w:ind w:left="63" w:right="63"/>
              <w:rPr>
                <w:rFonts w:eastAsia="仿宋_GB2312"/>
                <w:color w:val="auto"/>
                <w:sz w:val="30"/>
                <w:szCs w:val="30"/>
                <w:highlight w:val="none"/>
              </w:rPr>
            </w:pPr>
            <w:r>
              <w:rPr>
                <w:rFonts w:hint="eastAsia" w:eastAsia="仿宋_GB2312" w:cs="仿宋_GB2312"/>
                <w:color w:val="auto"/>
                <w:sz w:val="30"/>
                <w:szCs w:val="30"/>
                <w:highlight w:val="none"/>
              </w:rPr>
              <w:t>主要资历、经验及承担过的项目</w:t>
            </w:r>
          </w:p>
        </w:tc>
      </w:tr>
      <w:tr w14:paraId="0C843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621B186D">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一、总部人员</w:t>
            </w:r>
          </w:p>
        </w:tc>
      </w:tr>
      <w:tr w14:paraId="70377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74ED8D22">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项目主管</w:t>
            </w:r>
          </w:p>
        </w:tc>
        <w:tc>
          <w:tcPr>
            <w:tcW w:w="1418" w:type="dxa"/>
            <w:noWrap w:val="0"/>
            <w:vAlign w:val="center"/>
          </w:tcPr>
          <w:p w14:paraId="792DEFF4">
            <w:pPr>
              <w:pStyle w:val="21"/>
              <w:keepNext/>
              <w:spacing w:after="0" w:line="440" w:lineRule="exact"/>
              <w:ind w:left="63" w:right="63"/>
              <w:rPr>
                <w:rFonts w:eastAsia="仿宋_GB2312"/>
                <w:color w:val="auto"/>
                <w:sz w:val="28"/>
                <w:szCs w:val="28"/>
                <w:highlight w:val="none"/>
              </w:rPr>
            </w:pPr>
          </w:p>
        </w:tc>
        <w:tc>
          <w:tcPr>
            <w:tcW w:w="1134" w:type="dxa"/>
            <w:noWrap w:val="0"/>
            <w:vAlign w:val="center"/>
          </w:tcPr>
          <w:p w14:paraId="3E0AFDCA">
            <w:pPr>
              <w:pStyle w:val="21"/>
              <w:keepNext/>
              <w:spacing w:after="0" w:line="440" w:lineRule="exact"/>
              <w:ind w:left="63" w:right="63"/>
              <w:rPr>
                <w:rFonts w:eastAsia="仿宋_GB2312"/>
                <w:color w:val="auto"/>
                <w:sz w:val="30"/>
                <w:szCs w:val="30"/>
                <w:highlight w:val="none"/>
              </w:rPr>
            </w:pPr>
          </w:p>
        </w:tc>
        <w:tc>
          <w:tcPr>
            <w:tcW w:w="1134" w:type="dxa"/>
            <w:noWrap w:val="0"/>
            <w:vAlign w:val="center"/>
          </w:tcPr>
          <w:p w14:paraId="24A93B36">
            <w:pPr>
              <w:pStyle w:val="21"/>
              <w:keepNext/>
              <w:spacing w:after="0" w:line="440" w:lineRule="exact"/>
              <w:ind w:left="63" w:right="63"/>
              <w:rPr>
                <w:rFonts w:eastAsia="仿宋_GB2312"/>
                <w:color w:val="auto"/>
                <w:sz w:val="30"/>
                <w:szCs w:val="30"/>
                <w:highlight w:val="none"/>
              </w:rPr>
            </w:pPr>
          </w:p>
        </w:tc>
        <w:tc>
          <w:tcPr>
            <w:tcW w:w="4252" w:type="dxa"/>
            <w:noWrap w:val="0"/>
            <w:vAlign w:val="center"/>
          </w:tcPr>
          <w:p w14:paraId="036D558A">
            <w:pPr>
              <w:pStyle w:val="21"/>
              <w:keepNext/>
              <w:spacing w:after="0" w:line="440" w:lineRule="exact"/>
              <w:ind w:left="63" w:right="63"/>
              <w:rPr>
                <w:rFonts w:eastAsia="仿宋_GB2312"/>
                <w:color w:val="auto"/>
                <w:sz w:val="30"/>
                <w:szCs w:val="30"/>
                <w:highlight w:val="none"/>
              </w:rPr>
            </w:pPr>
          </w:p>
        </w:tc>
      </w:tr>
      <w:tr w14:paraId="30516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24FCA6C1">
            <w:pPr>
              <w:pStyle w:val="21"/>
              <w:keepNext/>
              <w:spacing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其他人员</w:t>
            </w:r>
          </w:p>
        </w:tc>
        <w:tc>
          <w:tcPr>
            <w:tcW w:w="1418" w:type="dxa"/>
            <w:noWrap w:val="0"/>
            <w:vAlign w:val="center"/>
          </w:tcPr>
          <w:p w14:paraId="334DB329">
            <w:pPr>
              <w:pStyle w:val="21"/>
              <w:keepNext/>
              <w:spacing w:after="0" w:line="440" w:lineRule="exact"/>
              <w:ind w:left="63" w:right="63"/>
              <w:rPr>
                <w:rFonts w:eastAsia="仿宋_GB2312"/>
                <w:color w:val="auto"/>
                <w:sz w:val="28"/>
                <w:szCs w:val="28"/>
                <w:highlight w:val="none"/>
              </w:rPr>
            </w:pPr>
          </w:p>
        </w:tc>
        <w:tc>
          <w:tcPr>
            <w:tcW w:w="1134" w:type="dxa"/>
            <w:noWrap w:val="0"/>
            <w:vAlign w:val="center"/>
          </w:tcPr>
          <w:p w14:paraId="7E253F9A">
            <w:pPr>
              <w:pStyle w:val="21"/>
              <w:keepNext/>
              <w:spacing w:after="0" w:line="440" w:lineRule="exact"/>
              <w:ind w:left="63" w:right="63"/>
              <w:rPr>
                <w:rFonts w:eastAsia="仿宋_GB2312"/>
                <w:color w:val="auto"/>
                <w:sz w:val="30"/>
                <w:szCs w:val="30"/>
                <w:highlight w:val="none"/>
              </w:rPr>
            </w:pPr>
          </w:p>
        </w:tc>
        <w:tc>
          <w:tcPr>
            <w:tcW w:w="1134" w:type="dxa"/>
            <w:noWrap w:val="0"/>
            <w:vAlign w:val="center"/>
          </w:tcPr>
          <w:p w14:paraId="7597829A">
            <w:pPr>
              <w:pStyle w:val="21"/>
              <w:keepNext/>
              <w:spacing w:after="0" w:line="440" w:lineRule="exact"/>
              <w:ind w:left="63" w:right="63"/>
              <w:rPr>
                <w:rFonts w:eastAsia="仿宋_GB2312"/>
                <w:color w:val="auto"/>
                <w:sz w:val="30"/>
                <w:szCs w:val="30"/>
                <w:highlight w:val="none"/>
              </w:rPr>
            </w:pPr>
          </w:p>
        </w:tc>
        <w:tc>
          <w:tcPr>
            <w:tcW w:w="4252" w:type="dxa"/>
            <w:noWrap w:val="0"/>
            <w:vAlign w:val="center"/>
          </w:tcPr>
          <w:p w14:paraId="27C5A74F">
            <w:pPr>
              <w:pStyle w:val="21"/>
              <w:keepNext/>
              <w:spacing w:after="0" w:line="440" w:lineRule="exact"/>
              <w:ind w:left="63" w:right="63"/>
              <w:rPr>
                <w:rFonts w:eastAsia="仿宋_GB2312"/>
                <w:color w:val="auto"/>
                <w:sz w:val="30"/>
                <w:szCs w:val="30"/>
                <w:highlight w:val="none"/>
              </w:rPr>
            </w:pPr>
          </w:p>
        </w:tc>
      </w:tr>
      <w:tr w14:paraId="428FE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01C37BED">
            <w:pPr>
              <w:pStyle w:val="21"/>
              <w:keepNext/>
              <w:spacing w:after="0" w:line="440" w:lineRule="exact"/>
              <w:ind w:left="63" w:right="63"/>
              <w:rPr>
                <w:rFonts w:eastAsia="仿宋_GB2312"/>
                <w:color w:val="auto"/>
                <w:sz w:val="28"/>
                <w:szCs w:val="28"/>
                <w:highlight w:val="none"/>
              </w:rPr>
            </w:pPr>
          </w:p>
        </w:tc>
        <w:tc>
          <w:tcPr>
            <w:tcW w:w="1418" w:type="dxa"/>
            <w:noWrap w:val="0"/>
            <w:vAlign w:val="center"/>
          </w:tcPr>
          <w:p w14:paraId="630306D4">
            <w:pPr>
              <w:pStyle w:val="21"/>
              <w:keepNext/>
              <w:spacing w:after="0" w:line="440" w:lineRule="exact"/>
              <w:ind w:left="63" w:right="63"/>
              <w:rPr>
                <w:rFonts w:eastAsia="仿宋_GB2312"/>
                <w:color w:val="auto"/>
                <w:sz w:val="28"/>
                <w:szCs w:val="28"/>
                <w:highlight w:val="none"/>
              </w:rPr>
            </w:pPr>
          </w:p>
        </w:tc>
        <w:tc>
          <w:tcPr>
            <w:tcW w:w="1134" w:type="dxa"/>
            <w:noWrap w:val="0"/>
            <w:vAlign w:val="center"/>
          </w:tcPr>
          <w:p w14:paraId="33058B76">
            <w:pPr>
              <w:pStyle w:val="21"/>
              <w:keepNext/>
              <w:spacing w:after="0" w:line="440" w:lineRule="exact"/>
              <w:ind w:left="63" w:right="63"/>
              <w:rPr>
                <w:rFonts w:eastAsia="仿宋_GB2312"/>
                <w:color w:val="auto"/>
                <w:sz w:val="30"/>
                <w:szCs w:val="30"/>
                <w:highlight w:val="none"/>
              </w:rPr>
            </w:pPr>
          </w:p>
        </w:tc>
        <w:tc>
          <w:tcPr>
            <w:tcW w:w="1134" w:type="dxa"/>
            <w:noWrap w:val="0"/>
            <w:vAlign w:val="center"/>
          </w:tcPr>
          <w:p w14:paraId="76373D90">
            <w:pPr>
              <w:pStyle w:val="21"/>
              <w:keepNext/>
              <w:spacing w:after="0" w:line="440" w:lineRule="exact"/>
              <w:ind w:left="63" w:right="63"/>
              <w:rPr>
                <w:rFonts w:eastAsia="仿宋_GB2312"/>
                <w:color w:val="auto"/>
                <w:sz w:val="30"/>
                <w:szCs w:val="30"/>
                <w:highlight w:val="none"/>
              </w:rPr>
            </w:pPr>
          </w:p>
        </w:tc>
        <w:tc>
          <w:tcPr>
            <w:tcW w:w="4252" w:type="dxa"/>
            <w:noWrap w:val="0"/>
            <w:vAlign w:val="center"/>
          </w:tcPr>
          <w:p w14:paraId="53E7F98B">
            <w:pPr>
              <w:pStyle w:val="21"/>
              <w:keepNext/>
              <w:spacing w:after="0" w:line="440" w:lineRule="exact"/>
              <w:ind w:left="63" w:right="63"/>
              <w:rPr>
                <w:rFonts w:eastAsia="仿宋_GB2312"/>
                <w:color w:val="auto"/>
                <w:sz w:val="30"/>
                <w:szCs w:val="30"/>
                <w:highlight w:val="none"/>
              </w:rPr>
            </w:pPr>
          </w:p>
        </w:tc>
      </w:tr>
      <w:tr w14:paraId="14F13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014FAFCB">
            <w:pPr>
              <w:pStyle w:val="21"/>
              <w:keepNext/>
              <w:spacing w:after="0" w:line="440" w:lineRule="exact"/>
              <w:ind w:left="63" w:right="63"/>
              <w:rPr>
                <w:rFonts w:eastAsia="仿宋_GB2312"/>
                <w:color w:val="auto"/>
                <w:sz w:val="28"/>
                <w:szCs w:val="28"/>
                <w:highlight w:val="none"/>
              </w:rPr>
            </w:pPr>
          </w:p>
        </w:tc>
        <w:tc>
          <w:tcPr>
            <w:tcW w:w="1418" w:type="dxa"/>
            <w:noWrap w:val="0"/>
            <w:vAlign w:val="center"/>
          </w:tcPr>
          <w:p w14:paraId="0B2AFC16">
            <w:pPr>
              <w:pStyle w:val="21"/>
              <w:keepNext/>
              <w:spacing w:after="0" w:line="440" w:lineRule="exact"/>
              <w:ind w:left="63" w:right="63"/>
              <w:rPr>
                <w:rFonts w:eastAsia="仿宋_GB2312"/>
                <w:color w:val="auto"/>
                <w:sz w:val="28"/>
                <w:szCs w:val="28"/>
                <w:highlight w:val="none"/>
              </w:rPr>
            </w:pPr>
          </w:p>
        </w:tc>
        <w:tc>
          <w:tcPr>
            <w:tcW w:w="1134" w:type="dxa"/>
            <w:noWrap w:val="0"/>
            <w:vAlign w:val="center"/>
          </w:tcPr>
          <w:p w14:paraId="02DC87EF">
            <w:pPr>
              <w:pStyle w:val="21"/>
              <w:keepNext/>
              <w:spacing w:after="0" w:line="440" w:lineRule="exact"/>
              <w:ind w:left="63" w:right="63"/>
              <w:rPr>
                <w:rFonts w:eastAsia="仿宋_GB2312"/>
                <w:color w:val="auto"/>
                <w:sz w:val="30"/>
                <w:szCs w:val="30"/>
                <w:highlight w:val="none"/>
              </w:rPr>
            </w:pPr>
          </w:p>
        </w:tc>
        <w:tc>
          <w:tcPr>
            <w:tcW w:w="1134" w:type="dxa"/>
            <w:noWrap w:val="0"/>
            <w:vAlign w:val="center"/>
          </w:tcPr>
          <w:p w14:paraId="5379E4FA">
            <w:pPr>
              <w:pStyle w:val="21"/>
              <w:keepNext/>
              <w:spacing w:after="0" w:line="440" w:lineRule="exact"/>
              <w:ind w:left="63" w:right="63"/>
              <w:rPr>
                <w:rFonts w:eastAsia="仿宋_GB2312"/>
                <w:color w:val="auto"/>
                <w:sz w:val="30"/>
                <w:szCs w:val="30"/>
                <w:highlight w:val="none"/>
              </w:rPr>
            </w:pPr>
          </w:p>
        </w:tc>
        <w:tc>
          <w:tcPr>
            <w:tcW w:w="4252" w:type="dxa"/>
            <w:noWrap w:val="0"/>
            <w:vAlign w:val="center"/>
          </w:tcPr>
          <w:p w14:paraId="6F8F567E">
            <w:pPr>
              <w:pStyle w:val="21"/>
              <w:keepNext/>
              <w:spacing w:after="0" w:line="440" w:lineRule="exact"/>
              <w:ind w:left="63" w:right="63"/>
              <w:rPr>
                <w:rFonts w:eastAsia="仿宋_GB2312"/>
                <w:color w:val="auto"/>
                <w:sz w:val="30"/>
                <w:szCs w:val="30"/>
                <w:highlight w:val="none"/>
              </w:rPr>
            </w:pPr>
          </w:p>
        </w:tc>
      </w:tr>
      <w:tr w14:paraId="78637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40A097FF">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二、现场人员</w:t>
            </w:r>
          </w:p>
        </w:tc>
      </w:tr>
      <w:tr w14:paraId="69E9F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21D42983">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项目经理</w:t>
            </w:r>
          </w:p>
        </w:tc>
        <w:tc>
          <w:tcPr>
            <w:tcW w:w="1418" w:type="dxa"/>
            <w:noWrap w:val="0"/>
            <w:vAlign w:val="center"/>
          </w:tcPr>
          <w:p w14:paraId="607416A2">
            <w:pPr>
              <w:pStyle w:val="21"/>
              <w:keepNext/>
              <w:spacing w:after="0" w:line="440" w:lineRule="exact"/>
              <w:ind w:left="63" w:right="63"/>
              <w:rPr>
                <w:rFonts w:eastAsia="仿宋_GB2312"/>
                <w:color w:val="auto"/>
                <w:sz w:val="28"/>
                <w:szCs w:val="28"/>
                <w:highlight w:val="none"/>
              </w:rPr>
            </w:pPr>
          </w:p>
        </w:tc>
        <w:tc>
          <w:tcPr>
            <w:tcW w:w="1134" w:type="dxa"/>
            <w:noWrap w:val="0"/>
            <w:vAlign w:val="center"/>
          </w:tcPr>
          <w:p w14:paraId="36CB7D88">
            <w:pPr>
              <w:pStyle w:val="21"/>
              <w:keepNext/>
              <w:spacing w:after="0" w:line="440" w:lineRule="exact"/>
              <w:ind w:left="63" w:right="63"/>
              <w:rPr>
                <w:rFonts w:eastAsia="仿宋_GB2312"/>
                <w:color w:val="auto"/>
                <w:sz w:val="30"/>
                <w:szCs w:val="30"/>
                <w:highlight w:val="none"/>
              </w:rPr>
            </w:pPr>
          </w:p>
        </w:tc>
        <w:tc>
          <w:tcPr>
            <w:tcW w:w="1134" w:type="dxa"/>
            <w:noWrap w:val="0"/>
            <w:vAlign w:val="center"/>
          </w:tcPr>
          <w:p w14:paraId="55EF64F7">
            <w:pPr>
              <w:pStyle w:val="21"/>
              <w:keepNext/>
              <w:spacing w:after="0" w:line="440" w:lineRule="exact"/>
              <w:ind w:left="63" w:right="63"/>
              <w:rPr>
                <w:rFonts w:eastAsia="仿宋_GB2312"/>
                <w:color w:val="auto"/>
                <w:sz w:val="30"/>
                <w:szCs w:val="30"/>
                <w:highlight w:val="none"/>
              </w:rPr>
            </w:pPr>
          </w:p>
        </w:tc>
        <w:tc>
          <w:tcPr>
            <w:tcW w:w="4252" w:type="dxa"/>
            <w:noWrap w:val="0"/>
            <w:vAlign w:val="center"/>
          </w:tcPr>
          <w:p w14:paraId="25453358">
            <w:pPr>
              <w:pStyle w:val="21"/>
              <w:keepNext/>
              <w:spacing w:after="0" w:line="440" w:lineRule="exact"/>
              <w:ind w:left="63" w:right="63"/>
              <w:rPr>
                <w:rFonts w:eastAsia="仿宋_GB2312"/>
                <w:color w:val="auto"/>
                <w:sz w:val="30"/>
                <w:szCs w:val="30"/>
                <w:highlight w:val="none"/>
              </w:rPr>
            </w:pPr>
          </w:p>
        </w:tc>
      </w:tr>
      <w:tr w14:paraId="740CD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1A21F6B4">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项目副经理</w:t>
            </w:r>
          </w:p>
        </w:tc>
        <w:tc>
          <w:tcPr>
            <w:tcW w:w="1418" w:type="dxa"/>
            <w:noWrap w:val="0"/>
            <w:vAlign w:val="center"/>
          </w:tcPr>
          <w:p w14:paraId="33FB025C">
            <w:pPr>
              <w:pStyle w:val="21"/>
              <w:keepNext/>
              <w:spacing w:after="0" w:line="440" w:lineRule="exact"/>
              <w:ind w:left="63" w:right="63"/>
              <w:rPr>
                <w:rFonts w:eastAsia="仿宋_GB2312"/>
                <w:color w:val="auto"/>
                <w:sz w:val="28"/>
                <w:szCs w:val="28"/>
                <w:highlight w:val="none"/>
              </w:rPr>
            </w:pPr>
          </w:p>
        </w:tc>
        <w:tc>
          <w:tcPr>
            <w:tcW w:w="1134" w:type="dxa"/>
            <w:noWrap w:val="0"/>
            <w:vAlign w:val="center"/>
          </w:tcPr>
          <w:p w14:paraId="29C65F1E">
            <w:pPr>
              <w:pStyle w:val="21"/>
              <w:keepNext/>
              <w:spacing w:after="0" w:line="440" w:lineRule="exact"/>
              <w:ind w:left="63" w:right="63"/>
              <w:rPr>
                <w:rFonts w:eastAsia="仿宋_GB2312"/>
                <w:color w:val="auto"/>
                <w:sz w:val="30"/>
                <w:szCs w:val="30"/>
                <w:highlight w:val="none"/>
              </w:rPr>
            </w:pPr>
          </w:p>
        </w:tc>
        <w:tc>
          <w:tcPr>
            <w:tcW w:w="1134" w:type="dxa"/>
            <w:noWrap w:val="0"/>
            <w:vAlign w:val="center"/>
          </w:tcPr>
          <w:p w14:paraId="2C444FD9">
            <w:pPr>
              <w:pStyle w:val="21"/>
              <w:keepNext/>
              <w:spacing w:after="0" w:line="440" w:lineRule="exact"/>
              <w:ind w:left="63" w:right="63"/>
              <w:rPr>
                <w:rFonts w:eastAsia="仿宋_GB2312"/>
                <w:color w:val="auto"/>
                <w:sz w:val="30"/>
                <w:szCs w:val="30"/>
                <w:highlight w:val="none"/>
              </w:rPr>
            </w:pPr>
          </w:p>
        </w:tc>
        <w:tc>
          <w:tcPr>
            <w:tcW w:w="4252" w:type="dxa"/>
            <w:noWrap w:val="0"/>
            <w:vAlign w:val="center"/>
          </w:tcPr>
          <w:p w14:paraId="4DDC1136">
            <w:pPr>
              <w:pStyle w:val="21"/>
              <w:keepNext/>
              <w:spacing w:after="0" w:line="440" w:lineRule="exact"/>
              <w:ind w:left="63" w:right="63"/>
              <w:rPr>
                <w:rFonts w:eastAsia="仿宋_GB2312"/>
                <w:color w:val="auto"/>
                <w:sz w:val="30"/>
                <w:szCs w:val="30"/>
                <w:highlight w:val="none"/>
              </w:rPr>
            </w:pPr>
          </w:p>
        </w:tc>
      </w:tr>
      <w:tr w14:paraId="7E25C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6474278C">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技术负责人</w:t>
            </w:r>
          </w:p>
        </w:tc>
        <w:tc>
          <w:tcPr>
            <w:tcW w:w="1418" w:type="dxa"/>
            <w:noWrap w:val="0"/>
            <w:vAlign w:val="center"/>
          </w:tcPr>
          <w:p w14:paraId="5F2DF782">
            <w:pPr>
              <w:pStyle w:val="21"/>
              <w:keepNext/>
              <w:spacing w:after="0" w:line="440" w:lineRule="exact"/>
              <w:ind w:left="63" w:right="63"/>
              <w:rPr>
                <w:rFonts w:eastAsia="仿宋_GB2312"/>
                <w:color w:val="auto"/>
                <w:sz w:val="28"/>
                <w:szCs w:val="28"/>
                <w:highlight w:val="none"/>
              </w:rPr>
            </w:pPr>
          </w:p>
        </w:tc>
        <w:tc>
          <w:tcPr>
            <w:tcW w:w="1134" w:type="dxa"/>
            <w:noWrap w:val="0"/>
            <w:vAlign w:val="center"/>
          </w:tcPr>
          <w:p w14:paraId="6D923097">
            <w:pPr>
              <w:pStyle w:val="21"/>
              <w:keepNext/>
              <w:spacing w:after="0" w:line="440" w:lineRule="exact"/>
              <w:ind w:left="63" w:right="63"/>
              <w:rPr>
                <w:rFonts w:eastAsia="仿宋_GB2312"/>
                <w:color w:val="auto"/>
                <w:sz w:val="30"/>
                <w:szCs w:val="30"/>
                <w:highlight w:val="none"/>
              </w:rPr>
            </w:pPr>
          </w:p>
        </w:tc>
        <w:tc>
          <w:tcPr>
            <w:tcW w:w="1134" w:type="dxa"/>
            <w:noWrap w:val="0"/>
            <w:vAlign w:val="center"/>
          </w:tcPr>
          <w:p w14:paraId="39FB6813">
            <w:pPr>
              <w:pStyle w:val="21"/>
              <w:keepNext/>
              <w:spacing w:after="0" w:line="440" w:lineRule="exact"/>
              <w:ind w:left="63" w:right="63"/>
              <w:rPr>
                <w:rFonts w:eastAsia="仿宋_GB2312"/>
                <w:color w:val="auto"/>
                <w:sz w:val="30"/>
                <w:szCs w:val="30"/>
                <w:highlight w:val="none"/>
              </w:rPr>
            </w:pPr>
          </w:p>
        </w:tc>
        <w:tc>
          <w:tcPr>
            <w:tcW w:w="4252" w:type="dxa"/>
            <w:noWrap w:val="0"/>
            <w:vAlign w:val="center"/>
          </w:tcPr>
          <w:p w14:paraId="55A20F3E">
            <w:pPr>
              <w:pStyle w:val="21"/>
              <w:keepNext/>
              <w:spacing w:after="0" w:line="440" w:lineRule="exact"/>
              <w:ind w:left="63" w:right="63"/>
              <w:rPr>
                <w:rFonts w:eastAsia="仿宋_GB2312"/>
                <w:color w:val="auto"/>
                <w:sz w:val="30"/>
                <w:szCs w:val="30"/>
                <w:highlight w:val="none"/>
              </w:rPr>
            </w:pPr>
          </w:p>
        </w:tc>
      </w:tr>
      <w:tr w14:paraId="01A36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24BF63DC">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造价管理</w:t>
            </w:r>
          </w:p>
        </w:tc>
        <w:tc>
          <w:tcPr>
            <w:tcW w:w="1418" w:type="dxa"/>
            <w:noWrap w:val="0"/>
            <w:vAlign w:val="center"/>
          </w:tcPr>
          <w:p w14:paraId="6C4811F2">
            <w:pPr>
              <w:pStyle w:val="21"/>
              <w:keepNext/>
              <w:spacing w:after="0" w:line="440" w:lineRule="exact"/>
              <w:ind w:left="63" w:right="63"/>
              <w:rPr>
                <w:rFonts w:eastAsia="仿宋_GB2312"/>
                <w:color w:val="auto"/>
                <w:sz w:val="28"/>
                <w:szCs w:val="28"/>
                <w:highlight w:val="none"/>
              </w:rPr>
            </w:pPr>
          </w:p>
        </w:tc>
        <w:tc>
          <w:tcPr>
            <w:tcW w:w="1134" w:type="dxa"/>
            <w:noWrap w:val="0"/>
            <w:vAlign w:val="center"/>
          </w:tcPr>
          <w:p w14:paraId="15E63C3F">
            <w:pPr>
              <w:pStyle w:val="21"/>
              <w:keepNext/>
              <w:spacing w:after="0" w:line="440" w:lineRule="exact"/>
              <w:ind w:left="63" w:right="63"/>
              <w:rPr>
                <w:rFonts w:eastAsia="仿宋_GB2312"/>
                <w:color w:val="auto"/>
                <w:sz w:val="30"/>
                <w:szCs w:val="30"/>
                <w:highlight w:val="none"/>
              </w:rPr>
            </w:pPr>
          </w:p>
        </w:tc>
        <w:tc>
          <w:tcPr>
            <w:tcW w:w="1134" w:type="dxa"/>
            <w:noWrap w:val="0"/>
            <w:vAlign w:val="center"/>
          </w:tcPr>
          <w:p w14:paraId="6F22E91A">
            <w:pPr>
              <w:pStyle w:val="21"/>
              <w:keepNext/>
              <w:spacing w:after="0" w:line="440" w:lineRule="exact"/>
              <w:ind w:left="63" w:right="63"/>
              <w:rPr>
                <w:rFonts w:eastAsia="仿宋_GB2312"/>
                <w:color w:val="auto"/>
                <w:sz w:val="30"/>
                <w:szCs w:val="30"/>
                <w:highlight w:val="none"/>
              </w:rPr>
            </w:pPr>
          </w:p>
        </w:tc>
        <w:tc>
          <w:tcPr>
            <w:tcW w:w="4252" w:type="dxa"/>
            <w:noWrap w:val="0"/>
            <w:vAlign w:val="center"/>
          </w:tcPr>
          <w:p w14:paraId="79BE124D">
            <w:pPr>
              <w:pStyle w:val="21"/>
              <w:keepNext/>
              <w:spacing w:after="0" w:line="440" w:lineRule="exact"/>
              <w:ind w:left="63" w:right="63"/>
              <w:rPr>
                <w:rFonts w:eastAsia="仿宋_GB2312"/>
                <w:color w:val="auto"/>
                <w:sz w:val="30"/>
                <w:szCs w:val="30"/>
                <w:highlight w:val="none"/>
              </w:rPr>
            </w:pPr>
          </w:p>
        </w:tc>
      </w:tr>
      <w:tr w14:paraId="5C545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610EF2CD">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质量管理</w:t>
            </w:r>
          </w:p>
        </w:tc>
        <w:tc>
          <w:tcPr>
            <w:tcW w:w="1418" w:type="dxa"/>
            <w:noWrap w:val="0"/>
            <w:vAlign w:val="center"/>
          </w:tcPr>
          <w:p w14:paraId="210BB040">
            <w:pPr>
              <w:pStyle w:val="21"/>
              <w:keepNext/>
              <w:spacing w:after="0" w:line="440" w:lineRule="exact"/>
              <w:ind w:left="63" w:right="63"/>
              <w:rPr>
                <w:rFonts w:eastAsia="仿宋_GB2312"/>
                <w:color w:val="auto"/>
                <w:sz w:val="28"/>
                <w:szCs w:val="28"/>
                <w:highlight w:val="none"/>
              </w:rPr>
            </w:pPr>
          </w:p>
        </w:tc>
        <w:tc>
          <w:tcPr>
            <w:tcW w:w="1134" w:type="dxa"/>
            <w:noWrap w:val="0"/>
            <w:vAlign w:val="center"/>
          </w:tcPr>
          <w:p w14:paraId="0911E497">
            <w:pPr>
              <w:pStyle w:val="21"/>
              <w:keepNext/>
              <w:spacing w:after="0" w:line="440" w:lineRule="exact"/>
              <w:ind w:left="63" w:right="63"/>
              <w:rPr>
                <w:rFonts w:eastAsia="仿宋_GB2312"/>
                <w:color w:val="auto"/>
                <w:sz w:val="30"/>
                <w:szCs w:val="30"/>
                <w:highlight w:val="none"/>
              </w:rPr>
            </w:pPr>
          </w:p>
        </w:tc>
        <w:tc>
          <w:tcPr>
            <w:tcW w:w="1134" w:type="dxa"/>
            <w:noWrap w:val="0"/>
            <w:vAlign w:val="center"/>
          </w:tcPr>
          <w:p w14:paraId="3219C6FB">
            <w:pPr>
              <w:pStyle w:val="21"/>
              <w:keepNext/>
              <w:spacing w:after="0" w:line="440" w:lineRule="exact"/>
              <w:ind w:left="63" w:right="63"/>
              <w:rPr>
                <w:rFonts w:eastAsia="仿宋_GB2312"/>
                <w:color w:val="auto"/>
                <w:sz w:val="30"/>
                <w:szCs w:val="30"/>
                <w:highlight w:val="none"/>
              </w:rPr>
            </w:pPr>
          </w:p>
        </w:tc>
        <w:tc>
          <w:tcPr>
            <w:tcW w:w="4252" w:type="dxa"/>
            <w:noWrap w:val="0"/>
            <w:vAlign w:val="center"/>
          </w:tcPr>
          <w:p w14:paraId="4D77E585">
            <w:pPr>
              <w:pStyle w:val="21"/>
              <w:keepNext/>
              <w:spacing w:after="0" w:line="440" w:lineRule="exact"/>
              <w:ind w:left="63" w:right="63"/>
              <w:rPr>
                <w:rFonts w:eastAsia="仿宋_GB2312"/>
                <w:color w:val="auto"/>
                <w:sz w:val="30"/>
                <w:szCs w:val="30"/>
                <w:highlight w:val="none"/>
              </w:rPr>
            </w:pPr>
          </w:p>
        </w:tc>
      </w:tr>
      <w:tr w14:paraId="5DBA4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5A0F7526">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材料管理</w:t>
            </w:r>
          </w:p>
        </w:tc>
        <w:tc>
          <w:tcPr>
            <w:tcW w:w="1418" w:type="dxa"/>
            <w:noWrap w:val="0"/>
            <w:vAlign w:val="center"/>
          </w:tcPr>
          <w:p w14:paraId="2EEF29AC">
            <w:pPr>
              <w:pStyle w:val="21"/>
              <w:keepNext/>
              <w:spacing w:after="0" w:line="440" w:lineRule="exact"/>
              <w:ind w:left="63" w:right="63"/>
              <w:rPr>
                <w:rFonts w:eastAsia="仿宋_GB2312"/>
                <w:color w:val="auto"/>
                <w:sz w:val="28"/>
                <w:szCs w:val="28"/>
                <w:highlight w:val="none"/>
              </w:rPr>
            </w:pPr>
          </w:p>
        </w:tc>
        <w:tc>
          <w:tcPr>
            <w:tcW w:w="1134" w:type="dxa"/>
            <w:noWrap w:val="0"/>
            <w:vAlign w:val="center"/>
          </w:tcPr>
          <w:p w14:paraId="079E62B0">
            <w:pPr>
              <w:pStyle w:val="21"/>
              <w:keepNext/>
              <w:spacing w:after="0" w:line="440" w:lineRule="exact"/>
              <w:ind w:left="63" w:right="63"/>
              <w:rPr>
                <w:rFonts w:eastAsia="仿宋_GB2312"/>
                <w:color w:val="auto"/>
                <w:sz w:val="30"/>
                <w:szCs w:val="30"/>
                <w:highlight w:val="none"/>
              </w:rPr>
            </w:pPr>
          </w:p>
        </w:tc>
        <w:tc>
          <w:tcPr>
            <w:tcW w:w="1134" w:type="dxa"/>
            <w:noWrap w:val="0"/>
            <w:vAlign w:val="center"/>
          </w:tcPr>
          <w:p w14:paraId="125ADC47">
            <w:pPr>
              <w:pStyle w:val="21"/>
              <w:keepNext/>
              <w:spacing w:after="0" w:line="440" w:lineRule="exact"/>
              <w:ind w:left="63" w:right="63"/>
              <w:rPr>
                <w:rFonts w:eastAsia="仿宋_GB2312"/>
                <w:color w:val="auto"/>
                <w:sz w:val="30"/>
                <w:szCs w:val="30"/>
                <w:highlight w:val="none"/>
              </w:rPr>
            </w:pPr>
          </w:p>
        </w:tc>
        <w:tc>
          <w:tcPr>
            <w:tcW w:w="4252" w:type="dxa"/>
            <w:noWrap w:val="0"/>
            <w:vAlign w:val="center"/>
          </w:tcPr>
          <w:p w14:paraId="0EAE7458">
            <w:pPr>
              <w:pStyle w:val="21"/>
              <w:keepNext/>
              <w:spacing w:after="0" w:line="440" w:lineRule="exact"/>
              <w:ind w:left="63" w:right="63"/>
              <w:rPr>
                <w:rFonts w:eastAsia="仿宋_GB2312"/>
                <w:color w:val="auto"/>
                <w:sz w:val="30"/>
                <w:szCs w:val="30"/>
                <w:highlight w:val="none"/>
              </w:rPr>
            </w:pPr>
          </w:p>
        </w:tc>
      </w:tr>
      <w:tr w14:paraId="55999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47BEDBFA">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计划管理</w:t>
            </w:r>
          </w:p>
        </w:tc>
        <w:tc>
          <w:tcPr>
            <w:tcW w:w="1418" w:type="dxa"/>
            <w:noWrap w:val="0"/>
            <w:vAlign w:val="center"/>
          </w:tcPr>
          <w:p w14:paraId="6FB85DFF">
            <w:pPr>
              <w:pStyle w:val="21"/>
              <w:keepNext/>
              <w:spacing w:after="0" w:line="440" w:lineRule="exact"/>
              <w:ind w:left="63" w:right="63"/>
              <w:rPr>
                <w:rFonts w:eastAsia="仿宋_GB2312"/>
                <w:color w:val="auto"/>
                <w:sz w:val="28"/>
                <w:szCs w:val="28"/>
                <w:highlight w:val="none"/>
              </w:rPr>
            </w:pPr>
          </w:p>
        </w:tc>
        <w:tc>
          <w:tcPr>
            <w:tcW w:w="1134" w:type="dxa"/>
            <w:noWrap w:val="0"/>
            <w:vAlign w:val="center"/>
          </w:tcPr>
          <w:p w14:paraId="1B2FD4B3">
            <w:pPr>
              <w:pStyle w:val="21"/>
              <w:keepNext/>
              <w:spacing w:after="0" w:line="440" w:lineRule="exact"/>
              <w:ind w:left="63" w:right="63"/>
              <w:rPr>
                <w:rFonts w:eastAsia="仿宋_GB2312"/>
                <w:color w:val="auto"/>
                <w:sz w:val="30"/>
                <w:szCs w:val="30"/>
                <w:highlight w:val="none"/>
              </w:rPr>
            </w:pPr>
          </w:p>
        </w:tc>
        <w:tc>
          <w:tcPr>
            <w:tcW w:w="1134" w:type="dxa"/>
            <w:noWrap w:val="0"/>
            <w:vAlign w:val="center"/>
          </w:tcPr>
          <w:p w14:paraId="546904A8">
            <w:pPr>
              <w:pStyle w:val="21"/>
              <w:keepNext/>
              <w:spacing w:after="0" w:line="440" w:lineRule="exact"/>
              <w:ind w:left="63" w:right="63"/>
              <w:rPr>
                <w:rFonts w:eastAsia="仿宋_GB2312"/>
                <w:color w:val="auto"/>
                <w:sz w:val="30"/>
                <w:szCs w:val="30"/>
                <w:highlight w:val="none"/>
              </w:rPr>
            </w:pPr>
          </w:p>
        </w:tc>
        <w:tc>
          <w:tcPr>
            <w:tcW w:w="4252" w:type="dxa"/>
            <w:noWrap w:val="0"/>
            <w:vAlign w:val="center"/>
          </w:tcPr>
          <w:p w14:paraId="748FC158">
            <w:pPr>
              <w:pStyle w:val="21"/>
              <w:keepNext/>
              <w:spacing w:after="0" w:line="440" w:lineRule="exact"/>
              <w:ind w:left="63" w:right="63"/>
              <w:rPr>
                <w:rFonts w:eastAsia="仿宋_GB2312"/>
                <w:color w:val="auto"/>
                <w:sz w:val="30"/>
                <w:szCs w:val="30"/>
                <w:highlight w:val="none"/>
              </w:rPr>
            </w:pPr>
          </w:p>
        </w:tc>
      </w:tr>
      <w:tr w14:paraId="77026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1E8B2C88">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安全管理</w:t>
            </w:r>
          </w:p>
        </w:tc>
        <w:tc>
          <w:tcPr>
            <w:tcW w:w="1418" w:type="dxa"/>
            <w:noWrap w:val="0"/>
            <w:vAlign w:val="center"/>
          </w:tcPr>
          <w:p w14:paraId="32EEF859">
            <w:pPr>
              <w:pStyle w:val="21"/>
              <w:keepNext/>
              <w:spacing w:after="0" w:line="440" w:lineRule="exact"/>
              <w:ind w:left="63" w:right="63"/>
              <w:rPr>
                <w:rFonts w:eastAsia="仿宋_GB2312"/>
                <w:color w:val="auto"/>
                <w:sz w:val="28"/>
                <w:szCs w:val="28"/>
                <w:highlight w:val="none"/>
              </w:rPr>
            </w:pPr>
          </w:p>
        </w:tc>
        <w:tc>
          <w:tcPr>
            <w:tcW w:w="1134" w:type="dxa"/>
            <w:noWrap w:val="0"/>
            <w:vAlign w:val="center"/>
          </w:tcPr>
          <w:p w14:paraId="7C0846A1">
            <w:pPr>
              <w:pStyle w:val="21"/>
              <w:keepNext/>
              <w:spacing w:after="0" w:line="440" w:lineRule="exact"/>
              <w:ind w:left="63" w:right="63"/>
              <w:rPr>
                <w:rFonts w:eastAsia="仿宋_GB2312"/>
                <w:color w:val="auto"/>
                <w:sz w:val="30"/>
                <w:szCs w:val="30"/>
                <w:highlight w:val="none"/>
              </w:rPr>
            </w:pPr>
          </w:p>
        </w:tc>
        <w:tc>
          <w:tcPr>
            <w:tcW w:w="1134" w:type="dxa"/>
            <w:noWrap w:val="0"/>
            <w:vAlign w:val="center"/>
          </w:tcPr>
          <w:p w14:paraId="6C6B3D6D">
            <w:pPr>
              <w:pStyle w:val="21"/>
              <w:keepNext/>
              <w:spacing w:after="0" w:line="440" w:lineRule="exact"/>
              <w:ind w:left="63" w:right="63"/>
              <w:rPr>
                <w:rFonts w:eastAsia="仿宋_GB2312"/>
                <w:color w:val="auto"/>
                <w:sz w:val="30"/>
                <w:szCs w:val="30"/>
                <w:highlight w:val="none"/>
              </w:rPr>
            </w:pPr>
          </w:p>
        </w:tc>
        <w:tc>
          <w:tcPr>
            <w:tcW w:w="4252" w:type="dxa"/>
            <w:noWrap w:val="0"/>
            <w:vAlign w:val="center"/>
          </w:tcPr>
          <w:p w14:paraId="35A094EE">
            <w:pPr>
              <w:pStyle w:val="21"/>
              <w:keepNext/>
              <w:spacing w:after="0" w:line="440" w:lineRule="exact"/>
              <w:ind w:left="63" w:right="63"/>
              <w:rPr>
                <w:rFonts w:eastAsia="仿宋_GB2312"/>
                <w:color w:val="auto"/>
                <w:sz w:val="30"/>
                <w:szCs w:val="30"/>
                <w:highlight w:val="none"/>
              </w:rPr>
            </w:pPr>
          </w:p>
        </w:tc>
      </w:tr>
      <w:tr w14:paraId="63FCE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7B3485C7">
            <w:pPr>
              <w:pStyle w:val="21"/>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其他人员</w:t>
            </w:r>
          </w:p>
        </w:tc>
        <w:tc>
          <w:tcPr>
            <w:tcW w:w="1418" w:type="dxa"/>
            <w:noWrap w:val="0"/>
            <w:vAlign w:val="center"/>
          </w:tcPr>
          <w:p w14:paraId="2376970F">
            <w:pPr>
              <w:pStyle w:val="21"/>
              <w:keepNext/>
              <w:spacing w:after="0" w:line="440" w:lineRule="exact"/>
              <w:ind w:left="63" w:right="63"/>
              <w:rPr>
                <w:rFonts w:eastAsia="仿宋_GB2312"/>
                <w:color w:val="auto"/>
                <w:sz w:val="28"/>
                <w:szCs w:val="28"/>
                <w:highlight w:val="none"/>
              </w:rPr>
            </w:pPr>
          </w:p>
        </w:tc>
        <w:tc>
          <w:tcPr>
            <w:tcW w:w="1134" w:type="dxa"/>
            <w:noWrap w:val="0"/>
            <w:vAlign w:val="center"/>
          </w:tcPr>
          <w:p w14:paraId="7CB9696A">
            <w:pPr>
              <w:pStyle w:val="21"/>
              <w:keepNext/>
              <w:spacing w:after="0" w:line="440" w:lineRule="exact"/>
              <w:ind w:left="63" w:right="63"/>
              <w:rPr>
                <w:rFonts w:eastAsia="仿宋_GB2312"/>
                <w:color w:val="auto"/>
                <w:sz w:val="30"/>
                <w:szCs w:val="30"/>
                <w:highlight w:val="none"/>
              </w:rPr>
            </w:pPr>
          </w:p>
        </w:tc>
        <w:tc>
          <w:tcPr>
            <w:tcW w:w="1134" w:type="dxa"/>
            <w:noWrap w:val="0"/>
            <w:vAlign w:val="center"/>
          </w:tcPr>
          <w:p w14:paraId="5D9564A2">
            <w:pPr>
              <w:pStyle w:val="21"/>
              <w:keepNext/>
              <w:spacing w:after="0" w:line="440" w:lineRule="exact"/>
              <w:ind w:left="63" w:right="63"/>
              <w:rPr>
                <w:rFonts w:eastAsia="仿宋_GB2312"/>
                <w:color w:val="auto"/>
                <w:sz w:val="30"/>
                <w:szCs w:val="30"/>
                <w:highlight w:val="none"/>
              </w:rPr>
            </w:pPr>
          </w:p>
        </w:tc>
        <w:tc>
          <w:tcPr>
            <w:tcW w:w="4252" w:type="dxa"/>
            <w:noWrap w:val="0"/>
            <w:vAlign w:val="center"/>
          </w:tcPr>
          <w:p w14:paraId="4969EAEA">
            <w:pPr>
              <w:pStyle w:val="21"/>
              <w:keepNext/>
              <w:spacing w:after="0" w:line="440" w:lineRule="exact"/>
              <w:ind w:left="63" w:right="63"/>
              <w:rPr>
                <w:rFonts w:eastAsia="仿宋_GB2312"/>
                <w:color w:val="auto"/>
                <w:sz w:val="30"/>
                <w:szCs w:val="30"/>
                <w:highlight w:val="none"/>
              </w:rPr>
            </w:pPr>
          </w:p>
        </w:tc>
      </w:tr>
      <w:tr w14:paraId="0F9B2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14A589CA">
            <w:pPr>
              <w:pStyle w:val="21"/>
              <w:keepNext/>
              <w:spacing w:after="0" w:line="440" w:lineRule="exact"/>
              <w:ind w:left="63" w:right="63"/>
              <w:rPr>
                <w:rFonts w:eastAsia="仿宋_GB2312"/>
                <w:color w:val="auto"/>
                <w:sz w:val="28"/>
                <w:szCs w:val="28"/>
                <w:highlight w:val="none"/>
              </w:rPr>
            </w:pPr>
          </w:p>
        </w:tc>
        <w:tc>
          <w:tcPr>
            <w:tcW w:w="1418" w:type="dxa"/>
            <w:noWrap w:val="0"/>
            <w:vAlign w:val="center"/>
          </w:tcPr>
          <w:p w14:paraId="3515D6E1">
            <w:pPr>
              <w:pStyle w:val="21"/>
              <w:keepNext/>
              <w:spacing w:after="0" w:line="440" w:lineRule="exact"/>
              <w:ind w:left="63" w:right="63"/>
              <w:rPr>
                <w:rFonts w:eastAsia="仿宋_GB2312"/>
                <w:color w:val="auto"/>
                <w:sz w:val="28"/>
                <w:szCs w:val="28"/>
                <w:highlight w:val="none"/>
              </w:rPr>
            </w:pPr>
          </w:p>
        </w:tc>
        <w:tc>
          <w:tcPr>
            <w:tcW w:w="1134" w:type="dxa"/>
            <w:noWrap w:val="0"/>
            <w:vAlign w:val="center"/>
          </w:tcPr>
          <w:p w14:paraId="27609E9F">
            <w:pPr>
              <w:pStyle w:val="21"/>
              <w:keepNext/>
              <w:spacing w:after="0" w:line="440" w:lineRule="exact"/>
              <w:ind w:left="63" w:right="63"/>
              <w:rPr>
                <w:rFonts w:eastAsia="仿宋_GB2312"/>
                <w:color w:val="auto"/>
                <w:sz w:val="30"/>
                <w:szCs w:val="30"/>
                <w:highlight w:val="none"/>
              </w:rPr>
            </w:pPr>
          </w:p>
        </w:tc>
        <w:tc>
          <w:tcPr>
            <w:tcW w:w="1134" w:type="dxa"/>
            <w:noWrap w:val="0"/>
            <w:vAlign w:val="center"/>
          </w:tcPr>
          <w:p w14:paraId="0F14FE5B">
            <w:pPr>
              <w:pStyle w:val="21"/>
              <w:keepNext/>
              <w:spacing w:after="0" w:line="440" w:lineRule="exact"/>
              <w:ind w:left="63" w:right="63"/>
              <w:rPr>
                <w:rFonts w:eastAsia="仿宋_GB2312"/>
                <w:color w:val="auto"/>
                <w:sz w:val="30"/>
                <w:szCs w:val="30"/>
                <w:highlight w:val="none"/>
              </w:rPr>
            </w:pPr>
          </w:p>
        </w:tc>
        <w:tc>
          <w:tcPr>
            <w:tcW w:w="4252" w:type="dxa"/>
            <w:noWrap w:val="0"/>
            <w:vAlign w:val="center"/>
          </w:tcPr>
          <w:p w14:paraId="509F5D6D">
            <w:pPr>
              <w:pStyle w:val="21"/>
              <w:keepNext/>
              <w:spacing w:after="0" w:line="440" w:lineRule="exact"/>
              <w:ind w:left="63" w:right="63"/>
              <w:rPr>
                <w:rFonts w:eastAsia="仿宋_GB2312"/>
                <w:color w:val="auto"/>
                <w:sz w:val="30"/>
                <w:szCs w:val="30"/>
                <w:highlight w:val="none"/>
              </w:rPr>
            </w:pPr>
          </w:p>
        </w:tc>
      </w:tr>
      <w:tr w14:paraId="70E49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7BE5815E">
            <w:pPr>
              <w:pStyle w:val="21"/>
              <w:keepNext/>
              <w:spacing w:after="0" w:line="440" w:lineRule="exact"/>
              <w:ind w:left="63" w:right="63"/>
              <w:rPr>
                <w:rFonts w:eastAsia="仿宋_GB2312"/>
                <w:color w:val="auto"/>
                <w:sz w:val="28"/>
                <w:szCs w:val="28"/>
                <w:highlight w:val="none"/>
              </w:rPr>
            </w:pPr>
          </w:p>
        </w:tc>
        <w:tc>
          <w:tcPr>
            <w:tcW w:w="1418" w:type="dxa"/>
            <w:noWrap w:val="0"/>
            <w:vAlign w:val="center"/>
          </w:tcPr>
          <w:p w14:paraId="28061E22">
            <w:pPr>
              <w:pStyle w:val="21"/>
              <w:keepNext/>
              <w:spacing w:after="0" w:line="440" w:lineRule="exact"/>
              <w:ind w:left="63" w:right="63"/>
              <w:rPr>
                <w:rFonts w:eastAsia="仿宋_GB2312"/>
                <w:color w:val="auto"/>
                <w:sz w:val="28"/>
                <w:szCs w:val="28"/>
                <w:highlight w:val="none"/>
              </w:rPr>
            </w:pPr>
          </w:p>
        </w:tc>
        <w:tc>
          <w:tcPr>
            <w:tcW w:w="1134" w:type="dxa"/>
            <w:noWrap w:val="0"/>
            <w:vAlign w:val="center"/>
          </w:tcPr>
          <w:p w14:paraId="68935616">
            <w:pPr>
              <w:pStyle w:val="21"/>
              <w:keepNext/>
              <w:spacing w:after="0" w:line="440" w:lineRule="exact"/>
              <w:ind w:left="63" w:right="63"/>
              <w:rPr>
                <w:rFonts w:eastAsia="仿宋_GB2312"/>
                <w:color w:val="auto"/>
                <w:sz w:val="30"/>
                <w:szCs w:val="30"/>
                <w:highlight w:val="none"/>
              </w:rPr>
            </w:pPr>
          </w:p>
        </w:tc>
        <w:tc>
          <w:tcPr>
            <w:tcW w:w="1134" w:type="dxa"/>
            <w:noWrap w:val="0"/>
            <w:vAlign w:val="center"/>
          </w:tcPr>
          <w:p w14:paraId="016E8391">
            <w:pPr>
              <w:pStyle w:val="21"/>
              <w:keepNext/>
              <w:spacing w:after="0" w:line="440" w:lineRule="exact"/>
              <w:ind w:left="63" w:right="63"/>
              <w:rPr>
                <w:rFonts w:eastAsia="仿宋_GB2312"/>
                <w:color w:val="auto"/>
                <w:sz w:val="30"/>
                <w:szCs w:val="30"/>
                <w:highlight w:val="none"/>
              </w:rPr>
            </w:pPr>
          </w:p>
        </w:tc>
        <w:tc>
          <w:tcPr>
            <w:tcW w:w="4252" w:type="dxa"/>
            <w:noWrap w:val="0"/>
            <w:vAlign w:val="center"/>
          </w:tcPr>
          <w:p w14:paraId="11EAFF7D">
            <w:pPr>
              <w:pStyle w:val="21"/>
              <w:keepNext/>
              <w:spacing w:after="0" w:line="440" w:lineRule="exact"/>
              <w:ind w:left="63" w:right="63"/>
              <w:rPr>
                <w:rFonts w:eastAsia="仿宋_GB2312"/>
                <w:color w:val="auto"/>
                <w:sz w:val="30"/>
                <w:szCs w:val="30"/>
                <w:highlight w:val="none"/>
              </w:rPr>
            </w:pPr>
          </w:p>
        </w:tc>
      </w:tr>
      <w:tr w14:paraId="222F2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4BAFFE7D">
            <w:pPr>
              <w:pStyle w:val="21"/>
              <w:keepNext/>
              <w:spacing w:after="0" w:line="440" w:lineRule="exact"/>
              <w:ind w:left="63" w:right="63"/>
              <w:rPr>
                <w:rFonts w:eastAsia="仿宋_GB2312"/>
                <w:color w:val="auto"/>
                <w:sz w:val="28"/>
                <w:szCs w:val="28"/>
                <w:highlight w:val="none"/>
              </w:rPr>
            </w:pPr>
          </w:p>
        </w:tc>
        <w:tc>
          <w:tcPr>
            <w:tcW w:w="1418" w:type="dxa"/>
            <w:noWrap w:val="0"/>
            <w:vAlign w:val="center"/>
          </w:tcPr>
          <w:p w14:paraId="6F14BF45">
            <w:pPr>
              <w:pStyle w:val="21"/>
              <w:keepNext/>
              <w:spacing w:after="0" w:line="440" w:lineRule="exact"/>
              <w:ind w:left="63" w:right="63"/>
              <w:rPr>
                <w:rFonts w:eastAsia="仿宋_GB2312"/>
                <w:color w:val="auto"/>
                <w:sz w:val="28"/>
                <w:szCs w:val="28"/>
                <w:highlight w:val="none"/>
              </w:rPr>
            </w:pPr>
          </w:p>
        </w:tc>
        <w:tc>
          <w:tcPr>
            <w:tcW w:w="1134" w:type="dxa"/>
            <w:noWrap w:val="0"/>
            <w:vAlign w:val="center"/>
          </w:tcPr>
          <w:p w14:paraId="08D2B2B5">
            <w:pPr>
              <w:pStyle w:val="21"/>
              <w:keepNext/>
              <w:spacing w:after="0" w:line="440" w:lineRule="exact"/>
              <w:ind w:left="63" w:right="63"/>
              <w:rPr>
                <w:rFonts w:eastAsia="仿宋_GB2312"/>
                <w:color w:val="auto"/>
                <w:sz w:val="30"/>
                <w:szCs w:val="30"/>
                <w:highlight w:val="none"/>
              </w:rPr>
            </w:pPr>
          </w:p>
        </w:tc>
        <w:tc>
          <w:tcPr>
            <w:tcW w:w="1134" w:type="dxa"/>
            <w:noWrap w:val="0"/>
            <w:vAlign w:val="center"/>
          </w:tcPr>
          <w:p w14:paraId="17685770">
            <w:pPr>
              <w:pStyle w:val="21"/>
              <w:keepNext/>
              <w:spacing w:after="0" w:line="440" w:lineRule="exact"/>
              <w:ind w:left="63" w:right="63"/>
              <w:rPr>
                <w:rFonts w:eastAsia="仿宋_GB2312"/>
                <w:color w:val="auto"/>
                <w:sz w:val="30"/>
                <w:szCs w:val="30"/>
                <w:highlight w:val="none"/>
              </w:rPr>
            </w:pPr>
          </w:p>
        </w:tc>
        <w:tc>
          <w:tcPr>
            <w:tcW w:w="4252" w:type="dxa"/>
            <w:noWrap w:val="0"/>
            <w:vAlign w:val="center"/>
          </w:tcPr>
          <w:p w14:paraId="61B013E8">
            <w:pPr>
              <w:pStyle w:val="21"/>
              <w:keepNext/>
              <w:spacing w:after="0" w:line="440" w:lineRule="exact"/>
              <w:ind w:left="63" w:right="63"/>
              <w:rPr>
                <w:rFonts w:eastAsia="仿宋_GB2312"/>
                <w:color w:val="auto"/>
                <w:sz w:val="30"/>
                <w:szCs w:val="30"/>
                <w:highlight w:val="none"/>
              </w:rPr>
            </w:pPr>
          </w:p>
        </w:tc>
      </w:tr>
      <w:tr w14:paraId="6986A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70BEEFDD">
            <w:pPr>
              <w:pStyle w:val="21"/>
              <w:keepNext/>
              <w:spacing w:after="0" w:line="440" w:lineRule="exact"/>
              <w:ind w:left="63" w:right="63"/>
              <w:rPr>
                <w:rFonts w:eastAsia="仿宋_GB2312"/>
                <w:color w:val="auto"/>
                <w:sz w:val="28"/>
                <w:szCs w:val="28"/>
                <w:highlight w:val="none"/>
              </w:rPr>
            </w:pPr>
          </w:p>
        </w:tc>
        <w:tc>
          <w:tcPr>
            <w:tcW w:w="1418" w:type="dxa"/>
            <w:noWrap w:val="0"/>
            <w:vAlign w:val="center"/>
          </w:tcPr>
          <w:p w14:paraId="5F59092A">
            <w:pPr>
              <w:pStyle w:val="21"/>
              <w:keepNext/>
              <w:spacing w:after="0" w:line="440" w:lineRule="exact"/>
              <w:ind w:left="63" w:right="63"/>
              <w:rPr>
                <w:rFonts w:eastAsia="仿宋_GB2312"/>
                <w:color w:val="auto"/>
                <w:sz w:val="28"/>
                <w:szCs w:val="28"/>
                <w:highlight w:val="none"/>
              </w:rPr>
            </w:pPr>
          </w:p>
        </w:tc>
        <w:tc>
          <w:tcPr>
            <w:tcW w:w="1134" w:type="dxa"/>
            <w:noWrap w:val="0"/>
            <w:vAlign w:val="center"/>
          </w:tcPr>
          <w:p w14:paraId="6253A6A1">
            <w:pPr>
              <w:pStyle w:val="21"/>
              <w:keepNext/>
              <w:spacing w:after="0" w:line="440" w:lineRule="exact"/>
              <w:ind w:left="63" w:right="63"/>
              <w:rPr>
                <w:rFonts w:eastAsia="仿宋_GB2312"/>
                <w:color w:val="auto"/>
                <w:sz w:val="30"/>
                <w:szCs w:val="30"/>
                <w:highlight w:val="none"/>
              </w:rPr>
            </w:pPr>
          </w:p>
        </w:tc>
        <w:tc>
          <w:tcPr>
            <w:tcW w:w="1134" w:type="dxa"/>
            <w:noWrap w:val="0"/>
            <w:vAlign w:val="center"/>
          </w:tcPr>
          <w:p w14:paraId="38866D05">
            <w:pPr>
              <w:pStyle w:val="21"/>
              <w:keepNext/>
              <w:spacing w:after="0" w:line="440" w:lineRule="exact"/>
              <w:ind w:left="63" w:right="63"/>
              <w:rPr>
                <w:rFonts w:eastAsia="仿宋_GB2312"/>
                <w:color w:val="auto"/>
                <w:sz w:val="30"/>
                <w:szCs w:val="30"/>
                <w:highlight w:val="none"/>
              </w:rPr>
            </w:pPr>
          </w:p>
        </w:tc>
        <w:tc>
          <w:tcPr>
            <w:tcW w:w="4252" w:type="dxa"/>
            <w:noWrap w:val="0"/>
            <w:vAlign w:val="center"/>
          </w:tcPr>
          <w:p w14:paraId="17733BF5">
            <w:pPr>
              <w:pStyle w:val="21"/>
              <w:keepNext/>
              <w:spacing w:after="0" w:line="440" w:lineRule="exact"/>
              <w:ind w:left="63" w:right="63"/>
              <w:rPr>
                <w:rFonts w:eastAsia="仿宋_GB2312"/>
                <w:color w:val="auto"/>
                <w:sz w:val="30"/>
                <w:szCs w:val="30"/>
                <w:highlight w:val="none"/>
              </w:rPr>
            </w:pPr>
          </w:p>
        </w:tc>
      </w:tr>
      <w:tr w14:paraId="4BF79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47ACE1B5">
            <w:pPr>
              <w:pStyle w:val="21"/>
              <w:keepNext/>
              <w:spacing w:after="0" w:line="440" w:lineRule="exact"/>
              <w:ind w:left="63" w:right="63"/>
              <w:rPr>
                <w:rFonts w:eastAsia="仿宋_GB2312"/>
                <w:color w:val="auto"/>
                <w:sz w:val="28"/>
                <w:szCs w:val="28"/>
                <w:highlight w:val="none"/>
              </w:rPr>
            </w:pPr>
          </w:p>
        </w:tc>
        <w:tc>
          <w:tcPr>
            <w:tcW w:w="1418" w:type="dxa"/>
            <w:noWrap w:val="0"/>
            <w:vAlign w:val="center"/>
          </w:tcPr>
          <w:p w14:paraId="502C0FCB">
            <w:pPr>
              <w:pStyle w:val="21"/>
              <w:keepNext/>
              <w:spacing w:after="0" w:line="440" w:lineRule="exact"/>
              <w:ind w:left="63" w:right="63"/>
              <w:rPr>
                <w:rFonts w:eastAsia="仿宋_GB2312"/>
                <w:color w:val="auto"/>
                <w:sz w:val="28"/>
                <w:szCs w:val="28"/>
                <w:highlight w:val="none"/>
              </w:rPr>
            </w:pPr>
          </w:p>
        </w:tc>
        <w:tc>
          <w:tcPr>
            <w:tcW w:w="1134" w:type="dxa"/>
            <w:noWrap w:val="0"/>
            <w:vAlign w:val="center"/>
          </w:tcPr>
          <w:p w14:paraId="4B1B897D">
            <w:pPr>
              <w:pStyle w:val="21"/>
              <w:keepNext/>
              <w:spacing w:after="0" w:line="440" w:lineRule="exact"/>
              <w:ind w:left="63" w:right="63"/>
              <w:rPr>
                <w:rFonts w:eastAsia="仿宋_GB2312"/>
                <w:color w:val="auto"/>
                <w:sz w:val="30"/>
                <w:szCs w:val="30"/>
                <w:highlight w:val="none"/>
              </w:rPr>
            </w:pPr>
          </w:p>
        </w:tc>
        <w:tc>
          <w:tcPr>
            <w:tcW w:w="1134" w:type="dxa"/>
            <w:noWrap w:val="0"/>
            <w:vAlign w:val="center"/>
          </w:tcPr>
          <w:p w14:paraId="23316CE7">
            <w:pPr>
              <w:pStyle w:val="21"/>
              <w:keepNext/>
              <w:spacing w:after="0" w:line="440" w:lineRule="exact"/>
              <w:ind w:left="63" w:right="63"/>
              <w:rPr>
                <w:rFonts w:eastAsia="仿宋_GB2312"/>
                <w:color w:val="auto"/>
                <w:sz w:val="30"/>
                <w:szCs w:val="30"/>
                <w:highlight w:val="none"/>
              </w:rPr>
            </w:pPr>
          </w:p>
        </w:tc>
        <w:tc>
          <w:tcPr>
            <w:tcW w:w="4252" w:type="dxa"/>
            <w:noWrap w:val="0"/>
            <w:vAlign w:val="center"/>
          </w:tcPr>
          <w:p w14:paraId="4761EE22">
            <w:pPr>
              <w:pStyle w:val="21"/>
              <w:keepNext/>
              <w:spacing w:after="0" w:line="440" w:lineRule="exact"/>
              <w:ind w:left="63" w:right="63"/>
              <w:rPr>
                <w:rFonts w:eastAsia="仿宋_GB2312"/>
                <w:color w:val="auto"/>
                <w:sz w:val="30"/>
                <w:szCs w:val="30"/>
                <w:highlight w:val="none"/>
              </w:rPr>
            </w:pPr>
          </w:p>
        </w:tc>
      </w:tr>
    </w:tbl>
    <w:p w14:paraId="6949945C">
      <w:pPr>
        <w:spacing w:line="360" w:lineRule="auto"/>
        <w:jc w:val="left"/>
        <w:rPr>
          <w:rFonts w:hint="eastAsia" w:ascii="黑体" w:hAnsi="黑体" w:eastAsia="黑体" w:cs="黑体"/>
          <w:color w:val="auto"/>
          <w:sz w:val="32"/>
          <w:szCs w:val="32"/>
          <w:highlight w:val="none"/>
        </w:rPr>
      </w:pPr>
      <w:r>
        <w:rPr>
          <w:rFonts w:eastAsia="仿宋_GB2312"/>
          <w:color w:val="auto"/>
          <w:sz w:val="30"/>
          <w:szCs w:val="30"/>
          <w:highlight w:val="none"/>
        </w:rPr>
        <w:br w:type="page"/>
      </w:r>
      <w:bookmarkStart w:id="872" w:name="_Toc267261701"/>
      <w:r>
        <w:rPr>
          <w:rFonts w:hint="eastAsia" w:ascii="黑体" w:hAnsi="黑体" w:eastAsia="黑体" w:cs="黑体"/>
          <w:color w:val="auto"/>
          <w:sz w:val="32"/>
          <w:szCs w:val="32"/>
          <w:highlight w:val="none"/>
        </w:rPr>
        <w:t>附件7</w:t>
      </w:r>
    </w:p>
    <w:p w14:paraId="7C5AB42A">
      <w:pPr>
        <w:spacing w:line="360" w:lineRule="auto"/>
        <w:jc w:val="left"/>
        <w:rPr>
          <w:rFonts w:ascii="黑体" w:hAnsi="黑体" w:eastAsia="黑体" w:cs="黑体"/>
          <w:b/>
          <w:bCs/>
          <w:color w:val="auto"/>
          <w:sz w:val="32"/>
          <w:szCs w:val="32"/>
          <w:highlight w:val="none"/>
        </w:rPr>
      </w:pPr>
    </w:p>
    <w:p w14:paraId="3FCB33D6">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履约保函示范文本</w:t>
      </w:r>
    </w:p>
    <w:p w14:paraId="024BFEE9">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（独立保函）</w:t>
      </w:r>
    </w:p>
    <w:p w14:paraId="45ECB3B9">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67D99959">
      <w:pPr>
        <w:spacing w:line="360" w:lineRule="auto"/>
        <w:rPr>
          <w:rFonts w:ascii="宋体" w:hAnsi="宋体"/>
          <w:color w:val="auto"/>
          <w:sz w:val="24"/>
          <w:szCs w:val="24"/>
          <w:highlight w:val="none"/>
        </w:rPr>
      </w:pPr>
      <w:r>
        <w:rPr>
          <w:rFonts w:hint="eastAsia" w:ascii="宋体" w:hAnsi="宋体"/>
          <w:color w:val="auto"/>
          <w:sz w:val="24"/>
          <w:szCs w:val="24"/>
          <w:highlight w:val="none"/>
        </w:rPr>
        <w:t>申请人：</w:t>
      </w:r>
    </w:p>
    <w:p w14:paraId="4224574E">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r>
        <w:rPr>
          <w:rFonts w:ascii="宋体" w:hAnsi="宋体"/>
          <w:color w:val="auto"/>
          <w:sz w:val="24"/>
          <w:szCs w:val="24"/>
          <w:highlight w:val="none"/>
        </w:rPr>
        <w:t>：</w:t>
      </w:r>
    </w:p>
    <w:p w14:paraId="7154AD92">
      <w:pPr>
        <w:spacing w:line="360" w:lineRule="auto"/>
        <w:rPr>
          <w:rFonts w:ascii="宋体" w:hAnsi="宋体"/>
          <w:color w:val="auto"/>
          <w:sz w:val="24"/>
          <w:szCs w:val="24"/>
          <w:highlight w:val="none"/>
        </w:rPr>
      </w:pPr>
      <w:r>
        <w:rPr>
          <w:rFonts w:hint="eastAsia" w:ascii="宋体" w:hAnsi="宋体"/>
          <w:color w:val="auto"/>
          <w:sz w:val="24"/>
          <w:szCs w:val="24"/>
          <w:highlight w:val="none"/>
        </w:rPr>
        <w:t>受益人：</w:t>
      </w:r>
    </w:p>
    <w:p w14:paraId="1650DDBB">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p>
    <w:p w14:paraId="6AF73A6F">
      <w:pPr>
        <w:spacing w:line="360" w:lineRule="auto"/>
        <w:rPr>
          <w:rFonts w:ascii="宋体" w:hAnsi="宋体"/>
          <w:color w:val="auto"/>
          <w:sz w:val="24"/>
          <w:szCs w:val="24"/>
          <w:highlight w:val="none"/>
        </w:rPr>
      </w:pPr>
      <w:r>
        <w:rPr>
          <w:rFonts w:hint="eastAsia" w:ascii="宋体" w:hAnsi="宋体"/>
          <w:color w:val="auto"/>
          <w:sz w:val="24"/>
          <w:szCs w:val="24"/>
          <w:highlight w:val="none"/>
        </w:rPr>
        <w:t>开立人：</w:t>
      </w:r>
    </w:p>
    <w:p w14:paraId="373B4E85">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地址：</w:t>
      </w:r>
    </w:p>
    <w:p w14:paraId="6A9D8121">
      <w:pPr>
        <w:spacing w:line="360" w:lineRule="auto"/>
        <w:rPr>
          <w:rFonts w:ascii="宋体" w:hAnsi="宋体"/>
          <w:color w:val="auto"/>
          <w:sz w:val="24"/>
          <w:szCs w:val="24"/>
          <w:highlight w:val="none"/>
        </w:rPr>
      </w:pPr>
      <w:r>
        <w:rPr>
          <w:rFonts w:ascii="宋体" w:hAnsi="宋体"/>
          <w:color w:val="auto"/>
          <w:sz w:val="24"/>
          <w:szCs w:val="24"/>
          <w:highlight w:val="none"/>
        </w:rPr>
        <w:t xml:space="preserve"> </w:t>
      </w:r>
    </w:p>
    <w:p w14:paraId="58F2886C">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受益人</w:t>
      </w:r>
      <w:r>
        <w:rPr>
          <w:rFonts w:ascii="宋体" w:hAnsi="宋体"/>
          <w:color w:val="auto"/>
          <w:sz w:val="24"/>
          <w:szCs w:val="24"/>
          <w:highlight w:val="none"/>
        </w:rPr>
        <w:t xml:space="preserve">名称）： </w:t>
      </w:r>
    </w:p>
    <w:p w14:paraId="675516C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受益人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申请人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（以下简称“基础合同”），我方（即“开立人”）根据基础合同了解到申请人为基础合同项下之承包人，受益人为基础合同项下之发包人，基于申请人</w:t>
      </w:r>
      <w:r>
        <w:rPr>
          <w:rFonts w:ascii="宋体" w:hAnsi="宋体"/>
          <w:color w:val="auto"/>
          <w:sz w:val="24"/>
          <w:szCs w:val="24"/>
          <w:highlight w:val="none"/>
        </w:rPr>
        <w:t>的请求，我方同意就</w:t>
      </w:r>
      <w:r>
        <w:rPr>
          <w:rFonts w:hint="eastAsia" w:ascii="宋体" w:hAnsi="宋体"/>
          <w:color w:val="auto"/>
          <w:sz w:val="24"/>
          <w:szCs w:val="24"/>
          <w:highlight w:val="none"/>
        </w:rPr>
        <w:t>申请人</w:t>
      </w:r>
      <w:r>
        <w:rPr>
          <w:rFonts w:ascii="宋体" w:hAnsi="宋体"/>
          <w:color w:val="auto"/>
          <w:sz w:val="24"/>
          <w:szCs w:val="24"/>
          <w:highlight w:val="none"/>
        </w:rPr>
        <w:t>履行</w:t>
      </w:r>
      <w:r>
        <w:rPr>
          <w:rFonts w:hint="eastAsia" w:ascii="宋体" w:hAnsi="宋体"/>
          <w:color w:val="auto"/>
          <w:sz w:val="24"/>
          <w:szCs w:val="24"/>
          <w:highlight w:val="none"/>
        </w:rPr>
        <w:t>与贵方签订的基础合同</w:t>
      </w:r>
      <w:r>
        <w:rPr>
          <w:rFonts w:ascii="宋体" w:hAnsi="宋体"/>
          <w:color w:val="auto"/>
          <w:sz w:val="24"/>
          <w:szCs w:val="24"/>
          <w:highlight w:val="none"/>
        </w:rPr>
        <w:t>项下的义务</w:t>
      </w:r>
      <w:r>
        <w:rPr>
          <w:rFonts w:hint="eastAsia" w:ascii="宋体" w:hAnsi="宋体"/>
          <w:color w:val="auto"/>
          <w:sz w:val="24"/>
          <w:szCs w:val="24"/>
          <w:highlight w:val="none"/>
        </w:rPr>
        <w:t>，</w:t>
      </w:r>
      <w:r>
        <w:rPr>
          <w:rFonts w:ascii="宋体" w:hAnsi="宋体"/>
          <w:color w:val="auto"/>
          <w:sz w:val="24"/>
          <w:szCs w:val="24"/>
          <w:highlight w:val="none"/>
        </w:rPr>
        <w:t>向贵方提供不可撤销、</w:t>
      </w:r>
      <w:r>
        <w:rPr>
          <w:rFonts w:hint="eastAsia" w:ascii="宋体" w:hAnsi="宋体"/>
          <w:color w:val="auto"/>
          <w:sz w:val="24"/>
          <w:szCs w:val="24"/>
          <w:highlight w:val="none"/>
        </w:rPr>
        <w:t>不可转让的见索即付</w:t>
      </w:r>
      <w:r>
        <w:rPr>
          <w:rFonts w:ascii="宋体" w:hAnsi="宋体"/>
          <w:color w:val="auto"/>
          <w:sz w:val="24"/>
          <w:szCs w:val="24"/>
          <w:highlight w:val="none"/>
        </w:rPr>
        <w:t>独立</w:t>
      </w:r>
      <w:r>
        <w:rPr>
          <w:rFonts w:hint="eastAsia" w:ascii="宋体" w:hAnsi="宋体"/>
          <w:color w:val="auto"/>
          <w:sz w:val="24"/>
          <w:szCs w:val="24"/>
          <w:highlight w:val="none"/>
        </w:rPr>
        <w:t>保函（以下简称“本保函”）</w:t>
      </w:r>
      <w:r>
        <w:rPr>
          <w:rFonts w:ascii="宋体" w:hAnsi="宋体"/>
          <w:color w:val="auto"/>
          <w:sz w:val="24"/>
          <w:szCs w:val="24"/>
          <w:highlight w:val="none"/>
        </w:rPr>
        <w:t xml:space="preserve">。 </w:t>
      </w:r>
    </w:p>
    <w:p w14:paraId="5D458DF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一、本保函担保范围：承包人未按照基础合同的约定履行义务，应当向贵方</w:t>
      </w:r>
      <w:r>
        <w:rPr>
          <w:rFonts w:hint="eastAsia" w:ascii="宋体" w:hAnsi="宋体"/>
          <w:color w:val="auto"/>
          <w:sz w:val="24"/>
          <w:szCs w:val="24"/>
          <w:highlight w:val="none"/>
          <w:lang w:eastAsia="zh-CN"/>
        </w:rPr>
        <w:t>承担</w:t>
      </w:r>
      <w:r>
        <w:rPr>
          <w:rFonts w:hint="eastAsia" w:ascii="宋体" w:hAnsi="宋体"/>
          <w:color w:val="auto"/>
          <w:sz w:val="24"/>
          <w:szCs w:val="24"/>
          <w:highlight w:val="none"/>
        </w:rPr>
        <w:t>违约责任和赔偿因此造成的损失、利息、律师费、诉讼费用等实现债权的费用。</w:t>
      </w:r>
    </w:p>
    <w:p w14:paraId="4F4699F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二、本保函担保金额最高不超过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16D94FB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三、本保函</w:t>
      </w:r>
      <w:r>
        <w:rPr>
          <w:rFonts w:ascii="宋体" w:hAnsi="宋体"/>
          <w:color w:val="auto"/>
          <w:sz w:val="24"/>
          <w:szCs w:val="24"/>
          <w:highlight w:val="none"/>
        </w:rPr>
        <w:t>有效期自</w:t>
      </w:r>
      <w:r>
        <w:rPr>
          <w:rFonts w:hint="eastAsia" w:ascii="宋体" w:hAnsi="宋体"/>
          <w:color w:val="auto"/>
          <w:sz w:val="24"/>
          <w:szCs w:val="24"/>
          <w:highlight w:val="none"/>
        </w:rPr>
        <w:t>开立之日起</w:t>
      </w:r>
      <w:r>
        <w:rPr>
          <w:rFonts w:ascii="宋体" w:hAnsi="宋体"/>
          <w:color w:val="auto"/>
          <w:sz w:val="24"/>
          <w:szCs w:val="24"/>
          <w:highlight w:val="none"/>
        </w:rPr>
        <w:t>至</w:t>
      </w:r>
      <w:r>
        <w:rPr>
          <w:rFonts w:hint="eastAsia" w:ascii="宋体" w:hAnsi="宋体"/>
          <w:color w:val="auto"/>
          <w:sz w:val="24"/>
          <w:szCs w:val="24"/>
          <w:highlight w:val="none"/>
        </w:rPr>
        <w:t>基础合同约定的缺陷责任期</w:t>
      </w:r>
      <w:r>
        <w:rPr>
          <w:rFonts w:ascii="宋体" w:hAnsi="宋体"/>
          <w:color w:val="auto"/>
          <w:sz w:val="24"/>
          <w:szCs w:val="24"/>
          <w:highlight w:val="none"/>
        </w:rPr>
        <w:t>后</w:t>
      </w:r>
      <w:r>
        <w:rPr>
          <w:rFonts w:ascii="宋体" w:hAnsi="宋体"/>
          <w:color w:val="auto"/>
          <w:sz w:val="24"/>
          <w:szCs w:val="24"/>
          <w:highlight w:val="none"/>
          <w:u w:val="single"/>
        </w:rPr>
        <w:t xml:space="preserve">   </w:t>
      </w:r>
      <w:r>
        <w:rPr>
          <w:rFonts w:hint="eastAsia" w:ascii="宋体" w:hAnsi="宋体"/>
          <w:color w:val="auto"/>
          <w:sz w:val="24"/>
          <w:szCs w:val="24"/>
          <w:highlight w:val="none"/>
        </w:rPr>
        <w:t>日止，最迟不超过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14:paraId="649DA9D9">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四、我方承诺，在收到受益人发来的书面付款通知后的</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日内无条件支付，前述书面付款通知即为付款要求之单据，且应满足以下要求：</w:t>
      </w:r>
    </w:p>
    <w:p w14:paraId="6CF5580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（1）付款通知到达的日期在本保函的有效期内；</w:t>
      </w:r>
    </w:p>
    <w:p w14:paraId="769E135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（2）载明要求支付的金额；</w:t>
      </w:r>
    </w:p>
    <w:p w14:paraId="031EFB5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（3）载明申请人违反合同义务的条款和内容；</w:t>
      </w:r>
    </w:p>
    <w:p w14:paraId="7D8BF19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（4）声明不存在合同文件约定或我国法律规定免除申请人或开立人支付责任的情形；</w:t>
      </w:r>
    </w:p>
    <w:p w14:paraId="42681F5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（5）付款通知应在本保函有效期内到达的地址是：</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p>
    <w:p w14:paraId="4C37D81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受益人发出的书面付款通知应由其为鉴明受益人法定代表人（负责人）或授权代理人签字并加盖公章。</w:t>
      </w:r>
    </w:p>
    <w:p w14:paraId="0D2050B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五、</w:t>
      </w:r>
      <w:r>
        <w:rPr>
          <w:rFonts w:ascii="宋体" w:hAnsi="宋体"/>
          <w:color w:val="auto"/>
          <w:sz w:val="24"/>
          <w:szCs w:val="24"/>
          <w:highlight w:val="none"/>
        </w:rPr>
        <w:t>本保函项下的权利不得转让，不得设定担保。贵方未经我方书面同意转 让本保函或其项下任何权利，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79E0C5F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六、与</w:t>
      </w:r>
      <w:r>
        <w:rPr>
          <w:rFonts w:ascii="宋体" w:hAnsi="宋体"/>
          <w:color w:val="auto"/>
          <w:sz w:val="24"/>
          <w:szCs w:val="24"/>
          <w:highlight w:val="none"/>
        </w:rPr>
        <w:t>本保函</w:t>
      </w:r>
      <w:r>
        <w:rPr>
          <w:rFonts w:hint="eastAsia" w:ascii="宋体" w:hAnsi="宋体"/>
          <w:color w:val="auto"/>
          <w:sz w:val="24"/>
          <w:szCs w:val="24"/>
          <w:highlight w:val="none"/>
        </w:rPr>
        <w:t>有关</w:t>
      </w:r>
      <w:r>
        <w:rPr>
          <w:rFonts w:ascii="宋体" w:hAnsi="宋体"/>
          <w:color w:val="auto"/>
          <w:sz w:val="24"/>
          <w:szCs w:val="24"/>
          <w:highlight w:val="none"/>
        </w:rPr>
        <w:t>的</w:t>
      </w:r>
      <w:r>
        <w:rPr>
          <w:rFonts w:hint="eastAsia" w:ascii="宋体" w:hAnsi="宋体"/>
          <w:color w:val="auto"/>
          <w:sz w:val="24"/>
          <w:szCs w:val="24"/>
          <w:highlight w:val="none"/>
        </w:rPr>
        <w:t>基础</w:t>
      </w:r>
      <w:r>
        <w:rPr>
          <w:rFonts w:ascii="宋体" w:hAnsi="宋体"/>
          <w:color w:val="auto"/>
          <w:sz w:val="24"/>
          <w:szCs w:val="24"/>
          <w:highlight w:val="none"/>
        </w:rPr>
        <w:t xml:space="preserve">合同不成立、不生效、无效、被撤销、被解除，不影响本保函的独立有效。 </w:t>
      </w:r>
    </w:p>
    <w:p w14:paraId="149BB1F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七、</w:t>
      </w:r>
      <w:r>
        <w:rPr>
          <w:rFonts w:ascii="宋体" w:hAnsi="宋体"/>
          <w:color w:val="auto"/>
          <w:sz w:val="24"/>
          <w:szCs w:val="24"/>
          <w:highlight w:val="none"/>
        </w:rPr>
        <w:t>贵方应在本保函到期后的七日内将本保函正本退回我方注销，但是不论贵方是否按此要求将本保函正本退回我方，我方在本保函项下的义务和责任均在保函</w:t>
      </w:r>
      <w:r>
        <w:rPr>
          <w:rFonts w:hint="eastAsia" w:ascii="宋体" w:hAnsi="宋体"/>
          <w:color w:val="auto"/>
          <w:sz w:val="24"/>
          <w:szCs w:val="24"/>
          <w:highlight w:val="none"/>
        </w:rPr>
        <w:t>有效期</w:t>
      </w:r>
      <w:r>
        <w:rPr>
          <w:rFonts w:ascii="宋体" w:hAnsi="宋体"/>
          <w:color w:val="auto"/>
          <w:sz w:val="24"/>
          <w:szCs w:val="24"/>
          <w:highlight w:val="none"/>
        </w:rPr>
        <w:t xml:space="preserve">到期后自动消灭。 </w:t>
      </w:r>
    </w:p>
    <w:p w14:paraId="76B7F63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八、</w:t>
      </w:r>
      <w:r>
        <w:rPr>
          <w:rFonts w:ascii="宋体" w:hAnsi="宋体"/>
          <w:color w:val="auto"/>
          <w:sz w:val="24"/>
          <w:szCs w:val="24"/>
          <w:highlight w:val="none"/>
        </w:rPr>
        <w:t>本保函</w:t>
      </w:r>
      <w:r>
        <w:rPr>
          <w:rFonts w:hint="eastAsia" w:ascii="宋体" w:hAnsi="宋体"/>
          <w:color w:val="auto"/>
          <w:sz w:val="24"/>
          <w:szCs w:val="24"/>
          <w:highlight w:val="none"/>
        </w:rPr>
        <w:t>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0A760BB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九、</w:t>
      </w:r>
      <w:r>
        <w:rPr>
          <w:rFonts w:ascii="宋体" w:hAnsi="宋体"/>
          <w:color w:val="auto"/>
          <w:sz w:val="24"/>
          <w:szCs w:val="24"/>
          <w:highlight w:val="none"/>
        </w:rPr>
        <w:t>本保函自我方法定代表人</w:t>
      </w:r>
      <w:r>
        <w:rPr>
          <w:rFonts w:hint="eastAsia" w:ascii="宋体" w:hAnsi="宋体"/>
          <w:color w:val="auto"/>
          <w:sz w:val="24"/>
          <w:szCs w:val="24"/>
          <w:highlight w:val="none"/>
        </w:rPr>
        <w:t>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7ACFAD5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 立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1C4F840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188D572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3320A35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1F2B39B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08FF08B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636F1792">
      <w:pPr>
        <w:spacing w:line="360" w:lineRule="auto"/>
        <w:ind w:firstLine="480" w:firstLineChars="200"/>
        <w:rPr>
          <w:color w:val="auto"/>
          <w:highlight w:val="none"/>
        </w:rPr>
      </w:pPr>
      <w:r>
        <w:rPr>
          <w:rFonts w:hint="eastAsia" w:ascii="宋体" w:hAnsi="宋体"/>
          <w:color w:val="auto"/>
          <w:sz w:val="24"/>
          <w:szCs w:val="24"/>
          <w:highlight w:val="none"/>
        </w:rPr>
        <w:t>开立时间：</w:t>
      </w:r>
      <w:r>
        <w:rPr>
          <w:rFonts w:ascii="宋体" w:hAnsi="宋体"/>
          <w:color w:val="auto"/>
          <w:sz w:val="24"/>
          <w:szCs w:val="24"/>
          <w:highlight w:val="none"/>
        </w:rPr>
        <w:t xml:space="preserve">      年      月    </w:t>
      </w:r>
    </w:p>
    <w:p w14:paraId="07528052">
      <w:pPr>
        <w:spacing w:line="360" w:lineRule="auto"/>
        <w:jc w:val="left"/>
        <w:rPr>
          <w:rFonts w:eastAsia="仿宋_GB2312"/>
          <w:color w:val="auto"/>
          <w:sz w:val="30"/>
          <w:szCs w:val="30"/>
          <w:highlight w:val="none"/>
        </w:rPr>
      </w:pPr>
    </w:p>
    <w:p w14:paraId="05259D5E">
      <w:pPr>
        <w:spacing w:line="360" w:lineRule="auto"/>
        <w:jc w:val="left"/>
        <w:rPr>
          <w:rFonts w:hint="eastAsia" w:eastAsia="仿宋_GB2312" w:cs="仿宋_GB2312"/>
          <w:color w:val="auto"/>
          <w:sz w:val="30"/>
          <w:szCs w:val="30"/>
          <w:highlight w:val="none"/>
        </w:rPr>
      </w:pPr>
    </w:p>
    <w:p w14:paraId="112641A3">
      <w:pPr>
        <w:spacing w:line="360" w:lineRule="auto"/>
        <w:jc w:val="left"/>
        <w:rPr>
          <w:rFonts w:hint="eastAsia" w:eastAsia="仿宋_GB2312" w:cs="仿宋_GB2312"/>
          <w:color w:val="auto"/>
          <w:sz w:val="30"/>
          <w:szCs w:val="30"/>
          <w:highlight w:val="none"/>
        </w:rPr>
      </w:pPr>
    </w:p>
    <w:p w14:paraId="639E12CF">
      <w:pPr>
        <w:spacing w:line="360" w:lineRule="auto"/>
        <w:jc w:val="left"/>
        <w:rPr>
          <w:rFonts w:hint="eastAsia" w:eastAsia="仿宋_GB2312" w:cs="仿宋_GB2312"/>
          <w:color w:val="auto"/>
          <w:sz w:val="30"/>
          <w:szCs w:val="30"/>
          <w:highlight w:val="none"/>
        </w:rPr>
      </w:pPr>
    </w:p>
    <w:p w14:paraId="2F51358D">
      <w:pPr>
        <w:spacing w:line="360" w:lineRule="auto"/>
        <w:jc w:val="left"/>
        <w:rPr>
          <w:rFonts w:hint="eastAsia" w:eastAsia="仿宋_GB2312" w:cs="仿宋_GB2312"/>
          <w:color w:val="auto"/>
          <w:sz w:val="30"/>
          <w:szCs w:val="30"/>
          <w:highlight w:val="none"/>
        </w:rPr>
      </w:pPr>
    </w:p>
    <w:p w14:paraId="1C01F6B1">
      <w:pPr>
        <w:spacing w:line="360" w:lineRule="auto"/>
        <w:jc w:val="left"/>
        <w:rPr>
          <w:rFonts w:hint="eastAsia" w:eastAsia="仿宋_GB2312" w:cs="仿宋_GB2312"/>
          <w:color w:val="auto"/>
          <w:sz w:val="30"/>
          <w:szCs w:val="30"/>
          <w:highlight w:val="none"/>
        </w:rPr>
      </w:pPr>
    </w:p>
    <w:p w14:paraId="5AFBF5F7">
      <w:pPr>
        <w:spacing w:line="360" w:lineRule="auto"/>
        <w:jc w:val="left"/>
        <w:rPr>
          <w:rFonts w:hint="eastAsia" w:eastAsia="仿宋_GB2312" w:cs="仿宋_GB2312"/>
          <w:color w:val="auto"/>
          <w:sz w:val="30"/>
          <w:szCs w:val="30"/>
          <w:highlight w:val="none"/>
        </w:rPr>
      </w:pPr>
    </w:p>
    <w:p w14:paraId="3AC977D6">
      <w:pPr>
        <w:spacing w:line="360" w:lineRule="auto"/>
        <w:jc w:val="left"/>
        <w:rPr>
          <w:rFonts w:ascii="宋体" w:hAnsi="宋体"/>
          <w:color w:val="auto"/>
          <w:sz w:val="32"/>
          <w:szCs w:val="32"/>
          <w:highlight w:val="none"/>
        </w:rPr>
      </w:pPr>
      <w:r>
        <w:rPr>
          <w:rFonts w:hint="eastAsia" w:eastAsia="仿宋_GB2312" w:cs="仿宋_GB2312"/>
          <w:color w:val="auto"/>
          <w:sz w:val="30"/>
          <w:szCs w:val="30"/>
          <w:highlight w:val="none"/>
        </w:rPr>
        <w:t>附</w:t>
      </w:r>
      <w:bookmarkStart w:id="873" w:name="_Toc296503231"/>
      <w:bookmarkStart w:id="874" w:name="_Toc296891059"/>
      <w:bookmarkStart w:id="875" w:name="_Toc296944570"/>
      <w:bookmarkStart w:id="876" w:name="_Toc296346732"/>
      <w:bookmarkStart w:id="877" w:name="_Toc296347230"/>
      <w:bookmarkStart w:id="878" w:name="_Toc296891271"/>
      <w:r>
        <w:rPr>
          <w:rFonts w:hint="eastAsia" w:eastAsia="仿宋_GB2312" w:cs="仿宋_GB2312"/>
          <w:color w:val="auto"/>
          <w:sz w:val="30"/>
          <w:szCs w:val="30"/>
          <w:highlight w:val="none"/>
        </w:rPr>
        <w:t>件</w:t>
      </w:r>
      <w:r>
        <w:rPr>
          <w:rFonts w:hint="eastAsia" w:eastAsia="仿宋_GB2312"/>
          <w:color w:val="auto"/>
          <w:sz w:val="30"/>
          <w:szCs w:val="30"/>
          <w:highlight w:val="none"/>
        </w:rPr>
        <w:t>7</w:t>
      </w:r>
      <w:r>
        <w:rPr>
          <w:rFonts w:hint="eastAsia" w:eastAsia="仿宋_GB2312" w:cs="仿宋_GB2312"/>
          <w:color w:val="auto"/>
          <w:sz w:val="30"/>
          <w:szCs w:val="30"/>
          <w:highlight w:val="none"/>
        </w:rPr>
        <w:t>：</w:t>
      </w:r>
    </w:p>
    <w:p w14:paraId="7648D116">
      <w:pPr>
        <w:spacing w:line="360" w:lineRule="auto"/>
        <w:rPr>
          <w:rFonts w:ascii="宋体" w:hAnsi="宋体"/>
          <w:b/>
          <w:bCs/>
          <w:color w:val="auto"/>
          <w:sz w:val="32"/>
          <w:szCs w:val="32"/>
          <w:highlight w:val="none"/>
        </w:rPr>
      </w:pPr>
    </w:p>
    <w:p w14:paraId="67B46D02">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履约保函示范文本</w:t>
      </w:r>
    </w:p>
    <w:p w14:paraId="6F1D41F4">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（非独立保函）</w:t>
      </w:r>
    </w:p>
    <w:p w14:paraId="20752926">
      <w:pPr>
        <w:spacing w:line="360" w:lineRule="auto"/>
        <w:jc w:val="center"/>
        <w:rPr>
          <w:rFonts w:ascii="宋体" w:hAnsi="宋体"/>
          <w:b/>
          <w:bCs/>
          <w:color w:val="auto"/>
          <w:sz w:val="32"/>
          <w:szCs w:val="32"/>
          <w:highlight w:val="none"/>
        </w:rPr>
      </w:pPr>
    </w:p>
    <w:p w14:paraId="66CA56AB">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0711DCC2">
      <w:pPr>
        <w:spacing w:line="360" w:lineRule="auto"/>
        <w:rPr>
          <w:rFonts w:ascii="宋体" w:hAnsi="宋体"/>
          <w:color w:val="auto"/>
          <w:sz w:val="24"/>
          <w:szCs w:val="24"/>
          <w:highlight w:val="none"/>
        </w:rPr>
      </w:pPr>
      <w:r>
        <w:rPr>
          <w:rFonts w:hint="eastAsia" w:ascii="宋体" w:hAnsi="宋体"/>
          <w:color w:val="auto"/>
          <w:sz w:val="24"/>
          <w:szCs w:val="24"/>
          <w:highlight w:val="none"/>
        </w:rPr>
        <w:t>承包人：</w:t>
      </w:r>
    </w:p>
    <w:p w14:paraId="3C52CAB5">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r>
        <w:rPr>
          <w:rFonts w:ascii="宋体" w:hAnsi="宋体"/>
          <w:color w:val="auto"/>
          <w:sz w:val="24"/>
          <w:szCs w:val="24"/>
          <w:highlight w:val="none"/>
        </w:rPr>
        <w:t>：</w:t>
      </w:r>
    </w:p>
    <w:p w14:paraId="59426A3E">
      <w:pPr>
        <w:spacing w:line="360" w:lineRule="auto"/>
        <w:rPr>
          <w:rFonts w:ascii="宋体" w:hAnsi="宋体"/>
          <w:color w:val="auto"/>
          <w:sz w:val="24"/>
          <w:szCs w:val="24"/>
          <w:highlight w:val="none"/>
        </w:rPr>
      </w:pPr>
      <w:r>
        <w:rPr>
          <w:rFonts w:hint="eastAsia" w:ascii="宋体" w:hAnsi="宋体"/>
          <w:color w:val="auto"/>
          <w:sz w:val="24"/>
          <w:szCs w:val="24"/>
          <w:highlight w:val="none"/>
        </w:rPr>
        <w:t>担保权人/发包人：</w:t>
      </w:r>
      <w:r>
        <w:rPr>
          <w:rFonts w:ascii="宋体" w:hAnsi="宋体"/>
          <w:color w:val="auto"/>
          <w:sz w:val="24"/>
          <w:szCs w:val="24"/>
          <w:highlight w:val="none"/>
        </w:rPr>
        <w:t xml:space="preserve"> </w:t>
      </w:r>
    </w:p>
    <w:p w14:paraId="761CBF89">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386F3E9D">
      <w:pPr>
        <w:spacing w:line="360" w:lineRule="auto"/>
        <w:rPr>
          <w:rFonts w:ascii="宋体" w:hAnsi="宋体"/>
          <w:color w:val="auto"/>
          <w:sz w:val="24"/>
          <w:szCs w:val="24"/>
          <w:highlight w:val="none"/>
        </w:rPr>
      </w:pPr>
      <w:r>
        <w:rPr>
          <w:rFonts w:hint="eastAsia" w:ascii="宋体" w:hAnsi="宋体"/>
          <w:color w:val="auto"/>
          <w:sz w:val="24"/>
          <w:szCs w:val="24"/>
          <w:highlight w:val="none"/>
        </w:rPr>
        <w:t>保证人：</w:t>
      </w:r>
    </w:p>
    <w:p w14:paraId="3112932A">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731F3EA0">
      <w:pPr>
        <w:spacing w:line="360" w:lineRule="auto"/>
        <w:rPr>
          <w:rFonts w:ascii="宋体" w:hAnsi="宋体"/>
          <w:color w:val="auto"/>
          <w:sz w:val="24"/>
          <w:szCs w:val="24"/>
          <w:highlight w:val="none"/>
        </w:rPr>
      </w:pPr>
    </w:p>
    <w:p w14:paraId="256F9EDE">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发包人</w:t>
      </w:r>
      <w:r>
        <w:rPr>
          <w:rFonts w:ascii="宋体" w:hAnsi="宋体"/>
          <w:color w:val="auto"/>
          <w:sz w:val="24"/>
          <w:szCs w:val="24"/>
          <w:highlight w:val="none"/>
        </w:rPr>
        <w:t xml:space="preserve">名称）： </w:t>
      </w:r>
    </w:p>
    <w:p w14:paraId="3AFDFC9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发包人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承包人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（以下简称“主合同”），我方即保证人基于承包人</w:t>
      </w:r>
      <w:r>
        <w:rPr>
          <w:rFonts w:ascii="宋体" w:hAnsi="宋体"/>
          <w:color w:val="auto"/>
          <w:sz w:val="24"/>
          <w:szCs w:val="24"/>
          <w:highlight w:val="none"/>
        </w:rPr>
        <w:t>的请求，同意就</w:t>
      </w:r>
      <w:r>
        <w:rPr>
          <w:rFonts w:hint="eastAsia" w:ascii="宋体" w:hAnsi="宋体"/>
          <w:color w:val="auto"/>
          <w:sz w:val="24"/>
          <w:szCs w:val="24"/>
          <w:highlight w:val="none"/>
        </w:rPr>
        <w:t>承包人</w:t>
      </w:r>
      <w:r>
        <w:rPr>
          <w:rFonts w:ascii="宋体" w:hAnsi="宋体"/>
          <w:color w:val="auto"/>
          <w:sz w:val="24"/>
          <w:szCs w:val="24"/>
          <w:highlight w:val="none"/>
        </w:rPr>
        <w:t>履行</w:t>
      </w:r>
      <w:r>
        <w:rPr>
          <w:rFonts w:hint="eastAsia" w:ascii="宋体" w:hAnsi="宋体"/>
          <w:color w:val="auto"/>
          <w:sz w:val="24"/>
          <w:szCs w:val="24"/>
          <w:highlight w:val="none"/>
        </w:rPr>
        <w:t>与贵方签订的主合同</w:t>
      </w:r>
      <w:r>
        <w:rPr>
          <w:rFonts w:ascii="宋体" w:hAnsi="宋体"/>
          <w:color w:val="auto"/>
          <w:sz w:val="24"/>
          <w:szCs w:val="24"/>
          <w:highlight w:val="none"/>
        </w:rPr>
        <w:t>项下的义务</w:t>
      </w:r>
      <w:r>
        <w:rPr>
          <w:rFonts w:hint="eastAsia" w:ascii="宋体" w:hAnsi="宋体"/>
          <w:color w:val="auto"/>
          <w:sz w:val="24"/>
          <w:szCs w:val="24"/>
          <w:highlight w:val="none"/>
        </w:rPr>
        <w:t>，</w:t>
      </w:r>
      <w:r>
        <w:rPr>
          <w:rFonts w:ascii="宋体" w:hAnsi="宋体"/>
          <w:color w:val="auto"/>
          <w:sz w:val="24"/>
          <w:szCs w:val="24"/>
          <w:highlight w:val="none"/>
        </w:rPr>
        <w:t>向贵方提供</w:t>
      </w:r>
      <w:r>
        <w:rPr>
          <w:rFonts w:hint="eastAsia" w:ascii="宋体" w:hAnsi="宋体"/>
          <w:color w:val="auto"/>
          <w:sz w:val="24"/>
          <w:szCs w:val="24"/>
          <w:highlight w:val="none"/>
        </w:rPr>
        <w:t>如下保证担保（以下简称“本保证担保”）</w:t>
      </w:r>
      <w:r>
        <w:rPr>
          <w:rFonts w:ascii="宋体" w:hAnsi="宋体"/>
          <w:color w:val="auto"/>
          <w:sz w:val="24"/>
          <w:szCs w:val="24"/>
          <w:highlight w:val="none"/>
        </w:rPr>
        <w:t xml:space="preserve">。 </w:t>
      </w:r>
    </w:p>
    <w:p w14:paraId="2B004248">
      <w:pPr>
        <w:spacing w:line="360" w:lineRule="auto"/>
        <w:rPr>
          <w:rFonts w:ascii="宋体" w:hAnsi="宋体"/>
          <w:b/>
          <w:bCs/>
          <w:color w:val="auto"/>
          <w:sz w:val="24"/>
          <w:szCs w:val="24"/>
          <w:highlight w:val="none"/>
        </w:rPr>
      </w:pPr>
      <w:r>
        <w:rPr>
          <w:rFonts w:hint="eastAsia" w:ascii="宋体" w:hAnsi="宋体"/>
          <w:color w:val="auto"/>
          <w:sz w:val="24"/>
          <w:szCs w:val="24"/>
          <w:highlight w:val="none"/>
        </w:rPr>
        <w:t xml:space="preserve">    </w:t>
      </w:r>
      <w:r>
        <w:rPr>
          <w:rFonts w:hint="eastAsia" w:ascii="宋体" w:hAnsi="宋体"/>
          <w:b/>
          <w:bCs/>
          <w:color w:val="auto"/>
          <w:sz w:val="24"/>
          <w:szCs w:val="24"/>
          <w:highlight w:val="none"/>
        </w:rPr>
        <w:t>一、保证担保的范围及保证担保金额</w:t>
      </w:r>
    </w:p>
    <w:p w14:paraId="052DFBC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w:t>
      </w:r>
      <w:r>
        <w:rPr>
          <w:rFonts w:hint="eastAsia" w:ascii="宋体" w:hAnsi="宋体"/>
          <w:color w:val="auto"/>
          <w:sz w:val="24"/>
          <w:szCs w:val="24"/>
          <w:highlight w:val="none"/>
        </w:rPr>
        <w:t>保证担保范围：承包人未按照主合同的约定履行义务，应当向贵方</w:t>
      </w:r>
      <w:r>
        <w:rPr>
          <w:rFonts w:hint="eastAsia" w:ascii="宋体" w:hAnsi="宋体"/>
          <w:color w:val="auto"/>
          <w:sz w:val="24"/>
          <w:szCs w:val="24"/>
          <w:highlight w:val="none"/>
          <w:lang w:eastAsia="zh-CN"/>
        </w:rPr>
        <w:t>承担</w:t>
      </w:r>
      <w:r>
        <w:rPr>
          <w:rFonts w:hint="eastAsia" w:ascii="宋体" w:hAnsi="宋体"/>
          <w:color w:val="auto"/>
          <w:sz w:val="24"/>
          <w:szCs w:val="24"/>
          <w:highlight w:val="none"/>
        </w:rPr>
        <w:t>违约责任和赔偿因此造成的损失、利息、律师费、诉讼费用等实现债权的费用。</w:t>
      </w:r>
    </w:p>
    <w:p w14:paraId="6A831B3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6DEC79B2">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二、保证担保的方式及保证期间</w:t>
      </w:r>
      <w:r>
        <w:rPr>
          <w:rFonts w:ascii="宋体" w:hAnsi="宋体"/>
          <w:b/>
          <w:bCs/>
          <w:color w:val="auto"/>
          <w:sz w:val="24"/>
          <w:szCs w:val="24"/>
          <w:highlight w:val="none"/>
        </w:rPr>
        <w:t xml:space="preserve"> </w:t>
      </w:r>
    </w:p>
    <w:p w14:paraId="1EA1A45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1.保证担保方式：连带责任保证。</w:t>
      </w:r>
    </w:p>
    <w:p w14:paraId="4A77DB9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保证期间：</w:t>
      </w:r>
      <w:r>
        <w:rPr>
          <w:rFonts w:ascii="宋体" w:hAnsi="宋体"/>
          <w:color w:val="auto"/>
          <w:sz w:val="24"/>
          <w:szCs w:val="24"/>
          <w:highlight w:val="none"/>
        </w:rPr>
        <w:t>自</w:t>
      </w:r>
      <w:r>
        <w:rPr>
          <w:rFonts w:hint="eastAsia" w:ascii="宋体" w:hAnsi="宋体"/>
          <w:color w:val="auto"/>
          <w:sz w:val="24"/>
          <w:szCs w:val="24"/>
          <w:highlight w:val="none"/>
        </w:rPr>
        <w:t>出具之日起</w:t>
      </w:r>
      <w:r>
        <w:rPr>
          <w:rFonts w:ascii="宋体" w:hAnsi="宋体"/>
          <w:color w:val="auto"/>
          <w:sz w:val="24"/>
          <w:szCs w:val="24"/>
          <w:highlight w:val="none"/>
        </w:rPr>
        <w:t>至</w:t>
      </w:r>
      <w:r>
        <w:rPr>
          <w:rFonts w:hint="eastAsia" w:ascii="宋体" w:hAnsi="宋体"/>
          <w:color w:val="auto"/>
          <w:sz w:val="24"/>
          <w:szCs w:val="24"/>
          <w:highlight w:val="none"/>
        </w:rPr>
        <w:t>主合同约定的缺陷责任期</w:t>
      </w:r>
      <w:r>
        <w:rPr>
          <w:rFonts w:ascii="宋体" w:hAnsi="宋体"/>
          <w:color w:val="auto"/>
          <w:sz w:val="24"/>
          <w:szCs w:val="24"/>
          <w:highlight w:val="none"/>
        </w:rPr>
        <w:t>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14:paraId="7FA26F98">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三、承担保证担保责任的形式</w:t>
      </w:r>
    </w:p>
    <w:p w14:paraId="4C88BF7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我方按照贵方的要求以下列方式之一承担保证担保责任：</w:t>
      </w:r>
      <w:r>
        <w:rPr>
          <w:rFonts w:ascii="宋体" w:hAnsi="宋体"/>
          <w:color w:val="auto"/>
          <w:sz w:val="24"/>
          <w:szCs w:val="24"/>
          <w:highlight w:val="none"/>
        </w:rPr>
        <w:t xml:space="preserve"> </w:t>
      </w:r>
    </w:p>
    <w:p w14:paraId="129B781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1.向承包人资金、设备或者技术援助，使其能继续履行合同义务；</w:t>
      </w:r>
    </w:p>
    <w:p w14:paraId="0F91F80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2.直接接管该项工程或者委托经贵方同意的其他承包商，继续履行合同义务；</w:t>
      </w:r>
    </w:p>
    <w:p w14:paraId="4E7A804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3.在保证担保金额最高限额内，按照合同约定，向贵方承担违约责任和赔偿因此造成的损失，以及利息和律师费、诉讼费用等实现债权的费用。</w:t>
      </w:r>
    </w:p>
    <w:p w14:paraId="2BD03044">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四、代偿的安排</w:t>
      </w:r>
      <w:r>
        <w:rPr>
          <w:rFonts w:ascii="宋体" w:hAnsi="宋体"/>
          <w:b/>
          <w:bCs/>
          <w:color w:val="auto"/>
          <w:sz w:val="24"/>
          <w:szCs w:val="24"/>
          <w:highlight w:val="none"/>
        </w:rPr>
        <w:t xml:space="preserve"> </w:t>
      </w:r>
    </w:p>
    <w:p w14:paraId="4548492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1.贵方要求我方承担保证责任的，应向我方发出书面索赔通知及承包人未履行主合同约定义务的证明材料。索赔通知应写明要求索赔的金额，支付款项应到达</w:t>
      </w:r>
      <w:r>
        <w:rPr>
          <w:rFonts w:hint="eastAsia" w:ascii="宋体" w:hAnsi="宋体"/>
          <w:color w:val="auto"/>
          <w:sz w:val="24"/>
          <w:szCs w:val="24"/>
          <w:highlight w:val="none"/>
          <w:lang w:eastAsia="zh-CN"/>
        </w:rPr>
        <w:t>的账号</w:t>
      </w:r>
      <w:r>
        <w:rPr>
          <w:rFonts w:hint="eastAsia" w:ascii="宋体" w:hAnsi="宋体"/>
          <w:color w:val="auto"/>
          <w:sz w:val="24"/>
          <w:szCs w:val="24"/>
          <w:highlight w:val="none"/>
        </w:rPr>
        <w:t>，并附有说明承包人违反主合同造成贵方损失情况的证明材料。</w:t>
      </w:r>
    </w:p>
    <w:p w14:paraId="3A1EA7B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2.贵方以工程质量不符合主合同约定标准为由，向我方提出违约索赔的，还需同时提供符合相应条件要求的工程质量检测部门出具的质量说明材料。</w:t>
      </w:r>
    </w:p>
    <w:p w14:paraId="4BC22CB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3.我方收到贵方的书面索赔通知及相应证明材料后，在</w:t>
      </w:r>
      <w:r>
        <w:rPr>
          <w:rFonts w:ascii="宋体" w:hAnsi="宋体"/>
          <w:color w:val="auto"/>
          <w:sz w:val="24"/>
          <w:szCs w:val="24"/>
          <w:highlight w:val="none"/>
          <w:u w:val="single"/>
        </w:rPr>
        <w:t xml:space="preserve">   </w:t>
      </w:r>
      <w:r>
        <w:rPr>
          <w:rFonts w:hint="eastAsia" w:ascii="宋体" w:hAnsi="宋体"/>
          <w:color w:val="auto"/>
          <w:sz w:val="24"/>
          <w:szCs w:val="24"/>
          <w:highlight w:val="none"/>
        </w:rPr>
        <w:t>工作日内进行核定后按照本保函的承诺承担保证责任。</w:t>
      </w:r>
    </w:p>
    <w:p w14:paraId="7B42589F">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五、保证担保责任的解除</w:t>
      </w:r>
      <w:r>
        <w:rPr>
          <w:rFonts w:ascii="宋体" w:hAnsi="宋体"/>
          <w:b/>
          <w:bCs/>
          <w:color w:val="auto"/>
          <w:sz w:val="24"/>
          <w:szCs w:val="24"/>
          <w:highlight w:val="none"/>
        </w:rPr>
        <w:t xml:space="preserve"> </w:t>
      </w:r>
    </w:p>
    <w:p w14:paraId="6D78DBB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 xml:space="preserve">保证期间届满贵方未向我方书面主张保证责任的，自保证期间届满次日起，我方解除保证责任。 </w:t>
      </w:r>
    </w:p>
    <w:p w14:paraId="290E608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我方按照本</w:t>
      </w:r>
      <w:r>
        <w:rPr>
          <w:rFonts w:hint="eastAsia" w:ascii="宋体" w:hAnsi="宋体"/>
          <w:color w:val="auto"/>
          <w:sz w:val="24"/>
          <w:szCs w:val="24"/>
          <w:highlight w:val="none"/>
        </w:rPr>
        <w:t>保证担保</w:t>
      </w:r>
      <w:r>
        <w:rPr>
          <w:rFonts w:ascii="宋体" w:hAnsi="宋体"/>
          <w:color w:val="auto"/>
          <w:sz w:val="24"/>
          <w:szCs w:val="24"/>
          <w:highlight w:val="none"/>
        </w:rPr>
        <w:t>向贵方履行了</w:t>
      </w:r>
      <w:r>
        <w:rPr>
          <w:rFonts w:hint="eastAsia" w:ascii="宋体" w:hAnsi="宋体"/>
          <w:color w:val="auto"/>
          <w:sz w:val="24"/>
          <w:szCs w:val="24"/>
          <w:highlight w:val="none"/>
        </w:rPr>
        <w:t>保证担保责任</w:t>
      </w:r>
      <w:r>
        <w:rPr>
          <w:rFonts w:ascii="宋体" w:hAnsi="宋体"/>
          <w:color w:val="auto"/>
          <w:sz w:val="24"/>
          <w:szCs w:val="24"/>
          <w:highlight w:val="none"/>
        </w:rPr>
        <w:t>后，自我方向贵方支付</w:t>
      </w:r>
      <w:r>
        <w:rPr>
          <w:rFonts w:hint="eastAsia" w:ascii="宋体" w:hAnsi="宋体"/>
          <w:color w:val="auto"/>
          <w:sz w:val="24"/>
          <w:szCs w:val="24"/>
          <w:highlight w:val="none"/>
        </w:rPr>
        <w:t>的金额达到最高保证担保金额</w:t>
      </w:r>
      <w:r>
        <w:rPr>
          <w:rFonts w:ascii="宋体" w:hAnsi="宋体"/>
          <w:color w:val="auto"/>
          <w:sz w:val="24"/>
          <w:szCs w:val="24"/>
          <w:highlight w:val="none"/>
        </w:rPr>
        <w:t>之日起，</w:t>
      </w:r>
      <w:r>
        <w:rPr>
          <w:rFonts w:hint="eastAsia" w:ascii="宋体" w:hAnsi="宋体"/>
          <w:color w:val="auto"/>
          <w:sz w:val="24"/>
          <w:szCs w:val="24"/>
          <w:highlight w:val="none"/>
        </w:rPr>
        <w:t>保证担保责任</w:t>
      </w:r>
      <w:r>
        <w:rPr>
          <w:rFonts w:ascii="宋体" w:hAnsi="宋体"/>
          <w:color w:val="auto"/>
          <w:sz w:val="24"/>
          <w:szCs w:val="24"/>
          <w:highlight w:val="none"/>
        </w:rPr>
        <w:t xml:space="preserve">解除。 </w:t>
      </w:r>
    </w:p>
    <w:p w14:paraId="4BA21BC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按照法律法规的规定应解除我方保证</w:t>
      </w:r>
      <w:r>
        <w:rPr>
          <w:rFonts w:hint="eastAsia" w:ascii="宋体" w:hAnsi="宋体"/>
          <w:color w:val="auto"/>
          <w:sz w:val="24"/>
          <w:szCs w:val="24"/>
          <w:highlight w:val="none"/>
        </w:rPr>
        <w:t>担保</w:t>
      </w:r>
      <w:r>
        <w:rPr>
          <w:rFonts w:ascii="宋体" w:hAnsi="宋体"/>
          <w:color w:val="auto"/>
          <w:sz w:val="24"/>
          <w:szCs w:val="24"/>
          <w:highlight w:val="none"/>
        </w:rPr>
        <w:t>责任的</w:t>
      </w:r>
      <w:r>
        <w:rPr>
          <w:rFonts w:hint="eastAsia" w:ascii="宋体" w:hAnsi="宋体"/>
          <w:color w:val="auto"/>
          <w:sz w:val="24"/>
          <w:szCs w:val="24"/>
          <w:highlight w:val="none"/>
          <w:lang w:eastAsia="zh-CN"/>
        </w:rPr>
        <w:t>其他情形的</w:t>
      </w:r>
      <w:r>
        <w:rPr>
          <w:rFonts w:ascii="宋体" w:hAnsi="宋体"/>
          <w:color w:val="auto"/>
          <w:sz w:val="24"/>
          <w:szCs w:val="24"/>
          <w:highlight w:val="none"/>
        </w:rPr>
        <w:t>，我方在本保证担保项下的保证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责任亦解除。 </w:t>
      </w:r>
    </w:p>
    <w:p w14:paraId="0E81AFF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4.我方解除保证责任后，贵方应按上述约定，自我方保证担保责任解除之日起七</w:t>
      </w:r>
      <w:r>
        <w:rPr>
          <w:rFonts w:ascii="宋体" w:hAnsi="宋体"/>
          <w:color w:val="auto"/>
          <w:sz w:val="24"/>
          <w:szCs w:val="24"/>
          <w:highlight w:val="none"/>
        </w:rPr>
        <w:t>日内，将本保证担保原件返还我方。但是不论贵方是否按此要求将本保证担保</w:t>
      </w:r>
      <w:r>
        <w:rPr>
          <w:rFonts w:hint="eastAsia" w:ascii="宋体" w:hAnsi="宋体"/>
          <w:color w:val="auto"/>
          <w:sz w:val="24"/>
          <w:szCs w:val="24"/>
          <w:highlight w:val="none"/>
        </w:rPr>
        <w:t>原件</w:t>
      </w:r>
      <w:r>
        <w:rPr>
          <w:rFonts w:ascii="宋体" w:hAnsi="宋体"/>
          <w:color w:val="auto"/>
          <w:sz w:val="24"/>
          <w:szCs w:val="24"/>
          <w:highlight w:val="none"/>
        </w:rPr>
        <w:t>退回我方，我方在本保证担保项下的义务和责任均</w:t>
      </w:r>
      <w:r>
        <w:rPr>
          <w:rFonts w:hint="eastAsia" w:ascii="宋体" w:hAnsi="宋体"/>
          <w:color w:val="auto"/>
          <w:sz w:val="24"/>
          <w:szCs w:val="24"/>
          <w:highlight w:val="none"/>
        </w:rPr>
        <w:t>自保证担保责任解除之日</w:t>
      </w:r>
      <w:r>
        <w:rPr>
          <w:rFonts w:ascii="宋体" w:hAnsi="宋体"/>
          <w:color w:val="auto"/>
          <w:sz w:val="24"/>
          <w:szCs w:val="24"/>
          <w:highlight w:val="none"/>
        </w:rPr>
        <w:t>自动消灭。</w:t>
      </w:r>
    </w:p>
    <w:p w14:paraId="50B2D314">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六、免责条款</w:t>
      </w:r>
      <w:r>
        <w:rPr>
          <w:rFonts w:ascii="宋体" w:hAnsi="宋体"/>
          <w:b/>
          <w:bCs/>
          <w:color w:val="auto"/>
          <w:sz w:val="24"/>
          <w:szCs w:val="24"/>
          <w:highlight w:val="none"/>
        </w:rPr>
        <w:t xml:space="preserve"> </w:t>
      </w:r>
    </w:p>
    <w:p w14:paraId="635D8E9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因贵方</w:t>
      </w:r>
      <w:r>
        <w:rPr>
          <w:rFonts w:hint="eastAsia" w:ascii="宋体" w:hAnsi="宋体"/>
          <w:color w:val="auto"/>
          <w:sz w:val="24"/>
          <w:szCs w:val="24"/>
          <w:highlight w:val="none"/>
        </w:rPr>
        <w:t>原因</w:t>
      </w:r>
      <w:r>
        <w:rPr>
          <w:rFonts w:ascii="宋体" w:hAnsi="宋体"/>
          <w:color w:val="auto"/>
          <w:sz w:val="24"/>
          <w:szCs w:val="24"/>
          <w:highlight w:val="none"/>
        </w:rPr>
        <w:t>致使</w:t>
      </w:r>
      <w:r>
        <w:rPr>
          <w:rFonts w:hint="eastAsia" w:ascii="宋体" w:hAnsi="宋体"/>
          <w:color w:val="auto"/>
          <w:sz w:val="24"/>
          <w:szCs w:val="24"/>
          <w:highlight w:val="none"/>
        </w:rPr>
        <w:t>承包人未按照主合同约定履行义务的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14A76BB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依照法律规定或贵方与</w:t>
      </w:r>
      <w:r>
        <w:rPr>
          <w:rFonts w:hint="eastAsia" w:ascii="宋体" w:hAnsi="宋体"/>
          <w:color w:val="auto"/>
          <w:sz w:val="24"/>
          <w:szCs w:val="24"/>
          <w:highlight w:val="none"/>
        </w:rPr>
        <w:t>发包</w:t>
      </w:r>
      <w:r>
        <w:rPr>
          <w:rFonts w:ascii="宋体" w:hAnsi="宋体"/>
          <w:color w:val="auto"/>
          <w:sz w:val="24"/>
          <w:szCs w:val="24"/>
          <w:highlight w:val="none"/>
        </w:rPr>
        <w:t>人的另行约定，免除</w:t>
      </w:r>
      <w:r>
        <w:rPr>
          <w:rFonts w:hint="eastAsia" w:ascii="宋体" w:hAnsi="宋体"/>
          <w:color w:val="auto"/>
          <w:sz w:val="24"/>
          <w:szCs w:val="24"/>
          <w:highlight w:val="none"/>
        </w:rPr>
        <w:t>承包</w:t>
      </w:r>
      <w:r>
        <w:rPr>
          <w:rFonts w:ascii="宋体" w:hAnsi="宋体"/>
          <w:color w:val="auto"/>
          <w:sz w:val="24"/>
          <w:szCs w:val="24"/>
          <w:highlight w:val="none"/>
        </w:rPr>
        <w:t>人部分或全部义务的，我方亦免除其相应的保证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6806F1E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因不可抗力造成</w:t>
      </w:r>
      <w:r>
        <w:rPr>
          <w:rFonts w:hint="eastAsia" w:ascii="宋体" w:hAnsi="宋体"/>
          <w:color w:val="auto"/>
          <w:sz w:val="24"/>
          <w:szCs w:val="24"/>
          <w:highlight w:val="none"/>
        </w:rPr>
        <w:t>承包人未按照主合同约定履行义务的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责任。</w:t>
      </w:r>
    </w:p>
    <w:p w14:paraId="4DA97E04">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七、其他</w:t>
      </w:r>
    </w:p>
    <w:p w14:paraId="1ED7376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本保证担保项下的权利不得转让，不得设定担保。贵方未经我方书面同意转让本保证担保或其项下任何权利，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554A653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.本</w:t>
      </w:r>
      <w:r>
        <w:rPr>
          <w:rFonts w:hint="eastAsia" w:ascii="宋体" w:hAnsi="宋体"/>
          <w:color w:val="auto"/>
          <w:sz w:val="24"/>
          <w:szCs w:val="24"/>
          <w:highlight w:val="none"/>
        </w:rPr>
        <w:t>保证担保适用的法律为中华人民共和国法律，争议裁判管辖地为中华人民共和国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r>
        <w:rPr>
          <w:rFonts w:ascii="宋体" w:hAnsi="宋体"/>
          <w:color w:val="auto"/>
          <w:sz w:val="24"/>
          <w:szCs w:val="24"/>
          <w:highlight w:val="none"/>
        </w:rPr>
        <w:t xml:space="preserve"> </w:t>
      </w:r>
    </w:p>
    <w:p w14:paraId="71195CA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.本</w:t>
      </w:r>
      <w:r>
        <w:rPr>
          <w:rFonts w:hint="eastAsia" w:ascii="宋体" w:hAnsi="宋体"/>
          <w:color w:val="auto"/>
          <w:sz w:val="24"/>
          <w:szCs w:val="24"/>
          <w:highlight w:val="none"/>
        </w:rPr>
        <w:t>保证担保</w:t>
      </w:r>
      <w:r>
        <w:rPr>
          <w:rFonts w:ascii="宋体" w:hAnsi="宋体"/>
          <w:color w:val="auto"/>
          <w:sz w:val="24"/>
          <w:szCs w:val="24"/>
          <w:highlight w:val="none"/>
        </w:rPr>
        <w:t>自我方法定代表</w:t>
      </w:r>
      <w:r>
        <w:rPr>
          <w:rFonts w:hint="eastAsia" w:ascii="宋体" w:hAnsi="宋体"/>
          <w:color w:val="auto"/>
          <w:sz w:val="24"/>
          <w:szCs w:val="24"/>
          <w:highlight w:val="none"/>
        </w:rPr>
        <w:t>人或授权代</w:t>
      </w:r>
      <w:r>
        <w:rPr>
          <w:rFonts w:hint="eastAsia" w:ascii="宋体" w:hAnsi="宋体"/>
          <w:color w:val="auto"/>
          <w:sz w:val="24"/>
          <w:szCs w:val="24"/>
          <w:highlight w:val="none"/>
          <w:lang w:eastAsia="zh-CN"/>
        </w:rPr>
        <w:t>表人</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38F2D95B">
      <w:pPr>
        <w:spacing w:line="360" w:lineRule="auto"/>
        <w:ind w:firstLine="480" w:firstLineChars="200"/>
        <w:rPr>
          <w:rFonts w:ascii="宋体" w:hAnsi="宋体"/>
          <w:color w:val="auto"/>
          <w:sz w:val="24"/>
          <w:szCs w:val="24"/>
          <w:highlight w:val="none"/>
        </w:rPr>
      </w:pPr>
    </w:p>
    <w:p w14:paraId="7DB574C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保 证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（公</w:t>
      </w:r>
      <w:r>
        <w:rPr>
          <w:rFonts w:ascii="宋体" w:hAnsi="宋体"/>
          <w:color w:val="auto"/>
          <w:sz w:val="24"/>
          <w:szCs w:val="24"/>
          <w:highlight w:val="none"/>
        </w:rPr>
        <w:t xml:space="preserve">章） </w:t>
      </w:r>
    </w:p>
    <w:p w14:paraId="6BAEECE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774599A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7DE27EB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5F44177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4317F43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5673DA6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时 </w:t>
      </w:r>
      <w:r>
        <w:rPr>
          <w:rFonts w:ascii="宋体" w:hAnsi="宋体"/>
          <w:color w:val="auto"/>
          <w:sz w:val="24"/>
          <w:szCs w:val="24"/>
          <w:highlight w:val="none"/>
        </w:rPr>
        <w:t xml:space="preserve">   </w:t>
      </w:r>
      <w:r>
        <w:rPr>
          <w:rFonts w:hint="eastAsia" w:ascii="宋体" w:hAnsi="宋体"/>
          <w:color w:val="auto"/>
          <w:sz w:val="24"/>
          <w:szCs w:val="24"/>
          <w:highlight w:val="none"/>
        </w:rPr>
        <w:t>间：</w:t>
      </w:r>
      <w:r>
        <w:rPr>
          <w:rFonts w:ascii="宋体" w:hAnsi="宋体"/>
          <w:color w:val="auto"/>
          <w:sz w:val="24"/>
          <w:szCs w:val="24"/>
          <w:highlight w:val="none"/>
        </w:rPr>
        <w:t xml:space="preserve">      年      月        日</w:t>
      </w:r>
    </w:p>
    <w:p w14:paraId="108C9410">
      <w:pPr>
        <w:rPr>
          <w:color w:val="auto"/>
          <w:highlight w:val="none"/>
        </w:rPr>
      </w:pPr>
    </w:p>
    <w:p w14:paraId="41F19018">
      <w:pPr>
        <w:rPr>
          <w:color w:val="auto"/>
          <w:highlight w:val="none"/>
        </w:rPr>
      </w:pPr>
    </w:p>
    <w:bookmarkEnd w:id="872"/>
    <w:bookmarkEnd w:id="873"/>
    <w:bookmarkEnd w:id="874"/>
    <w:bookmarkEnd w:id="875"/>
    <w:bookmarkEnd w:id="876"/>
    <w:bookmarkEnd w:id="877"/>
    <w:bookmarkEnd w:id="878"/>
    <w:p w14:paraId="7ACEF31E">
      <w:pPr>
        <w:spacing w:line="360" w:lineRule="auto"/>
        <w:jc w:val="left"/>
        <w:rPr>
          <w:rFonts w:ascii="黑体" w:hAnsi="黑体" w:eastAsia="黑体" w:cs="黑体"/>
          <w:color w:val="auto"/>
          <w:sz w:val="32"/>
          <w:szCs w:val="32"/>
          <w:highlight w:val="none"/>
        </w:rPr>
      </w:pPr>
      <w:r>
        <w:rPr>
          <w:rFonts w:hint="eastAsia" w:eastAsia="仿宋_GB2312" w:cs="仿宋_GB2312"/>
          <w:color w:val="auto"/>
          <w:sz w:val="30"/>
          <w:szCs w:val="30"/>
          <w:highlight w:val="none"/>
        </w:rPr>
        <w:t>附件</w:t>
      </w:r>
      <w:r>
        <w:rPr>
          <w:rFonts w:hint="eastAsia" w:eastAsia="仿宋_GB2312"/>
          <w:color w:val="auto"/>
          <w:sz w:val="30"/>
          <w:szCs w:val="30"/>
          <w:highlight w:val="none"/>
        </w:rPr>
        <w:t>8</w:t>
      </w:r>
      <w:r>
        <w:rPr>
          <w:rFonts w:hint="eastAsia" w:eastAsia="仿宋_GB2312" w:cs="仿宋_GB2312"/>
          <w:color w:val="auto"/>
          <w:sz w:val="30"/>
          <w:szCs w:val="30"/>
          <w:highlight w:val="none"/>
        </w:rPr>
        <w:t>：</w:t>
      </w:r>
    </w:p>
    <w:p w14:paraId="411892C6">
      <w:pPr>
        <w:spacing w:line="360" w:lineRule="auto"/>
        <w:jc w:val="left"/>
        <w:rPr>
          <w:rFonts w:ascii="黑体" w:hAnsi="黑体" w:eastAsia="黑体" w:cs="黑体"/>
          <w:b/>
          <w:bCs/>
          <w:color w:val="auto"/>
          <w:sz w:val="32"/>
          <w:szCs w:val="32"/>
          <w:highlight w:val="none"/>
        </w:rPr>
      </w:pPr>
    </w:p>
    <w:p w14:paraId="33DEBF00">
      <w:pPr>
        <w:rPr>
          <w:rFonts w:hint="eastAsia" w:ascii="宋体" w:hAnsi="宋体"/>
          <w:b/>
          <w:bCs/>
          <w:color w:val="auto"/>
          <w:sz w:val="32"/>
          <w:szCs w:val="32"/>
          <w:highlight w:val="none"/>
        </w:rPr>
      </w:pPr>
      <w:r>
        <w:rPr>
          <w:rFonts w:hint="eastAsia" w:ascii="宋体" w:hAnsi="宋体"/>
          <w:b/>
          <w:bCs/>
          <w:color w:val="auto"/>
          <w:sz w:val="32"/>
          <w:szCs w:val="32"/>
          <w:highlight w:val="none"/>
        </w:rPr>
        <w:br w:type="page"/>
      </w:r>
    </w:p>
    <w:p w14:paraId="2F0BF063">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预付款保函示范文本</w:t>
      </w:r>
    </w:p>
    <w:p w14:paraId="26503C1C">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（独立保函）</w:t>
      </w:r>
    </w:p>
    <w:p w14:paraId="4D51D96A">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36A2F3A8">
      <w:pPr>
        <w:spacing w:line="360" w:lineRule="auto"/>
        <w:rPr>
          <w:rFonts w:ascii="宋体" w:hAnsi="宋体"/>
          <w:color w:val="auto"/>
          <w:sz w:val="24"/>
          <w:szCs w:val="24"/>
          <w:highlight w:val="none"/>
        </w:rPr>
      </w:pPr>
    </w:p>
    <w:p w14:paraId="2D9CE117">
      <w:pPr>
        <w:spacing w:line="360" w:lineRule="auto"/>
        <w:rPr>
          <w:rFonts w:ascii="宋体" w:hAnsi="宋体"/>
          <w:color w:val="auto"/>
          <w:sz w:val="24"/>
          <w:szCs w:val="24"/>
          <w:highlight w:val="none"/>
        </w:rPr>
      </w:pPr>
      <w:r>
        <w:rPr>
          <w:rFonts w:hint="eastAsia" w:ascii="宋体" w:hAnsi="宋体"/>
          <w:color w:val="auto"/>
          <w:sz w:val="24"/>
          <w:szCs w:val="24"/>
          <w:highlight w:val="none"/>
        </w:rPr>
        <w:t>申请人：</w:t>
      </w:r>
    </w:p>
    <w:p w14:paraId="403D1A79">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r>
        <w:rPr>
          <w:rFonts w:ascii="宋体" w:hAnsi="宋体"/>
          <w:color w:val="auto"/>
          <w:sz w:val="24"/>
          <w:szCs w:val="24"/>
          <w:highlight w:val="none"/>
        </w:rPr>
        <w:t>：</w:t>
      </w:r>
    </w:p>
    <w:p w14:paraId="70A2ADA0">
      <w:pPr>
        <w:spacing w:line="360" w:lineRule="auto"/>
        <w:rPr>
          <w:rFonts w:ascii="宋体" w:hAnsi="宋体"/>
          <w:color w:val="auto"/>
          <w:sz w:val="24"/>
          <w:szCs w:val="24"/>
          <w:highlight w:val="none"/>
        </w:rPr>
      </w:pPr>
      <w:r>
        <w:rPr>
          <w:rFonts w:hint="eastAsia" w:ascii="宋体" w:hAnsi="宋体"/>
          <w:color w:val="auto"/>
          <w:sz w:val="24"/>
          <w:szCs w:val="24"/>
          <w:highlight w:val="none"/>
        </w:rPr>
        <w:t>受益人：</w:t>
      </w:r>
    </w:p>
    <w:p w14:paraId="5A25B44B">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p>
    <w:p w14:paraId="0EF7354B">
      <w:pPr>
        <w:spacing w:line="360" w:lineRule="auto"/>
        <w:rPr>
          <w:rFonts w:ascii="宋体" w:hAnsi="宋体"/>
          <w:color w:val="auto"/>
          <w:sz w:val="24"/>
          <w:szCs w:val="24"/>
          <w:highlight w:val="none"/>
        </w:rPr>
      </w:pPr>
      <w:r>
        <w:rPr>
          <w:rFonts w:hint="eastAsia" w:ascii="宋体" w:hAnsi="宋体"/>
          <w:color w:val="auto"/>
          <w:sz w:val="24"/>
          <w:szCs w:val="24"/>
          <w:highlight w:val="none"/>
        </w:rPr>
        <w:t>开立人：</w:t>
      </w:r>
    </w:p>
    <w:p w14:paraId="7D9D91F3">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地址：</w:t>
      </w:r>
    </w:p>
    <w:p w14:paraId="71BCEBBF">
      <w:pPr>
        <w:spacing w:line="360" w:lineRule="auto"/>
        <w:rPr>
          <w:rFonts w:ascii="宋体" w:hAnsi="宋体"/>
          <w:color w:val="auto"/>
          <w:sz w:val="24"/>
          <w:szCs w:val="24"/>
          <w:highlight w:val="none"/>
        </w:rPr>
      </w:pPr>
      <w:r>
        <w:rPr>
          <w:rFonts w:ascii="宋体" w:hAnsi="宋体"/>
          <w:color w:val="auto"/>
          <w:sz w:val="24"/>
          <w:szCs w:val="24"/>
          <w:highlight w:val="none"/>
        </w:rPr>
        <w:t xml:space="preserve"> </w:t>
      </w:r>
    </w:p>
    <w:p w14:paraId="2E3ADE12">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受益人</w:t>
      </w:r>
      <w:r>
        <w:rPr>
          <w:rFonts w:ascii="宋体" w:hAnsi="宋体"/>
          <w:color w:val="auto"/>
          <w:sz w:val="24"/>
          <w:szCs w:val="24"/>
          <w:highlight w:val="none"/>
        </w:rPr>
        <w:t xml:space="preserve">名称）： </w:t>
      </w:r>
    </w:p>
    <w:p w14:paraId="627A3AB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受益人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申请人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（以下简称“基础合同”），我方（即“开立人”）根据主合同了解到申请人为主合同项下之承包人，受益人为主合同项下之发包人，基于申请人</w:t>
      </w:r>
      <w:r>
        <w:rPr>
          <w:rFonts w:ascii="宋体" w:hAnsi="宋体"/>
          <w:color w:val="auto"/>
          <w:sz w:val="24"/>
          <w:szCs w:val="24"/>
          <w:highlight w:val="none"/>
        </w:rPr>
        <w:t>的请求，我方同意就</w:t>
      </w:r>
      <w:r>
        <w:rPr>
          <w:rFonts w:hint="eastAsia" w:ascii="宋体" w:hAnsi="宋体"/>
          <w:color w:val="auto"/>
          <w:sz w:val="24"/>
          <w:szCs w:val="24"/>
          <w:highlight w:val="none"/>
        </w:rPr>
        <w:t>申请人按照合同约定正确和合理地为合同目的使用预付款，</w:t>
      </w:r>
      <w:r>
        <w:rPr>
          <w:rFonts w:ascii="宋体" w:hAnsi="宋体"/>
          <w:color w:val="auto"/>
          <w:sz w:val="24"/>
          <w:szCs w:val="24"/>
          <w:highlight w:val="none"/>
        </w:rPr>
        <w:t>向贵方提供不可撤销、</w:t>
      </w:r>
      <w:r>
        <w:rPr>
          <w:rFonts w:hint="eastAsia" w:ascii="宋体" w:hAnsi="宋体"/>
          <w:color w:val="auto"/>
          <w:sz w:val="24"/>
          <w:szCs w:val="24"/>
          <w:highlight w:val="none"/>
        </w:rPr>
        <w:t>不可转让的见索即付</w:t>
      </w:r>
      <w:r>
        <w:rPr>
          <w:rFonts w:ascii="宋体" w:hAnsi="宋体"/>
          <w:color w:val="auto"/>
          <w:sz w:val="24"/>
          <w:szCs w:val="24"/>
          <w:highlight w:val="none"/>
        </w:rPr>
        <w:t>独立</w:t>
      </w:r>
      <w:r>
        <w:rPr>
          <w:rFonts w:hint="eastAsia" w:ascii="宋体" w:hAnsi="宋体"/>
          <w:color w:val="auto"/>
          <w:sz w:val="24"/>
          <w:szCs w:val="24"/>
          <w:highlight w:val="none"/>
        </w:rPr>
        <w:t>保函（以下简称“本保函”）</w:t>
      </w:r>
      <w:r>
        <w:rPr>
          <w:rFonts w:ascii="宋体" w:hAnsi="宋体"/>
          <w:color w:val="auto"/>
          <w:sz w:val="24"/>
          <w:szCs w:val="24"/>
          <w:highlight w:val="none"/>
        </w:rPr>
        <w:t xml:space="preserve">。 </w:t>
      </w:r>
    </w:p>
    <w:p w14:paraId="6D478FA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一、本保函担保范围：申请人未按照合同约定正确和合理地为合同目的使用预付款，应当向贵方</w:t>
      </w:r>
      <w:r>
        <w:rPr>
          <w:rFonts w:hint="eastAsia" w:ascii="宋体" w:hAnsi="宋体"/>
          <w:color w:val="auto"/>
          <w:sz w:val="24"/>
          <w:szCs w:val="24"/>
          <w:highlight w:val="none"/>
          <w:lang w:eastAsia="zh-CN"/>
        </w:rPr>
        <w:t>承担</w:t>
      </w:r>
      <w:r>
        <w:rPr>
          <w:rFonts w:hint="eastAsia" w:ascii="宋体" w:hAnsi="宋体"/>
          <w:color w:val="auto"/>
          <w:sz w:val="24"/>
          <w:szCs w:val="24"/>
          <w:highlight w:val="none"/>
        </w:rPr>
        <w:t>违约责任和赔偿因此造成的损失、利息、律师费、诉讼费用等实现债权的费用。</w:t>
      </w:r>
    </w:p>
    <w:p w14:paraId="2F8BF6A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二、本保函担保金额最高不超过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57D34B2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三、本保函</w:t>
      </w:r>
      <w:r>
        <w:rPr>
          <w:rFonts w:ascii="宋体" w:hAnsi="宋体"/>
          <w:color w:val="auto"/>
          <w:sz w:val="24"/>
          <w:szCs w:val="24"/>
          <w:highlight w:val="none"/>
        </w:rPr>
        <w:t>有效期自</w:t>
      </w:r>
      <w:r>
        <w:rPr>
          <w:rFonts w:hint="eastAsia" w:ascii="宋体" w:hAnsi="宋体"/>
          <w:color w:val="auto"/>
          <w:sz w:val="24"/>
          <w:szCs w:val="24"/>
          <w:highlight w:val="none"/>
        </w:rPr>
        <w:t>开立之日起</w:t>
      </w:r>
      <w:r>
        <w:rPr>
          <w:rFonts w:ascii="宋体" w:hAnsi="宋体"/>
          <w:color w:val="auto"/>
          <w:sz w:val="24"/>
          <w:szCs w:val="24"/>
          <w:highlight w:val="none"/>
        </w:rPr>
        <w:t>至</w:t>
      </w:r>
      <w:r>
        <w:rPr>
          <w:rFonts w:hint="eastAsia" w:ascii="宋体" w:hAnsi="宋体"/>
          <w:color w:val="auto"/>
          <w:sz w:val="24"/>
          <w:szCs w:val="24"/>
          <w:highlight w:val="none"/>
        </w:rPr>
        <w:t>发包人全额扣回预付款后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p>
    <w:p w14:paraId="2F8AA5D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四、我方承诺，在收到受益人发来的书面付款通知后的</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日内无条件支付，前述书面付款通知即为付款要求之单据，且应满足以下要求：</w:t>
      </w:r>
    </w:p>
    <w:p w14:paraId="24F2E24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（1）付款通知到达的日期在本保函的有效期内；</w:t>
      </w:r>
    </w:p>
    <w:p w14:paraId="616C634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（2）载明要求支付的金额；</w:t>
      </w:r>
    </w:p>
    <w:p w14:paraId="3229ADA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（3）载明申请人违反合同义务的条款和内容；</w:t>
      </w:r>
    </w:p>
    <w:p w14:paraId="2F7F299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（4）声明不存在合同文件约定或我国法律规定免除申请人或开立人支付责任的情形；</w:t>
      </w:r>
    </w:p>
    <w:p w14:paraId="4D22D57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（5）付款通知应在本保函有效期内到达的地址是：</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p>
    <w:p w14:paraId="3E7548E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受益人发出的书面付款通知应由其为鉴明受益人法定代表人（负责人）或授权代理人签字并加盖公章。</w:t>
      </w:r>
    </w:p>
    <w:p w14:paraId="1ACE5BD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五、</w:t>
      </w:r>
      <w:r>
        <w:rPr>
          <w:rFonts w:ascii="宋体" w:hAnsi="宋体"/>
          <w:color w:val="auto"/>
          <w:sz w:val="24"/>
          <w:szCs w:val="24"/>
          <w:highlight w:val="none"/>
        </w:rPr>
        <w:t>本保函项下的权利不得转让，不得设定担保。贵方未经我方书面同意转 让本保函或其项下任何权利，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686ED15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六、与</w:t>
      </w:r>
      <w:r>
        <w:rPr>
          <w:rFonts w:ascii="宋体" w:hAnsi="宋体"/>
          <w:color w:val="auto"/>
          <w:sz w:val="24"/>
          <w:szCs w:val="24"/>
          <w:highlight w:val="none"/>
        </w:rPr>
        <w:t>本保函</w:t>
      </w:r>
      <w:r>
        <w:rPr>
          <w:rFonts w:hint="eastAsia" w:ascii="宋体" w:hAnsi="宋体"/>
          <w:color w:val="auto"/>
          <w:sz w:val="24"/>
          <w:szCs w:val="24"/>
          <w:highlight w:val="none"/>
        </w:rPr>
        <w:t>有关</w:t>
      </w:r>
      <w:r>
        <w:rPr>
          <w:rFonts w:ascii="宋体" w:hAnsi="宋体"/>
          <w:color w:val="auto"/>
          <w:sz w:val="24"/>
          <w:szCs w:val="24"/>
          <w:highlight w:val="none"/>
        </w:rPr>
        <w:t>的</w:t>
      </w:r>
      <w:r>
        <w:rPr>
          <w:rFonts w:hint="eastAsia" w:ascii="宋体" w:hAnsi="宋体"/>
          <w:color w:val="auto"/>
          <w:sz w:val="24"/>
          <w:szCs w:val="24"/>
          <w:highlight w:val="none"/>
        </w:rPr>
        <w:t>基础</w:t>
      </w:r>
      <w:r>
        <w:rPr>
          <w:rFonts w:ascii="宋体" w:hAnsi="宋体"/>
          <w:color w:val="auto"/>
          <w:sz w:val="24"/>
          <w:szCs w:val="24"/>
          <w:highlight w:val="none"/>
        </w:rPr>
        <w:t xml:space="preserve">合同不成立、不生效、无效、被撤销、被解除，不影响本保函的独立有效。 </w:t>
      </w:r>
    </w:p>
    <w:p w14:paraId="51AD60B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七、</w:t>
      </w:r>
      <w:r>
        <w:rPr>
          <w:rFonts w:ascii="宋体" w:hAnsi="宋体"/>
          <w:color w:val="auto"/>
          <w:sz w:val="24"/>
          <w:szCs w:val="24"/>
          <w:highlight w:val="none"/>
        </w:rPr>
        <w:t>贵方应在本保函到期后的七日内将本保函正本退回我方注销，但是不论贵方是否按此要求将本保函正本退回我方，我方在本保函项下的义务和责任均在保函</w:t>
      </w:r>
      <w:r>
        <w:rPr>
          <w:rFonts w:hint="eastAsia" w:ascii="宋体" w:hAnsi="宋体"/>
          <w:color w:val="auto"/>
          <w:sz w:val="24"/>
          <w:szCs w:val="24"/>
          <w:highlight w:val="none"/>
        </w:rPr>
        <w:t>有效期</w:t>
      </w:r>
      <w:r>
        <w:rPr>
          <w:rFonts w:ascii="宋体" w:hAnsi="宋体"/>
          <w:color w:val="auto"/>
          <w:sz w:val="24"/>
          <w:szCs w:val="24"/>
          <w:highlight w:val="none"/>
        </w:rPr>
        <w:t xml:space="preserve">到期后自动消灭。 </w:t>
      </w:r>
    </w:p>
    <w:p w14:paraId="56A2096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八、</w:t>
      </w:r>
      <w:r>
        <w:rPr>
          <w:rFonts w:ascii="宋体" w:hAnsi="宋体"/>
          <w:color w:val="auto"/>
          <w:sz w:val="24"/>
          <w:szCs w:val="24"/>
          <w:highlight w:val="none"/>
        </w:rPr>
        <w:t>本保函</w:t>
      </w:r>
      <w:r>
        <w:rPr>
          <w:rFonts w:hint="eastAsia" w:ascii="宋体" w:hAnsi="宋体"/>
          <w:color w:val="auto"/>
          <w:sz w:val="24"/>
          <w:szCs w:val="24"/>
          <w:highlight w:val="none"/>
        </w:rPr>
        <w:t>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3BDF035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九、</w:t>
      </w:r>
      <w:r>
        <w:rPr>
          <w:rFonts w:ascii="宋体" w:hAnsi="宋体"/>
          <w:color w:val="auto"/>
          <w:sz w:val="24"/>
          <w:szCs w:val="24"/>
          <w:highlight w:val="none"/>
        </w:rPr>
        <w:t>本保函自我方法定代表人</w:t>
      </w:r>
      <w:r>
        <w:rPr>
          <w:rFonts w:hint="eastAsia" w:ascii="宋体" w:hAnsi="宋体"/>
          <w:color w:val="auto"/>
          <w:sz w:val="24"/>
          <w:szCs w:val="24"/>
          <w:highlight w:val="none"/>
        </w:rPr>
        <w:t>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7EEFD5AB">
      <w:pPr>
        <w:spacing w:line="360" w:lineRule="auto"/>
        <w:ind w:firstLine="480" w:firstLineChars="200"/>
        <w:rPr>
          <w:rFonts w:ascii="宋体" w:hAnsi="宋体"/>
          <w:color w:val="auto"/>
          <w:sz w:val="24"/>
          <w:szCs w:val="24"/>
          <w:highlight w:val="none"/>
        </w:rPr>
      </w:pPr>
    </w:p>
    <w:p w14:paraId="28F5A04E">
      <w:pPr>
        <w:spacing w:line="360" w:lineRule="auto"/>
        <w:ind w:firstLine="480" w:firstLineChars="200"/>
        <w:rPr>
          <w:rFonts w:ascii="宋体" w:hAnsi="宋体"/>
          <w:color w:val="auto"/>
          <w:sz w:val="24"/>
          <w:szCs w:val="24"/>
          <w:highlight w:val="none"/>
        </w:rPr>
      </w:pPr>
    </w:p>
    <w:p w14:paraId="14A9826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 立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70F50A6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16FFD3C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6359941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221325B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7B20651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131BFF33">
      <w:pPr>
        <w:rPr>
          <w:color w:val="auto"/>
          <w:highlight w:val="none"/>
        </w:rPr>
      </w:pPr>
      <w:r>
        <w:rPr>
          <w:rFonts w:hint="eastAsia" w:ascii="宋体" w:hAnsi="宋体"/>
          <w:color w:val="auto"/>
          <w:sz w:val="24"/>
          <w:szCs w:val="24"/>
          <w:highlight w:val="none"/>
        </w:rPr>
        <w:t xml:space="preserve">    开立时间：</w:t>
      </w:r>
      <w:r>
        <w:rPr>
          <w:rFonts w:ascii="宋体" w:hAnsi="宋体"/>
          <w:color w:val="auto"/>
          <w:sz w:val="24"/>
          <w:szCs w:val="24"/>
          <w:highlight w:val="none"/>
        </w:rPr>
        <w:t xml:space="preserve">      年      月        日</w:t>
      </w:r>
    </w:p>
    <w:p w14:paraId="64BC0FBA">
      <w:pPr>
        <w:spacing w:line="360" w:lineRule="auto"/>
        <w:jc w:val="center"/>
        <w:rPr>
          <w:rFonts w:ascii="宋体" w:hAnsi="宋体"/>
          <w:b/>
          <w:bCs/>
          <w:color w:val="auto"/>
          <w:sz w:val="32"/>
          <w:szCs w:val="32"/>
          <w:highlight w:val="none"/>
        </w:rPr>
      </w:pPr>
    </w:p>
    <w:p w14:paraId="1FC4ED6E">
      <w:pPr>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br w:type="page"/>
      </w:r>
    </w:p>
    <w:p w14:paraId="7433D466">
      <w:pPr>
        <w:spacing w:line="360" w:lineRule="auto"/>
        <w:jc w:val="left"/>
        <w:rPr>
          <w:rFonts w:hint="eastAsia" w:ascii="黑体" w:hAnsi="黑体" w:eastAsia="黑体" w:cs="黑体"/>
          <w:b/>
          <w:bCs/>
          <w:color w:val="auto"/>
          <w:sz w:val="32"/>
          <w:szCs w:val="32"/>
          <w:highlight w:val="none"/>
        </w:rPr>
      </w:pPr>
      <w:r>
        <w:rPr>
          <w:rFonts w:hint="eastAsia" w:ascii="黑体" w:hAnsi="黑体" w:eastAsia="黑体" w:cs="黑体"/>
          <w:color w:val="auto"/>
          <w:sz w:val="32"/>
          <w:szCs w:val="32"/>
          <w:highlight w:val="none"/>
        </w:rPr>
        <w:t>附件</w:t>
      </w:r>
      <w:r>
        <w:rPr>
          <w:rFonts w:ascii="黑体" w:hAnsi="黑体" w:eastAsia="黑体" w:cs="黑体"/>
          <w:color w:val="auto"/>
          <w:sz w:val="32"/>
          <w:szCs w:val="32"/>
          <w:highlight w:val="none"/>
        </w:rPr>
        <w:t>8</w:t>
      </w:r>
    </w:p>
    <w:p w14:paraId="0ACE532A">
      <w:pPr>
        <w:spacing w:line="360" w:lineRule="auto"/>
        <w:jc w:val="left"/>
        <w:rPr>
          <w:rFonts w:ascii="黑体" w:hAnsi="黑体" w:eastAsia="黑体" w:cs="黑体"/>
          <w:b/>
          <w:bCs/>
          <w:color w:val="auto"/>
          <w:sz w:val="32"/>
          <w:szCs w:val="32"/>
          <w:highlight w:val="none"/>
        </w:rPr>
      </w:pPr>
    </w:p>
    <w:p w14:paraId="29D4A899">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预付款保函示范文本</w:t>
      </w:r>
    </w:p>
    <w:p w14:paraId="109AB1A9">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（非独立保函）</w:t>
      </w:r>
    </w:p>
    <w:p w14:paraId="461C0347">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72F59DC8">
      <w:pPr>
        <w:spacing w:line="360" w:lineRule="auto"/>
        <w:rPr>
          <w:rFonts w:ascii="宋体" w:hAnsi="宋体"/>
          <w:color w:val="auto"/>
          <w:sz w:val="24"/>
          <w:szCs w:val="24"/>
          <w:highlight w:val="none"/>
        </w:rPr>
      </w:pPr>
    </w:p>
    <w:p w14:paraId="2FAAF910">
      <w:pPr>
        <w:spacing w:line="360" w:lineRule="auto"/>
        <w:rPr>
          <w:rFonts w:ascii="宋体" w:hAnsi="宋体"/>
          <w:color w:val="auto"/>
          <w:sz w:val="24"/>
          <w:szCs w:val="24"/>
          <w:highlight w:val="none"/>
        </w:rPr>
      </w:pPr>
      <w:r>
        <w:rPr>
          <w:rFonts w:hint="eastAsia" w:ascii="宋体" w:hAnsi="宋体"/>
          <w:color w:val="auto"/>
          <w:sz w:val="24"/>
          <w:szCs w:val="24"/>
          <w:highlight w:val="none"/>
        </w:rPr>
        <w:t>担保权人/发包人：</w:t>
      </w:r>
    </w:p>
    <w:p w14:paraId="2EC9EF0A">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r>
        <w:rPr>
          <w:rFonts w:ascii="宋体" w:hAnsi="宋体"/>
          <w:color w:val="auto"/>
          <w:sz w:val="24"/>
          <w:szCs w:val="24"/>
          <w:highlight w:val="none"/>
        </w:rPr>
        <w:t>：</w:t>
      </w:r>
    </w:p>
    <w:p w14:paraId="16888393">
      <w:pPr>
        <w:spacing w:line="360" w:lineRule="auto"/>
        <w:rPr>
          <w:rFonts w:ascii="宋体" w:hAnsi="宋体"/>
          <w:color w:val="auto"/>
          <w:sz w:val="24"/>
          <w:szCs w:val="24"/>
          <w:highlight w:val="none"/>
        </w:rPr>
      </w:pPr>
      <w:r>
        <w:rPr>
          <w:rFonts w:hint="eastAsia" w:ascii="宋体" w:hAnsi="宋体"/>
          <w:color w:val="auto"/>
          <w:sz w:val="24"/>
          <w:szCs w:val="24"/>
          <w:highlight w:val="none"/>
        </w:rPr>
        <w:t>承包人：</w:t>
      </w:r>
      <w:r>
        <w:rPr>
          <w:rFonts w:ascii="宋体" w:hAnsi="宋体"/>
          <w:color w:val="auto"/>
          <w:sz w:val="24"/>
          <w:szCs w:val="24"/>
          <w:highlight w:val="none"/>
        </w:rPr>
        <w:t xml:space="preserve"> </w:t>
      </w:r>
    </w:p>
    <w:p w14:paraId="1D03C2D5">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70E780E7">
      <w:pPr>
        <w:spacing w:line="360" w:lineRule="auto"/>
        <w:rPr>
          <w:rFonts w:ascii="宋体" w:hAnsi="宋体"/>
          <w:color w:val="auto"/>
          <w:sz w:val="24"/>
          <w:szCs w:val="24"/>
          <w:highlight w:val="none"/>
        </w:rPr>
      </w:pPr>
      <w:r>
        <w:rPr>
          <w:rFonts w:hint="eastAsia" w:ascii="宋体" w:hAnsi="宋体"/>
          <w:color w:val="auto"/>
          <w:sz w:val="24"/>
          <w:szCs w:val="24"/>
          <w:highlight w:val="none"/>
        </w:rPr>
        <w:t>保证人：</w:t>
      </w:r>
    </w:p>
    <w:p w14:paraId="21D0E569">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38FD2706">
      <w:pPr>
        <w:spacing w:line="360" w:lineRule="auto"/>
        <w:rPr>
          <w:rFonts w:ascii="宋体" w:hAnsi="宋体"/>
          <w:color w:val="auto"/>
          <w:sz w:val="24"/>
          <w:szCs w:val="24"/>
          <w:highlight w:val="none"/>
        </w:rPr>
      </w:pPr>
    </w:p>
    <w:p w14:paraId="6C84CE41">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发包人</w:t>
      </w:r>
      <w:r>
        <w:rPr>
          <w:rFonts w:ascii="宋体" w:hAnsi="宋体"/>
          <w:color w:val="auto"/>
          <w:sz w:val="24"/>
          <w:szCs w:val="24"/>
          <w:highlight w:val="none"/>
        </w:rPr>
        <w:t xml:space="preserve">名称）： </w:t>
      </w:r>
    </w:p>
    <w:p w14:paraId="733790E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发包人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承包人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（以下简称“主合同”），我方即保证人基于承包人</w:t>
      </w:r>
      <w:r>
        <w:rPr>
          <w:rFonts w:ascii="宋体" w:hAnsi="宋体"/>
          <w:color w:val="auto"/>
          <w:sz w:val="24"/>
          <w:szCs w:val="24"/>
          <w:highlight w:val="none"/>
        </w:rPr>
        <w:t>的请求，同意就</w:t>
      </w:r>
      <w:r>
        <w:rPr>
          <w:rFonts w:hint="eastAsia" w:ascii="宋体" w:hAnsi="宋体"/>
          <w:color w:val="auto"/>
          <w:sz w:val="24"/>
          <w:szCs w:val="24"/>
          <w:highlight w:val="none"/>
        </w:rPr>
        <w:t>承包人按照合同约定正确和合理地为合同目的使用预付款，不将预付款挪作他用，</w:t>
      </w:r>
      <w:r>
        <w:rPr>
          <w:rFonts w:ascii="宋体" w:hAnsi="宋体"/>
          <w:color w:val="auto"/>
          <w:sz w:val="24"/>
          <w:szCs w:val="24"/>
          <w:highlight w:val="none"/>
        </w:rPr>
        <w:t>向贵方提供</w:t>
      </w:r>
      <w:r>
        <w:rPr>
          <w:rFonts w:hint="eastAsia" w:ascii="宋体" w:hAnsi="宋体"/>
          <w:color w:val="auto"/>
          <w:sz w:val="24"/>
          <w:szCs w:val="24"/>
          <w:highlight w:val="none"/>
        </w:rPr>
        <w:t>如下保证担保（以下简称“本保证担保”）</w:t>
      </w:r>
      <w:r>
        <w:rPr>
          <w:rFonts w:ascii="宋体" w:hAnsi="宋体"/>
          <w:color w:val="auto"/>
          <w:sz w:val="24"/>
          <w:szCs w:val="24"/>
          <w:highlight w:val="none"/>
        </w:rPr>
        <w:t xml:space="preserve">。 </w:t>
      </w:r>
    </w:p>
    <w:p w14:paraId="796DD9F7">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一、保证担保的范围及保证担保金额</w:t>
      </w:r>
    </w:p>
    <w:p w14:paraId="4AC3FF7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w:t>
      </w:r>
      <w:r>
        <w:rPr>
          <w:rFonts w:hint="eastAsia" w:ascii="宋体" w:hAnsi="宋体"/>
          <w:color w:val="auto"/>
          <w:sz w:val="24"/>
          <w:szCs w:val="24"/>
          <w:highlight w:val="none"/>
        </w:rPr>
        <w:t>保证担保范围：申请人未按照合同约定正确和合理地为合同目的使用预付款，应当向贵方</w:t>
      </w:r>
      <w:r>
        <w:rPr>
          <w:rFonts w:hint="eastAsia" w:ascii="宋体" w:hAnsi="宋体"/>
          <w:color w:val="auto"/>
          <w:sz w:val="24"/>
          <w:szCs w:val="24"/>
          <w:highlight w:val="none"/>
          <w:lang w:eastAsia="zh-CN"/>
        </w:rPr>
        <w:t>承担</w:t>
      </w:r>
      <w:r>
        <w:rPr>
          <w:rFonts w:hint="eastAsia" w:ascii="宋体" w:hAnsi="宋体"/>
          <w:color w:val="auto"/>
          <w:sz w:val="24"/>
          <w:szCs w:val="24"/>
          <w:highlight w:val="none"/>
        </w:rPr>
        <w:t>违约责任和赔偿因此造成的损失、利息、律师费、诉讼费用等实现债权的费用。</w:t>
      </w:r>
    </w:p>
    <w:p w14:paraId="6390DBD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203C01E5">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二、保证担保的方式及保证期间</w:t>
      </w:r>
      <w:r>
        <w:rPr>
          <w:rFonts w:ascii="宋体" w:hAnsi="宋体"/>
          <w:b/>
          <w:bCs/>
          <w:color w:val="auto"/>
          <w:sz w:val="24"/>
          <w:szCs w:val="24"/>
          <w:highlight w:val="none"/>
        </w:rPr>
        <w:t xml:space="preserve"> </w:t>
      </w:r>
    </w:p>
    <w:p w14:paraId="11FA787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1.保证担保方式：连带责任保证。</w:t>
      </w:r>
    </w:p>
    <w:p w14:paraId="213DFC2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保证期间：</w:t>
      </w:r>
      <w:r>
        <w:rPr>
          <w:rFonts w:ascii="宋体" w:hAnsi="宋体"/>
          <w:color w:val="auto"/>
          <w:sz w:val="24"/>
          <w:szCs w:val="24"/>
          <w:highlight w:val="none"/>
        </w:rPr>
        <w:t>自</w:t>
      </w:r>
      <w:r>
        <w:rPr>
          <w:rFonts w:hint="eastAsia" w:ascii="宋体" w:hAnsi="宋体"/>
          <w:color w:val="auto"/>
          <w:sz w:val="24"/>
          <w:szCs w:val="24"/>
          <w:highlight w:val="none"/>
        </w:rPr>
        <w:t>出具之日起</w:t>
      </w:r>
      <w:r>
        <w:rPr>
          <w:rFonts w:ascii="宋体" w:hAnsi="宋体"/>
          <w:color w:val="auto"/>
          <w:sz w:val="24"/>
          <w:szCs w:val="24"/>
          <w:highlight w:val="none"/>
        </w:rPr>
        <w:t>至</w:t>
      </w:r>
      <w:r>
        <w:rPr>
          <w:rFonts w:hint="eastAsia" w:ascii="宋体" w:hAnsi="宋体"/>
          <w:color w:val="auto"/>
          <w:sz w:val="24"/>
          <w:szCs w:val="24"/>
          <w:highlight w:val="none"/>
        </w:rPr>
        <w:t>发包人全额扣回预付款后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14:paraId="6F2E4F4B">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三、承担保证担保责任的形式</w:t>
      </w:r>
    </w:p>
    <w:p w14:paraId="6BC8502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发生应承担保证责任情形的，我方在保证金额内向贵方支付，并赔偿因此给贵方造成的损失，以及利息和律师费、诉讼费用等实现债权的费用。</w:t>
      </w:r>
    </w:p>
    <w:p w14:paraId="37EE9658">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四、代偿的安排</w:t>
      </w:r>
      <w:r>
        <w:rPr>
          <w:rFonts w:ascii="宋体" w:hAnsi="宋体"/>
          <w:b/>
          <w:bCs/>
          <w:color w:val="auto"/>
          <w:sz w:val="24"/>
          <w:szCs w:val="24"/>
          <w:highlight w:val="none"/>
        </w:rPr>
        <w:t xml:space="preserve"> </w:t>
      </w:r>
    </w:p>
    <w:p w14:paraId="36C0B6E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1.贵方要求我方承担保证责任的，应向我方发出书面索赔通知及承包人未履行主合同约定义务的证明材料。索赔通知应写明要求索赔的金额，支付款项应到达</w:t>
      </w:r>
      <w:r>
        <w:rPr>
          <w:rFonts w:hint="eastAsia" w:ascii="宋体" w:hAnsi="宋体"/>
          <w:color w:val="auto"/>
          <w:sz w:val="24"/>
          <w:szCs w:val="24"/>
          <w:highlight w:val="none"/>
          <w:lang w:eastAsia="zh-CN"/>
        </w:rPr>
        <w:t>的账号</w:t>
      </w:r>
      <w:r>
        <w:rPr>
          <w:rFonts w:hint="eastAsia" w:ascii="宋体" w:hAnsi="宋体"/>
          <w:color w:val="auto"/>
          <w:sz w:val="24"/>
          <w:szCs w:val="24"/>
          <w:highlight w:val="none"/>
        </w:rPr>
        <w:t>，并附有说明承包人违反主合同造成贵方损失情况的证明材料。</w:t>
      </w:r>
    </w:p>
    <w:p w14:paraId="53D000F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2.我方收到贵方的书面索赔通知及相应证明材料后，在</w:t>
      </w:r>
      <w:r>
        <w:rPr>
          <w:rFonts w:ascii="宋体" w:hAnsi="宋体"/>
          <w:color w:val="auto"/>
          <w:sz w:val="24"/>
          <w:szCs w:val="24"/>
          <w:highlight w:val="none"/>
          <w:u w:val="single"/>
        </w:rPr>
        <w:t xml:space="preserve">    </w:t>
      </w:r>
      <w:r>
        <w:rPr>
          <w:rFonts w:hint="eastAsia" w:ascii="宋体" w:hAnsi="宋体"/>
          <w:color w:val="auto"/>
          <w:sz w:val="24"/>
          <w:szCs w:val="24"/>
          <w:highlight w:val="none"/>
        </w:rPr>
        <w:t>工作日内进行核定后按照本保函的承诺承担保证责任。</w:t>
      </w:r>
    </w:p>
    <w:p w14:paraId="291FACD7">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五、保证担保责任的解除</w:t>
      </w:r>
      <w:r>
        <w:rPr>
          <w:rFonts w:ascii="宋体" w:hAnsi="宋体"/>
          <w:b/>
          <w:bCs/>
          <w:color w:val="auto"/>
          <w:sz w:val="24"/>
          <w:szCs w:val="24"/>
          <w:highlight w:val="none"/>
        </w:rPr>
        <w:t xml:space="preserve"> </w:t>
      </w:r>
    </w:p>
    <w:p w14:paraId="47C8F54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 xml:space="preserve">保证期间届满贵方未向我方书面主张保证责任的，自保证期间届满次日起，我方解除保证责任。 </w:t>
      </w:r>
    </w:p>
    <w:p w14:paraId="46A3BA1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我方按照本</w:t>
      </w:r>
      <w:r>
        <w:rPr>
          <w:rFonts w:hint="eastAsia" w:ascii="宋体" w:hAnsi="宋体"/>
          <w:color w:val="auto"/>
          <w:sz w:val="24"/>
          <w:szCs w:val="24"/>
          <w:highlight w:val="none"/>
        </w:rPr>
        <w:t>保证担保</w:t>
      </w:r>
      <w:r>
        <w:rPr>
          <w:rFonts w:ascii="宋体" w:hAnsi="宋体"/>
          <w:color w:val="auto"/>
          <w:sz w:val="24"/>
          <w:szCs w:val="24"/>
          <w:highlight w:val="none"/>
        </w:rPr>
        <w:t>向贵方履行了</w:t>
      </w:r>
      <w:r>
        <w:rPr>
          <w:rFonts w:hint="eastAsia" w:ascii="宋体" w:hAnsi="宋体"/>
          <w:color w:val="auto"/>
          <w:sz w:val="24"/>
          <w:szCs w:val="24"/>
          <w:highlight w:val="none"/>
        </w:rPr>
        <w:t>保证担保责任</w:t>
      </w:r>
      <w:r>
        <w:rPr>
          <w:rFonts w:ascii="宋体" w:hAnsi="宋体"/>
          <w:color w:val="auto"/>
          <w:sz w:val="24"/>
          <w:szCs w:val="24"/>
          <w:highlight w:val="none"/>
        </w:rPr>
        <w:t>后，自我方向贵方支付</w:t>
      </w:r>
      <w:r>
        <w:rPr>
          <w:rFonts w:hint="eastAsia" w:ascii="宋体" w:hAnsi="宋体"/>
          <w:color w:val="auto"/>
          <w:sz w:val="24"/>
          <w:szCs w:val="24"/>
          <w:highlight w:val="none"/>
        </w:rPr>
        <w:t>的金额达到最高保证担保金额</w:t>
      </w:r>
      <w:r>
        <w:rPr>
          <w:rFonts w:ascii="宋体" w:hAnsi="宋体"/>
          <w:color w:val="auto"/>
          <w:sz w:val="24"/>
          <w:szCs w:val="24"/>
          <w:highlight w:val="none"/>
        </w:rPr>
        <w:t>之日起，</w:t>
      </w:r>
      <w:r>
        <w:rPr>
          <w:rFonts w:hint="eastAsia" w:ascii="宋体" w:hAnsi="宋体"/>
          <w:color w:val="auto"/>
          <w:sz w:val="24"/>
          <w:szCs w:val="24"/>
          <w:highlight w:val="none"/>
        </w:rPr>
        <w:t>保证担保责任</w:t>
      </w:r>
      <w:r>
        <w:rPr>
          <w:rFonts w:ascii="宋体" w:hAnsi="宋体"/>
          <w:color w:val="auto"/>
          <w:sz w:val="24"/>
          <w:szCs w:val="24"/>
          <w:highlight w:val="none"/>
        </w:rPr>
        <w:t xml:space="preserve">解除。 </w:t>
      </w:r>
    </w:p>
    <w:p w14:paraId="709EB3C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按照法律法规的规定应解除我方保证</w:t>
      </w:r>
      <w:r>
        <w:rPr>
          <w:rFonts w:hint="eastAsia" w:ascii="宋体" w:hAnsi="宋体"/>
          <w:color w:val="auto"/>
          <w:sz w:val="24"/>
          <w:szCs w:val="24"/>
          <w:highlight w:val="none"/>
        </w:rPr>
        <w:t>担保</w:t>
      </w:r>
      <w:r>
        <w:rPr>
          <w:rFonts w:ascii="宋体" w:hAnsi="宋体"/>
          <w:color w:val="auto"/>
          <w:sz w:val="24"/>
          <w:szCs w:val="24"/>
          <w:highlight w:val="none"/>
        </w:rPr>
        <w:t>责任的</w:t>
      </w:r>
      <w:r>
        <w:rPr>
          <w:rFonts w:hint="eastAsia" w:ascii="宋体" w:hAnsi="宋体"/>
          <w:color w:val="auto"/>
          <w:sz w:val="24"/>
          <w:szCs w:val="24"/>
          <w:highlight w:val="none"/>
          <w:lang w:eastAsia="zh-CN"/>
        </w:rPr>
        <w:t>其他情形的</w:t>
      </w:r>
      <w:r>
        <w:rPr>
          <w:rFonts w:ascii="宋体" w:hAnsi="宋体"/>
          <w:color w:val="auto"/>
          <w:sz w:val="24"/>
          <w:szCs w:val="24"/>
          <w:highlight w:val="none"/>
        </w:rPr>
        <w:t>，我方在本保证担保项下的保证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责任亦解除。 </w:t>
      </w:r>
    </w:p>
    <w:p w14:paraId="60EFC38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4.我方解除保证责任后，贵方应按上述约定，自我方保证担保责任解除之日起七</w:t>
      </w:r>
      <w:r>
        <w:rPr>
          <w:rFonts w:ascii="宋体" w:hAnsi="宋体"/>
          <w:color w:val="auto"/>
          <w:sz w:val="24"/>
          <w:szCs w:val="24"/>
          <w:highlight w:val="none"/>
        </w:rPr>
        <w:t>日内，将本保证担保原件返还我方。但是不论贵方是否按此要求将本保证担保</w:t>
      </w:r>
      <w:r>
        <w:rPr>
          <w:rFonts w:hint="eastAsia" w:ascii="宋体" w:hAnsi="宋体"/>
          <w:color w:val="auto"/>
          <w:sz w:val="24"/>
          <w:szCs w:val="24"/>
          <w:highlight w:val="none"/>
        </w:rPr>
        <w:t>原件</w:t>
      </w:r>
      <w:r>
        <w:rPr>
          <w:rFonts w:ascii="宋体" w:hAnsi="宋体"/>
          <w:color w:val="auto"/>
          <w:sz w:val="24"/>
          <w:szCs w:val="24"/>
          <w:highlight w:val="none"/>
        </w:rPr>
        <w:t>退回我方，我方在本保证担保项下的义务和责任均</w:t>
      </w:r>
      <w:r>
        <w:rPr>
          <w:rFonts w:hint="eastAsia" w:ascii="宋体" w:hAnsi="宋体"/>
          <w:color w:val="auto"/>
          <w:sz w:val="24"/>
          <w:szCs w:val="24"/>
          <w:highlight w:val="none"/>
        </w:rPr>
        <w:t>自保证担保责任解除之日</w:t>
      </w:r>
      <w:r>
        <w:rPr>
          <w:rFonts w:ascii="宋体" w:hAnsi="宋体"/>
          <w:color w:val="auto"/>
          <w:sz w:val="24"/>
          <w:szCs w:val="24"/>
          <w:highlight w:val="none"/>
        </w:rPr>
        <w:t>自动消灭。</w:t>
      </w:r>
    </w:p>
    <w:p w14:paraId="3EB552FC">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六、免责条款</w:t>
      </w:r>
      <w:r>
        <w:rPr>
          <w:rFonts w:ascii="宋体" w:hAnsi="宋体"/>
          <w:b/>
          <w:bCs/>
          <w:color w:val="auto"/>
          <w:sz w:val="24"/>
          <w:szCs w:val="24"/>
          <w:highlight w:val="none"/>
        </w:rPr>
        <w:t xml:space="preserve"> </w:t>
      </w:r>
    </w:p>
    <w:p w14:paraId="4C4D6CA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因贵方</w:t>
      </w:r>
      <w:r>
        <w:rPr>
          <w:rFonts w:hint="eastAsia" w:ascii="宋体" w:hAnsi="宋体"/>
          <w:color w:val="auto"/>
          <w:sz w:val="24"/>
          <w:szCs w:val="24"/>
          <w:highlight w:val="none"/>
        </w:rPr>
        <w:t>原因</w:t>
      </w:r>
      <w:r>
        <w:rPr>
          <w:rFonts w:ascii="宋体" w:hAnsi="宋体"/>
          <w:color w:val="auto"/>
          <w:sz w:val="24"/>
          <w:szCs w:val="24"/>
          <w:highlight w:val="none"/>
        </w:rPr>
        <w:t>致使</w:t>
      </w:r>
      <w:r>
        <w:rPr>
          <w:rFonts w:hint="eastAsia" w:ascii="宋体" w:hAnsi="宋体"/>
          <w:color w:val="auto"/>
          <w:sz w:val="24"/>
          <w:szCs w:val="24"/>
          <w:highlight w:val="none"/>
        </w:rPr>
        <w:t>发生应承担保证责任情形的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015B78F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依照法律规定或贵方与</w:t>
      </w:r>
      <w:r>
        <w:rPr>
          <w:rFonts w:hint="eastAsia" w:ascii="宋体" w:hAnsi="宋体"/>
          <w:color w:val="auto"/>
          <w:sz w:val="24"/>
          <w:szCs w:val="24"/>
          <w:highlight w:val="none"/>
        </w:rPr>
        <w:t>承包</w:t>
      </w:r>
      <w:r>
        <w:rPr>
          <w:rFonts w:ascii="宋体" w:hAnsi="宋体"/>
          <w:color w:val="auto"/>
          <w:sz w:val="24"/>
          <w:szCs w:val="24"/>
          <w:highlight w:val="none"/>
        </w:rPr>
        <w:t>人的另行约定，免除</w:t>
      </w:r>
      <w:r>
        <w:rPr>
          <w:rFonts w:hint="eastAsia" w:ascii="宋体" w:hAnsi="宋体"/>
          <w:color w:val="auto"/>
          <w:sz w:val="24"/>
          <w:szCs w:val="24"/>
          <w:highlight w:val="none"/>
        </w:rPr>
        <w:t>承包</w:t>
      </w:r>
      <w:r>
        <w:rPr>
          <w:rFonts w:ascii="宋体" w:hAnsi="宋体"/>
          <w:color w:val="auto"/>
          <w:sz w:val="24"/>
          <w:szCs w:val="24"/>
          <w:highlight w:val="none"/>
        </w:rPr>
        <w:t>人部分或全部义务的，我方亦免除其相应的保证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0D7E288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因不可抗力造成</w:t>
      </w:r>
      <w:r>
        <w:rPr>
          <w:rFonts w:hint="eastAsia" w:ascii="宋体" w:hAnsi="宋体"/>
          <w:color w:val="auto"/>
          <w:sz w:val="24"/>
          <w:szCs w:val="24"/>
          <w:highlight w:val="none"/>
        </w:rPr>
        <w:t>发生应承担保证责任情形的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责任。</w:t>
      </w:r>
    </w:p>
    <w:p w14:paraId="328F995E">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七、其他</w:t>
      </w:r>
    </w:p>
    <w:p w14:paraId="22F70D8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本保证担保项下的权利不得转让，不得设定担保。贵方未经我方书面同意转让本保证担保或其项下任何权利，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1E3F7E1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.本</w:t>
      </w:r>
      <w:r>
        <w:rPr>
          <w:rFonts w:hint="eastAsia" w:ascii="宋体" w:hAnsi="宋体"/>
          <w:color w:val="auto"/>
          <w:sz w:val="24"/>
          <w:szCs w:val="24"/>
          <w:highlight w:val="none"/>
        </w:rPr>
        <w:t>保证担保适用的法律为中华人民共和国法律，争议裁判管辖地为中华人民共和国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r>
        <w:rPr>
          <w:rFonts w:ascii="宋体" w:hAnsi="宋体"/>
          <w:color w:val="auto"/>
          <w:sz w:val="24"/>
          <w:szCs w:val="24"/>
          <w:highlight w:val="none"/>
        </w:rPr>
        <w:t xml:space="preserve"> </w:t>
      </w:r>
    </w:p>
    <w:p w14:paraId="359CFAD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.本</w:t>
      </w:r>
      <w:r>
        <w:rPr>
          <w:rFonts w:hint="eastAsia" w:ascii="宋体" w:hAnsi="宋体"/>
          <w:color w:val="auto"/>
          <w:sz w:val="24"/>
          <w:szCs w:val="24"/>
          <w:highlight w:val="none"/>
        </w:rPr>
        <w:t>保证担保</w:t>
      </w:r>
      <w:r>
        <w:rPr>
          <w:rFonts w:ascii="宋体" w:hAnsi="宋体"/>
          <w:color w:val="auto"/>
          <w:sz w:val="24"/>
          <w:szCs w:val="24"/>
          <w:highlight w:val="none"/>
        </w:rPr>
        <w:t>自我方法定代表</w:t>
      </w:r>
      <w:r>
        <w:rPr>
          <w:rFonts w:hint="eastAsia" w:ascii="宋体" w:hAnsi="宋体"/>
          <w:color w:val="auto"/>
          <w:sz w:val="24"/>
          <w:szCs w:val="24"/>
          <w:highlight w:val="none"/>
        </w:rPr>
        <w:t>人或授权代表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1481A432">
      <w:pPr>
        <w:spacing w:line="360" w:lineRule="auto"/>
        <w:ind w:firstLine="480" w:firstLineChars="200"/>
        <w:rPr>
          <w:rFonts w:ascii="宋体" w:hAnsi="宋体"/>
          <w:color w:val="auto"/>
          <w:sz w:val="24"/>
          <w:szCs w:val="24"/>
          <w:highlight w:val="none"/>
        </w:rPr>
      </w:pPr>
    </w:p>
    <w:p w14:paraId="2FFD315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保 证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79C3F4D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755D75D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2914322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20BD953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566CE44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7BAB8DA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时 </w:t>
      </w:r>
      <w:r>
        <w:rPr>
          <w:rFonts w:ascii="宋体" w:hAnsi="宋体"/>
          <w:color w:val="auto"/>
          <w:sz w:val="24"/>
          <w:szCs w:val="24"/>
          <w:highlight w:val="none"/>
        </w:rPr>
        <w:t xml:space="preserve">   </w:t>
      </w:r>
      <w:r>
        <w:rPr>
          <w:rFonts w:hint="eastAsia" w:ascii="宋体" w:hAnsi="宋体"/>
          <w:color w:val="auto"/>
          <w:sz w:val="24"/>
          <w:szCs w:val="24"/>
          <w:highlight w:val="none"/>
        </w:rPr>
        <w:t>间：</w:t>
      </w:r>
      <w:r>
        <w:rPr>
          <w:rFonts w:ascii="宋体" w:hAnsi="宋体"/>
          <w:color w:val="auto"/>
          <w:sz w:val="24"/>
          <w:szCs w:val="24"/>
          <w:highlight w:val="none"/>
        </w:rPr>
        <w:t xml:space="preserve">      年      月        日</w:t>
      </w:r>
    </w:p>
    <w:p w14:paraId="7CFE0EA8">
      <w:pPr>
        <w:rPr>
          <w:color w:val="auto"/>
          <w:highlight w:val="none"/>
        </w:rPr>
      </w:pPr>
    </w:p>
    <w:p w14:paraId="0611FB6F">
      <w:pPr>
        <w:spacing w:line="360" w:lineRule="auto"/>
        <w:jc w:val="center"/>
        <w:rPr>
          <w:rFonts w:hint="eastAsia" w:ascii="宋体" w:hAnsi="宋体"/>
          <w:b/>
          <w:bCs/>
          <w:color w:val="auto"/>
          <w:sz w:val="32"/>
          <w:szCs w:val="32"/>
          <w:highlight w:val="none"/>
        </w:rPr>
      </w:pPr>
    </w:p>
    <w:p w14:paraId="567F1F01">
      <w:pPr>
        <w:rPr>
          <w:rFonts w:hint="eastAsia" w:eastAsia="仿宋_GB2312" w:cs="仿宋_GB2312"/>
          <w:color w:val="auto"/>
          <w:sz w:val="30"/>
          <w:szCs w:val="30"/>
          <w:highlight w:val="none"/>
        </w:rPr>
      </w:pPr>
      <w:r>
        <w:rPr>
          <w:rFonts w:hint="eastAsia" w:eastAsia="仿宋_GB2312" w:cs="仿宋_GB2312"/>
          <w:color w:val="auto"/>
          <w:sz w:val="30"/>
          <w:szCs w:val="30"/>
          <w:highlight w:val="none"/>
        </w:rPr>
        <w:br w:type="page"/>
      </w:r>
    </w:p>
    <w:p w14:paraId="3735F4B2">
      <w:pPr>
        <w:spacing w:line="440" w:lineRule="exact"/>
        <w:rPr>
          <w:rFonts w:eastAsia="黑体"/>
          <w:color w:val="auto"/>
          <w:sz w:val="30"/>
          <w:szCs w:val="30"/>
          <w:highlight w:val="none"/>
        </w:rPr>
      </w:pPr>
      <w:r>
        <w:rPr>
          <w:rFonts w:hint="eastAsia" w:eastAsia="仿宋_GB2312" w:cs="仿宋_GB2312"/>
          <w:color w:val="auto"/>
          <w:sz w:val="30"/>
          <w:szCs w:val="30"/>
          <w:highlight w:val="none"/>
        </w:rPr>
        <w:t>附件</w:t>
      </w:r>
      <w:r>
        <w:rPr>
          <w:rFonts w:hint="eastAsia" w:eastAsia="仿宋_GB2312"/>
          <w:color w:val="auto"/>
          <w:sz w:val="30"/>
          <w:szCs w:val="30"/>
          <w:highlight w:val="none"/>
        </w:rPr>
        <w:t>9</w:t>
      </w:r>
      <w:r>
        <w:rPr>
          <w:rFonts w:hint="eastAsia" w:eastAsia="仿宋_GB2312" w:cs="仿宋_GB2312"/>
          <w:color w:val="auto"/>
          <w:sz w:val="30"/>
          <w:szCs w:val="30"/>
          <w:highlight w:val="none"/>
        </w:rPr>
        <w:t>：</w:t>
      </w:r>
    </w:p>
    <w:p w14:paraId="64FE6596">
      <w:pPr>
        <w:spacing w:line="360" w:lineRule="auto"/>
        <w:jc w:val="left"/>
        <w:rPr>
          <w:rFonts w:ascii="黑体" w:hAnsi="黑体" w:eastAsia="黑体" w:cs="黑体"/>
          <w:b/>
          <w:bCs/>
          <w:color w:val="auto"/>
          <w:sz w:val="32"/>
          <w:szCs w:val="32"/>
          <w:highlight w:val="none"/>
        </w:rPr>
      </w:pPr>
    </w:p>
    <w:p w14:paraId="44B4A85A">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支付保函示范文本</w:t>
      </w:r>
    </w:p>
    <w:p w14:paraId="18A6358F">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（独立保函）</w:t>
      </w:r>
    </w:p>
    <w:p w14:paraId="1DFDB8DC">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747AC397">
      <w:pPr>
        <w:spacing w:line="360" w:lineRule="auto"/>
        <w:rPr>
          <w:rFonts w:ascii="宋体" w:hAnsi="宋体"/>
          <w:color w:val="auto"/>
          <w:sz w:val="24"/>
          <w:szCs w:val="24"/>
          <w:highlight w:val="none"/>
        </w:rPr>
      </w:pPr>
      <w:r>
        <w:rPr>
          <w:rFonts w:hint="eastAsia" w:ascii="宋体" w:hAnsi="宋体"/>
          <w:color w:val="auto"/>
          <w:sz w:val="24"/>
          <w:szCs w:val="24"/>
          <w:highlight w:val="none"/>
        </w:rPr>
        <w:t>申请人：</w:t>
      </w:r>
    </w:p>
    <w:p w14:paraId="07002CEB">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r>
        <w:rPr>
          <w:rFonts w:ascii="宋体" w:hAnsi="宋体"/>
          <w:color w:val="auto"/>
          <w:sz w:val="24"/>
          <w:szCs w:val="24"/>
          <w:highlight w:val="none"/>
        </w:rPr>
        <w:t>：</w:t>
      </w:r>
    </w:p>
    <w:p w14:paraId="5519E1AD">
      <w:pPr>
        <w:spacing w:line="360" w:lineRule="auto"/>
        <w:rPr>
          <w:rFonts w:ascii="宋体" w:hAnsi="宋体"/>
          <w:color w:val="auto"/>
          <w:sz w:val="24"/>
          <w:szCs w:val="24"/>
          <w:highlight w:val="none"/>
        </w:rPr>
      </w:pPr>
      <w:r>
        <w:rPr>
          <w:rFonts w:hint="eastAsia" w:ascii="宋体" w:hAnsi="宋体"/>
          <w:color w:val="auto"/>
          <w:sz w:val="24"/>
          <w:szCs w:val="24"/>
          <w:highlight w:val="none"/>
        </w:rPr>
        <w:t>受益人：</w:t>
      </w:r>
    </w:p>
    <w:p w14:paraId="6FF5DEE5">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p>
    <w:p w14:paraId="28642589">
      <w:pPr>
        <w:spacing w:line="360" w:lineRule="auto"/>
        <w:rPr>
          <w:rFonts w:ascii="宋体" w:hAnsi="宋体"/>
          <w:color w:val="auto"/>
          <w:sz w:val="24"/>
          <w:szCs w:val="24"/>
          <w:highlight w:val="none"/>
        </w:rPr>
      </w:pPr>
      <w:r>
        <w:rPr>
          <w:rFonts w:hint="eastAsia" w:ascii="宋体" w:hAnsi="宋体"/>
          <w:color w:val="auto"/>
          <w:sz w:val="24"/>
          <w:szCs w:val="24"/>
          <w:highlight w:val="none"/>
        </w:rPr>
        <w:t>开立人：</w:t>
      </w:r>
    </w:p>
    <w:p w14:paraId="1849DBC5">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地址：</w:t>
      </w:r>
    </w:p>
    <w:p w14:paraId="4AB4FCFF">
      <w:pPr>
        <w:spacing w:line="360" w:lineRule="auto"/>
        <w:rPr>
          <w:rFonts w:ascii="宋体" w:hAnsi="宋体"/>
          <w:color w:val="auto"/>
          <w:sz w:val="24"/>
          <w:szCs w:val="24"/>
          <w:highlight w:val="none"/>
        </w:rPr>
      </w:pPr>
      <w:r>
        <w:rPr>
          <w:rFonts w:ascii="宋体" w:hAnsi="宋体"/>
          <w:color w:val="auto"/>
          <w:sz w:val="24"/>
          <w:szCs w:val="24"/>
          <w:highlight w:val="none"/>
        </w:rPr>
        <w:t xml:space="preserve"> </w:t>
      </w:r>
    </w:p>
    <w:p w14:paraId="492AA37D">
      <w:pPr>
        <w:spacing w:line="360" w:lineRule="auto"/>
        <w:rPr>
          <w:rFonts w:ascii="宋体" w:hAnsi="宋体"/>
          <w:color w:val="auto"/>
          <w:sz w:val="24"/>
          <w:szCs w:val="24"/>
          <w:highlight w:val="none"/>
        </w:rPr>
      </w:pPr>
      <w:bookmarkStart w:id="879" w:name="_Hlk40355074"/>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受益人</w:t>
      </w:r>
      <w:r>
        <w:rPr>
          <w:rFonts w:ascii="宋体" w:hAnsi="宋体"/>
          <w:color w:val="auto"/>
          <w:sz w:val="24"/>
          <w:szCs w:val="24"/>
          <w:highlight w:val="none"/>
        </w:rPr>
        <w:t xml:space="preserve">名称）： </w:t>
      </w:r>
    </w:p>
    <w:bookmarkEnd w:id="879"/>
    <w:p w14:paraId="347D33C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受益人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申请人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（以下简称基础合同”），我方（即“开立人”）根据基础合同了解到申请人为基础合同项下之发包人，受益人为基础合同项下之承包人，基于申请人</w:t>
      </w:r>
      <w:r>
        <w:rPr>
          <w:rFonts w:ascii="宋体" w:hAnsi="宋体"/>
          <w:color w:val="auto"/>
          <w:sz w:val="24"/>
          <w:szCs w:val="24"/>
          <w:highlight w:val="none"/>
        </w:rPr>
        <w:t>的请求，我方同意就</w:t>
      </w:r>
      <w:r>
        <w:rPr>
          <w:rFonts w:hint="eastAsia" w:ascii="宋体" w:hAnsi="宋体"/>
          <w:color w:val="auto"/>
          <w:sz w:val="24"/>
          <w:szCs w:val="24"/>
          <w:highlight w:val="none"/>
        </w:rPr>
        <w:t>申请人</w:t>
      </w:r>
      <w:r>
        <w:rPr>
          <w:rFonts w:ascii="宋体" w:hAnsi="宋体"/>
          <w:color w:val="auto"/>
          <w:sz w:val="24"/>
          <w:szCs w:val="24"/>
          <w:highlight w:val="none"/>
        </w:rPr>
        <w:t>履行</w:t>
      </w:r>
      <w:r>
        <w:rPr>
          <w:rFonts w:hint="eastAsia" w:ascii="宋体" w:hAnsi="宋体"/>
          <w:color w:val="auto"/>
          <w:sz w:val="24"/>
          <w:szCs w:val="24"/>
          <w:highlight w:val="none"/>
        </w:rPr>
        <w:t>与贵方签订的基础合同</w:t>
      </w:r>
      <w:r>
        <w:rPr>
          <w:rFonts w:ascii="宋体" w:hAnsi="宋体"/>
          <w:color w:val="auto"/>
          <w:sz w:val="24"/>
          <w:szCs w:val="24"/>
          <w:highlight w:val="none"/>
        </w:rPr>
        <w:t>项下的</w:t>
      </w:r>
      <w:r>
        <w:rPr>
          <w:rFonts w:hint="eastAsia" w:ascii="宋体" w:hAnsi="宋体"/>
          <w:color w:val="auto"/>
          <w:sz w:val="24"/>
          <w:szCs w:val="24"/>
          <w:highlight w:val="none"/>
        </w:rPr>
        <w:t>工程款（指基础合同约定的除工程质量保修金以外的工程款）付款</w:t>
      </w:r>
      <w:r>
        <w:rPr>
          <w:rFonts w:ascii="宋体" w:hAnsi="宋体"/>
          <w:color w:val="auto"/>
          <w:sz w:val="24"/>
          <w:szCs w:val="24"/>
          <w:highlight w:val="none"/>
        </w:rPr>
        <w:t>义务</w:t>
      </w:r>
      <w:r>
        <w:rPr>
          <w:rFonts w:hint="eastAsia" w:ascii="宋体" w:hAnsi="宋体"/>
          <w:color w:val="auto"/>
          <w:sz w:val="24"/>
          <w:szCs w:val="24"/>
          <w:highlight w:val="none"/>
        </w:rPr>
        <w:t>，</w:t>
      </w:r>
      <w:r>
        <w:rPr>
          <w:rFonts w:ascii="宋体" w:hAnsi="宋体"/>
          <w:color w:val="auto"/>
          <w:sz w:val="24"/>
          <w:szCs w:val="24"/>
          <w:highlight w:val="none"/>
        </w:rPr>
        <w:t>向贵方提供不可撤销、</w:t>
      </w:r>
      <w:r>
        <w:rPr>
          <w:rFonts w:hint="eastAsia" w:ascii="宋体" w:hAnsi="宋体"/>
          <w:color w:val="auto"/>
          <w:sz w:val="24"/>
          <w:szCs w:val="24"/>
          <w:highlight w:val="none"/>
        </w:rPr>
        <w:t>不可转让的见索即付</w:t>
      </w:r>
      <w:r>
        <w:rPr>
          <w:rFonts w:ascii="宋体" w:hAnsi="宋体"/>
          <w:color w:val="auto"/>
          <w:sz w:val="24"/>
          <w:szCs w:val="24"/>
          <w:highlight w:val="none"/>
        </w:rPr>
        <w:t>独立</w:t>
      </w:r>
      <w:r>
        <w:rPr>
          <w:rFonts w:hint="eastAsia" w:ascii="宋体" w:hAnsi="宋体"/>
          <w:color w:val="auto"/>
          <w:sz w:val="24"/>
          <w:szCs w:val="24"/>
          <w:highlight w:val="none"/>
        </w:rPr>
        <w:t>保函（以下简称“本保函”）</w:t>
      </w:r>
      <w:r>
        <w:rPr>
          <w:rFonts w:ascii="宋体" w:hAnsi="宋体"/>
          <w:color w:val="auto"/>
          <w:sz w:val="24"/>
          <w:szCs w:val="24"/>
          <w:highlight w:val="none"/>
        </w:rPr>
        <w:t xml:space="preserve">。 </w:t>
      </w:r>
    </w:p>
    <w:p w14:paraId="70FB886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一、本保函担保范围：申请人未履行基础合同约定的工程款支付义务，应当向贵方</w:t>
      </w:r>
      <w:r>
        <w:rPr>
          <w:rFonts w:hint="eastAsia" w:ascii="宋体" w:hAnsi="宋体"/>
          <w:color w:val="auto"/>
          <w:sz w:val="24"/>
          <w:szCs w:val="24"/>
          <w:highlight w:val="none"/>
          <w:lang w:eastAsia="zh-CN"/>
        </w:rPr>
        <w:t>承担</w:t>
      </w:r>
      <w:r>
        <w:rPr>
          <w:rFonts w:hint="eastAsia" w:ascii="宋体" w:hAnsi="宋体"/>
          <w:color w:val="auto"/>
          <w:sz w:val="24"/>
          <w:szCs w:val="24"/>
          <w:highlight w:val="none"/>
        </w:rPr>
        <w:t>违约责任和赔偿因此造成的损失、利息、律师费、诉讼费用等实现债权的费用。</w:t>
      </w:r>
    </w:p>
    <w:p w14:paraId="49E4038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二、本保函担保金额最高不超过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7D4DF39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三、本保函</w:t>
      </w:r>
      <w:r>
        <w:rPr>
          <w:rFonts w:ascii="宋体" w:hAnsi="宋体"/>
          <w:color w:val="auto"/>
          <w:sz w:val="24"/>
          <w:szCs w:val="24"/>
          <w:highlight w:val="none"/>
        </w:rPr>
        <w:t>有效期自</w:t>
      </w:r>
      <w:r>
        <w:rPr>
          <w:rFonts w:hint="eastAsia" w:ascii="宋体" w:hAnsi="宋体"/>
          <w:color w:val="auto"/>
          <w:sz w:val="24"/>
          <w:szCs w:val="24"/>
          <w:highlight w:val="none"/>
        </w:rPr>
        <w:t>开立之日起</w:t>
      </w:r>
      <w:r>
        <w:rPr>
          <w:rFonts w:ascii="宋体" w:hAnsi="宋体"/>
          <w:color w:val="auto"/>
          <w:sz w:val="24"/>
          <w:szCs w:val="24"/>
          <w:highlight w:val="none"/>
        </w:rPr>
        <w:t>至</w:t>
      </w:r>
      <w:r>
        <w:rPr>
          <w:rFonts w:hint="eastAsia" w:ascii="宋体" w:hAnsi="宋体"/>
          <w:color w:val="auto"/>
          <w:sz w:val="24"/>
          <w:szCs w:val="24"/>
          <w:highlight w:val="none"/>
        </w:rPr>
        <w:t>基础合同约定的除工程质量保修金以外的全部工程结算款项支付之日后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14:paraId="673DCA37">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四、我方承诺，在收到受益人发来的书面付款通知后的</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日内无条件支付，前述书面付款通知即为付款要求之单据，且应满足以下要求：</w:t>
      </w:r>
    </w:p>
    <w:p w14:paraId="3D742C2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（1）付款通知到达的日期在本保函的有效期内；</w:t>
      </w:r>
    </w:p>
    <w:p w14:paraId="62BB4A1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（2）载明要求支付的金额；</w:t>
      </w:r>
    </w:p>
    <w:p w14:paraId="68445F6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（3）载明申请人违反合同义务的条款和内容；</w:t>
      </w:r>
    </w:p>
    <w:p w14:paraId="29FBB76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（4）声明不存在合同文件约定或我国法律规定免除申请人或开立人支付责任的情形；</w:t>
      </w:r>
    </w:p>
    <w:p w14:paraId="79745F2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（5）付款通知应在本保函有效期内到达的地址是：</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p>
    <w:p w14:paraId="29DB137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受益人发出的书面付款通知应由其为鉴明受益人法定代表人（负责人）或授权代理人签字并加盖公章。</w:t>
      </w:r>
    </w:p>
    <w:p w14:paraId="733525A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五、</w:t>
      </w:r>
      <w:r>
        <w:rPr>
          <w:rFonts w:ascii="宋体" w:hAnsi="宋体"/>
          <w:color w:val="auto"/>
          <w:sz w:val="24"/>
          <w:szCs w:val="24"/>
          <w:highlight w:val="none"/>
        </w:rPr>
        <w:t>本保函项下的权利不得转让，不得设定担保。贵方未经我方书面同意转 让本保函或其项下任何权利，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06C6C84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六、与</w:t>
      </w:r>
      <w:r>
        <w:rPr>
          <w:rFonts w:ascii="宋体" w:hAnsi="宋体"/>
          <w:color w:val="auto"/>
          <w:sz w:val="24"/>
          <w:szCs w:val="24"/>
          <w:highlight w:val="none"/>
        </w:rPr>
        <w:t>本保函</w:t>
      </w:r>
      <w:r>
        <w:rPr>
          <w:rFonts w:hint="eastAsia" w:ascii="宋体" w:hAnsi="宋体"/>
          <w:color w:val="auto"/>
          <w:sz w:val="24"/>
          <w:szCs w:val="24"/>
          <w:highlight w:val="none"/>
        </w:rPr>
        <w:t>有关</w:t>
      </w:r>
      <w:r>
        <w:rPr>
          <w:rFonts w:ascii="宋体" w:hAnsi="宋体"/>
          <w:color w:val="auto"/>
          <w:sz w:val="24"/>
          <w:szCs w:val="24"/>
          <w:highlight w:val="none"/>
        </w:rPr>
        <w:t>的基础</w:t>
      </w:r>
      <w:r>
        <w:rPr>
          <w:rFonts w:hint="eastAsia" w:ascii="宋体" w:hAnsi="宋体"/>
          <w:color w:val="auto"/>
          <w:sz w:val="24"/>
          <w:szCs w:val="24"/>
          <w:highlight w:val="none"/>
        </w:rPr>
        <w:t>合同</w:t>
      </w:r>
      <w:r>
        <w:rPr>
          <w:rFonts w:ascii="宋体" w:hAnsi="宋体"/>
          <w:color w:val="auto"/>
          <w:sz w:val="24"/>
          <w:szCs w:val="24"/>
          <w:highlight w:val="none"/>
        </w:rPr>
        <w:t xml:space="preserve">不成立、不生效、无效、被撤销、被解除，不影响本保函的独立有效。 </w:t>
      </w:r>
    </w:p>
    <w:p w14:paraId="7FCBBB4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七、</w:t>
      </w:r>
      <w:r>
        <w:rPr>
          <w:rFonts w:ascii="宋体" w:hAnsi="宋体"/>
          <w:color w:val="auto"/>
          <w:sz w:val="24"/>
          <w:szCs w:val="24"/>
          <w:highlight w:val="none"/>
        </w:rPr>
        <w:t>贵方应在本保函到期后的七日内将本保函正本退回我方注销，但是不论贵方是否按此要求将本保函正本退回我方，我方在本保函项下的义务和责任均在保函</w:t>
      </w:r>
      <w:r>
        <w:rPr>
          <w:rFonts w:hint="eastAsia" w:ascii="宋体" w:hAnsi="宋体"/>
          <w:color w:val="auto"/>
          <w:sz w:val="24"/>
          <w:szCs w:val="24"/>
          <w:highlight w:val="none"/>
        </w:rPr>
        <w:t>有效期</w:t>
      </w:r>
      <w:r>
        <w:rPr>
          <w:rFonts w:ascii="宋体" w:hAnsi="宋体"/>
          <w:color w:val="auto"/>
          <w:sz w:val="24"/>
          <w:szCs w:val="24"/>
          <w:highlight w:val="none"/>
        </w:rPr>
        <w:t xml:space="preserve">到期后自动消灭。 </w:t>
      </w:r>
    </w:p>
    <w:p w14:paraId="09FA416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八、</w:t>
      </w:r>
      <w:r>
        <w:rPr>
          <w:rFonts w:ascii="宋体" w:hAnsi="宋体"/>
          <w:color w:val="auto"/>
          <w:sz w:val="24"/>
          <w:szCs w:val="24"/>
          <w:highlight w:val="none"/>
        </w:rPr>
        <w:t>本保函</w:t>
      </w:r>
      <w:r>
        <w:rPr>
          <w:rFonts w:hint="eastAsia" w:ascii="宋体" w:hAnsi="宋体"/>
          <w:color w:val="auto"/>
          <w:sz w:val="24"/>
          <w:szCs w:val="24"/>
          <w:highlight w:val="none"/>
        </w:rPr>
        <w:t>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174EB10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九、</w:t>
      </w:r>
      <w:r>
        <w:rPr>
          <w:rFonts w:ascii="宋体" w:hAnsi="宋体"/>
          <w:color w:val="auto"/>
          <w:sz w:val="24"/>
          <w:szCs w:val="24"/>
          <w:highlight w:val="none"/>
        </w:rPr>
        <w:t>本保函自我方法定代表人</w:t>
      </w:r>
      <w:bookmarkStart w:id="880" w:name="_Hlk58487855"/>
      <w:r>
        <w:rPr>
          <w:rFonts w:hint="eastAsia" w:ascii="宋体" w:hAnsi="宋体"/>
          <w:color w:val="auto"/>
          <w:sz w:val="24"/>
          <w:szCs w:val="24"/>
          <w:highlight w:val="none"/>
        </w:rPr>
        <w:t>或授权代表</w:t>
      </w:r>
      <w:bookmarkEnd w:id="880"/>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2840E39F">
      <w:pPr>
        <w:spacing w:line="360" w:lineRule="auto"/>
        <w:ind w:firstLine="480" w:firstLineChars="200"/>
        <w:rPr>
          <w:rFonts w:ascii="宋体" w:hAnsi="宋体"/>
          <w:color w:val="auto"/>
          <w:sz w:val="24"/>
          <w:szCs w:val="24"/>
          <w:highlight w:val="none"/>
        </w:rPr>
      </w:pPr>
    </w:p>
    <w:p w14:paraId="7AA8A0F3">
      <w:pPr>
        <w:spacing w:line="360" w:lineRule="auto"/>
        <w:ind w:firstLine="480" w:firstLineChars="200"/>
        <w:rPr>
          <w:rFonts w:ascii="宋体" w:hAnsi="宋体"/>
          <w:color w:val="auto"/>
          <w:sz w:val="24"/>
          <w:szCs w:val="24"/>
          <w:highlight w:val="none"/>
        </w:rPr>
      </w:pPr>
    </w:p>
    <w:p w14:paraId="47D15B3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 立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673AD53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1B2A2A2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6918D5E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47D54EF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4702288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1C2A73E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开立时间：</w:t>
      </w:r>
      <w:r>
        <w:rPr>
          <w:rFonts w:ascii="宋体" w:hAnsi="宋体"/>
          <w:color w:val="auto"/>
          <w:sz w:val="24"/>
          <w:szCs w:val="24"/>
          <w:highlight w:val="none"/>
        </w:rPr>
        <w:t xml:space="preserve">      年      月        日</w:t>
      </w:r>
    </w:p>
    <w:p w14:paraId="285CB1AD">
      <w:pPr>
        <w:spacing w:line="360" w:lineRule="auto"/>
        <w:ind w:firstLine="480" w:firstLineChars="200"/>
        <w:rPr>
          <w:rFonts w:ascii="宋体" w:hAnsi="宋体"/>
          <w:color w:val="auto"/>
          <w:sz w:val="24"/>
          <w:szCs w:val="24"/>
          <w:highlight w:val="none"/>
        </w:rPr>
      </w:pPr>
    </w:p>
    <w:p w14:paraId="454F79FE">
      <w:pPr>
        <w:spacing w:line="360" w:lineRule="auto"/>
        <w:jc w:val="left"/>
        <w:rPr>
          <w:rFonts w:hint="eastAsia" w:ascii="黑体" w:hAnsi="黑体" w:eastAsia="黑体" w:cs="黑体"/>
          <w:b/>
          <w:bCs/>
          <w:color w:val="auto"/>
          <w:sz w:val="32"/>
          <w:szCs w:val="32"/>
          <w:highlight w:val="none"/>
        </w:rPr>
      </w:pPr>
      <w:r>
        <w:rPr>
          <w:rFonts w:hint="eastAsia" w:ascii="黑体" w:hAnsi="黑体" w:eastAsia="黑体" w:cs="黑体"/>
          <w:color w:val="auto"/>
          <w:sz w:val="32"/>
          <w:szCs w:val="32"/>
          <w:highlight w:val="none"/>
        </w:rPr>
        <w:t>附件</w:t>
      </w:r>
      <w:r>
        <w:rPr>
          <w:rFonts w:ascii="黑体" w:hAnsi="黑体" w:eastAsia="黑体" w:cs="黑体"/>
          <w:color w:val="auto"/>
          <w:sz w:val="32"/>
          <w:szCs w:val="32"/>
          <w:highlight w:val="none"/>
        </w:rPr>
        <w:t>9</w:t>
      </w:r>
      <w:r>
        <w:rPr>
          <w:rFonts w:hint="eastAsia" w:ascii="黑体" w:hAnsi="黑体" w:eastAsia="黑体" w:cs="黑体"/>
          <w:color w:val="auto"/>
          <w:sz w:val="32"/>
          <w:szCs w:val="32"/>
          <w:highlight w:val="none"/>
        </w:rPr>
        <w:t>：</w:t>
      </w:r>
    </w:p>
    <w:p w14:paraId="2DC58406">
      <w:pPr>
        <w:spacing w:line="360" w:lineRule="auto"/>
        <w:jc w:val="left"/>
        <w:rPr>
          <w:rFonts w:ascii="黑体" w:hAnsi="黑体" w:eastAsia="黑体" w:cs="黑体"/>
          <w:b/>
          <w:bCs/>
          <w:color w:val="auto"/>
          <w:sz w:val="32"/>
          <w:szCs w:val="32"/>
          <w:highlight w:val="none"/>
        </w:rPr>
      </w:pPr>
    </w:p>
    <w:p w14:paraId="068EA455">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支付保函示范文本</w:t>
      </w:r>
    </w:p>
    <w:p w14:paraId="049A36A8">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（非独立保函）</w:t>
      </w:r>
    </w:p>
    <w:p w14:paraId="3C43AD25">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04B949BC">
      <w:pPr>
        <w:wordWrap w:val="0"/>
        <w:spacing w:line="360" w:lineRule="auto"/>
        <w:jc w:val="right"/>
        <w:rPr>
          <w:rFonts w:ascii="宋体" w:hAnsi="宋体"/>
          <w:color w:val="auto"/>
          <w:highlight w:val="none"/>
        </w:rPr>
      </w:pPr>
      <w:r>
        <w:rPr>
          <w:rFonts w:ascii="宋体" w:hAnsi="宋体"/>
          <w:color w:val="auto"/>
          <w:highlight w:val="none"/>
        </w:rPr>
        <w:t xml:space="preserve">     </w:t>
      </w:r>
    </w:p>
    <w:p w14:paraId="3B46B749">
      <w:pPr>
        <w:spacing w:line="360" w:lineRule="auto"/>
        <w:rPr>
          <w:rFonts w:ascii="宋体" w:hAnsi="宋体"/>
          <w:color w:val="auto"/>
          <w:sz w:val="24"/>
          <w:szCs w:val="24"/>
          <w:highlight w:val="none"/>
        </w:rPr>
      </w:pPr>
      <w:r>
        <w:rPr>
          <w:rFonts w:hint="eastAsia" w:ascii="宋体" w:hAnsi="宋体"/>
          <w:color w:val="auto"/>
          <w:sz w:val="24"/>
          <w:szCs w:val="24"/>
          <w:highlight w:val="none"/>
        </w:rPr>
        <w:t>发包人：</w:t>
      </w:r>
    </w:p>
    <w:p w14:paraId="4B0ED3E1">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r>
        <w:rPr>
          <w:rFonts w:ascii="宋体" w:hAnsi="宋体"/>
          <w:color w:val="auto"/>
          <w:sz w:val="24"/>
          <w:szCs w:val="24"/>
          <w:highlight w:val="none"/>
        </w:rPr>
        <w:t>：</w:t>
      </w:r>
    </w:p>
    <w:p w14:paraId="51A0DC27">
      <w:pPr>
        <w:spacing w:line="360" w:lineRule="auto"/>
        <w:rPr>
          <w:rFonts w:ascii="宋体" w:hAnsi="宋体"/>
          <w:color w:val="auto"/>
          <w:sz w:val="24"/>
          <w:szCs w:val="24"/>
          <w:highlight w:val="none"/>
        </w:rPr>
      </w:pPr>
      <w:r>
        <w:rPr>
          <w:rFonts w:hint="eastAsia" w:ascii="宋体" w:hAnsi="宋体"/>
          <w:color w:val="auto"/>
          <w:sz w:val="24"/>
          <w:szCs w:val="24"/>
          <w:highlight w:val="none"/>
        </w:rPr>
        <w:t>担保权人/承包人：</w:t>
      </w:r>
      <w:r>
        <w:rPr>
          <w:rFonts w:ascii="宋体" w:hAnsi="宋体"/>
          <w:color w:val="auto"/>
          <w:sz w:val="24"/>
          <w:szCs w:val="24"/>
          <w:highlight w:val="none"/>
        </w:rPr>
        <w:t xml:space="preserve"> </w:t>
      </w:r>
    </w:p>
    <w:p w14:paraId="1F9401DF">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0BAFF1F5">
      <w:pPr>
        <w:spacing w:line="360" w:lineRule="auto"/>
        <w:rPr>
          <w:rFonts w:ascii="宋体" w:hAnsi="宋体"/>
          <w:color w:val="auto"/>
          <w:sz w:val="24"/>
          <w:szCs w:val="24"/>
          <w:highlight w:val="none"/>
        </w:rPr>
      </w:pPr>
      <w:r>
        <w:rPr>
          <w:rFonts w:hint="eastAsia" w:ascii="宋体" w:hAnsi="宋体"/>
          <w:color w:val="auto"/>
          <w:sz w:val="24"/>
          <w:szCs w:val="24"/>
          <w:highlight w:val="none"/>
        </w:rPr>
        <w:t>保证人：</w:t>
      </w:r>
    </w:p>
    <w:p w14:paraId="7B5A92F4">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131A4CB6">
      <w:pPr>
        <w:spacing w:line="360" w:lineRule="auto"/>
        <w:rPr>
          <w:rFonts w:ascii="宋体" w:hAnsi="宋体"/>
          <w:color w:val="auto"/>
          <w:sz w:val="24"/>
          <w:szCs w:val="24"/>
          <w:highlight w:val="none"/>
        </w:rPr>
      </w:pPr>
    </w:p>
    <w:p w14:paraId="0540E46D">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承包人</w:t>
      </w:r>
      <w:r>
        <w:rPr>
          <w:rFonts w:ascii="宋体" w:hAnsi="宋体"/>
          <w:color w:val="auto"/>
          <w:sz w:val="24"/>
          <w:szCs w:val="24"/>
          <w:highlight w:val="none"/>
        </w:rPr>
        <w:t xml:space="preserve">名称）： </w:t>
      </w:r>
    </w:p>
    <w:p w14:paraId="08F76E6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发包人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承包人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（以下简称“主合同”），我方即保证人基于发包人</w:t>
      </w:r>
      <w:r>
        <w:rPr>
          <w:rFonts w:ascii="宋体" w:hAnsi="宋体"/>
          <w:color w:val="auto"/>
          <w:sz w:val="24"/>
          <w:szCs w:val="24"/>
          <w:highlight w:val="none"/>
        </w:rPr>
        <w:t>的请求，同意就</w:t>
      </w:r>
      <w:r>
        <w:rPr>
          <w:rFonts w:hint="eastAsia" w:ascii="宋体" w:hAnsi="宋体"/>
          <w:color w:val="auto"/>
          <w:sz w:val="24"/>
          <w:szCs w:val="24"/>
          <w:highlight w:val="none"/>
        </w:rPr>
        <w:t>发包人</w:t>
      </w:r>
      <w:r>
        <w:rPr>
          <w:rFonts w:ascii="宋体" w:hAnsi="宋体"/>
          <w:color w:val="auto"/>
          <w:sz w:val="24"/>
          <w:szCs w:val="24"/>
          <w:highlight w:val="none"/>
        </w:rPr>
        <w:t>履行</w:t>
      </w:r>
      <w:r>
        <w:rPr>
          <w:rFonts w:hint="eastAsia" w:ascii="宋体" w:hAnsi="宋体"/>
          <w:color w:val="auto"/>
          <w:sz w:val="24"/>
          <w:szCs w:val="24"/>
          <w:highlight w:val="none"/>
        </w:rPr>
        <w:t>与贵方签订的主合同</w:t>
      </w:r>
      <w:r>
        <w:rPr>
          <w:rFonts w:ascii="宋体" w:hAnsi="宋体"/>
          <w:color w:val="auto"/>
          <w:sz w:val="24"/>
          <w:szCs w:val="24"/>
          <w:highlight w:val="none"/>
        </w:rPr>
        <w:t>项下的</w:t>
      </w:r>
      <w:r>
        <w:rPr>
          <w:rFonts w:hint="eastAsia" w:ascii="宋体" w:hAnsi="宋体"/>
          <w:color w:val="auto"/>
          <w:sz w:val="24"/>
          <w:szCs w:val="24"/>
          <w:highlight w:val="none"/>
        </w:rPr>
        <w:t>工程款（指主合同约定的除工程质量保修金以外的全部工程结算款项）付款</w:t>
      </w:r>
      <w:r>
        <w:rPr>
          <w:rFonts w:ascii="宋体" w:hAnsi="宋体"/>
          <w:color w:val="auto"/>
          <w:sz w:val="24"/>
          <w:szCs w:val="24"/>
          <w:highlight w:val="none"/>
        </w:rPr>
        <w:t>义务</w:t>
      </w:r>
      <w:r>
        <w:rPr>
          <w:rFonts w:hint="eastAsia" w:ascii="宋体" w:hAnsi="宋体"/>
          <w:color w:val="auto"/>
          <w:sz w:val="24"/>
          <w:szCs w:val="24"/>
          <w:highlight w:val="none"/>
        </w:rPr>
        <w:t>，</w:t>
      </w:r>
      <w:r>
        <w:rPr>
          <w:rFonts w:ascii="宋体" w:hAnsi="宋体"/>
          <w:color w:val="auto"/>
          <w:sz w:val="24"/>
          <w:szCs w:val="24"/>
          <w:highlight w:val="none"/>
        </w:rPr>
        <w:t>向贵方提供</w:t>
      </w:r>
      <w:r>
        <w:rPr>
          <w:rFonts w:hint="eastAsia" w:ascii="宋体" w:hAnsi="宋体"/>
          <w:color w:val="auto"/>
          <w:sz w:val="24"/>
          <w:szCs w:val="24"/>
          <w:highlight w:val="none"/>
        </w:rPr>
        <w:t>如下保证担保（以下简称“本保证担保”）</w:t>
      </w:r>
      <w:r>
        <w:rPr>
          <w:rFonts w:ascii="宋体" w:hAnsi="宋体"/>
          <w:color w:val="auto"/>
          <w:sz w:val="24"/>
          <w:szCs w:val="24"/>
          <w:highlight w:val="none"/>
        </w:rPr>
        <w:t xml:space="preserve">。 </w:t>
      </w:r>
    </w:p>
    <w:p w14:paraId="0AAC1E15">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一、保证担保的范围及保证担保金额</w:t>
      </w:r>
    </w:p>
    <w:p w14:paraId="129A0F3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w:t>
      </w:r>
      <w:r>
        <w:rPr>
          <w:rFonts w:hint="eastAsia" w:ascii="宋体" w:hAnsi="宋体"/>
          <w:color w:val="auto"/>
          <w:sz w:val="24"/>
          <w:szCs w:val="24"/>
          <w:highlight w:val="none"/>
        </w:rPr>
        <w:t>保证担保范围：申请人未履行主合同约定的工程款支付义务，应当向贵方</w:t>
      </w:r>
      <w:r>
        <w:rPr>
          <w:rFonts w:hint="eastAsia" w:ascii="宋体" w:hAnsi="宋体"/>
          <w:color w:val="auto"/>
          <w:sz w:val="24"/>
          <w:szCs w:val="24"/>
          <w:highlight w:val="none"/>
          <w:lang w:eastAsia="zh-CN"/>
        </w:rPr>
        <w:t>承担</w:t>
      </w:r>
      <w:r>
        <w:rPr>
          <w:rFonts w:hint="eastAsia" w:ascii="宋体" w:hAnsi="宋体"/>
          <w:color w:val="auto"/>
          <w:sz w:val="24"/>
          <w:szCs w:val="24"/>
          <w:highlight w:val="none"/>
        </w:rPr>
        <w:t>违约责任和赔偿因此造成的损失、利息、律师费、诉讼费用等实现债权的费用。</w:t>
      </w:r>
    </w:p>
    <w:p w14:paraId="5AEA163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5CCEB862">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二、保证担保的方式及保证期间</w:t>
      </w:r>
      <w:r>
        <w:rPr>
          <w:rFonts w:ascii="宋体" w:hAnsi="宋体"/>
          <w:b/>
          <w:bCs/>
          <w:color w:val="auto"/>
          <w:sz w:val="24"/>
          <w:szCs w:val="24"/>
          <w:highlight w:val="none"/>
        </w:rPr>
        <w:t xml:space="preserve"> </w:t>
      </w:r>
    </w:p>
    <w:p w14:paraId="07DE9E2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1.保证担保方式：连带责任保证。</w:t>
      </w:r>
    </w:p>
    <w:p w14:paraId="3F12A94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保证期间：</w:t>
      </w:r>
      <w:r>
        <w:rPr>
          <w:rFonts w:ascii="宋体" w:hAnsi="宋体"/>
          <w:color w:val="auto"/>
          <w:sz w:val="24"/>
          <w:szCs w:val="24"/>
          <w:highlight w:val="none"/>
        </w:rPr>
        <w:t>自</w:t>
      </w:r>
      <w:r>
        <w:rPr>
          <w:rFonts w:hint="eastAsia" w:ascii="宋体" w:hAnsi="宋体"/>
          <w:color w:val="auto"/>
          <w:sz w:val="24"/>
          <w:szCs w:val="24"/>
          <w:highlight w:val="none"/>
        </w:rPr>
        <w:t>出具之日起</w:t>
      </w:r>
      <w:r>
        <w:rPr>
          <w:rFonts w:ascii="宋体" w:hAnsi="宋体"/>
          <w:color w:val="auto"/>
          <w:sz w:val="24"/>
          <w:szCs w:val="24"/>
          <w:highlight w:val="none"/>
        </w:rPr>
        <w:t>至</w:t>
      </w:r>
      <w:r>
        <w:rPr>
          <w:rFonts w:hint="eastAsia" w:ascii="宋体" w:hAnsi="宋体"/>
          <w:color w:val="auto"/>
          <w:sz w:val="24"/>
          <w:szCs w:val="24"/>
          <w:highlight w:val="none"/>
        </w:rPr>
        <w:t>主合同约定的除工程质量保修金以外的工程款支付之日后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14:paraId="3A27CC33">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三、承担保证担保责任的形式</w:t>
      </w:r>
    </w:p>
    <w:p w14:paraId="5D7C554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发包人未按合同约定向贵方支付主合同项下工程款的，由我方在保证金额内代为支付，并赔偿因此给贵方造成的损失，以及利息和律师费、诉讼费用等实现债权的费用。</w:t>
      </w:r>
    </w:p>
    <w:p w14:paraId="58930727">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四、代偿的安排</w:t>
      </w:r>
      <w:r>
        <w:rPr>
          <w:rFonts w:ascii="宋体" w:hAnsi="宋体"/>
          <w:b/>
          <w:bCs/>
          <w:color w:val="auto"/>
          <w:sz w:val="24"/>
          <w:szCs w:val="24"/>
          <w:highlight w:val="none"/>
        </w:rPr>
        <w:t xml:space="preserve"> </w:t>
      </w:r>
    </w:p>
    <w:p w14:paraId="5705538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1.贵方要求我方承担保证责任的，应向我方发出书面索赔通知及发包人未支付主合同约定工程款的证明材料。索赔通知应写明要求索赔的金额，支付款项应到达</w:t>
      </w:r>
      <w:r>
        <w:rPr>
          <w:rFonts w:hint="eastAsia" w:ascii="宋体" w:hAnsi="宋体"/>
          <w:color w:val="auto"/>
          <w:sz w:val="24"/>
          <w:szCs w:val="24"/>
          <w:highlight w:val="none"/>
          <w:lang w:eastAsia="zh-CN"/>
        </w:rPr>
        <w:t>的账号</w:t>
      </w:r>
      <w:r>
        <w:rPr>
          <w:rFonts w:hint="eastAsia" w:ascii="宋体" w:hAnsi="宋体"/>
          <w:color w:val="auto"/>
          <w:sz w:val="24"/>
          <w:szCs w:val="24"/>
          <w:highlight w:val="none"/>
        </w:rPr>
        <w:t>。</w:t>
      </w:r>
    </w:p>
    <w:p w14:paraId="086931D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在出现贵方与发包人因工程质量发生争议，发包人拒绝向贵方支付工程款的情形时，贵方要求我方履行保证责任代为支付的，还需提供项目总监理工程师、监理单位或符合相应条件要求的工程质量检测机构出具的质量说明材料。</w:t>
      </w:r>
    </w:p>
    <w:p w14:paraId="6E2C2DF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3.我方收到贵方的书面索赔通知及相应证明材料后，在</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工作日内进行核定后按照本保函的承诺承担保证责任。</w:t>
      </w:r>
    </w:p>
    <w:p w14:paraId="1F0CC527">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五、保证担保责任的解除</w:t>
      </w:r>
      <w:r>
        <w:rPr>
          <w:rFonts w:ascii="宋体" w:hAnsi="宋体"/>
          <w:b/>
          <w:bCs/>
          <w:color w:val="auto"/>
          <w:sz w:val="24"/>
          <w:szCs w:val="24"/>
          <w:highlight w:val="none"/>
        </w:rPr>
        <w:t xml:space="preserve"> </w:t>
      </w:r>
    </w:p>
    <w:p w14:paraId="1FD94C9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 xml:space="preserve">保证期间届满贵方未向我方书面主张保证责任的，自保证期间届满次日起，我方解除保证责任。 </w:t>
      </w:r>
    </w:p>
    <w:p w14:paraId="688096A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我方按照本</w:t>
      </w:r>
      <w:r>
        <w:rPr>
          <w:rFonts w:hint="eastAsia" w:ascii="宋体" w:hAnsi="宋体"/>
          <w:color w:val="auto"/>
          <w:sz w:val="24"/>
          <w:szCs w:val="24"/>
          <w:highlight w:val="none"/>
        </w:rPr>
        <w:t>保证担保</w:t>
      </w:r>
      <w:r>
        <w:rPr>
          <w:rFonts w:ascii="宋体" w:hAnsi="宋体"/>
          <w:color w:val="auto"/>
          <w:sz w:val="24"/>
          <w:szCs w:val="24"/>
          <w:highlight w:val="none"/>
        </w:rPr>
        <w:t>向贵方履行了</w:t>
      </w:r>
      <w:r>
        <w:rPr>
          <w:rFonts w:hint="eastAsia" w:ascii="宋体" w:hAnsi="宋体"/>
          <w:color w:val="auto"/>
          <w:sz w:val="24"/>
          <w:szCs w:val="24"/>
          <w:highlight w:val="none"/>
        </w:rPr>
        <w:t>保证担保责任</w:t>
      </w:r>
      <w:r>
        <w:rPr>
          <w:rFonts w:ascii="宋体" w:hAnsi="宋体"/>
          <w:color w:val="auto"/>
          <w:sz w:val="24"/>
          <w:szCs w:val="24"/>
          <w:highlight w:val="none"/>
        </w:rPr>
        <w:t>后，自我方向贵方支付</w:t>
      </w:r>
      <w:r>
        <w:rPr>
          <w:rFonts w:hint="eastAsia" w:ascii="宋体" w:hAnsi="宋体"/>
          <w:color w:val="auto"/>
          <w:sz w:val="24"/>
          <w:szCs w:val="24"/>
          <w:highlight w:val="none"/>
        </w:rPr>
        <w:t>的金额达到最高保证担保金额</w:t>
      </w:r>
      <w:r>
        <w:rPr>
          <w:rFonts w:ascii="宋体" w:hAnsi="宋体"/>
          <w:color w:val="auto"/>
          <w:sz w:val="24"/>
          <w:szCs w:val="24"/>
          <w:highlight w:val="none"/>
        </w:rPr>
        <w:t>之日起，</w:t>
      </w:r>
      <w:r>
        <w:rPr>
          <w:rFonts w:hint="eastAsia" w:ascii="宋体" w:hAnsi="宋体"/>
          <w:color w:val="auto"/>
          <w:sz w:val="24"/>
          <w:szCs w:val="24"/>
          <w:highlight w:val="none"/>
        </w:rPr>
        <w:t>保证担保责任</w:t>
      </w:r>
      <w:r>
        <w:rPr>
          <w:rFonts w:ascii="宋体" w:hAnsi="宋体"/>
          <w:color w:val="auto"/>
          <w:sz w:val="24"/>
          <w:szCs w:val="24"/>
          <w:highlight w:val="none"/>
        </w:rPr>
        <w:t xml:space="preserve">解除。 </w:t>
      </w:r>
    </w:p>
    <w:p w14:paraId="6721FC9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按照法律法规的规定应解除我方保证</w:t>
      </w:r>
      <w:r>
        <w:rPr>
          <w:rFonts w:hint="eastAsia" w:ascii="宋体" w:hAnsi="宋体"/>
          <w:color w:val="auto"/>
          <w:sz w:val="24"/>
          <w:szCs w:val="24"/>
          <w:highlight w:val="none"/>
        </w:rPr>
        <w:t>担保</w:t>
      </w:r>
      <w:r>
        <w:rPr>
          <w:rFonts w:ascii="宋体" w:hAnsi="宋体"/>
          <w:color w:val="auto"/>
          <w:sz w:val="24"/>
          <w:szCs w:val="24"/>
          <w:highlight w:val="none"/>
        </w:rPr>
        <w:t>责任的</w:t>
      </w:r>
      <w:r>
        <w:rPr>
          <w:rFonts w:hint="eastAsia" w:ascii="宋体" w:hAnsi="宋体"/>
          <w:color w:val="auto"/>
          <w:sz w:val="24"/>
          <w:szCs w:val="24"/>
          <w:highlight w:val="none"/>
          <w:lang w:eastAsia="zh-CN"/>
        </w:rPr>
        <w:t>其他情形的</w:t>
      </w:r>
      <w:r>
        <w:rPr>
          <w:rFonts w:ascii="宋体" w:hAnsi="宋体"/>
          <w:color w:val="auto"/>
          <w:sz w:val="24"/>
          <w:szCs w:val="24"/>
          <w:highlight w:val="none"/>
        </w:rPr>
        <w:t>，我方在本保证担保项下的保证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责任亦解除。 </w:t>
      </w:r>
    </w:p>
    <w:p w14:paraId="7EBD7D9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4.我方解除保证责任后，贵方应按上述约定，自我方保证担保责任解除之日起七</w:t>
      </w:r>
      <w:r>
        <w:rPr>
          <w:rFonts w:ascii="宋体" w:hAnsi="宋体"/>
          <w:color w:val="auto"/>
          <w:sz w:val="24"/>
          <w:szCs w:val="24"/>
          <w:highlight w:val="none"/>
        </w:rPr>
        <w:t>日内，将本保证担保原件返还我方。但是不论贵方是否按此要求将本保证担保</w:t>
      </w:r>
      <w:r>
        <w:rPr>
          <w:rFonts w:hint="eastAsia" w:ascii="宋体" w:hAnsi="宋体"/>
          <w:color w:val="auto"/>
          <w:sz w:val="24"/>
          <w:szCs w:val="24"/>
          <w:highlight w:val="none"/>
        </w:rPr>
        <w:t>原件</w:t>
      </w:r>
      <w:r>
        <w:rPr>
          <w:rFonts w:ascii="宋体" w:hAnsi="宋体"/>
          <w:color w:val="auto"/>
          <w:sz w:val="24"/>
          <w:szCs w:val="24"/>
          <w:highlight w:val="none"/>
        </w:rPr>
        <w:t>退回我方，我方在本保证担保项下的义务和责任均</w:t>
      </w:r>
      <w:r>
        <w:rPr>
          <w:rFonts w:hint="eastAsia" w:ascii="宋体" w:hAnsi="宋体"/>
          <w:color w:val="auto"/>
          <w:sz w:val="24"/>
          <w:szCs w:val="24"/>
          <w:highlight w:val="none"/>
        </w:rPr>
        <w:t>自保证担保责任解除之日</w:t>
      </w:r>
      <w:r>
        <w:rPr>
          <w:rFonts w:ascii="宋体" w:hAnsi="宋体"/>
          <w:color w:val="auto"/>
          <w:sz w:val="24"/>
          <w:szCs w:val="24"/>
          <w:highlight w:val="none"/>
        </w:rPr>
        <w:t>自动消灭。</w:t>
      </w:r>
    </w:p>
    <w:p w14:paraId="0FFFCEE5">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六、免责条款</w:t>
      </w:r>
      <w:r>
        <w:rPr>
          <w:rFonts w:ascii="宋体" w:hAnsi="宋体"/>
          <w:b/>
          <w:bCs/>
          <w:color w:val="auto"/>
          <w:sz w:val="24"/>
          <w:szCs w:val="24"/>
          <w:highlight w:val="none"/>
        </w:rPr>
        <w:t xml:space="preserve"> </w:t>
      </w:r>
    </w:p>
    <w:p w14:paraId="49952D2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因贵方</w:t>
      </w:r>
      <w:r>
        <w:rPr>
          <w:rFonts w:hint="eastAsia" w:ascii="宋体" w:hAnsi="宋体"/>
          <w:color w:val="auto"/>
          <w:sz w:val="24"/>
          <w:szCs w:val="24"/>
          <w:highlight w:val="none"/>
        </w:rPr>
        <w:t>原因</w:t>
      </w:r>
      <w:r>
        <w:rPr>
          <w:rFonts w:ascii="宋体" w:hAnsi="宋体"/>
          <w:color w:val="auto"/>
          <w:sz w:val="24"/>
          <w:szCs w:val="24"/>
          <w:highlight w:val="none"/>
        </w:rPr>
        <w:t>致使</w:t>
      </w:r>
      <w:r>
        <w:rPr>
          <w:rFonts w:hint="eastAsia" w:ascii="宋体" w:hAnsi="宋体"/>
          <w:color w:val="auto"/>
          <w:sz w:val="24"/>
          <w:szCs w:val="24"/>
          <w:highlight w:val="none"/>
        </w:rPr>
        <w:t>发包人未履行主合同项下工程款付款义务的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6441DC3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依照法律规定或贵方与</w:t>
      </w:r>
      <w:r>
        <w:rPr>
          <w:rFonts w:hint="eastAsia" w:ascii="宋体" w:hAnsi="宋体"/>
          <w:color w:val="auto"/>
          <w:sz w:val="24"/>
          <w:szCs w:val="24"/>
          <w:highlight w:val="none"/>
        </w:rPr>
        <w:t>发包</w:t>
      </w:r>
      <w:r>
        <w:rPr>
          <w:rFonts w:ascii="宋体" w:hAnsi="宋体"/>
          <w:color w:val="auto"/>
          <w:sz w:val="24"/>
          <w:szCs w:val="24"/>
          <w:highlight w:val="none"/>
        </w:rPr>
        <w:t>人的另行约定，免除</w:t>
      </w:r>
      <w:r>
        <w:rPr>
          <w:rFonts w:hint="eastAsia" w:ascii="宋体" w:hAnsi="宋体"/>
          <w:color w:val="auto"/>
          <w:sz w:val="24"/>
          <w:szCs w:val="24"/>
          <w:highlight w:val="none"/>
        </w:rPr>
        <w:t>发包</w:t>
      </w:r>
      <w:r>
        <w:rPr>
          <w:rFonts w:ascii="宋体" w:hAnsi="宋体"/>
          <w:color w:val="auto"/>
          <w:sz w:val="24"/>
          <w:szCs w:val="24"/>
          <w:highlight w:val="none"/>
        </w:rPr>
        <w:t>人部分或全部义务的，我方亦免除其相应的保证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5550FBA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因不可抗力造成</w:t>
      </w:r>
      <w:r>
        <w:rPr>
          <w:rFonts w:hint="eastAsia" w:ascii="宋体" w:hAnsi="宋体"/>
          <w:color w:val="auto"/>
          <w:sz w:val="24"/>
          <w:szCs w:val="24"/>
          <w:highlight w:val="none"/>
        </w:rPr>
        <w:t>发包</w:t>
      </w:r>
      <w:r>
        <w:rPr>
          <w:rFonts w:ascii="宋体" w:hAnsi="宋体"/>
          <w:color w:val="auto"/>
          <w:sz w:val="24"/>
          <w:szCs w:val="24"/>
          <w:highlight w:val="none"/>
        </w:rPr>
        <w:t>人</w:t>
      </w:r>
      <w:r>
        <w:rPr>
          <w:rFonts w:hint="eastAsia" w:ascii="宋体" w:hAnsi="宋体"/>
          <w:color w:val="auto"/>
          <w:sz w:val="24"/>
          <w:szCs w:val="24"/>
          <w:highlight w:val="none"/>
        </w:rPr>
        <w:t>未履行主合同项下工程款付款义务的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责任。</w:t>
      </w:r>
    </w:p>
    <w:p w14:paraId="066C436F">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七、其他</w:t>
      </w:r>
    </w:p>
    <w:p w14:paraId="4704BDA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本保证担保项下的权利不得转让，不得设定担保。贵方未经我方书面同意转让本保证担保或其项下任何权利，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25F8FB7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.本</w:t>
      </w:r>
      <w:r>
        <w:rPr>
          <w:rFonts w:hint="eastAsia" w:ascii="宋体" w:hAnsi="宋体"/>
          <w:color w:val="auto"/>
          <w:sz w:val="24"/>
          <w:szCs w:val="24"/>
          <w:highlight w:val="none"/>
        </w:rPr>
        <w:t>保证担保适用的法律为中华人民共和国法律，争议裁判管辖地为中华人民共和国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r>
        <w:rPr>
          <w:rFonts w:ascii="宋体" w:hAnsi="宋体"/>
          <w:color w:val="auto"/>
          <w:sz w:val="24"/>
          <w:szCs w:val="24"/>
          <w:highlight w:val="none"/>
        </w:rPr>
        <w:t xml:space="preserve"> </w:t>
      </w:r>
    </w:p>
    <w:p w14:paraId="5A2ED92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.本</w:t>
      </w:r>
      <w:r>
        <w:rPr>
          <w:rFonts w:hint="eastAsia" w:ascii="宋体" w:hAnsi="宋体"/>
          <w:color w:val="auto"/>
          <w:sz w:val="24"/>
          <w:szCs w:val="24"/>
          <w:highlight w:val="none"/>
        </w:rPr>
        <w:t>保证担保</w:t>
      </w:r>
      <w:r>
        <w:rPr>
          <w:rFonts w:ascii="宋体" w:hAnsi="宋体"/>
          <w:color w:val="auto"/>
          <w:sz w:val="24"/>
          <w:szCs w:val="24"/>
          <w:highlight w:val="none"/>
        </w:rPr>
        <w:t>自我方法定代表</w:t>
      </w:r>
      <w:r>
        <w:rPr>
          <w:rFonts w:hint="eastAsia" w:ascii="宋体" w:hAnsi="宋体"/>
          <w:color w:val="auto"/>
          <w:sz w:val="24"/>
          <w:szCs w:val="24"/>
          <w:highlight w:val="none"/>
        </w:rPr>
        <w:t>人或授权代表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3D0FF019">
      <w:pPr>
        <w:spacing w:line="360" w:lineRule="auto"/>
        <w:ind w:firstLine="480" w:firstLineChars="200"/>
        <w:rPr>
          <w:rFonts w:ascii="宋体" w:hAnsi="宋体"/>
          <w:color w:val="auto"/>
          <w:sz w:val="24"/>
          <w:szCs w:val="24"/>
          <w:highlight w:val="none"/>
        </w:rPr>
      </w:pPr>
    </w:p>
    <w:p w14:paraId="01CEC0E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保 证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6DE8CE5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21AA22B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26F0554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379A322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75C249A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0449105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时 </w:t>
      </w:r>
      <w:r>
        <w:rPr>
          <w:rFonts w:ascii="宋体" w:hAnsi="宋体"/>
          <w:color w:val="auto"/>
          <w:sz w:val="24"/>
          <w:szCs w:val="24"/>
          <w:highlight w:val="none"/>
        </w:rPr>
        <w:t xml:space="preserve">   </w:t>
      </w:r>
      <w:r>
        <w:rPr>
          <w:rFonts w:hint="eastAsia" w:ascii="宋体" w:hAnsi="宋体"/>
          <w:color w:val="auto"/>
          <w:sz w:val="24"/>
          <w:szCs w:val="24"/>
          <w:highlight w:val="none"/>
        </w:rPr>
        <w:t>间：</w:t>
      </w:r>
      <w:r>
        <w:rPr>
          <w:rFonts w:ascii="宋体" w:hAnsi="宋体"/>
          <w:color w:val="auto"/>
          <w:sz w:val="24"/>
          <w:szCs w:val="24"/>
          <w:highlight w:val="none"/>
        </w:rPr>
        <w:t xml:space="preserve">      年      月        日</w:t>
      </w:r>
    </w:p>
    <w:p w14:paraId="33477D7E">
      <w:pPr>
        <w:rPr>
          <w:color w:val="auto"/>
          <w:highlight w:val="none"/>
        </w:rPr>
      </w:pPr>
    </w:p>
    <w:p w14:paraId="09520EE5">
      <w:pPr>
        <w:spacing w:line="360" w:lineRule="auto"/>
        <w:ind w:firstLine="480" w:firstLineChars="200"/>
        <w:rPr>
          <w:rFonts w:ascii="宋体" w:hAnsi="宋体"/>
          <w:color w:val="auto"/>
          <w:sz w:val="24"/>
          <w:szCs w:val="24"/>
          <w:highlight w:val="none"/>
        </w:rPr>
      </w:pPr>
    </w:p>
    <w:p w14:paraId="66F22FA4">
      <w:pPr>
        <w:spacing w:line="360" w:lineRule="auto"/>
        <w:ind w:firstLine="420" w:firstLineChars="200"/>
        <w:rPr>
          <w:rFonts w:hint="eastAsia"/>
          <w:color w:val="auto"/>
          <w:highlight w:val="none"/>
        </w:rPr>
      </w:pPr>
    </w:p>
    <w:p w14:paraId="46E66575">
      <w:pPr>
        <w:jc w:val="left"/>
        <w:rPr>
          <w:rFonts w:eastAsia="仿宋_GB2312"/>
          <w:color w:val="auto"/>
          <w:sz w:val="30"/>
          <w:szCs w:val="30"/>
          <w:highlight w:val="none"/>
        </w:rPr>
      </w:pPr>
      <w:r>
        <w:rPr>
          <w:rFonts w:eastAsia="仿宋_GB2312"/>
          <w:color w:val="auto"/>
          <w:sz w:val="30"/>
          <w:szCs w:val="30"/>
          <w:highlight w:val="none"/>
        </w:rPr>
        <w:t xml:space="preserve"> </w:t>
      </w:r>
    </w:p>
    <w:p w14:paraId="53607F7C">
      <w:pPr>
        <w:rPr>
          <w:rFonts w:eastAsia="仿宋_GB2312"/>
          <w:color w:val="auto"/>
          <w:sz w:val="30"/>
          <w:szCs w:val="30"/>
          <w:highlight w:val="none"/>
        </w:rPr>
      </w:pPr>
      <w:r>
        <w:rPr>
          <w:rFonts w:eastAsia="仿宋_GB2312"/>
          <w:color w:val="auto"/>
          <w:sz w:val="30"/>
          <w:szCs w:val="30"/>
          <w:highlight w:val="none"/>
        </w:rPr>
        <w:br w:type="page"/>
      </w:r>
    </w:p>
    <w:p w14:paraId="3FE2B7F0">
      <w:pPr>
        <w:jc w:val="left"/>
        <w:rPr>
          <w:rFonts w:hint="eastAsia" w:hAnsi="宋体" w:cs="宋体"/>
          <w:color w:val="auto"/>
          <w:sz w:val="30"/>
          <w:szCs w:val="30"/>
          <w:highlight w:val="none"/>
        </w:rPr>
      </w:pPr>
      <w:r>
        <w:rPr>
          <w:rFonts w:hint="eastAsia" w:hAnsi="宋体" w:cs="宋体"/>
          <w:color w:val="auto"/>
          <w:sz w:val="30"/>
          <w:szCs w:val="30"/>
          <w:highlight w:val="none"/>
        </w:rPr>
        <w:t>附件10：</w:t>
      </w:r>
    </w:p>
    <w:p w14:paraId="44DCCD5D">
      <w:pPr>
        <w:jc w:val="center"/>
        <w:rPr>
          <w:rFonts w:hint="eastAsia"/>
          <w:b/>
          <w:color w:val="auto"/>
          <w:sz w:val="36"/>
          <w:szCs w:val="36"/>
          <w:highlight w:val="none"/>
        </w:rPr>
      </w:pPr>
      <w:r>
        <w:rPr>
          <w:rFonts w:hint="eastAsia"/>
          <w:b/>
          <w:color w:val="auto"/>
          <w:sz w:val="36"/>
          <w:szCs w:val="36"/>
          <w:highlight w:val="none"/>
        </w:rPr>
        <w:t>预付款支付申请（核准）表</w:t>
      </w:r>
    </w:p>
    <w:p w14:paraId="0BAADD20">
      <w:pPr>
        <w:rPr>
          <w:rFonts w:hint="eastAsia"/>
          <w:color w:val="auto"/>
          <w:sz w:val="24"/>
          <w:szCs w:val="24"/>
          <w:highlight w:val="none"/>
        </w:rPr>
      </w:pPr>
      <w:r>
        <w:rPr>
          <w:rFonts w:hint="eastAsia"/>
          <w:color w:val="auto"/>
          <w:sz w:val="24"/>
          <w:szCs w:val="24"/>
          <w:highlight w:val="none"/>
        </w:rPr>
        <w:t>工程名称：                                             编号：</w:t>
      </w:r>
    </w:p>
    <w:tbl>
      <w:tblPr>
        <w:tblStyle w:val="55"/>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8"/>
        <w:gridCol w:w="4697"/>
      </w:tblGrid>
      <w:tr w14:paraId="779E2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072" w:type="dxa"/>
            <w:gridSpan w:val="2"/>
            <w:noWrap w:val="0"/>
            <w:vAlign w:val="top"/>
          </w:tcPr>
          <w:p w14:paraId="1AFB60C3">
            <w:pPr>
              <w:spacing w:line="480" w:lineRule="exact"/>
              <w:ind w:left="525" w:leftChars="149" w:hanging="212" w:hangingChars="101"/>
              <w:rPr>
                <w:rFonts w:hint="eastAsia"/>
                <w:color w:val="auto"/>
                <w:highlight w:val="none"/>
                <w:u w:val="single"/>
              </w:rPr>
            </w:pPr>
            <w:r>
              <w:rPr>
                <w:rFonts w:hint="eastAsia"/>
                <w:color w:val="auto"/>
                <w:highlight w:val="none"/>
              </w:rPr>
              <w:t>致：</w:t>
            </w:r>
            <w:r>
              <w:rPr>
                <w:rFonts w:hint="eastAsia"/>
                <w:color w:val="auto"/>
                <w:highlight w:val="none"/>
                <w:u w:val="single"/>
              </w:rPr>
              <w:t xml:space="preserve">                                   （发包人全称）</w:t>
            </w:r>
          </w:p>
          <w:p w14:paraId="5179B535">
            <w:pPr>
              <w:spacing w:line="400" w:lineRule="exact"/>
              <w:ind w:left="-4" w:leftChars="-2" w:firstLine="315" w:firstLineChars="150"/>
              <w:rPr>
                <w:rFonts w:hint="eastAsia"/>
                <w:color w:val="auto"/>
                <w:highlight w:val="none"/>
              </w:rPr>
            </w:pPr>
            <w:r>
              <w:rPr>
                <w:rFonts w:hint="eastAsia"/>
                <w:color w:val="auto"/>
                <w:highlight w:val="none"/>
              </w:rPr>
              <w:t>我方根据施工合同的约定，现申请支付工程预付款额为</w:t>
            </w:r>
            <w:r>
              <w:rPr>
                <w:rFonts w:hint="eastAsia"/>
                <w:color w:val="auto"/>
                <w:highlight w:val="none"/>
                <w:lang w:eastAsia="zh-CN"/>
              </w:rPr>
              <w:t>（</w:t>
            </w:r>
            <w:r>
              <w:rPr>
                <w:rFonts w:hint="eastAsia"/>
                <w:color w:val="auto"/>
                <w:highlight w:val="none"/>
              </w:rPr>
              <w:t>大写</w:t>
            </w:r>
            <w:r>
              <w:rPr>
                <w:rFonts w:hint="eastAsia"/>
                <w:color w:val="auto"/>
                <w:highlight w:val="none"/>
                <w:lang w:eastAsia="zh-CN"/>
              </w:rPr>
              <w:t>）</w:t>
            </w:r>
            <w:r>
              <w:rPr>
                <w:rFonts w:hint="eastAsia"/>
                <w:color w:val="auto"/>
                <w:highlight w:val="none"/>
                <w:u w:val="single"/>
              </w:rPr>
              <w:t xml:space="preserve">            </w:t>
            </w:r>
            <w:r>
              <w:rPr>
                <w:rFonts w:hint="eastAsia"/>
                <w:color w:val="auto"/>
                <w:highlight w:val="none"/>
              </w:rPr>
              <w:t>元，</w:t>
            </w:r>
            <w:r>
              <w:rPr>
                <w:rFonts w:hint="eastAsia"/>
                <w:color w:val="auto"/>
                <w:highlight w:val="none"/>
                <w:lang w:eastAsia="zh-CN"/>
              </w:rPr>
              <w:t>（</w:t>
            </w:r>
            <w:r>
              <w:rPr>
                <w:rFonts w:hint="eastAsia"/>
                <w:color w:val="auto"/>
                <w:highlight w:val="none"/>
              </w:rPr>
              <w:t>小写</w:t>
            </w:r>
            <w:r>
              <w:rPr>
                <w:rFonts w:hint="eastAsia"/>
                <w:color w:val="auto"/>
                <w:highlight w:val="none"/>
                <w:lang w:eastAsia="zh-CN"/>
              </w:rPr>
              <w:t>）</w:t>
            </w:r>
          </w:p>
          <w:p w14:paraId="181649AF">
            <w:pPr>
              <w:spacing w:line="400" w:lineRule="exact"/>
              <w:rPr>
                <w:rFonts w:hint="eastAsia"/>
                <w:color w:val="auto"/>
                <w:highlight w:val="none"/>
              </w:rPr>
            </w:pPr>
            <w:r>
              <w:rPr>
                <w:rFonts w:hint="eastAsia"/>
                <w:color w:val="auto"/>
                <w:highlight w:val="none"/>
                <w:u w:val="single"/>
              </w:rPr>
              <w:t xml:space="preserve">         </w:t>
            </w:r>
            <w:r>
              <w:rPr>
                <w:rFonts w:hint="eastAsia"/>
                <w:color w:val="auto"/>
                <w:highlight w:val="none"/>
              </w:rPr>
              <w:t>元，请予核准。</w:t>
            </w:r>
          </w:p>
          <w:tbl>
            <w:tblPr>
              <w:tblStyle w:val="55"/>
              <w:tblpPr w:leftFromText="180" w:rightFromText="180" w:vertAnchor="page" w:horzAnchor="margin" w:tblpY="1309"/>
              <w:tblOverlap w:val="never"/>
              <w:tblW w:w="8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3340"/>
              <w:gridCol w:w="1764"/>
              <w:gridCol w:w="2240"/>
              <w:gridCol w:w="1080"/>
            </w:tblGrid>
            <w:tr w14:paraId="0439D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50DEBA09">
                  <w:pPr>
                    <w:spacing w:line="280" w:lineRule="exact"/>
                    <w:jc w:val="center"/>
                    <w:rPr>
                      <w:rFonts w:hint="eastAsia"/>
                      <w:color w:val="auto"/>
                      <w:highlight w:val="none"/>
                    </w:rPr>
                  </w:pPr>
                  <w:r>
                    <w:rPr>
                      <w:rFonts w:hint="eastAsia"/>
                      <w:color w:val="auto"/>
                      <w:highlight w:val="none"/>
                    </w:rPr>
                    <w:t>序号</w:t>
                  </w:r>
                </w:p>
              </w:tc>
              <w:tc>
                <w:tcPr>
                  <w:tcW w:w="3340" w:type="dxa"/>
                  <w:noWrap w:val="0"/>
                  <w:vAlign w:val="center"/>
                </w:tcPr>
                <w:p w14:paraId="251F4877">
                  <w:pPr>
                    <w:spacing w:line="280" w:lineRule="exact"/>
                    <w:jc w:val="center"/>
                    <w:rPr>
                      <w:rFonts w:hint="eastAsia"/>
                      <w:color w:val="auto"/>
                      <w:highlight w:val="none"/>
                    </w:rPr>
                  </w:pPr>
                  <w:r>
                    <w:rPr>
                      <w:rFonts w:hint="eastAsia"/>
                      <w:color w:val="auto"/>
                      <w:highlight w:val="none"/>
                    </w:rPr>
                    <w:t>名      称</w:t>
                  </w:r>
                </w:p>
              </w:tc>
              <w:tc>
                <w:tcPr>
                  <w:tcW w:w="1764" w:type="dxa"/>
                  <w:noWrap w:val="0"/>
                  <w:vAlign w:val="center"/>
                </w:tcPr>
                <w:p w14:paraId="007059AD">
                  <w:pPr>
                    <w:spacing w:line="280" w:lineRule="exact"/>
                    <w:jc w:val="center"/>
                    <w:rPr>
                      <w:rFonts w:hint="eastAsia"/>
                      <w:color w:val="auto"/>
                      <w:highlight w:val="none"/>
                    </w:rPr>
                  </w:pPr>
                  <w:r>
                    <w:rPr>
                      <w:rFonts w:hint="eastAsia"/>
                      <w:color w:val="auto"/>
                      <w:highlight w:val="none"/>
                    </w:rPr>
                    <w:t>申请金额（元）</w:t>
                  </w:r>
                </w:p>
              </w:tc>
              <w:tc>
                <w:tcPr>
                  <w:tcW w:w="2240" w:type="dxa"/>
                  <w:noWrap w:val="0"/>
                  <w:vAlign w:val="center"/>
                </w:tcPr>
                <w:p w14:paraId="712B1488">
                  <w:pPr>
                    <w:spacing w:line="280" w:lineRule="exact"/>
                    <w:jc w:val="center"/>
                    <w:rPr>
                      <w:rFonts w:hint="eastAsia"/>
                      <w:color w:val="auto"/>
                      <w:highlight w:val="none"/>
                    </w:rPr>
                  </w:pPr>
                  <w:r>
                    <w:rPr>
                      <w:rFonts w:hint="eastAsia"/>
                      <w:color w:val="auto"/>
                      <w:highlight w:val="none"/>
                    </w:rPr>
                    <w:t>复核金额（元）</w:t>
                  </w:r>
                </w:p>
              </w:tc>
              <w:tc>
                <w:tcPr>
                  <w:tcW w:w="1080" w:type="dxa"/>
                  <w:noWrap w:val="0"/>
                  <w:vAlign w:val="center"/>
                </w:tcPr>
                <w:p w14:paraId="6E69FA87">
                  <w:pPr>
                    <w:spacing w:line="280" w:lineRule="exact"/>
                    <w:jc w:val="center"/>
                    <w:rPr>
                      <w:rFonts w:hint="eastAsia"/>
                      <w:color w:val="auto"/>
                      <w:highlight w:val="none"/>
                    </w:rPr>
                  </w:pPr>
                  <w:r>
                    <w:rPr>
                      <w:rFonts w:hint="eastAsia"/>
                      <w:color w:val="auto"/>
                      <w:highlight w:val="none"/>
                    </w:rPr>
                    <w:t>备注</w:t>
                  </w:r>
                </w:p>
              </w:tc>
            </w:tr>
            <w:tr w14:paraId="59C78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C5E0324">
                  <w:pPr>
                    <w:spacing w:line="280" w:lineRule="exact"/>
                    <w:jc w:val="center"/>
                    <w:rPr>
                      <w:rFonts w:hint="eastAsia"/>
                      <w:color w:val="auto"/>
                      <w:highlight w:val="none"/>
                    </w:rPr>
                  </w:pPr>
                  <w:r>
                    <w:rPr>
                      <w:rFonts w:hint="eastAsia"/>
                      <w:color w:val="auto"/>
                      <w:highlight w:val="none"/>
                    </w:rPr>
                    <w:t>1</w:t>
                  </w:r>
                </w:p>
              </w:tc>
              <w:tc>
                <w:tcPr>
                  <w:tcW w:w="3340" w:type="dxa"/>
                  <w:noWrap w:val="0"/>
                  <w:vAlign w:val="top"/>
                </w:tcPr>
                <w:p w14:paraId="77B49304">
                  <w:pPr>
                    <w:spacing w:line="280" w:lineRule="exact"/>
                    <w:rPr>
                      <w:rFonts w:hint="eastAsia"/>
                      <w:color w:val="auto"/>
                      <w:highlight w:val="none"/>
                    </w:rPr>
                  </w:pPr>
                  <w:r>
                    <w:rPr>
                      <w:rFonts w:hint="eastAsia"/>
                      <w:color w:val="auto"/>
                      <w:highlight w:val="none"/>
                    </w:rPr>
                    <w:t>已签约合同价款金额</w:t>
                  </w:r>
                </w:p>
              </w:tc>
              <w:tc>
                <w:tcPr>
                  <w:tcW w:w="1764" w:type="dxa"/>
                  <w:noWrap w:val="0"/>
                  <w:vAlign w:val="top"/>
                </w:tcPr>
                <w:p w14:paraId="03E9E171">
                  <w:pPr>
                    <w:spacing w:line="280" w:lineRule="exact"/>
                    <w:rPr>
                      <w:rFonts w:hint="eastAsia"/>
                      <w:color w:val="auto"/>
                      <w:highlight w:val="none"/>
                    </w:rPr>
                  </w:pPr>
                </w:p>
              </w:tc>
              <w:tc>
                <w:tcPr>
                  <w:tcW w:w="2240" w:type="dxa"/>
                  <w:noWrap w:val="0"/>
                  <w:vAlign w:val="top"/>
                </w:tcPr>
                <w:p w14:paraId="0F1B9EDE">
                  <w:pPr>
                    <w:spacing w:line="280" w:lineRule="exact"/>
                    <w:rPr>
                      <w:rFonts w:hint="eastAsia"/>
                      <w:color w:val="auto"/>
                      <w:highlight w:val="none"/>
                    </w:rPr>
                  </w:pPr>
                </w:p>
              </w:tc>
              <w:tc>
                <w:tcPr>
                  <w:tcW w:w="1080" w:type="dxa"/>
                  <w:noWrap w:val="0"/>
                  <w:vAlign w:val="top"/>
                </w:tcPr>
                <w:p w14:paraId="2DB3FB1E">
                  <w:pPr>
                    <w:spacing w:line="280" w:lineRule="exact"/>
                    <w:rPr>
                      <w:rFonts w:hint="eastAsia"/>
                      <w:color w:val="auto"/>
                      <w:highlight w:val="none"/>
                    </w:rPr>
                  </w:pPr>
                </w:p>
              </w:tc>
            </w:tr>
            <w:tr w14:paraId="696B8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3D17D094">
                  <w:pPr>
                    <w:spacing w:line="280" w:lineRule="exact"/>
                    <w:jc w:val="center"/>
                    <w:rPr>
                      <w:rFonts w:hint="eastAsia"/>
                      <w:color w:val="auto"/>
                      <w:highlight w:val="none"/>
                    </w:rPr>
                  </w:pPr>
                  <w:r>
                    <w:rPr>
                      <w:rFonts w:hint="eastAsia"/>
                      <w:color w:val="auto"/>
                      <w:highlight w:val="none"/>
                    </w:rPr>
                    <w:t>2</w:t>
                  </w:r>
                </w:p>
              </w:tc>
              <w:tc>
                <w:tcPr>
                  <w:tcW w:w="3340" w:type="dxa"/>
                  <w:noWrap w:val="0"/>
                  <w:vAlign w:val="top"/>
                </w:tcPr>
                <w:p w14:paraId="051B683E">
                  <w:pPr>
                    <w:spacing w:line="280" w:lineRule="exact"/>
                    <w:rPr>
                      <w:rFonts w:hint="eastAsia"/>
                      <w:color w:val="auto"/>
                      <w:highlight w:val="none"/>
                    </w:rPr>
                  </w:pPr>
                  <w:r>
                    <w:rPr>
                      <w:rFonts w:hint="eastAsia"/>
                      <w:color w:val="auto"/>
                      <w:highlight w:val="none"/>
                    </w:rPr>
                    <w:t>其中：安全文明施工费</w:t>
                  </w:r>
                </w:p>
              </w:tc>
              <w:tc>
                <w:tcPr>
                  <w:tcW w:w="1764" w:type="dxa"/>
                  <w:noWrap w:val="0"/>
                  <w:vAlign w:val="top"/>
                </w:tcPr>
                <w:p w14:paraId="703D682B">
                  <w:pPr>
                    <w:spacing w:line="280" w:lineRule="exact"/>
                    <w:rPr>
                      <w:rFonts w:hint="eastAsia"/>
                      <w:color w:val="auto"/>
                      <w:highlight w:val="none"/>
                    </w:rPr>
                  </w:pPr>
                </w:p>
              </w:tc>
              <w:tc>
                <w:tcPr>
                  <w:tcW w:w="2240" w:type="dxa"/>
                  <w:noWrap w:val="0"/>
                  <w:vAlign w:val="top"/>
                </w:tcPr>
                <w:p w14:paraId="08BE0CF9">
                  <w:pPr>
                    <w:spacing w:line="280" w:lineRule="exact"/>
                    <w:rPr>
                      <w:rFonts w:hint="eastAsia"/>
                      <w:color w:val="auto"/>
                      <w:highlight w:val="none"/>
                    </w:rPr>
                  </w:pPr>
                </w:p>
              </w:tc>
              <w:tc>
                <w:tcPr>
                  <w:tcW w:w="1080" w:type="dxa"/>
                  <w:noWrap w:val="0"/>
                  <w:vAlign w:val="top"/>
                </w:tcPr>
                <w:p w14:paraId="1895F5E2">
                  <w:pPr>
                    <w:spacing w:line="280" w:lineRule="exact"/>
                    <w:rPr>
                      <w:rFonts w:hint="eastAsia"/>
                      <w:color w:val="auto"/>
                      <w:highlight w:val="none"/>
                    </w:rPr>
                  </w:pPr>
                </w:p>
              </w:tc>
            </w:tr>
            <w:tr w14:paraId="57C2A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C9E2A01">
                  <w:pPr>
                    <w:spacing w:line="280" w:lineRule="exact"/>
                    <w:jc w:val="center"/>
                    <w:rPr>
                      <w:rFonts w:hint="eastAsia"/>
                      <w:color w:val="auto"/>
                      <w:highlight w:val="none"/>
                    </w:rPr>
                  </w:pPr>
                  <w:r>
                    <w:rPr>
                      <w:rFonts w:hint="eastAsia"/>
                      <w:color w:val="auto"/>
                      <w:highlight w:val="none"/>
                    </w:rPr>
                    <w:t>3</w:t>
                  </w:r>
                </w:p>
              </w:tc>
              <w:tc>
                <w:tcPr>
                  <w:tcW w:w="3340" w:type="dxa"/>
                  <w:noWrap w:val="0"/>
                  <w:vAlign w:val="top"/>
                </w:tcPr>
                <w:p w14:paraId="37F639C9">
                  <w:pPr>
                    <w:spacing w:line="280" w:lineRule="exact"/>
                    <w:rPr>
                      <w:rFonts w:hint="eastAsia"/>
                      <w:color w:val="auto"/>
                      <w:highlight w:val="none"/>
                    </w:rPr>
                  </w:pPr>
                  <w:r>
                    <w:rPr>
                      <w:rFonts w:hint="eastAsia"/>
                      <w:color w:val="auto"/>
                      <w:highlight w:val="none"/>
                    </w:rPr>
                    <w:t>应支付的预付款</w:t>
                  </w:r>
                </w:p>
              </w:tc>
              <w:tc>
                <w:tcPr>
                  <w:tcW w:w="1764" w:type="dxa"/>
                  <w:noWrap w:val="0"/>
                  <w:vAlign w:val="top"/>
                </w:tcPr>
                <w:p w14:paraId="594F3833">
                  <w:pPr>
                    <w:spacing w:line="280" w:lineRule="exact"/>
                    <w:rPr>
                      <w:rFonts w:hint="eastAsia"/>
                      <w:color w:val="auto"/>
                      <w:highlight w:val="none"/>
                    </w:rPr>
                  </w:pPr>
                </w:p>
              </w:tc>
              <w:tc>
                <w:tcPr>
                  <w:tcW w:w="2240" w:type="dxa"/>
                  <w:noWrap w:val="0"/>
                  <w:vAlign w:val="top"/>
                </w:tcPr>
                <w:p w14:paraId="6142D4CD">
                  <w:pPr>
                    <w:spacing w:line="280" w:lineRule="exact"/>
                    <w:rPr>
                      <w:rFonts w:hint="eastAsia"/>
                      <w:color w:val="auto"/>
                      <w:highlight w:val="none"/>
                    </w:rPr>
                  </w:pPr>
                </w:p>
              </w:tc>
              <w:tc>
                <w:tcPr>
                  <w:tcW w:w="1080" w:type="dxa"/>
                  <w:noWrap w:val="0"/>
                  <w:vAlign w:val="top"/>
                </w:tcPr>
                <w:p w14:paraId="77C79169">
                  <w:pPr>
                    <w:spacing w:line="280" w:lineRule="exact"/>
                    <w:rPr>
                      <w:rFonts w:hint="eastAsia"/>
                      <w:color w:val="auto"/>
                      <w:highlight w:val="none"/>
                    </w:rPr>
                  </w:pPr>
                </w:p>
              </w:tc>
            </w:tr>
            <w:tr w14:paraId="6BEBB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9F3DD4F">
                  <w:pPr>
                    <w:spacing w:line="280" w:lineRule="exact"/>
                    <w:jc w:val="center"/>
                    <w:rPr>
                      <w:rFonts w:hint="eastAsia"/>
                      <w:color w:val="auto"/>
                      <w:highlight w:val="none"/>
                    </w:rPr>
                  </w:pPr>
                  <w:r>
                    <w:rPr>
                      <w:rFonts w:hint="eastAsia"/>
                      <w:color w:val="auto"/>
                      <w:highlight w:val="none"/>
                    </w:rPr>
                    <w:t>4</w:t>
                  </w:r>
                </w:p>
              </w:tc>
              <w:tc>
                <w:tcPr>
                  <w:tcW w:w="3340" w:type="dxa"/>
                  <w:noWrap w:val="0"/>
                  <w:vAlign w:val="top"/>
                </w:tcPr>
                <w:p w14:paraId="61DA76F2">
                  <w:pPr>
                    <w:spacing w:line="280" w:lineRule="exact"/>
                    <w:rPr>
                      <w:rFonts w:hint="eastAsia"/>
                      <w:color w:val="auto"/>
                      <w:highlight w:val="none"/>
                    </w:rPr>
                  </w:pPr>
                  <w:r>
                    <w:rPr>
                      <w:rFonts w:hint="eastAsia"/>
                      <w:color w:val="auto"/>
                      <w:highlight w:val="none"/>
                    </w:rPr>
                    <w:t>应支付的安全文明施工费预付款</w:t>
                  </w:r>
                </w:p>
              </w:tc>
              <w:tc>
                <w:tcPr>
                  <w:tcW w:w="1764" w:type="dxa"/>
                  <w:noWrap w:val="0"/>
                  <w:vAlign w:val="top"/>
                </w:tcPr>
                <w:p w14:paraId="47C2CFF9">
                  <w:pPr>
                    <w:spacing w:line="280" w:lineRule="exact"/>
                    <w:rPr>
                      <w:rFonts w:hint="eastAsia"/>
                      <w:color w:val="auto"/>
                      <w:highlight w:val="none"/>
                    </w:rPr>
                  </w:pPr>
                </w:p>
              </w:tc>
              <w:tc>
                <w:tcPr>
                  <w:tcW w:w="2240" w:type="dxa"/>
                  <w:noWrap w:val="0"/>
                  <w:vAlign w:val="top"/>
                </w:tcPr>
                <w:p w14:paraId="002F144A">
                  <w:pPr>
                    <w:spacing w:line="280" w:lineRule="exact"/>
                    <w:rPr>
                      <w:rFonts w:hint="eastAsia"/>
                      <w:color w:val="auto"/>
                      <w:highlight w:val="none"/>
                    </w:rPr>
                  </w:pPr>
                </w:p>
              </w:tc>
              <w:tc>
                <w:tcPr>
                  <w:tcW w:w="1080" w:type="dxa"/>
                  <w:noWrap w:val="0"/>
                  <w:vAlign w:val="top"/>
                </w:tcPr>
                <w:p w14:paraId="007362CD">
                  <w:pPr>
                    <w:spacing w:line="280" w:lineRule="exact"/>
                    <w:rPr>
                      <w:rFonts w:hint="eastAsia"/>
                      <w:color w:val="auto"/>
                      <w:highlight w:val="none"/>
                    </w:rPr>
                  </w:pPr>
                </w:p>
              </w:tc>
            </w:tr>
            <w:tr w14:paraId="37B1E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5038FC8">
                  <w:pPr>
                    <w:spacing w:line="280" w:lineRule="exact"/>
                    <w:jc w:val="center"/>
                    <w:rPr>
                      <w:rFonts w:hint="eastAsia"/>
                      <w:color w:val="auto"/>
                      <w:highlight w:val="none"/>
                    </w:rPr>
                  </w:pPr>
                  <w:r>
                    <w:rPr>
                      <w:rFonts w:hint="eastAsia"/>
                      <w:color w:val="auto"/>
                      <w:highlight w:val="none"/>
                    </w:rPr>
                    <w:t>5</w:t>
                  </w:r>
                </w:p>
              </w:tc>
              <w:tc>
                <w:tcPr>
                  <w:tcW w:w="3340" w:type="dxa"/>
                  <w:noWrap w:val="0"/>
                  <w:vAlign w:val="top"/>
                </w:tcPr>
                <w:p w14:paraId="14E873DE">
                  <w:pPr>
                    <w:spacing w:line="280" w:lineRule="exact"/>
                    <w:rPr>
                      <w:rFonts w:hint="eastAsia"/>
                      <w:color w:val="auto"/>
                      <w:highlight w:val="none"/>
                    </w:rPr>
                  </w:pPr>
                  <w:r>
                    <w:rPr>
                      <w:rFonts w:hint="eastAsia"/>
                      <w:color w:val="auto"/>
                      <w:highlight w:val="none"/>
                    </w:rPr>
                    <w:t>合计应支付的预付款</w:t>
                  </w:r>
                </w:p>
              </w:tc>
              <w:tc>
                <w:tcPr>
                  <w:tcW w:w="1764" w:type="dxa"/>
                  <w:noWrap w:val="0"/>
                  <w:vAlign w:val="top"/>
                </w:tcPr>
                <w:p w14:paraId="69C0BA5E">
                  <w:pPr>
                    <w:spacing w:line="280" w:lineRule="exact"/>
                    <w:rPr>
                      <w:rFonts w:hint="eastAsia"/>
                      <w:color w:val="auto"/>
                      <w:highlight w:val="none"/>
                    </w:rPr>
                  </w:pPr>
                </w:p>
              </w:tc>
              <w:tc>
                <w:tcPr>
                  <w:tcW w:w="2240" w:type="dxa"/>
                  <w:noWrap w:val="0"/>
                  <w:vAlign w:val="top"/>
                </w:tcPr>
                <w:p w14:paraId="0F94C0A5">
                  <w:pPr>
                    <w:spacing w:line="280" w:lineRule="exact"/>
                    <w:rPr>
                      <w:rFonts w:hint="eastAsia"/>
                      <w:color w:val="auto"/>
                      <w:highlight w:val="none"/>
                    </w:rPr>
                  </w:pPr>
                </w:p>
              </w:tc>
              <w:tc>
                <w:tcPr>
                  <w:tcW w:w="1080" w:type="dxa"/>
                  <w:noWrap w:val="0"/>
                  <w:vAlign w:val="top"/>
                </w:tcPr>
                <w:p w14:paraId="3844D97F">
                  <w:pPr>
                    <w:spacing w:line="280" w:lineRule="exact"/>
                    <w:rPr>
                      <w:rFonts w:hint="eastAsia"/>
                      <w:color w:val="auto"/>
                      <w:highlight w:val="none"/>
                    </w:rPr>
                  </w:pPr>
                </w:p>
              </w:tc>
            </w:tr>
            <w:tr w14:paraId="729A2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1F9B637">
                  <w:pPr>
                    <w:spacing w:line="280" w:lineRule="exact"/>
                    <w:jc w:val="center"/>
                    <w:rPr>
                      <w:rFonts w:hint="eastAsia"/>
                      <w:color w:val="auto"/>
                      <w:highlight w:val="none"/>
                    </w:rPr>
                  </w:pPr>
                </w:p>
              </w:tc>
              <w:tc>
                <w:tcPr>
                  <w:tcW w:w="3340" w:type="dxa"/>
                  <w:noWrap w:val="0"/>
                  <w:vAlign w:val="top"/>
                </w:tcPr>
                <w:p w14:paraId="235CF9F3">
                  <w:pPr>
                    <w:spacing w:line="280" w:lineRule="exact"/>
                    <w:rPr>
                      <w:rFonts w:hint="eastAsia"/>
                      <w:color w:val="auto"/>
                      <w:highlight w:val="none"/>
                    </w:rPr>
                  </w:pPr>
                </w:p>
              </w:tc>
              <w:tc>
                <w:tcPr>
                  <w:tcW w:w="1764" w:type="dxa"/>
                  <w:noWrap w:val="0"/>
                  <w:vAlign w:val="top"/>
                </w:tcPr>
                <w:p w14:paraId="7A558896">
                  <w:pPr>
                    <w:spacing w:line="280" w:lineRule="exact"/>
                    <w:rPr>
                      <w:rFonts w:hint="eastAsia"/>
                      <w:color w:val="auto"/>
                      <w:highlight w:val="none"/>
                    </w:rPr>
                  </w:pPr>
                </w:p>
              </w:tc>
              <w:tc>
                <w:tcPr>
                  <w:tcW w:w="2240" w:type="dxa"/>
                  <w:noWrap w:val="0"/>
                  <w:vAlign w:val="top"/>
                </w:tcPr>
                <w:p w14:paraId="14ADC11E">
                  <w:pPr>
                    <w:spacing w:line="280" w:lineRule="exact"/>
                    <w:rPr>
                      <w:rFonts w:hint="eastAsia"/>
                      <w:color w:val="auto"/>
                      <w:highlight w:val="none"/>
                    </w:rPr>
                  </w:pPr>
                </w:p>
              </w:tc>
              <w:tc>
                <w:tcPr>
                  <w:tcW w:w="1080" w:type="dxa"/>
                  <w:noWrap w:val="0"/>
                  <w:vAlign w:val="top"/>
                </w:tcPr>
                <w:p w14:paraId="0C9C02F2">
                  <w:pPr>
                    <w:spacing w:line="280" w:lineRule="exact"/>
                    <w:rPr>
                      <w:rFonts w:hint="eastAsia"/>
                      <w:color w:val="auto"/>
                      <w:highlight w:val="none"/>
                    </w:rPr>
                  </w:pPr>
                </w:p>
              </w:tc>
            </w:tr>
          </w:tbl>
          <w:p w14:paraId="70A3BB24">
            <w:pPr>
              <w:wordWrap w:val="0"/>
              <w:spacing w:line="400" w:lineRule="exact"/>
              <w:ind w:right="420"/>
              <w:rPr>
                <w:rFonts w:hint="eastAsia"/>
                <w:color w:val="auto"/>
                <w:highlight w:val="none"/>
              </w:rPr>
            </w:pPr>
          </w:p>
          <w:p w14:paraId="309DB43A">
            <w:pPr>
              <w:wordWrap w:val="0"/>
              <w:spacing w:line="400" w:lineRule="exact"/>
              <w:ind w:right="420"/>
              <w:rPr>
                <w:rFonts w:hint="eastAsia"/>
                <w:color w:val="auto"/>
                <w:highlight w:val="none"/>
              </w:rPr>
            </w:pPr>
            <w:r>
              <w:rPr>
                <w:rFonts w:hint="eastAsia"/>
                <w:color w:val="auto"/>
                <w:highlight w:val="none"/>
              </w:rPr>
              <w:t xml:space="preserve">                                            承包人（章）             </w:t>
            </w:r>
          </w:p>
          <w:p w14:paraId="7631FCCF">
            <w:pPr>
              <w:spacing w:line="400" w:lineRule="exact"/>
              <w:ind w:right="420" w:firstLine="435"/>
              <w:rPr>
                <w:rFonts w:hint="eastAsia"/>
                <w:color w:val="auto"/>
                <w:highlight w:val="none"/>
              </w:rPr>
            </w:pPr>
            <w:r>
              <w:rPr>
                <w:rFonts w:hint="eastAsia"/>
                <w:color w:val="auto"/>
                <w:highlight w:val="none"/>
              </w:rPr>
              <w:t>造价人员</w:t>
            </w:r>
            <w:r>
              <w:rPr>
                <w:rFonts w:hint="eastAsia"/>
                <w:color w:val="auto"/>
                <w:highlight w:val="none"/>
                <w:u w:val="single"/>
              </w:rPr>
              <w:t xml:space="preserve">               </w:t>
            </w:r>
            <w:r>
              <w:rPr>
                <w:rFonts w:hint="eastAsia"/>
                <w:color w:val="auto"/>
                <w:highlight w:val="none"/>
              </w:rPr>
              <w:t>承包人代表</w:t>
            </w:r>
            <w:r>
              <w:rPr>
                <w:rFonts w:hint="eastAsia"/>
                <w:color w:val="auto"/>
                <w:highlight w:val="none"/>
                <w:u w:val="single"/>
              </w:rPr>
              <w:t xml:space="preserve">               </w:t>
            </w:r>
            <w:r>
              <w:rPr>
                <w:rFonts w:hint="eastAsia"/>
                <w:color w:val="auto"/>
                <w:highlight w:val="none"/>
              </w:rPr>
              <w:t>日      期</w:t>
            </w:r>
            <w:r>
              <w:rPr>
                <w:rFonts w:hint="eastAsia"/>
                <w:color w:val="auto"/>
                <w:highlight w:val="none"/>
                <w:u w:val="single"/>
              </w:rPr>
              <w:t xml:space="preserve">               </w:t>
            </w:r>
          </w:p>
        </w:tc>
      </w:tr>
      <w:tr w14:paraId="20786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520" w:type="dxa"/>
            <w:noWrap w:val="0"/>
            <w:vAlign w:val="top"/>
          </w:tcPr>
          <w:p w14:paraId="76968CC2">
            <w:pPr>
              <w:spacing w:line="360" w:lineRule="exact"/>
              <w:rPr>
                <w:rFonts w:hint="eastAsia"/>
                <w:color w:val="auto"/>
                <w:highlight w:val="none"/>
              </w:rPr>
            </w:pPr>
            <w:r>
              <w:rPr>
                <w:rFonts w:hint="eastAsia"/>
                <w:color w:val="auto"/>
                <w:highlight w:val="none"/>
              </w:rPr>
              <w:t>复核意见：</w:t>
            </w:r>
          </w:p>
          <w:p w14:paraId="3ADC54CB">
            <w:pPr>
              <w:spacing w:line="360" w:lineRule="exact"/>
              <w:ind w:firstLine="312"/>
              <w:rPr>
                <w:rFonts w:hint="eastAsia"/>
                <w:color w:val="auto"/>
                <w:highlight w:val="none"/>
              </w:rPr>
            </w:pPr>
            <w:r>
              <w:rPr>
                <w:rFonts w:hint="eastAsia"/>
                <w:color w:val="auto"/>
                <w:highlight w:val="none"/>
              </w:rPr>
              <w:t>□与合同约定不相符，修改意见见附件。</w:t>
            </w:r>
          </w:p>
          <w:p w14:paraId="673C308C">
            <w:pPr>
              <w:spacing w:line="360" w:lineRule="exact"/>
              <w:ind w:firstLine="312"/>
              <w:rPr>
                <w:rFonts w:hint="eastAsia"/>
                <w:color w:val="auto"/>
                <w:highlight w:val="none"/>
              </w:rPr>
            </w:pPr>
            <w:r>
              <w:rPr>
                <w:rFonts w:hint="eastAsia"/>
                <w:color w:val="auto"/>
                <w:highlight w:val="none"/>
              </w:rPr>
              <w:t>□与合同约定相符，具体金额由造价工程师复核。</w:t>
            </w:r>
          </w:p>
          <w:p w14:paraId="7C7A9DD9">
            <w:pPr>
              <w:spacing w:line="360" w:lineRule="exact"/>
              <w:ind w:firstLine="435"/>
              <w:jc w:val="right"/>
              <w:rPr>
                <w:rFonts w:hint="eastAsia"/>
                <w:color w:val="auto"/>
                <w:highlight w:val="none"/>
              </w:rPr>
            </w:pPr>
          </w:p>
          <w:p w14:paraId="5EC16182">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监理工程师</w:t>
            </w:r>
            <w:r>
              <w:rPr>
                <w:rFonts w:hint="eastAsia"/>
                <w:color w:val="auto"/>
                <w:highlight w:val="none"/>
                <w:u w:val="single"/>
              </w:rPr>
              <w:t xml:space="preserve">           </w:t>
            </w:r>
          </w:p>
          <w:p w14:paraId="678F1598">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日      期</w:t>
            </w:r>
            <w:r>
              <w:rPr>
                <w:rFonts w:hint="eastAsia"/>
                <w:color w:val="auto"/>
                <w:highlight w:val="none"/>
                <w:u w:val="single"/>
              </w:rPr>
              <w:t xml:space="preserve">           </w:t>
            </w:r>
          </w:p>
        </w:tc>
        <w:tc>
          <w:tcPr>
            <w:tcW w:w="4552" w:type="dxa"/>
            <w:noWrap w:val="0"/>
            <w:vAlign w:val="top"/>
          </w:tcPr>
          <w:p w14:paraId="6AD7BDEA">
            <w:pPr>
              <w:spacing w:line="360" w:lineRule="exact"/>
              <w:rPr>
                <w:rFonts w:hint="eastAsia"/>
                <w:color w:val="auto"/>
                <w:highlight w:val="none"/>
              </w:rPr>
            </w:pPr>
            <w:r>
              <w:rPr>
                <w:rFonts w:hint="eastAsia"/>
                <w:color w:val="auto"/>
                <w:highlight w:val="none"/>
              </w:rPr>
              <w:t>复核意见：</w:t>
            </w:r>
          </w:p>
          <w:p w14:paraId="017135E8">
            <w:pPr>
              <w:spacing w:line="360" w:lineRule="exact"/>
              <w:ind w:firstLine="435"/>
              <w:rPr>
                <w:rFonts w:hint="eastAsia"/>
                <w:color w:val="auto"/>
                <w:highlight w:val="none"/>
              </w:rPr>
            </w:pPr>
            <w:r>
              <w:rPr>
                <w:rFonts w:hint="eastAsia"/>
                <w:color w:val="auto"/>
                <w:highlight w:val="none"/>
              </w:rPr>
              <w:t>你方提出的支付申请经复核，应支付预付款金额为</w:t>
            </w:r>
            <w:r>
              <w:rPr>
                <w:rFonts w:hint="eastAsia"/>
                <w:color w:val="auto"/>
                <w:highlight w:val="none"/>
                <w:lang w:eastAsia="zh-CN"/>
              </w:rPr>
              <w:t>（</w:t>
            </w:r>
            <w:r>
              <w:rPr>
                <w:rFonts w:hint="eastAsia"/>
                <w:color w:val="auto"/>
                <w:highlight w:val="none"/>
              </w:rPr>
              <w:t>大写</w:t>
            </w:r>
            <w:r>
              <w:rPr>
                <w:rFonts w:hint="eastAsia"/>
                <w:color w:val="auto"/>
                <w:highlight w:val="none"/>
                <w:lang w:eastAsia="zh-CN"/>
              </w:rPr>
              <w:t>）</w:t>
            </w:r>
            <w:r>
              <w:rPr>
                <w:rFonts w:hint="eastAsia"/>
                <w:color w:val="auto"/>
                <w:highlight w:val="none"/>
                <w:u w:val="single"/>
              </w:rPr>
              <w:t xml:space="preserve">                </w:t>
            </w:r>
            <w:r>
              <w:rPr>
                <w:rFonts w:hint="eastAsia"/>
                <w:color w:val="auto"/>
                <w:highlight w:val="none"/>
              </w:rPr>
              <w:t>元，（小写）</w:t>
            </w:r>
          </w:p>
          <w:p w14:paraId="27748EAA">
            <w:pPr>
              <w:spacing w:line="360" w:lineRule="exact"/>
              <w:rPr>
                <w:rFonts w:hint="eastAsia"/>
                <w:color w:val="auto"/>
                <w:highlight w:val="none"/>
              </w:rPr>
            </w:pPr>
            <w:r>
              <w:rPr>
                <w:rFonts w:hint="eastAsia"/>
                <w:color w:val="auto"/>
                <w:highlight w:val="none"/>
                <w:u w:val="single"/>
              </w:rPr>
              <w:t xml:space="preserve">          </w:t>
            </w:r>
            <w:r>
              <w:rPr>
                <w:rFonts w:hint="eastAsia"/>
                <w:color w:val="auto"/>
                <w:highlight w:val="none"/>
              </w:rPr>
              <w:t xml:space="preserve"> 元。</w:t>
            </w:r>
          </w:p>
          <w:p w14:paraId="4F53786E">
            <w:pPr>
              <w:spacing w:line="360" w:lineRule="exact"/>
              <w:rPr>
                <w:rFonts w:hint="eastAsia"/>
                <w:color w:val="auto"/>
                <w:highlight w:val="none"/>
                <w:u w:val="single"/>
              </w:rPr>
            </w:pPr>
          </w:p>
          <w:p w14:paraId="095984DE">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造价工程师</w:t>
            </w:r>
            <w:r>
              <w:rPr>
                <w:rFonts w:hint="eastAsia"/>
                <w:color w:val="auto"/>
                <w:highlight w:val="none"/>
                <w:u w:val="single"/>
              </w:rPr>
              <w:t xml:space="preserve">           </w:t>
            </w:r>
          </w:p>
          <w:p w14:paraId="4F7F081A">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日      期</w:t>
            </w:r>
            <w:r>
              <w:rPr>
                <w:rFonts w:hint="eastAsia"/>
                <w:color w:val="auto"/>
                <w:highlight w:val="none"/>
                <w:u w:val="single"/>
              </w:rPr>
              <w:t xml:space="preserve">           </w:t>
            </w:r>
          </w:p>
        </w:tc>
      </w:tr>
      <w:tr w14:paraId="79A4F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noWrap w:val="0"/>
            <w:vAlign w:val="top"/>
          </w:tcPr>
          <w:p w14:paraId="22BCF7DA">
            <w:pPr>
              <w:spacing w:line="400" w:lineRule="exact"/>
              <w:rPr>
                <w:rFonts w:hint="eastAsia"/>
                <w:color w:val="auto"/>
                <w:highlight w:val="none"/>
              </w:rPr>
            </w:pPr>
            <w:r>
              <w:rPr>
                <w:rFonts w:hint="eastAsia"/>
                <w:color w:val="auto"/>
                <w:highlight w:val="none"/>
              </w:rPr>
              <w:t>审核意见：</w:t>
            </w:r>
          </w:p>
          <w:p w14:paraId="510C5F32">
            <w:pPr>
              <w:spacing w:line="400" w:lineRule="exact"/>
              <w:ind w:firstLine="435"/>
              <w:rPr>
                <w:rFonts w:hint="eastAsia"/>
                <w:color w:val="auto"/>
                <w:highlight w:val="none"/>
              </w:rPr>
            </w:pPr>
            <w:r>
              <w:rPr>
                <w:rFonts w:hint="eastAsia"/>
                <w:color w:val="auto"/>
                <w:highlight w:val="none"/>
              </w:rPr>
              <w:t>□不同意。</w:t>
            </w:r>
          </w:p>
          <w:p w14:paraId="2A47D523">
            <w:pPr>
              <w:spacing w:line="400" w:lineRule="exact"/>
              <w:ind w:firstLine="420" w:firstLineChars="200"/>
              <w:rPr>
                <w:rFonts w:hint="eastAsia"/>
                <w:color w:val="auto"/>
                <w:highlight w:val="none"/>
              </w:rPr>
            </w:pPr>
            <w:r>
              <w:rPr>
                <w:rFonts w:hint="eastAsia"/>
                <w:color w:val="auto"/>
                <w:highlight w:val="none"/>
              </w:rPr>
              <w:t>□同意，支付时间为本表签发后的15天内。</w:t>
            </w:r>
          </w:p>
          <w:p w14:paraId="5A629DAA">
            <w:pPr>
              <w:wordWrap w:val="0"/>
              <w:spacing w:line="400" w:lineRule="exact"/>
              <w:ind w:firstLine="420" w:firstLineChars="200"/>
              <w:jc w:val="right"/>
              <w:rPr>
                <w:rFonts w:hint="eastAsia"/>
                <w:color w:val="auto"/>
                <w:highlight w:val="none"/>
              </w:rPr>
            </w:pPr>
            <w:r>
              <w:rPr>
                <w:rFonts w:hint="eastAsia"/>
                <w:color w:val="auto"/>
                <w:highlight w:val="none"/>
              </w:rPr>
              <w:t xml:space="preserve">发包人（章）           </w:t>
            </w:r>
          </w:p>
          <w:p w14:paraId="56D043E1">
            <w:pPr>
              <w:wordWrap w:val="0"/>
              <w:spacing w:line="400" w:lineRule="exact"/>
              <w:ind w:firstLine="420" w:firstLineChars="200"/>
              <w:jc w:val="right"/>
              <w:rPr>
                <w:rFonts w:hint="eastAsia"/>
                <w:color w:val="auto"/>
                <w:highlight w:val="none"/>
                <w:u w:val="single"/>
              </w:rPr>
            </w:pPr>
            <w:r>
              <w:rPr>
                <w:rFonts w:hint="eastAsia"/>
                <w:color w:val="auto"/>
                <w:highlight w:val="none"/>
              </w:rPr>
              <w:t>发包人代表</w:t>
            </w:r>
            <w:r>
              <w:rPr>
                <w:rFonts w:hint="eastAsia"/>
                <w:color w:val="auto"/>
                <w:highlight w:val="none"/>
                <w:u w:val="single"/>
              </w:rPr>
              <w:t xml:space="preserve">             </w:t>
            </w:r>
          </w:p>
          <w:p w14:paraId="1160BF70">
            <w:pPr>
              <w:wordWrap w:val="0"/>
              <w:spacing w:line="400" w:lineRule="exact"/>
              <w:ind w:firstLine="420" w:firstLineChars="200"/>
              <w:jc w:val="right"/>
              <w:rPr>
                <w:rFonts w:hint="eastAsia"/>
                <w:color w:val="auto"/>
                <w:highlight w:val="none"/>
                <w:u w:val="single"/>
              </w:rPr>
            </w:pPr>
            <w:r>
              <w:rPr>
                <w:rFonts w:hint="eastAsia"/>
                <w:color w:val="auto"/>
                <w:highlight w:val="none"/>
              </w:rPr>
              <w:t>日      期</w:t>
            </w:r>
            <w:r>
              <w:rPr>
                <w:rFonts w:hint="eastAsia"/>
                <w:color w:val="auto"/>
                <w:highlight w:val="none"/>
                <w:u w:val="single"/>
              </w:rPr>
              <w:t xml:space="preserve">             </w:t>
            </w:r>
          </w:p>
        </w:tc>
      </w:tr>
    </w:tbl>
    <w:p w14:paraId="30E76B19">
      <w:pPr>
        <w:spacing w:before="120" w:beforeLines="50"/>
        <w:ind w:firstLine="360" w:firstLineChars="200"/>
        <w:rPr>
          <w:rFonts w:hint="eastAsia"/>
          <w:color w:val="auto"/>
          <w:sz w:val="18"/>
          <w:szCs w:val="18"/>
          <w:highlight w:val="none"/>
        </w:rPr>
      </w:pPr>
      <w:r>
        <w:rPr>
          <w:rFonts w:hint="eastAsia"/>
          <w:color w:val="auto"/>
          <w:sz w:val="18"/>
          <w:szCs w:val="18"/>
          <w:highlight w:val="none"/>
        </w:rPr>
        <w:t xml:space="preserve">注：1.在选择栏中的“□”内作标识“√”。 </w:t>
      </w:r>
    </w:p>
    <w:p w14:paraId="3CDB8113">
      <w:pPr>
        <w:spacing w:before="120" w:beforeLines="50"/>
        <w:ind w:left="720" w:hanging="720" w:hangingChars="400"/>
        <w:rPr>
          <w:rFonts w:hint="eastAsia" w:eastAsia="仿宋_GB2312"/>
          <w:color w:val="auto"/>
          <w:sz w:val="30"/>
          <w:szCs w:val="30"/>
          <w:highlight w:val="none"/>
        </w:rPr>
      </w:pPr>
      <w:r>
        <w:rPr>
          <w:rFonts w:hint="eastAsia"/>
          <w:color w:val="auto"/>
          <w:sz w:val="18"/>
          <w:szCs w:val="18"/>
          <w:highlight w:val="none"/>
        </w:rPr>
        <w:t xml:space="preserve">    </w:t>
      </w:r>
      <w:r>
        <w:rPr>
          <w:color w:val="auto"/>
          <w:sz w:val="18"/>
          <w:szCs w:val="18"/>
          <w:highlight w:val="none"/>
        </w:rPr>
        <w:t xml:space="preserve">  </w:t>
      </w:r>
      <w:r>
        <w:rPr>
          <w:rFonts w:hint="eastAsia"/>
          <w:color w:val="auto"/>
          <w:sz w:val="18"/>
          <w:szCs w:val="18"/>
          <w:highlight w:val="none"/>
        </w:rPr>
        <w:t xml:space="preserve">  2.本表一式四份，由承包人填报，发包人、监理人、造价咨询人、承包人各存一份。</w:t>
      </w:r>
    </w:p>
    <w:p w14:paraId="0F7B853C">
      <w:pPr>
        <w:spacing w:before="120" w:beforeLines="50"/>
        <w:ind w:left="1200" w:hanging="1200" w:hangingChars="400"/>
        <w:rPr>
          <w:rFonts w:hint="eastAsia" w:eastAsia="仿宋_GB2312"/>
          <w:color w:val="auto"/>
          <w:sz w:val="30"/>
          <w:szCs w:val="30"/>
          <w:highlight w:val="none"/>
        </w:rPr>
      </w:pPr>
    </w:p>
    <w:p w14:paraId="71B3DDFD">
      <w:pPr>
        <w:spacing w:before="120" w:beforeLines="50"/>
        <w:ind w:left="1200" w:hanging="1200" w:hangingChars="400"/>
        <w:rPr>
          <w:rFonts w:hint="eastAsia" w:eastAsia="仿宋_GB2312"/>
          <w:color w:val="auto"/>
          <w:sz w:val="30"/>
          <w:szCs w:val="30"/>
          <w:highlight w:val="none"/>
        </w:rPr>
      </w:pPr>
      <w:r>
        <w:rPr>
          <w:rFonts w:hint="eastAsia" w:eastAsia="仿宋_GB2312"/>
          <w:color w:val="auto"/>
          <w:sz w:val="30"/>
          <w:szCs w:val="30"/>
          <w:highlight w:val="none"/>
        </w:rPr>
        <w:t>附件11：</w:t>
      </w:r>
    </w:p>
    <w:p w14:paraId="5B6DD76F">
      <w:pPr>
        <w:jc w:val="center"/>
        <w:rPr>
          <w:rFonts w:hint="eastAsia"/>
          <w:b/>
          <w:color w:val="auto"/>
          <w:sz w:val="36"/>
          <w:szCs w:val="36"/>
          <w:highlight w:val="none"/>
        </w:rPr>
      </w:pPr>
      <w:r>
        <w:rPr>
          <w:rFonts w:hint="eastAsia"/>
          <w:b/>
          <w:color w:val="auto"/>
          <w:sz w:val="36"/>
          <w:szCs w:val="36"/>
          <w:highlight w:val="none"/>
        </w:rPr>
        <w:t>进度款支付申请（核准）表</w:t>
      </w:r>
    </w:p>
    <w:p w14:paraId="64DDE440">
      <w:pPr>
        <w:rPr>
          <w:rFonts w:hint="eastAsia"/>
          <w:color w:val="auto"/>
          <w:sz w:val="24"/>
          <w:szCs w:val="24"/>
          <w:highlight w:val="none"/>
        </w:rPr>
      </w:pPr>
      <w:r>
        <w:rPr>
          <w:rFonts w:hint="eastAsia"/>
          <w:color w:val="auto"/>
          <w:sz w:val="24"/>
          <w:szCs w:val="24"/>
          <w:highlight w:val="none"/>
        </w:rPr>
        <w:t>工程名称：                                             编号：</w:t>
      </w:r>
    </w:p>
    <w:tbl>
      <w:tblPr>
        <w:tblStyle w:val="55"/>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0"/>
        <w:gridCol w:w="4552"/>
      </w:tblGrid>
      <w:tr w14:paraId="0E065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072" w:type="dxa"/>
            <w:gridSpan w:val="2"/>
            <w:noWrap w:val="0"/>
            <w:vAlign w:val="top"/>
          </w:tcPr>
          <w:p w14:paraId="2828BA42">
            <w:pPr>
              <w:spacing w:line="480" w:lineRule="exact"/>
              <w:ind w:left="525" w:leftChars="149" w:hanging="212" w:hangingChars="101"/>
              <w:rPr>
                <w:rFonts w:hint="eastAsia"/>
                <w:color w:val="auto"/>
                <w:highlight w:val="none"/>
                <w:u w:val="single"/>
              </w:rPr>
            </w:pPr>
            <w:r>
              <w:rPr>
                <w:rFonts w:hint="eastAsia"/>
                <w:color w:val="auto"/>
                <w:highlight w:val="none"/>
              </w:rPr>
              <w:t>致：</w:t>
            </w:r>
            <w:r>
              <w:rPr>
                <w:rFonts w:hint="eastAsia"/>
                <w:color w:val="auto"/>
                <w:highlight w:val="none"/>
                <w:u w:val="single"/>
              </w:rPr>
              <w:t xml:space="preserve">                                   （发包人全称）</w:t>
            </w:r>
          </w:p>
          <w:p w14:paraId="71B99487">
            <w:pPr>
              <w:spacing w:line="400" w:lineRule="exact"/>
              <w:ind w:left="-4" w:leftChars="-2" w:firstLine="315" w:firstLineChars="150"/>
              <w:rPr>
                <w:rFonts w:hint="eastAsia"/>
                <w:color w:val="auto"/>
                <w:highlight w:val="none"/>
              </w:rPr>
            </w:pPr>
            <w:r>
              <w:rPr>
                <w:rFonts w:hint="eastAsia"/>
                <w:color w:val="auto"/>
                <w:highlight w:val="none"/>
              </w:rPr>
              <w:t>我方于</w:t>
            </w:r>
            <w:r>
              <w:rPr>
                <w:rFonts w:hint="eastAsia"/>
                <w:color w:val="auto"/>
                <w:highlight w:val="none"/>
                <w:u w:val="single"/>
              </w:rPr>
              <w:t xml:space="preserve">         </w:t>
            </w:r>
            <w:r>
              <w:rPr>
                <w:rFonts w:hint="eastAsia"/>
                <w:color w:val="auto"/>
                <w:highlight w:val="none"/>
              </w:rPr>
              <w:t>至</w:t>
            </w:r>
            <w:r>
              <w:rPr>
                <w:rFonts w:hint="eastAsia"/>
                <w:color w:val="auto"/>
                <w:highlight w:val="none"/>
                <w:u w:val="single"/>
              </w:rPr>
              <w:t xml:space="preserve">          </w:t>
            </w:r>
            <w:r>
              <w:rPr>
                <w:rFonts w:hint="eastAsia"/>
                <w:color w:val="auto"/>
                <w:highlight w:val="none"/>
              </w:rPr>
              <w:t>期间已完成了</w:t>
            </w:r>
            <w:r>
              <w:rPr>
                <w:rFonts w:hint="eastAsia"/>
                <w:color w:val="auto"/>
                <w:highlight w:val="none"/>
                <w:u w:val="single"/>
              </w:rPr>
              <w:t xml:space="preserve">               </w:t>
            </w:r>
            <w:r>
              <w:rPr>
                <w:rFonts w:hint="eastAsia"/>
                <w:color w:val="auto"/>
                <w:highlight w:val="none"/>
              </w:rPr>
              <w:t>工作，根据施工合同的约定，现申请支付本期的合同款额为</w:t>
            </w:r>
            <w:r>
              <w:rPr>
                <w:rFonts w:hint="eastAsia"/>
                <w:color w:val="auto"/>
                <w:highlight w:val="none"/>
                <w:lang w:eastAsia="zh-CN"/>
              </w:rPr>
              <w:t>（</w:t>
            </w:r>
            <w:r>
              <w:rPr>
                <w:rFonts w:hint="eastAsia"/>
                <w:color w:val="auto"/>
                <w:highlight w:val="none"/>
              </w:rPr>
              <w:t>大写</w:t>
            </w:r>
            <w:r>
              <w:rPr>
                <w:rFonts w:hint="eastAsia"/>
                <w:color w:val="auto"/>
                <w:highlight w:val="none"/>
                <w:lang w:eastAsia="zh-CN"/>
              </w:rPr>
              <w:t>）</w:t>
            </w:r>
            <w:r>
              <w:rPr>
                <w:rFonts w:hint="eastAsia"/>
                <w:color w:val="auto"/>
                <w:highlight w:val="none"/>
                <w:u w:val="single"/>
              </w:rPr>
              <w:t xml:space="preserve">            </w:t>
            </w:r>
            <w:r>
              <w:rPr>
                <w:rFonts w:hint="eastAsia"/>
                <w:color w:val="auto"/>
                <w:highlight w:val="none"/>
              </w:rPr>
              <w:t>元，</w:t>
            </w:r>
            <w:r>
              <w:rPr>
                <w:rFonts w:hint="eastAsia"/>
                <w:color w:val="auto"/>
                <w:highlight w:val="none"/>
                <w:lang w:eastAsia="zh-CN"/>
              </w:rPr>
              <w:t>（</w:t>
            </w:r>
            <w:r>
              <w:rPr>
                <w:rFonts w:hint="eastAsia"/>
                <w:color w:val="auto"/>
                <w:highlight w:val="none"/>
              </w:rPr>
              <w:t>小写</w:t>
            </w:r>
            <w:r>
              <w:rPr>
                <w:rFonts w:hint="eastAsia"/>
                <w:color w:val="auto"/>
                <w:highlight w:val="none"/>
                <w:lang w:eastAsia="zh-CN"/>
              </w:rPr>
              <w:t>）</w:t>
            </w:r>
            <w:r>
              <w:rPr>
                <w:rFonts w:hint="eastAsia"/>
                <w:color w:val="auto"/>
                <w:highlight w:val="none"/>
                <w:u w:val="single"/>
              </w:rPr>
              <w:t xml:space="preserve">         </w:t>
            </w:r>
            <w:r>
              <w:rPr>
                <w:rFonts w:hint="eastAsia"/>
                <w:color w:val="auto"/>
                <w:highlight w:val="none"/>
              </w:rPr>
              <w:t>元，请予核准。</w:t>
            </w:r>
          </w:p>
          <w:tbl>
            <w:tblPr>
              <w:tblStyle w:val="55"/>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3340"/>
              <w:gridCol w:w="1340"/>
              <w:gridCol w:w="1440"/>
              <w:gridCol w:w="1260"/>
              <w:gridCol w:w="931"/>
            </w:tblGrid>
            <w:tr w14:paraId="5C615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00BF8F67">
                  <w:pPr>
                    <w:spacing w:line="280" w:lineRule="exact"/>
                    <w:jc w:val="center"/>
                    <w:rPr>
                      <w:rFonts w:hint="eastAsia"/>
                      <w:color w:val="auto"/>
                      <w:highlight w:val="none"/>
                    </w:rPr>
                  </w:pPr>
                  <w:r>
                    <w:rPr>
                      <w:rFonts w:hint="eastAsia"/>
                      <w:color w:val="auto"/>
                      <w:highlight w:val="none"/>
                    </w:rPr>
                    <w:t>序号</w:t>
                  </w:r>
                </w:p>
              </w:tc>
              <w:tc>
                <w:tcPr>
                  <w:tcW w:w="3340" w:type="dxa"/>
                  <w:noWrap w:val="0"/>
                  <w:vAlign w:val="center"/>
                </w:tcPr>
                <w:p w14:paraId="40443781">
                  <w:pPr>
                    <w:spacing w:line="280" w:lineRule="exact"/>
                    <w:jc w:val="center"/>
                    <w:rPr>
                      <w:rFonts w:hint="eastAsia"/>
                      <w:color w:val="auto"/>
                      <w:highlight w:val="none"/>
                    </w:rPr>
                  </w:pPr>
                  <w:r>
                    <w:rPr>
                      <w:rFonts w:hint="eastAsia"/>
                      <w:color w:val="auto"/>
                      <w:highlight w:val="none"/>
                    </w:rPr>
                    <w:t>名      称</w:t>
                  </w:r>
                </w:p>
              </w:tc>
              <w:tc>
                <w:tcPr>
                  <w:tcW w:w="1340" w:type="dxa"/>
                  <w:noWrap w:val="0"/>
                  <w:vAlign w:val="center"/>
                </w:tcPr>
                <w:p w14:paraId="22F66B19">
                  <w:pPr>
                    <w:spacing w:line="280" w:lineRule="exact"/>
                    <w:jc w:val="center"/>
                    <w:rPr>
                      <w:rFonts w:hint="eastAsia"/>
                      <w:color w:val="auto"/>
                      <w:highlight w:val="none"/>
                    </w:rPr>
                  </w:pPr>
                  <w:r>
                    <w:rPr>
                      <w:rFonts w:hint="eastAsia"/>
                      <w:color w:val="auto"/>
                      <w:highlight w:val="none"/>
                    </w:rPr>
                    <w:t>实际金额（元）</w:t>
                  </w:r>
                </w:p>
              </w:tc>
              <w:tc>
                <w:tcPr>
                  <w:tcW w:w="1440" w:type="dxa"/>
                  <w:noWrap w:val="0"/>
                  <w:vAlign w:val="center"/>
                </w:tcPr>
                <w:p w14:paraId="53EFA64F">
                  <w:pPr>
                    <w:spacing w:line="280" w:lineRule="exact"/>
                    <w:jc w:val="center"/>
                    <w:rPr>
                      <w:rFonts w:hint="eastAsia"/>
                      <w:color w:val="auto"/>
                      <w:highlight w:val="none"/>
                    </w:rPr>
                  </w:pPr>
                  <w:r>
                    <w:rPr>
                      <w:rFonts w:hint="eastAsia"/>
                      <w:color w:val="auto"/>
                      <w:highlight w:val="none"/>
                    </w:rPr>
                    <w:t>申请金额（元）</w:t>
                  </w:r>
                </w:p>
              </w:tc>
              <w:tc>
                <w:tcPr>
                  <w:tcW w:w="1260" w:type="dxa"/>
                  <w:noWrap w:val="0"/>
                  <w:vAlign w:val="center"/>
                </w:tcPr>
                <w:p w14:paraId="4EAC6D38">
                  <w:pPr>
                    <w:spacing w:line="280" w:lineRule="exact"/>
                    <w:jc w:val="center"/>
                    <w:rPr>
                      <w:rFonts w:hint="eastAsia"/>
                      <w:color w:val="auto"/>
                      <w:highlight w:val="none"/>
                    </w:rPr>
                  </w:pPr>
                  <w:r>
                    <w:rPr>
                      <w:rFonts w:hint="eastAsia"/>
                      <w:color w:val="auto"/>
                      <w:highlight w:val="none"/>
                    </w:rPr>
                    <w:t>复核金额（元）</w:t>
                  </w:r>
                </w:p>
              </w:tc>
              <w:tc>
                <w:tcPr>
                  <w:tcW w:w="931" w:type="dxa"/>
                  <w:noWrap w:val="0"/>
                  <w:vAlign w:val="center"/>
                </w:tcPr>
                <w:p w14:paraId="00A7B6C3">
                  <w:pPr>
                    <w:spacing w:line="280" w:lineRule="exact"/>
                    <w:jc w:val="center"/>
                    <w:rPr>
                      <w:rFonts w:hint="eastAsia"/>
                      <w:color w:val="auto"/>
                      <w:highlight w:val="none"/>
                    </w:rPr>
                  </w:pPr>
                  <w:r>
                    <w:rPr>
                      <w:rFonts w:hint="eastAsia"/>
                      <w:color w:val="auto"/>
                      <w:highlight w:val="none"/>
                    </w:rPr>
                    <w:t>备注</w:t>
                  </w:r>
                </w:p>
              </w:tc>
            </w:tr>
            <w:tr w14:paraId="132A4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3A1DDF23">
                  <w:pPr>
                    <w:spacing w:line="280" w:lineRule="exact"/>
                    <w:jc w:val="center"/>
                    <w:rPr>
                      <w:rFonts w:hint="eastAsia"/>
                      <w:color w:val="auto"/>
                      <w:highlight w:val="none"/>
                    </w:rPr>
                  </w:pPr>
                  <w:r>
                    <w:rPr>
                      <w:rFonts w:hint="eastAsia"/>
                      <w:color w:val="auto"/>
                      <w:highlight w:val="none"/>
                    </w:rPr>
                    <w:t>1</w:t>
                  </w:r>
                </w:p>
              </w:tc>
              <w:tc>
                <w:tcPr>
                  <w:tcW w:w="3340" w:type="dxa"/>
                  <w:noWrap w:val="0"/>
                  <w:vAlign w:val="top"/>
                </w:tcPr>
                <w:p w14:paraId="2F43A02F">
                  <w:pPr>
                    <w:spacing w:line="280" w:lineRule="exact"/>
                    <w:rPr>
                      <w:rFonts w:hint="eastAsia"/>
                      <w:color w:val="auto"/>
                      <w:highlight w:val="none"/>
                    </w:rPr>
                  </w:pPr>
                  <w:r>
                    <w:rPr>
                      <w:rFonts w:hint="eastAsia"/>
                      <w:color w:val="auto"/>
                      <w:highlight w:val="none"/>
                    </w:rPr>
                    <w:t>累计已完成的工程价款</w:t>
                  </w:r>
                </w:p>
              </w:tc>
              <w:tc>
                <w:tcPr>
                  <w:tcW w:w="1340" w:type="dxa"/>
                  <w:noWrap w:val="0"/>
                  <w:vAlign w:val="top"/>
                </w:tcPr>
                <w:p w14:paraId="52BC4223">
                  <w:pPr>
                    <w:spacing w:line="280" w:lineRule="exact"/>
                    <w:rPr>
                      <w:rFonts w:hint="eastAsia"/>
                      <w:color w:val="auto"/>
                      <w:highlight w:val="none"/>
                    </w:rPr>
                  </w:pPr>
                </w:p>
              </w:tc>
              <w:tc>
                <w:tcPr>
                  <w:tcW w:w="1440" w:type="dxa"/>
                  <w:noWrap w:val="0"/>
                  <w:vAlign w:val="top"/>
                </w:tcPr>
                <w:p w14:paraId="4FBDBBC0">
                  <w:pPr>
                    <w:spacing w:line="280" w:lineRule="exact"/>
                    <w:rPr>
                      <w:rFonts w:hint="eastAsia"/>
                      <w:color w:val="auto"/>
                      <w:highlight w:val="none"/>
                    </w:rPr>
                  </w:pPr>
                </w:p>
              </w:tc>
              <w:tc>
                <w:tcPr>
                  <w:tcW w:w="1260" w:type="dxa"/>
                  <w:noWrap w:val="0"/>
                  <w:vAlign w:val="top"/>
                </w:tcPr>
                <w:p w14:paraId="2E711050">
                  <w:pPr>
                    <w:spacing w:line="280" w:lineRule="exact"/>
                    <w:rPr>
                      <w:rFonts w:hint="eastAsia"/>
                      <w:color w:val="auto"/>
                      <w:highlight w:val="none"/>
                    </w:rPr>
                  </w:pPr>
                </w:p>
              </w:tc>
              <w:tc>
                <w:tcPr>
                  <w:tcW w:w="931" w:type="dxa"/>
                  <w:noWrap w:val="0"/>
                  <w:vAlign w:val="top"/>
                </w:tcPr>
                <w:p w14:paraId="38662A37">
                  <w:pPr>
                    <w:spacing w:line="280" w:lineRule="exact"/>
                    <w:rPr>
                      <w:rFonts w:hint="eastAsia"/>
                      <w:color w:val="auto"/>
                      <w:highlight w:val="none"/>
                    </w:rPr>
                  </w:pPr>
                </w:p>
              </w:tc>
            </w:tr>
            <w:tr w14:paraId="70BF2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33D7AA3C">
                  <w:pPr>
                    <w:spacing w:line="280" w:lineRule="exact"/>
                    <w:jc w:val="center"/>
                    <w:rPr>
                      <w:rFonts w:hint="eastAsia"/>
                      <w:color w:val="auto"/>
                      <w:highlight w:val="none"/>
                    </w:rPr>
                  </w:pPr>
                </w:p>
              </w:tc>
              <w:tc>
                <w:tcPr>
                  <w:tcW w:w="3340" w:type="dxa"/>
                  <w:noWrap w:val="0"/>
                  <w:vAlign w:val="top"/>
                </w:tcPr>
                <w:p w14:paraId="51BEBA69">
                  <w:pPr>
                    <w:spacing w:line="280" w:lineRule="exact"/>
                    <w:rPr>
                      <w:rFonts w:hint="eastAsia"/>
                      <w:color w:val="auto"/>
                      <w:highlight w:val="none"/>
                    </w:rPr>
                  </w:pPr>
                  <w:r>
                    <w:rPr>
                      <w:rFonts w:hint="eastAsia"/>
                      <w:color w:val="auto"/>
                      <w:highlight w:val="none"/>
                    </w:rPr>
                    <w:t>其中：人工费</w:t>
                  </w:r>
                </w:p>
              </w:tc>
              <w:tc>
                <w:tcPr>
                  <w:tcW w:w="1340" w:type="dxa"/>
                  <w:noWrap w:val="0"/>
                  <w:vAlign w:val="top"/>
                </w:tcPr>
                <w:p w14:paraId="5AA28747">
                  <w:pPr>
                    <w:spacing w:line="280" w:lineRule="exact"/>
                    <w:rPr>
                      <w:rFonts w:hint="eastAsia"/>
                      <w:color w:val="auto"/>
                      <w:highlight w:val="none"/>
                    </w:rPr>
                  </w:pPr>
                </w:p>
              </w:tc>
              <w:tc>
                <w:tcPr>
                  <w:tcW w:w="1440" w:type="dxa"/>
                  <w:noWrap w:val="0"/>
                  <w:vAlign w:val="top"/>
                </w:tcPr>
                <w:p w14:paraId="3F592A68">
                  <w:pPr>
                    <w:spacing w:line="280" w:lineRule="exact"/>
                    <w:rPr>
                      <w:rFonts w:hint="eastAsia"/>
                      <w:color w:val="auto"/>
                      <w:highlight w:val="none"/>
                    </w:rPr>
                  </w:pPr>
                </w:p>
              </w:tc>
              <w:tc>
                <w:tcPr>
                  <w:tcW w:w="1260" w:type="dxa"/>
                  <w:noWrap w:val="0"/>
                  <w:vAlign w:val="top"/>
                </w:tcPr>
                <w:p w14:paraId="477124FD">
                  <w:pPr>
                    <w:spacing w:line="280" w:lineRule="exact"/>
                    <w:rPr>
                      <w:rFonts w:hint="eastAsia"/>
                      <w:color w:val="auto"/>
                      <w:highlight w:val="none"/>
                    </w:rPr>
                  </w:pPr>
                </w:p>
              </w:tc>
              <w:tc>
                <w:tcPr>
                  <w:tcW w:w="931" w:type="dxa"/>
                  <w:noWrap w:val="0"/>
                  <w:vAlign w:val="top"/>
                </w:tcPr>
                <w:p w14:paraId="34A76D60">
                  <w:pPr>
                    <w:spacing w:line="280" w:lineRule="exact"/>
                    <w:rPr>
                      <w:rFonts w:hint="eastAsia"/>
                      <w:color w:val="auto"/>
                      <w:highlight w:val="none"/>
                    </w:rPr>
                  </w:pPr>
                </w:p>
              </w:tc>
            </w:tr>
            <w:tr w14:paraId="12DF5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6BDC48C">
                  <w:pPr>
                    <w:spacing w:line="280" w:lineRule="exact"/>
                    <w:jc w:val="center"/>
                    <w:rPr>
                      <w:rFonts w:hint="eastAsia"/>
                      <w:color w:val="auto"/>
                      <w:highlight w:val="none"/>
                    </w:rPr>
                  </w:pPr>
                  <w:r>
                    <w:rPr>
                      <w:rFonts w:hint="eastAsia"/>
                      <w:color w:val="auto"/>
                      <w:highlight w:val="none"/>
                    </w:rPr>
                    <w:t>2</w:t>
                  </w:r>
                </w:p>
              </w:tc>
              <w:tc>
                <w:tcPr>
                  <w:tcW w:w="3340" w:type="dxa"/>
                  <w:noWrap w:val="0"/>
                  <w:vAlign w:val="top"/>
                </w:tcPr>
                <w:p w14:paraId="32E03D30">
                  <w:pPr>
                    <w:spacing w:line="280" w:lineRule="exact"/>
                    <w:rPr>
                      <w:rFonts w:hint="eastAsia"/>
                      <w:color w:val="auto"/>
                      <w:highlight w:val="none"/>
                    </w:rPr>
                  </w:pPr>
                  <w:r>
                    <w:rPr>
                      <w:rFonts w:hint="eastAsia"/>
                      <w:color w:val="auto"/>
                      <w:highlight w:val="none"/>
                    </w:rPr>
                    <w:t>累计已实际支付的工程价款</w:t>
                  </w:r>
                </w:p>
              </w:tc>
              <w:tc>
                <w:tcPr>
                  <w:tcW w:w="1340" w:type="dxa"/>
                  <w:noWrap w:val="0"/>
                  <w:vAlign w:val="top"/>
                </w:tcPr>
                <w:p w14:paraId="61A9042B">
                  <w:pPr>
                    <w:spacing w:line="280" w:lineRule="exact"/>
                    <w:rPr>
                      <w:rFonts w:hint="eastAsia"/>
                      <w:color w:val="auto"/>
                      <w:highlight w:val="none"/>
                    </w:rPr>
                  </w:pPr>
                </w:p>
              </w:tc>
              <w:tc>
                <w:tcPr>
                  <w:tcW w:w="1440" w:type="dxa"/>
                  <w:noWrap w:val="0"/>
                  <w:vAlign w:val="top"/>
                </w:tcPr>
                <w:p w14:paraId="73CC8518">
                  <w:pPr>
                    <w:spacing w:line="280" w:lineRule="exact"/>
                    <w:rPr>
                      <w:rFonts w:hint="eastAsia"/>
                      <w:color w:val="auto"/>
                      <w:highlight w:val="none"/>
                    </w:rPr>
                  </w:pPr>
                </w:p>
              </w:tc>
              <w:tc>
                <w:tcPr>
                  <w:tcW w:w="1260" w:type="dxa"/>
                  <w:noWrap w:val="0"/>
                  <w:vAlign w:val="top"/>
                </w:tcPr>
                <w:p w14:paraId="0228CF5D">
                  <w:pPr>
                    <w:spacing w:line="280" w:lineRule="exact"/>
                    <w:rPr>
                      <w:rFonts w:hint="eastAsia"/>
                      <w:color w:val="auto"/>
                      <w:highlight w:val="none"/>
                    </w:rPr>
                  </w:pPr>
                </w:p>
              </w:tc>
              <w:tc>
                <w:tcPr>
                  <w:tcW w:w="931" w:type="dxa"/>
                  <w:noWrap w:val="0"/>
                  <w:vAlign w:val="top"/>
                </w:tcPr>
                <w:p w14:paraId="3C09A554">
                  <w:pPr>
                    <w:spacing w:line="280" w:lineRule="exact"/>
                    <w:rPr>
                      <w:rFonts w:hint="eastAsia"/>
                      <w:color w:val="auto"/>
                      <w:highlight w:val="none"/>
                    </w:rPr>
                  </w:pPr>
                </w:p>
              </w:tc>
            </w:tr>
            <w:tr w14:paraId="75144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E6170F2">
                  <w:pPr>
                    <w:spacing w:line="280" w:lineRule="exact"/>
                    <w:jc w:val="center"/>
                    <w:rPr>
                      <w:rFonts w:hint="eastAsia"/>
                      <w:color w:val="auto"/>
                      <w:highlight w:val="none"/>
                    </w:rPr>
                  </w:pPr>
                </w:p>
              </w:tc>
              <w:tc>
                <w:tcPr>
                  <w:tcW w:w="3340" w:type="dxa"/>
                  <w:noWrap w:val="0"/>
                  <w:vAlign w:val="top"/>
                </w:tcPr>
                <w:p w14:paraId="265A3027">
                  <w:pPr>
                    <w:spacing w:line="280" w:lineRule="exact"/>
                    <w:rPr>
                      <w:rFonts w:hint="eastAsia"/>
                      <w:color w:val="auto"/>
                      <w:highlight w:val="none"/>
                    </w:rPr>
                  </w:pPr>
                  <w:r>
                    <w:rPr>
                      <w:rFonts w:hint="eastAsia"/>
                      <w:color w:val="auto"/>
                      <w:highlight w:val="none"/>
                    </w:rPr>
                    <w:t>其中：人工费</w:t>
                  </w:r>
                </w:p>
              </w:tc>
              <w:tc>
                <w:tcPr>
                  <w:tcW w:w="1340" w:type="dxa"/>
                  <w:noWrap w:val="0"/>
                  <w:vAlign w:val="top"/>
                </w:tcPr>
                <w:p w14:paraId="7CB548D3">
                  <w:pPr>
                    <w:spacing w:line="280" w:lineRule="exact"/>
                    <w:rPr>
                      <w:rFonts w:hint="eastAsia"/>
                      <w:color w:val="auto"/>
                      <w:highlight w:val="none"/>
                    </w:rPr>
                  </w:pPr>
                </w:p>
              </w:tc>
              <w:tc>
                <w:tcPr>
                  <w:tcW w:w="1440" w:type="dxa"/>
                  <w:noWrap w:val="0"/>
                  <w:vAlign w:val="top"/>
                </w:tcPr>
                <w:p w14:paraId="6F66BB86">
                  <w:pPr>
                    <w:spacing w:line="280" w:lineRule="exact"/>
                    <w:rPr>
                      <w:rFonts w:hint="eastAsia"/>
                      <w:color w:val="auto"/>
                      <w:highlight w:val="none"/>
                    </w:rPr>
                  </w:pPr>
                </w:p>
              </w:tc>
              <w:tc>
                <w:tcPr>
                  <w:tcW w:w="1260" w:type="dxa"/>
                  <w:noWrap w:val="0"/>
                  <w:vAlign w:val="top"/>
                </w:tcPr>
                <w:p w14:paraId="6C28443A">
                  <w:pPr>
                    <w:spacing w:line="280" w:lineRule="exact"/>
                    <w:rPr>
                      <w:rFonts w:hint="eastAsia"/>
                      <w:color w:val="auto"/>
                      <w:highlight w:val="none"/>
                    </w:rPr>
                  </w:pPr>
                </w:p>
              </w:tc>
              <w:tc>
                <w:tcPr>
                  <w:tcW w:w="931" w:type="dxa"/>
                  <w:noWrap w:val="0"/>
                  <w:vAlign w:val="top"/>
                </w:tcPr>
                <w:p w14:paraId="24A07215">
                  <w:pPr>
                    <w:spacing w:line="280" w:lineRule="exact"/>
                    <w:rPr>
                      <w:rFonts w:hint="eastAsia"/>
                      <w:color w:val="auto"/>
                      <w:highlight w:val="none"/>
                    </w:rPr>
                  </w:pPr>
                </w:p>
              </w:tc>
            </w:tr>
            <w:tr w14:paraId="754B9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1C93E03">
                  <w:pPr>
                    <w:spacing w:line="280" w:lineRule="exact"/>
                    <w:jc w:val="center"/>
                    <w:rPr>
                      <w:rFonts w:hint="eastAsia"/>
                      <w:color w:val="auto"/>
                      <w:highlight w:val="none"/>
                    </w:rPr>
                  </w:pPr>
                  <w:r>
                    <w:rPr>
                      <w:rFonts w:hint="eastAsia"/>
                      <w:color w:val="auto"/>
                      <w:highlight w:val="none"/>
                    </w:rPr>
                    <w:t>3</w:t>
                  </w:r>
                </w:p>
              </w:tc>
              <w:tc>
                <w:tcPr>
                  <w:tcW w:w="3340" w:type="dxa"/>
                  <w:noWrap w:val="0"/>
                  <w:vAlign w:val="top"/>
                </w:tcPr>
                <w:p w14:paraId="744041BF">
                  <w:pPr>
                    <w:spacing w:line="280" w:lineRule="exact"/>
                    <w:rPr>
                      <w:rFonts w:hint="eastAsia"/>
                      <w:color w:val="auto"/>
                      <w:highlight w:val="none"/>
                    </w:rPr>
                  </w:pPr>
                  <w:r>
                    <w:rPr>
                      <w:rFonts w:hint="eastAsia"/>
                      <w:color w:val="auto"/>
                      <w:highlight w:val="none"/>
                    </w:rPr>
                    <w:t>本周期已完成的工程价款</w:t>
                  </w:r>
                </w:p>
              </w:tc>
              <w:tc>
                <w:tcPr>
                  <w:tcW w:w="1340" w:type="dxa"/>
                  <w:noWrap w:val="0"/>
                  <w:vAlign w:val="top"/>
                </w:tcPr>
                <w:p w14:paraId="28AD4C07">
                  <w:pPr>
                    <w:spacing w:line="280" w:lineRule="exact"/>
                    <w:rPr>
                      <w:rFonts w:hint="eastAsia"/>
                      <w:color w:val="auto"/>
                      <w:highlight w:val="none"/>
                    </w:rPr>
                  </w:pPr>
                </w:p>
              </w:tc>
              <w:tc>
                <w:tcPr>
                  <w:tcW w:w="1440" w:type="dxa"/>
                  <w:noWrap w:val="0"/>
                  <w:vAlign w:val="top"/>
                </w:tcPr>
                <w:p w14:paraId="626ABCD8">
                  <w:pPr>
                    <w:spacing w:line="280" w:lineRule="exact"/>
                    <w:rPr>
                      <w:rFonts w:hint="eastAsia"/>
                      <w:color w:val="auto"/>
                      <w:highlight w:val="none"/>
                    </w:rPr>
                  </w:pPr>
                </w:p>
              </w:tc>
              <w:tc>
                <w:tcPr>
                  <w:tcW w:w="1260" w:type="dxa"/>
                  <w:noWrap w:val="0"/>
                  <w:vAlign w:val="top"/>
                </w:tcPr>
                <w:p w14:paraId="3B1E36F1">
                  <w:pPr>
                    <w:spacing w:line="280" w:lineRule="exact"/>
                    <w:rPr>
                      <w:rFonts w:hint="eastAsia"/>
                      <w:color w:val="auto"/>
                      <w:highlight w:val="none"/>
                    </w:rPr>
                  </w:pPr>
                </w:p>
              </w:tc>
              <w:tc>
                <w:tcPr>
                  <w:tcW w:w="931" w:type="dxa"/>
                  <w:noWrap w:val="0"/>
                  <w:vAlign w:val="top"/>
                </w:tcPr>
                <w:p w14:paraId="24534114">
                  <w:pPr>
                    <w:spacing w:line="280" w:lineRule="exact"/>
                    <w:rPr>
                      <w:rFonts w:hint="eastAsia"/>
                      <w:color w:val="auto"/>
                      <w:highlight w:val="none"/>
                    </w:rPr>
                  </w:pPr>
                </w:p>
              </w:tc>
            </w:tr>
            <w:tr w14:paraId="63AA9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B30B4AB">
                  <w:pPr>
                    <w:spacing w:line="280" w:lineRule="exact"/>
                    <w:jc w:val="center"/>
                    <w:rPr>
                      <w:rFonts w:hint="eastAsia"/>
                      <w:color w:val="auto"/>
                      <w:highlight w:val="none"/>
                    </w:rPr>
                  </w:pPr>
                </w:p>
              </w:tc>
              <w:tc>
                <w:tcPr>
                  <w:tcW w:w="3340" w:type="dxa"/>
                  <w:noWrap w:val="0"/>
                  <w:vAlign w:val="top"/>
                </w:tcPr>
                <w:p w14:paraId="6C426BAA">
                  <w:pPr>
                    <w:spacing w:line="280" w:lineRule="exact"/>
                    <w:rPr>
                      <w:rFonts w:hint="eastAsia"/>
                      <w:color w:val="auto"/>
                      <w:highlight w:val="none"/>
                    </w:rPr>
                  </w:pPr>
                  <w:r>
                    <w:rPr>
                      <w:rFonts w:hint="eastAsia"/>
                      <w:color w:val="auto"/>
                      <w:highlight w:val="none"/>
                    </w:rPr>
                    <w:t>其中：人工费</w:t>
                  </w:r>
                </w:p>
              </w:tc>
              <w:tc>
                <w:tcPr>
                  <w:tcW w:w="1340" w:type="dxa"/>
                  <w:noWrap w:val="0"/>
                  <w:vAlign w:val="top"/>
                </w:tcPr>
                <w:p w14:paraId="1905872F">
                  <w:pPr>
                    <w:spacing w:line="280" w:lineRule="exact"/>
                    <w:rPr>
                      <w:rFonts w:hint="eastAsia"/>
                      <w:color w:val="auto"/>
                      <w:highlight w:val="none"/>
                    </w:rPr>
                  </w:pPr>
                </w:p>
              </w:tc>
              <w:tc>
                <w:tcPr>
                  <w:tcW w:w="1440" w:type="dxa"/>
                  <w:noWrap w:val="0"/>
                  <w:vAlign w:val="top"/>
                </w:tcPr>
                <w:p w14:paraId="078716C2">
                  <w:pPr>
                    <w:spacing w:line="280" w:lineRule="exact"/>
                    <w:rPr>
                      <w:rFonts w:hint="eastAsia"/>
                      <w:color w:val="auto"/>
                      <w:highlight w:val="none"/>
                    </w:rPr>
                  </w:pPr>
                </w:p>
              </w:tc>
              <w:tc>
                <w:tcPr>
                  <w:tcW w:w="1260" w:type="dxa"/>
                  <w:noWrap w:val="0"/>
                  <w:vAlign w:val="top"/>
                </w:tcPr>
                <w:p w14:paraId="0D0BB2D4">
                  <w:pPr>
                    <w:spacing w:line="280" w:lineRule="exact"/>
                    <w:rPr>
                      <w:rFonts w:hint="eastAsia"/>
                      <w:color w:val="auto"/>
                      <w:highlight w:val="none"/>
                    </w:rPr>
                  </w:pPr>
                </w:p>
              </w:tc>
              <w:tc>
                <w:tcPr>
                  <w:tcW w:w="931" w:type="dxa"/>
                  <w:noWrap w:val="0"/>
                  <w:vAlign w:val="top"/>
                </w:tcPr>
                <w:p w14:paraId="2F36BFF3">
                  <w:pPr>
                    <w:spacing w:line="280" w:lineRule="exact"/>
                    <w:rPr>
                      <w:rFonts w:hint="eastAsia"/>
                      <w:color w:val="auto"/>
                      <w:highlight w:val="none"/>
                    </w:rPr>
                  </w:pPr>
                </w:p>
              </w:tc>
            </w:tr>
            <w:tr w14:paraId="0C882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4DF3292">
                  <w:pPr>
                    <w:spacing w:line="280" w:lineRule="exact"/>
                    <w:jc w:val="center"/>
                    <w:rPr>
                      <w:rFonts w:hint="eastAsia"/>
                      <w:color w:val="auto"/>
                      <w:highlight w:val="none"/>
                    </w:rPr>
                  </w:pPr>
                  <w:r>
                    <w:rPr>
                      <w:rFonts w:hint="eastAsia"/>
                      <w:color w:val="auto"/>
                      <w:highlight w:val="none"/>
                    </w:rPr>
                    <w:t>4</w:t>
                  </w:r>
                </w:p>
              </w:tc>
              <w:tc>
                <w:tcPr>
                  <w:tcW w:w="3340" w:type="dxa"/>
                  <w:noWrap w:val="0"/>
                  <w:vAlign w:val="top"/>
                </w:tcPr>
                <w:p w14:paraId="0A20A68E">
                  <w:pPr>
                    <w:spacing w:line="280" w:lineRule="exact"/>
                    <w:rPr>
                      <w:rFonts w:hint="eastAsia"/>
                      <w:color w:val="auto"/>
                      <w:highlight w:val="none"/>
                    </w:rPr>
                  </w:pPr>
                  <w:r>
                    <w:rPr>
                      <w:rFonts w:hint="eastAsia"/>
                      <w:color w:val="auto"/>
                      <w:highlight w:val="none"/>
                    </w:rPr>
                    <w:t>本周期应扣减的金额</w:t>
                  </w:r>
                </w:p>
              </w:tc>
              <w:tc>
                <w:tcPr>
                  <w:tcW w:w="1340" w:type="dxa"/>
                  <w:noWrap w:val="0"/>
                  <w:vAlign w:val="top"/>
                </w:tcPr>
                <w:p w14:paraId="097558CC">
                  <w:pPr>
                    <w:spacing w:line="280" w:lineRule="exact"/>
                    <w:rPr>
                      <w:rFonts w:hint="eastAsia"/>
                      <w:color w:val="auto"/>
                      <w:highlight w:val="none"/>
                    </w:rPr>
                  </w:pPr>
                </w:p>
              </w:tc>
              <w:tc>
                <w:tcPr>
                  <w:tcW w:w="1440" w:type="dxa"/>
                  <w:noWrap w:val="0"/>
                  <w:vAlign w:val="top"/>
                </w:tcPr>
                <w:p w14:paraId="4E1C67E6">
                  <w:pPr>
                    <w:spacing w:line="280" w:lineRule="exact"/>
                    <w:rPr>
                      <w:rFonts w:hint="eastAsia"/>
                      <w:color w:val="auto"/>
                      <w:highlight w:val="none"/>
                    </w:rPr>
                  </w:pPr>
                </w:p>
              </w:tc>
              <w:tc>
                <w:tcPr>
                  <w:tcW w:w="1260" w:type="dxa"/>
                  <w:noWrap w:val="0"/>
                  <w:vAlign w:val="top"/>
                </w:tcPr>
                <w:p w14:paraId="06A54D7B">
                  <w:pPr>
                    <w:spacing w:line="280" w:lineRule="exact"/>
                    <w:rPr>
                      <w:rFonts w:hint="eastAsia"/>
                      <w:color w:val="auto"/>
                      <w:highlight w:val="none"/>
                    </w:rPr>
                  </w:pPr>
                </w:p>
              </w:tc>
              <w:tc>
                <w:tcPr>
                  <w:tcW w:w="931" w:type="dxa"/>
                  <w:noWrap w:val="0"/>
                  <w:vAlign w:val="top"/>
                </w:tcPr>
                <w:p w14:paraId="0E630B11">
                  <w:pPr>
                    <w:spacing w:line="280" w:lineRule="exact"/>
                    <w:rPr>
                      <w:rFonts w:hint="eastAsia"/>
                      <w:color w:val="auto"/>
                      <w:highlight w:val="none"/>
                    </w:rPr>
                  </w:pPr>
                </w:p>
              </w:tc>
            </w:tr>
            <w:tr w14:paraId="5CE85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8C013C8">
                  <w:pPr>
                    <w:spacing w:line="280" w:lineRule="exact"/>
                    <w:jc w:val="center"/>
                    <w:rPr>
                      <w:rFonts w:hint="eastAsia"/>
                      <w:color w:val="auto"/>
                      <w:highlight w:val="none"/>
                    </w:rPr>
                  </w:pPr>
                  <w:r>
                    <w:rPr>
                      <w:rFonts w:hint="eastAsia"/>
                      <w:color w:val="auto"/>
                      <w:highlight w:val="none"/>
                    </w:rPr>
                    <w:t>4.1</w:t>
                  </w:r>
                </w:p>
              </w:tc>
              <w:tc>
                <w:tcPr>
                  <w:tcW w:w="3340" w:type="dxa"/>
                  <w:noWrap w:val="0"/>
                  <w:vAlign w:val="top"/>
                </w:tcPr>
                <w:p w14:paraId="74772835">
                  <w:pPr>
                    <w:spacing w:line="280" w:lineRule="exact"/>
                    <w:rPr>
                      <w:rFonts w:hint="eastAsia"/>
                      <w:color w:val="auto"/>
                      <w:highlight w:val="none"/>
                    </w:rPr>
                  </w:pPr>
                  <w:r>
                    <w:rPr>
                      <w:rFonts w:hint="eastAsia"/>
                      <w:color w:val="auto"/>
                      <w:highlight w:val="none"/>
                    </w:rPr>
                    <w:t>本周期实际应抵扣的预付款</w:t>
                  </w:r>
                </w:p>
              </w:tc>
              <w:tc>
                <w:tcPr>
                  <w:tcW w:w="1340" w:type="dxa"/>
                  <w:noWrap w:val="0"/>
                  <w:vAlign w:val="top"/>
                </w:tcPr>
                <w:p w14:paraId="48F370A6">
                  <w:pPr>
                    <w:spacing w:line="280" w:lineRule="exact"/>
                    <w:rPr>
                      <w:rFonts w:hint="eastAsia"/>
                      <w:color w:val="auto"/>
                      <w:highlight w:val="none"/>
                    </w:rPr>
                  </w:pPr>
                </w:p>
              </w:tc>
              <w:tc>
                <w:tcPr>
                  <w:tcW w:w="1440" w:type="dxa"/>
                  <w:noWrap w:val="0"/>
                  <w:vAlign w:val="top"/>
                </w:tcPr>
                <w:p w14:paraId="0A8BF38E">
                  <w:pPr>
                    <w:spacing w:line="280" w:lineRule="exact"/>
                    <w:rPr>
                      <w:rFonts w:hint="eastAsia"/>
                      <w:color w:val="auto"/>
                      <w:highlight w:val="none"/>
                    </w:rPr>
                  </w:pPr>
                </w:p>
              </w:tc>
              <w:tc>
                <w:tcPr>
                  <w:tcW w:w="1260" w:type="dxa"/>
                  <w:noWrap w:val="0"/>
                  <w:vAlign w:val="top"/>
                </w:tcPr>
                <w:p w14:paraId="3877A4CF">
                  <w:pPr>
                    <w:spacing w:line="280" w:lineRule="exact"/>
                    <w:rPr>
                      <w:rFonts w:hint="eastAsia"/>
                      <w:color w:val="auto"/>
                      <w:highlight w:val="none"/>
                    </w:rPr>
                  </w:pPr>
                </w:p>
              </w:tc>
              <w:tc>
                <w:tcPr>
                  <w:tcW w:w="931" w:type="dxa"/>
                  <w:noWrap w:val="0"/>
                  <w:vAlign w:val="top"/>
                </w:tcPr>
                <w:p w14:paraId="1CE3DA1B">
                  <w:pPr>
                    <w:spacing w:line="280" w:lineRule="exact"/>
                    <w:rPr>
                      <w:rFonts w:hint="eastAsia"/>
                      <w:color w:val="auto"/>
                      <w:highlight w:val="none"/>
                    </w:rPr>
                  </w:pPr>
                </w:p>
              </w:tc>
            </w:tr>
            <w:tr w14:paraId="3670D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0EF32C4">
                  <w:pPr>
                    <w:spacing w:line="280" w:lineRule="exact"/>
                    <w:jc w:val="center"/>
                    <w:rPr>
                      <w:rFonts w:hint="eastAsia"/>
                      <w:color w:val="auto"/>
                      <w:highlight w:val="none"/>
                    </w:rPr>
                  </w:pPr>
                  <w:r>
                    <w:rPr>
                      <w:rFonts w:hint="eastAsia"/>
                      <w:color w:val="auto"/>
                      <w:highlight w:val="none"/>
                    </w:rPr>
                    <w:t>4.2</w:t>
                  </w:r>
                </w:p>
              </w:tc>
              <w:tc>
                <w:tcPr>
                  <w:tcW w:w="3340" w:type="dxa"/>
                  <w:noWrap w:val="0"/>
                  <w:vAlign w:val="top"/>
                </w:tcPr>
                <w:p w14:paraId="63751D80">
                  <w:pPr>
                    <w:spacing w:line="280" w:lineRule="exact"/>
                    <w:rPr>
                      <w:rFonts w:hint="eastAsia"/>
                      <w:color w:val="auto"/>
                      <w:highlight w:val="none"/>
                    </w:rPr>
                  </w:pPr>
                  <w:r>
                    <w:rPr>
                      <w:rFonts w:hint="eastAsia"/>
                      <w:color w:val="auto"/>
                      <w:highlight w:val="none"/>
                    </w:rPr>
                    <w:t>本周期应扣减的金额</w:t>
                  </w:r>
                </w:p>
              </w:tc>
              <w:tc>
                <w:tcPr>
                  <w:tcW w:w="1340" w:type="dxa"/>
                  <w:noWrap w:val="0"/>
                  <w:vAlign w:val="top"/>
                </w:tcPr>
                <w:p w14:paraId="6D9CFDB5">
                  <w:pPr>
                    <w:spacing w:line="280" w:lineRule="exact"/>
                    <w:rPr>
                      <w:rFonts w:hint="eastAsia"/>
                      <w:color w:val="auto"/>
                      <w:highlight w:val="none"/>
                    </w:rPr>
                  </w:pPr>
                </w:p>
              </w:tc>
              <w:tc>
                <w:tcPr>
                  <w:tcW w:w="1440" w:type="dxa"/>
                  <w:noWrap w:val="0"/>
                  <w:vAlign w:val="top"/>
                </w:tcPr>
                <w:p w14:paraId="5A087DEA">
                  <w:pPr>
                    <w:spacing w:line="280" w:lineRule="exact"/>
                    <w:rPr>
                      <w:rFonts w:hint="eastAsia"/>
                      <w:color w:val="auto"/>
                      <w:highlight w:val="none"/>
                    </w:rPr>
                  </w:pPr>
                </w:p>
              </w:tc>
              <w:tc>
                <w:tcPr>
                  <w:tcW w:w="1260" w:type="dxa"/>
                  <w:noWrap w:val="0"/>
                  <w:vAlign w:val="top"/>
                </w:tcPr>
                <w:p w14:paraId="7E455F29">
                  <w:pPr>
                    <w:spacing w:line="280" w:lineRule="exact"/>
                    <w:rPr>
                      <w:rFonts w:hint="eastAsia"/>
                      <w:color w:val="auto"/>
                      <w:highlight w:val="none"/>
                    </w:rPr>
                  </w:pPr>
                </w:p>
              </w:tc>
              <w:tc>
                <w:tcPr>
                  <w:tcW w:w="931" w:type="dxa"/>
                  <w:noWrap w:val="0"/>
                  <w:vAlign w:val="top"/>
                </w:tcPr>
                <w:p w14:paraId="402114C0">
                  <w:pPr>
                    <w:spacing w:line="280" w:lineRule="exact"/>
                    <w:rPr>
                      <w:rFonts w:hint="eastAsia"/>
                      <w:color w:val="auto"/>
                      <w:highlight w:val="none"/>
                    </w:rPr>
                  </w:pPr>
                </w:p>
              </w:tc>
            </w:tr>
            <w:tr w14:paraId="1B6B3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661789F">
                  <w:pPr>
                    <w:spacing w:line="280" w:lineRule="exact"/>
                    <w:jc w:val="center"/>
                    <w:rPr>
                      <w:rFonts w:hint="eastAsia"/>
                      <w:color w:val="auto"/>
                      <w:highlight w:val="none"/>
                    </w:rPr>
                  </w:pPr>
                  <w:r>
                    <w:rPr>
                      <w:rFonts w:hint="eastAsia"/>
                      <w:color w:val="auto"/>
                      <w:highlight w:val="none"/>
                    </w:rPr>
                    <w:t>5</w:t>
                  </w:r>
                </w:p>
              </w:tc>
              <w:tc>
                <w:tcPr>
                  <w:tcW w:w="3340" w:type="dxa"/>
                  <w:noWrap w:val="0"/>
                  <w:vAlign w:val="top"/>
                </w:tcPr>
                <w:p w14:paraId="5EA42755">
                  <w:pPr>
                    <w:spacing w:line="280" w:lineRule="exact"/>
                    <w:rPr>
                      <w:rFonts w:hint="eastAsia"/>
                      <w:color w:val="auto"/>
                      <w:highlight w:val="none"/>
                    </w:rPr>
                  </w:pPr>
                  <w:r>
                    <w:rPr>
                      <w:rFonts w:hint="eastAsia"/>
                      <w:color w:val="auto"/>
                      <w:highlight w:val="none"/>
                    </w:rPr>
                    <w:t>本周期应支付的合同价款</w:t>
                  </w:r>
                </w:p>
              </w:tc>
              <w:tc>
                <w:tcPr>
                  <w:tcW w:w="1340" w:type="dxa"/>
                  <w:noWrap w:val="0"/>
                  <w:vAlign w:val="top"/>
                </w:tcPr>
                <w:p w14:paraId="79286686">
                  <w:pPr>
                    <w:spacing w:line="280" w:lineRule="exact"/>
                    <w:rPr>
                      <w:rFonts w:hint="eastAsia"/>
                      <w:color w:val="auto"/>
                      <w:highlight w:val="none"/>
                    </w:rPr>
                  </w:pPr>
                </w:p>
              </w:tc>
              <w:tc>
                <w:tcPr>
                  <w:tcW w:w="1440" w:type="dxa"/>
                  <w:noWrap w:val="0"/>
                  <w:vAlign w:val="top"/>
                </w:tcPr>
                <w:p w14:paraId="1E2465DD">
                  <w:pPr>
                    <w:spacing w:line="280" w:lineRule="exact"/>
                    <w:rPr>
                      <w:rFonts w:hint="eastAsia"/>
                      <w:color w:val="auto"/>
                      <w:highlight w:val="none"/>
                    </w:rPr>
                  </w:pPr>
                </w:p>
              </w:tc>
              <w:tc>
                <w:tcPr>
                  <w:tcW w:w="1260" w:type="dxa"/>
                  <w:noWrap w:val="0"/>
                  <w:vAlign w:val="top"/>
                </w:tcPr>
                <w:p w14:paraId="4A605F6E">
                  <w:pPr>
                    <w:spacing w:line="280" w:lineRule="exact"/>
                    <w:rPr>
                      <w:rFonts w:hint="eastAsia"/>
                      <w:color w:val="auto"/>
                      <w:highlight w:val="none"/>
                    </w:rPr>
                  </w:pPr>
                </w:p>
              </w:tc>
              <w:tc>
                <w:tcPr>
                  <w:tcW w:w="931" w:type="dxa"/>
                  <w:noWrap w:val="0"/>
                  <w:vAlign w:val="top"/>
                </w:tcPr>
                <w:p w14:paraId="1F830157">
                  <w:pPr>
                    <w:spacing w:line="280" w:lineRule="exact"/>
                    <w:rPr>
                      <w:rFonts w:hint="eastAsia"/>
                      <w:color w:val="auto"/>
                      <w:highlight w:val="none"/>
                    </w:rPr>
                  </w:pPr>
                </w:p>
              </w:tc>
            </w:tr>
            <w:tr w14:paraId="08735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680C424">
                  <w:pPr>
                    <w:spacing w:line="280" w:lineRule="exact"/>
                    <w:jc w:val="center"/>
                    <w:rPr>
                      <w:rFonts w:hint="eastAsia"/>
                      <w:color w:val="auto"/>
                      <w:highlight w:val="none"/>
                    </w:rPr>
                  </w:pPr>
                </w:p>
              </w:tc>
              <w:tc>
                <w:tcPr>
                  <w:tcW w:w="3340" w:type="dxa"/>
                  <w:noWrap w:val="0"/>
                  <w:vAlign w:val="top"/>
                </w:tcPr>
                <w:p w14:paraId="64C3AF39">
                  <w:pPr>
                    <w:spacing w:line="280" w:lineRule="exact"/>
                    <w:rPr>
                      <w:rFonts w:hint="eastAsia"/>
                      <w:color w:val="auto"/>
                      <w:highlight w:val="none"/>
                    </w:rPr>
                  </w:pPr>
                  <w:r>
                    <w:rPr>
                      <w:rFonts w:hint="eastAsia"/>
                      <w:color w:val="auto"/>
                      <w:highlight w:val="none"/>
                    </w:rPr>
                    <w:t>其中：人工费</w:t>
                  </w:r>
                </w:p>
              </w:tc>
              <w:tc>
                <w:tcPr>
                  <w:tcW w:w="1340" w:type="dxa"/>
                  <w:noWrap w:val="0"/>
                  <w:vAlign w:val="top"/>
                </w:tcPr>
                <w:p w14:paraId="555ED127">
                  <w:pPr>
                    <w:spacing w:line="280" w:lineRule="exact"/>
                    <w:rPr>
                      <w:rFonts w:hint="eastAsia"/>
                      <w:color w:val="auto"/>
                      <w:highlight w:val="none"/>
                    </w:rPr>
                  </w:pPr>
                </w:p>
              </w:tc>
              <w:tc>
                <w:tcPr>
                  <w:tcW w:w="1440" w:type="dxa"/>
                  <w:noWrap w:val="0"/>
                  <w:vAlign w:val="top"/>
                </w:tcPr>
                <w:p w14:paraId="07148737">
                  <w:pPr>
                    <w:spacing w:line="280" w:lineRule="exact"/>
                    <w:rPr>
                      <w:rFonts w:hint="eastAsia"/>
                      <w:color w:val="auto"/>
                      <w:highlight w:val="none"/>
                    </w:rPr>
                  </w:pPr>
                </w:p>
              </w:tc>
              <w:tc>
                <w:tcPr>
                  <w:tcW w:w="1260" w:type="dxa"/>
                  <w:noWrap w:val="0"/>
                  <w:vAlign w:val="top"/>
                </w:tcPr>
                <w:p w14:paraId="4D8D0889">
                  <w:pPr>
                    <w:spacing w:line="280" w:lineRule="exact"/>
                    <w:rPr>
                      <w:rFonts w:hint="eastAsia"/>
                      <w:color w:val="auto"/>
                      <w:highlight w:val="none"/>
                    </w:rPr>
                  </w:pPr>
                </w:p>
              </w:tc>
              <w:tc>
                <w:tcPr>
                  <w:tcW w:w="931" w:type="dxa"/>
                  <w:noWrap w:val="0"/>
                  <w:vAlign w:val="top"/>
                </w:tcPr>
                <w:p w14:paraId="2B12F9B6">
                  <w:pPr>
                    <w:spacing w:line="280" w:lineRule="exact"/>
                    <w:rPr>
                      <w:rFonts w:hint="eastAsia"/>
                      <w:color w:val="auto"/>
                      <w:highlight w:val="none"/>
                    </w:rPr>
                  </w:pPr>
                </w:p>
              </w:tc>
            </w:tr>
          </w:tbl>
          <w:p w14:paraId="338CBF67">
            <w:pPr>
              <w:wordWrap w:val="0"/>
              <w:spacing w:line="400" w:lineRule="exact"/>
              <w:ind w:right="420"/>
              <w:rPr>
                <w:rFonts w:hint="eastAsia"/>
                <w:color w:val="auto"/>
                <w:highlight w:val="none"/>
              </w:rPr>
            </w:pPr>
            <w:r>
              <w:rPr>
                <w:rFonts w:hint="eastAsia"/>
                <w:color w:val="auto"/>
                <w:highlight w:val="none"/>
              </w:rPr>
              <w:t>附：上述3、4详见附件清单。</w:t>
            </w:r>
          </w:p>
          <w:p w14:paraId="4660ACCF">
            <w:pPr>
              <w:wordWrap w:val="0"/>
              <w:spacing w:line="400" w:lineRule="exact"/>
              <w:ind w:right="420"/>
              <w:rPr>
                <w:rFonts w:hint="eastAsia"/>
                <w:color w:val="auto"/>
                <w:highlight w:val="none"/>
              </w:rPr>
            </w:pPr>
            <w:r>
              <w:rPr>
                <w:rFonts w:hint="eastAsia"/>
                <w:color w:val="auto"/>
                <w:highlight w:val="none"/>
              </w:rPr>
              <w:t xml:space="preserve">                                            承包人（章）             </w:t>
            </w:r>
          </w:p>
          <w:p w14:paraId="41719637">
            <w:pPr>
              <w:spacing w:line="400" w:lineRule="exact"/>
              <w:ind w:right="420" w:firstLine="435"/>
              <w:rPr>
                <w:rFonts w:hint="eastAsia"/>
                <w:color w:val="auto"/>
                <w:highlight w:val="none"/>
              </w:rPr>
            </w:pPr>
            <w:r>
              <w:rPr>
                <w:rFonts w:hint="eastAsia"/>
                <w:color w:val="auto"/>
                <w:highlight w:val="none"/>
              </w:rPr>
              <w:t>造价人员</w:t>
            </w:r>
            <w:r>
              <w:rPr>
                <w:rFonts w:hint="eastAsia"/>
                <w:color w:val="auto"/>
                <w:highlight w:val="none"/>
                <w:u w:val="single"/>
              </w:rPr>
              <w:t xml:space="preserve">               </w:t>
            </w:r>
            <w:r>
              <w:rPr>
                <w:rFonts w:hint="eastAsia"/>
                <w:color w:val="auto"/>
                <w:highlight w:val="none"/>
              </w:rPr>
              <w:t>承包人代表</w:t>
            </w:r>
            <w:r>
              <w:rPr>
                <w:rFonts w:hint="eastAsia"/>
                <w:color w:val="auto"/>
                <w:highlight w:val="none"/>
                <w:u w:val="single"/>
              </w:rPr>
              <w:t xml:space="preserve">               </w:t>
            </w:r>
            <w:r>
              <w:rPr>
                <w:rFonts w:hint="eastAsia"/>
                <w:color w:val="auto"/>
                <w:highlight w:val="none"/>
              </w:rPr>
              <w:t>日      期</w:t>
            </w:r>
            <w:r>
              <w:rPr>
                <w:rFonts w:hint="eastAsia"/>
                <w:color w:val="auto"/>
                <w:highlight w:val="none"/>
                <w:u w:val="single"/>
              </w:rPr>
              <w:t xml:space="preserve">               </w:t>
            </w:r>
          </w:p>
        </w:tc>
      </w:tr>
      <w:tr w14:paraId="35A20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520" w:type="dxa"/>
            <w:noWrap w:val="0"/>
            <w:vAlign w:val="top"/>
          </w:tcPr>
          <w:p w14:paraId="5FA8841E">
            <w:pPr>
              <w:spacing w:line="360" w:lineRule="exact"/>
              <w:rPr>
                <w:rFonts w:hint="eastAsia"/>
                <w:color w:val="auto"/>
                <w:highlight w:val="none"/>
              </w:rPr>
            </w:pPr>
            <w:r>
              <w:rPr>
                <w:rFonts w:hint="eastAsia"/>
                <w:color w:val="auto"/>
                <w:highlight w:val="none"/>
              </w:rPr>
              <w:t>复核意见：</w:t>
            </w:r>
          </w:p>
          <w:p w14:paraId="06B65B65">
            <w:pPr>
              <w:spacing w:line="360" w:lineRule="exact"/>
              <w:ind w:firstLine="312"/>
              <w:rPr>
                <w:rFonts w:hint="eastAsia"/>
                <w:color w:val="auto"/>
                <w:highlight w:val="none"/>
              </w:rPr>
            </w:pPr>
            <w:r>
              <w:rPr>
                <w:rFonts w:hint="eastAsia"/>
                <w:color w:val="auto"/>
                <w:highlight w:val="none"/>
              </w:rPr>
              <w:t>□与实际施工情况不相符，修改意见见附件。</w:t>
            </w:r>
          </w:p>
          <w:p w14:paraId="4EF67C31">
            <w:pPr>
              <w:spacing w:line="360" w:lineRule="exact"/>
              <w:ind w:firstLine="312"/>
              <w:rPr>
                <w:rFonts w:hint="eastAsia"/>
                <w:color w:val="auto"/>
                <w:highlight w:val="none"/>
              </w:rPr>
            </w:pPr>
            <w:r>
              <w:rPr>
                <w:rFonts w:hint="eastAsia"/>
                <w:color w:val="auto"/>
                <w:highlight w:val="none"/>
              </w:rPr>
              <w:t>□与实际施工情况相符，具体金额由造价工程师复核。</w:t>
            </w:r>
          </w:p>
          <w:p w14:paraId="63021037">
            <w:pPr>
              <w:spacing w:line="360" w:lineRule="exact"/>
              <w:ind w:firstLine="435"/>
              <w:jc w:val="right"/>
              <w:rPr>
                <w:rFonts w:hint="eastAsia"/>
                <w:color w:val="auto"/>
                <w:highlight w:val="none"/>
              </w:rPr>
            </w:pPr>
          </w:p>
          <w:p w14:paraId="08D67431">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监理工程师</w:t>
            </w:r>
            <w:r>
              <w:rPr>
                <w:rFonts w:hint="eastAsia"/>
                <w:color w:val="auto"/>
                <w:highlight w:val="none"/>
                <w:u w:val="single"/>
              </w:rPr>
              <w:t xml:space="preserve">           </w:t>
            </w:r>
          </w:p>
          <w:p w14:paraId="762EFDC7">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日      期</w:t>
            </w:r>
            <w:r>
              <w:rPr>
                <w:rFonts w:hint="eastAsia"/>
                <w:color w:val="auto"/>
                <w:highlight w:val="none"/>
                <w:u w:val="single"/>
              </w:rPr>
              <w:t xml:space="preserve">           </w:t>
            </w:r>
          </w:p>
        </w:tc>
        <w:tc>
          <w:tcPr>
            <w:tcW w:w="4552" w:type="dxa"/>
            <w:noWrap w:val="0"/>
            <w:vAlign w:val="top"/>
          </w:tcPr>
          <w:p w14:paraId="0D369F30">
            <w:pPr>
              <w:spacing w:line="360" w:lineRule="exact"/>
              <w:rPr>
                <w:rFonts w:hint="eastAsia"/>
                <w:color w:val="auto"/>
                <w:highlight w:val="none"/>
              </w:rPr>
            </w:pPr>
            <w:r>
              <w:rPr>
                <w:rFonts w:hint="eastAsia"/>
                <w:color w:val="auto"/>
                <w:highlight w:val="none"/>
              </w:rPr>
              <w:t>复核意见：</w:t>
            </w:r>
          </w:p>
          <w:p w14:paraId="4D04D882">
            <w:pPr>
              <w:spacing w:line="360" w:lineRule="exact"/>
              <w:ind w:firstLine="435"/>
              <w:rPr>
                <w:rFonts w:hint="eastAsia"/>
                <w:color w:val="auto"/>
                <w:highlight w:val="none"/>
              </w:rPr>
            </w:pPr>
            <w:r>
              <w:rPr>
                <w:rFonts w:hint="eastAsia"/>
                <w:color w:val="auto"/>
                <w:highlight w:val="none"/>
              </w:rPr>
              <w:t>你方提出的支付申请经复核，本周期已完成工程价款为</w:t>
            </w:r>
            <w:r>
              <w:rPr>
                <w:rFonts w:hint="eastAsia"/>
                <w:color w:val="auto"/>
                <w:highlight w:val="none"/>
                <w:lang w:eastAsia="zh-CN"/>
              </w:rPr>
              <w:t>（</w:t>
            </w:r>
            <w:r>
              <w:rPr>
                <w:rFonts w:hint="eastAsia"/>
                <w:color w:val="auto"/>
                <w:highlight w:val="none"/>
              </w:rPr>
              <w:t>大写</w:t>
            </w:r>
            <w:r>
              <w:rPr>
                <w:rFonts w:hint="eastAsia"/>
                <w:color w:val="auto"/>
                <w:highlight w:val="none"/>
                <w:lang w:eastAsia="zh-CN"/>
              </w:rPr>
              <w:t>）</w:t>
            </w:r>
            <w:r>
              <w:rPr>
                <w:rFonts w:hint="eastAsia"/>
                <w:color w:val="auto"/>
                <w:highlight w:val="none"/>
                <w:u w:val="single"/>
              </w:rPr>
              <w:t xml:space="preserve">                </w:t>
            </w:r>
            <w:r>
              <w:rPr>
                <w:rFonts w:hint="eastAsia"/>
                <w:color w:val="auto"/>
                <w:highlight w:val="none"/>
              </w:rPr>
              <w:t>元，（小写）</w:t>
            </w:r>
          </w:p>
          <w:p w14:paraId="1C913FA5">
            <w:pPr>
              <w:spacing w:line="360" w:lineRule="exact"/>
              <w:rPr>
                <w:rFonts w:hint="eastAsia"/>
                <w:color w:val="auto"/>
                <w:highlight w:val="none"/>
              </w:rPr>
            </w:pPr>
            <w:r>
              <w:rPr>
                <w:rFonts w:hint="eastAsia"/>
                <w:color w:val="auto"/>
                <w:highlight w:val="none"/>
                <w:u w:val="single"/>
              </w:rPr>
              <w:t xml:space="preserve">          </w:t>
            </w:r>
            <w:r>
              <w:rPr>
                <w:rFonts w:hint="eastAsia"/>
                <w:color w:val="auto"/>
                <w:highlight w:val="none"/>
              </w:rPr>
              <w:t xml:space="preserve"> 元，本期间应支付金额为（大写）</w:t>
            </w:r>
          </w:p>
          <w:p w14:paraId="56EB9BFE">
            <w:pPr>
              <w:spacing w:line="360" w:lineRule="exact"/>
              <w:rPr>
                <w:rFonts w:hint="eastAsia"/>
                <w:color w:val="auto"/>
                <w:highlight w:val="none"/>
                <w:u w:val="single"/>
              </w:rPr>
            </w:pPr>
            <w:r>
              <w:rPr>
                <w:rFonts w:hint="eastAsia"/>
                <w:color w:val="auto"/>
                <w:highlight w:val="none"/>
                <w:u w:val="single"/>
              </w:rPr>
              <w:t xml:space="preserve">                 </w:t>
            </w:r>
            <w:r>
              <w:rPr>
                <w:rFonts w:hint="eastAsia"/>
                <w:color w:val="auto"/>
                <w:highlight w:val="none"/>
              </w:rPr>
              <w:t>元，（小写）</w:t>
            </w:r>
            <w:r>
              <w:rPr>
                <w:rFonts w:hint="eastAsia"/>
                <w:color w:val="auto"/>
                <w:highlight w:val="none"/>
                <w:u w:val="single"/>
              </w:rPr>
              <w:t xml:space="preserve">         </w:t>
            </w:r>
            <w:r>
              <w:rPr>
                <w:rFonts w:hint="eastAsia"/>
                <w:color w:val="auto"/>
                <w:highlight w:val="none"/>
              </w:rPr>
              <w:t>元。</w:t>
            </w:r>
          </w:p>
          <w:p w14:paraId="705B249F">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造价工程师</w:t>
            </w:r>
            <w:r>
              <w:rPr>
                <w:rFonts w:hint="eastAsia"/>
                <w:color w:val="auto"/>
                <w:highlight w:val="none"/>
                <w:u w:val="single"/>
              </w:rPr>
              <w:t xml:space="preserve">           </w:t>
            </w:r>
          </w:p>
          <w:p w14:paraId="34C45798">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日      期</w:t>
            </w:r>
            <w:r>
              <w:rPr>
                <w:rFonts w:hint="eastAsia"/>
                <w:color w:val="auto"/>
                <w:highlight w:val="none"/>
                <w:u w:val="single"/>
              </w:rPr>
              <w:t xml:space="preserve">           </w:t>
            </w:r>
          </w:p>
        </w:tc>
      </w:tr>
      <w:tr w14:paraId="0E7C2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noWrap w:val="0"/>
            <w:vAlign w:val="top"/>
          </w:tcPr>
          <w:p w14:paraId="3F700348">
            <w:pPr>
              <w:spacing w:line="400" w:lineRule="exact"/>
              <w:rPr>
                <w:rFonts w:hint="eastAsia"/>
                <w:color w:val="auto"/>
                <w:highlight w:val="none"/>
              </w:rPr>
            </w:pPr>
            <w:r>
              <w:rPr>
                <w:rFonts w:hint="eastAsia"/>
                <w:color w:val="auto"/>
                <w:highlight w:val="none"/>
              </w:rPr>
              <w:t>审核意见：</w:t>
            </w:r>
          </w:p>
          <w:p w14:paraId="7B828A2D">
            <w:pPr>
              <w:spacing w:line="400" w:lineRule="exact"/>
              <w:ind w:firstLine="435"/>
              <w:rPr>
                <w:rFonts w:hint="eastAsia"/>
                <w:color w:val="auto"/>
                <w:highlight w:val="none"/>
              </w:rPr>
            </w:pPr>
            <w:r>
              <w:rPr>
                <w:rFonts w:hint="eastAsia"/>
                <w:color w:val="auto"/>
                <w:highlight w:val="none"/>
              </w:rPr>
              <w:t>□不同意。</w:t>
            </w:r>
          </w:p>
          <w:p w14:paraId="0A81E620">
            <w:pPr>
              <w:spacing w:line="400" w:lineRule="exact"/>
              <w:ind w:firstLine="420" w:firstLineChars="200"/>
              <w:rPr>
                <w:rFonts w:hint="eastAsia"/>
                <w:color w:val="auto"/>
                <w:highlight w:val="none"/>
              </w:rPr>
            </w:pPr>
            <w:r>
              <w:rPr>
                <w:rFonts w:hint="eastAsia"/>
                <w:color w:val="auto"/>
                <w:highlight w:val="none"/>
              </w:rPr>
              <w:t>□同意，支付时间为本表签发后的15天内。</w:t>
            </w:r>
          </w:p>
          <w:p w14:paraId="55027B47">
            <w:pPr>
              <w:wordWrap w:val="0"/>
              <w:spacing w:line="400" w:lineRule="exact"/>
              <w:ind w:firstLine="420" w:firstLineChars="200"/>
              <w:jc w:val="right"/>
              <w:rPr>
                <w:rFonts w:hint="eastAsia"/>
                <w:color w:val="auto"/>
                <w:highlight w:val="none"/>
              </w:rPr>
            </w:pPr>
            <w:r>
              <w:rPr>
                <w:rFonts w:hint="eastAsia"/>
                <w:color w:val="auto"/>
                <w:highlight w:val="none"/>
              </w:rPr>
              <w:t xml:space="preserve">发包人（章）           </w:t>
            </w:r>
          </w:p>
          <w:p w14:paraId="42ACDEC4">
            <w:pPr>
              <w:wordWrap w:val="0"/>
              <w:spacing w:line="400" w:lineRule="exact"/>
              <w:ind w:firstLine="420" w:firstLineChars="200"/>
              <w:jc w:val="right"/>
              <w:rPr>
                <w:rFonts w:hint="eastAsia"/>
                <w:color w:val="auto"/>
                <w:highlight w:val="none"/>
                <w:u w:val="single"/>
              </w:rPr>
            </w:pPr>
            <w:r>
              <w:rPr>
                <w:rFonts w:hint="eastAsia"/>
                <w:color w:val="auto"/>
                <w:highlight w:val="none"/>
              </w:rPr>
              <w:t>发包人代表</w:t>
            </w:r>
            <w:r>
              <w:rPr>
                <w:rFonts w:hint="eastAsia"/>
                <w:color w:val="auto"/>
                <w:highlight w:val="none"/>
                <w:u w:val="single"/>
              </w:rPr>
              <w:t xml:space="preserve">             </w:t>
            </w:r>
          </w:p>
          <w:p w14:paraId="71BD765E">
            <w:pPr>
              <w:wordWrap w:val="0"/>
              <w:spacing w:line="400" w:lineRule="exact"/>
              <w:ind w:firstLine="420" w:firstLineChars="200"/>
              <w:jc w:val="right"/>
              <w:rPr>
                <w:rFonts w:hint="eastAsia"/>
                <w:color w:val="auto"/>
                <w:highlight w:val="none"/>
                <w:u w:val="single"/>
              </w:rPr>
            </w:pPr>
            <w:r>
              <w:rPr>
                <w:rFonts w:hint="eastAsia"/>
                <w:color w:val="auto"/>
                <w:highlight w:val="none"/>
              </w:rPr>
              <w:t>日      期</w:t>
            </w:r>
            <w:r>
              <w:rPr>
                <w:rFonts w:hint="eastAsia"/>
                <w:color w:val="auto"/>
                <w:highlight w:val="none"/>
                <w:u w:val="single"/>
              </w:rPr>
              <w:t xml:space="preserve">             </w:t>
            </w:r>
          </w:p>
        </w:tc>
      </w:tr>
    </w:tbl>
    <w:p w14:paraId="628F9502">
      <w:pPr>
        <w:spacing w:before="120" w:beforeLines="50"/>
        <w:ind w:firstLine="360" w:firstLineChars="200"/>
        <w:rPr>
          <w:rFonts w:hint="eastAsia"/>
          <w:color w:val="auto"/>
          <w:sz w:val="18"/>
          <w:szCs w:val="18"/>
          <w:highlight w:val="none"/>
        </w:rPr>
      </w:pPr>
      <w:r>
        <w:rPr>
          <w:rFonts w:hint="eastAsia"/>
          <w:color w:val="auto"/>
          <w:sz w:val="18"/>
          <w:szCs w:val="18"/>
          <w:highlight w:val="none"/>
        </w:rPr>
        <w:t xml:space="preserve">注：1.在选择栏中的“□”内作标识“√”。 </w:t>
      </w:r>
    </w:p>
    <w:p w14:paraId="654E26CA">
      <w:pPr>
        <w:spacing w:before="120" w:beforeLines="50"/>
        <w:ind w:left="720" w:hanging="720" w:hangingChars="400"/>
        <w:rPr>
          <w:rFonts w:hint="eastAsia"/>
          <w:color w:val="auto"/>
          <w:sz w:val="18"/>
          <w:szCs w:val="18"/>
          <w:highlight w:val="none"/>
        </w:rPr>
      </w:pPr>
      <w:r>
        <w:rPr>
          <w:rFonts w:hint="eastAsia"/>
          <w:color w:val="auto"/>
          <w:sz w:val="18"/>
          <w:szCs w:val="18"/>
          <w:highlight w:val="none"/>
        </w:rPr>
        <w:t xml:space="preserve">    </w:t>
      </w:r>
      <w:r>
        <w:rPr>
          <w:color w:val="auto"/>
          <w:sz w:val="18"/>
          <w:szCs w:val="18"/>
          <w:highlight w:val="none"/>
        </w:rPr>
        <w:t xml:space="preserve">  </w:t>
      </w:r>
      <w:r>
        <w:rPr>
          <w:rFonts w:hint="eastAsia"/>
          <w:color w:val="auto"/>
          <w:sz w:val="18"/>
          <w:szCs w:val="18"/>
          <w:highlight w:val="none"/>
        </w:rPr>
        <w:t xml:space="preserve">  2.本表一式四份，由承包人填报，发包人、监理人、造价咨询人、承包人各存一份。</w:t>
      </w:r>
    </w:p>
    <w:p w14:paraId="7D0E5ADD">
      <w:pPr>
        <w:spacing w:before="120" w:beforeLines="50"/>
        <w:ind w:left="840" w:hanging="840" w:hangingChars="400"/>
        <w:rPr>
          <w:rFonts w:hint="eastAsia" w:ascii="宋体"/>
          <w:color w:val="auto"/>
          <w:highlight w:val="none"/>
        </w:rPr>
      </w:pPr>
    </w:p>
    <w:p w14:paraId="14541FCB">
      <w:pPr>
        <w:jc w:val="left"/>
        <w:rPr>
          <w:rFonts w:hint="eastAsia"/>
          <w:color w:val="auto"/>
          <w:sz w:val="30"/>
          <w:szCs w:val="30"/>
          <w:highlight w:val="none"/>
        </w:rPr>
      </w:pPr>
    </w:p>
    <w:p w14:paraId="50A08F0D">
      <w:pPr>
        <w:jc w:val="left"/>
        <w:rPr>
          <w:rFonts w:hint="eastAsia"/>
          <w:color w:val="auto"/>
          <w:sz w:val="30"/>
          <w:szCs w:val="30"/>
          <w:highlight w:val="none"/>
        </w:rPr>
      </w:pPr>
    </w:p>
    <w:p w14:paraId="661C287B">
      <w:pPr>
        <w:jc w:val="left"/>
        <w:rPr>
          <w:rFonts w:hint="eastAsia"/>
          <w:color w:val="auto"/>
          <w:sz w:val="30"/>
          <w:szCs w:val="30"/>
          <w:highlight w:val="none"/>
        </w:rPr>
      </w:pPr>
      <w:r>
        <w:rPr>
          <w:rFonts w:hint="eastAsia"/>
          <w:color w:val="auto"/>
          <w:sz w:val="30"/>
          <w:szCs w:val="30"/>
          <w:highlight w:val="none"/>
        </w:rPr>
        <w:t>附件12</w:t>
      </w:r>
    </w:p>
    <w:p w14:paraId="5FBDD23F">
      <w:pPr>
        <w:jc w:val="center"/>
        <w:rPr>
          <w:rFonts w:hint="eastAsia"/>
          <w:b/>
          <w:color w:val="auto"/>
          <w:sz w:val="36"/>
          <w:szCs w:val="36"/>
          <w:highlight w:val="none"/>
        </w:rPr>
      </w:pPr>
      <w:r>
        <w:rPr>
          <w:rFonts w:hint="eastAsia"/>
          <w:b/>
          <w:color w:val="auto"/>
          <w:sz w:val="36"/>
          <w:szCs w:val="36"/>
          <w:highlight w:val="none"/>
        </w:rPr>
        <w:t>竣工结算款支付申请（核准）表</w:t>
      </w:r>
    </w:p>
    <w:p w14:paraId="0F42592F">
      <w:pPr>
        <w:rPr>
          <w:rFonts w:hint="eastAsia"/>
          <w:color w:val="auto"/>
          <w:sz w:val="24"/>
          <w:szCs w:val="24"/>
          <w:highlight w:val="none"/>
        </w:rPr>
      </w:pPr>
      <w:r>
        <w:rPr>
          <w:rFonts w:hint="eastAsia"/>
          <w:color w:val="auto"/>
          <w:sz w:val="24"/>
          <w:szCs w:val="24"/>
          <w:highlight w:val="none"/>
        </w:rPr>
        <w:t>工程名称：                                              编号：</w:t>
      </w:r>
    </w:p>
    <w:tbl>
      <w:tblPr>
        <w:tblStyle w:val="55"/>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9"/>
        <w:gridCol w:w="4533"/>
      </w:tblGrid>
      <w:tr w14:paraId="05AA3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0" w:hRule="atLeast"/>
          <w:jc w:val="center"/>
        </w:trPr>
        <w:tc>
          <w:tcPr>
            <w:tcW w:w="9240" w:type="dxa"/>
            <w:gridSpan w:val="2"/>
            <w:noWrap w:val="0"/>
            <w:vAlign w:val="top"/>
          </w:tcPr>
          <w:p w14:paraId="4EABA953">
            <w:pPr>
              <w:spacing w:line="480" w:lineRule="exact"/>
              <w:ind w:left="525" w:leftChars="149" w:hanging="212" w:hangingChars="101"/>
              <w:rPr>
                <w:rFonts w:hint="eastAsia"/>
                <w:color w:val="auto"/>
                <w:highlight w:val="none"/>
                <w:u w:val="single"/>
              </w:rPr>
            </w:pPr>
            <w:r>
              <w:rPr>
                <w:rFonts w:hint="eastAsia"/>
                <w:color w:val="auto"/>
                <w:highlight w:val="none"/>
              </w:rPr>
              <w:t>致：</w:t>
            </w:r>
            <w:r>
              <w:rPr>
                <w:rFonts w:hint="eastAsia"/>
                <w:color w:val="auto"/>
                <w:highlight w:val="none"/>
                <w:u w:val="single"/>
              </w:rPr>
              <w:t xml:space="preserve">                                   （发包人全称）</w:t>
            </w:r>
          </w:p>
          <w:p w14:paraId="42151F7E">
            <w:pPr>
              <w:spacing w:line="400" w:lineRule="exact"/>
              <w:ind w:left="-4" w:leftChars="-2" w:firstLine="315" w:firstLineChars="150"/>
              <w:rPr>
                <w:rFonts w:hint="eastAsia"/>
                <w:color w:val="auto"/>
                <w:highlight w:val="none"/>
              </w:rPr>
            </w:pPr>
            <w:r>
              <w:rPr>
                <w:rFonts w:hint="eastAsia"/>
                <w:color w:val="auto"/>
                <w:highlight w:val="none"/>
              </w:rPr>
              <w:t>我方于</w:t>
            </w:r>
            <w:r>
              <w:rPr>
                <w:rFonts w:hint="eastAsia"/>
                <w:color w:val="auto"/>
                <w:highlight w:val="none"/>
                <w:u w:val="single"/>
              </w:rPr>
              <w:t xml:space="preserve">         </w:t>
            </w:r>
            <w:r>
              <w:rPr>
                <w:rFonts w:hint="eastAsia"/>
                <w:color w:val="auto"/>
                <w:highlight w:val="none"/>
              </w:rPr>
              <w:t>至</w:t>
            </w:r>
            <w:r>
              <w:rPr>
                <w:rFonts w:hint="eastAsia"/>
                <w:color w:val="auto"/>
                <w:highlight w:val="none"/>
                <w:u w:val="single"/>
              </w:rPr>
              <w:t xml:space="preserve">          </w:t>
            </w:r>
            <w:r>
              <w:rPr>
                <w:rFonts w:hint="eastAsia"/>
                <w:color w:val="auto"/>
                <w:highlight w:val="none"/>
              </w:rPr>
              <w:t>期间已完成了合同约定的工作，根据施工合同的约定，现申请支付竣工结算的工程款额为</w:t>
            </w:r>
            <w:r>
              <w:rPr>
                <w:rFonts w:hint="eastAsia"/>
                <w:color w:val="auto"/>
                <w:highlight w:val="none"/>
                <w:lang w:eastAsia="zh-CN"/>
              </w:rPr>
              <w:t>（</w:t>
            </w:r>
            <w:r>
              <w:rPr>
                <w:rFonts w:hint="eastAsia"/>
                <w:color w:val="auto"/>
                <w:highlight w:val="none"/>
              </w:rPr>
              <w:t>大写</w:t>
            </w:r>
            <w:r>
              <w:rPr>
                <w:rFonts w:hint="eastAsia"/>
                <w:color w:val="auto"/>
                <w:highlight w:val="none"/>
                <w:lang w:eastAsia="zh-CN"/>
              </w:rPr>
              <w:t>）</w:t>
            </w:r>
            <w:r>
              <w:rPr>
                <w:rFonts w:hint="eastAsia"/>
                <w:color w:val="auto"/>
                <w:highlight w:val="none"/>
                <w:u w:val="single"/>
              </w:rPr>
              <w:t xml:space="preserve">            </w:t>
            </w:r>
            <w:r>
              <w:rPr>
                <w:rFonts w:hint="eastAsia"/>
                <w:color w:val="auto"/>
                <w:highlight w:val="none"/>
              </w:rPr>
              <w:t>元，</w:t>
            </w:r>
            <w:r>
              <w:rPr>
                <w:rFonts w:hint="eastAsia"/>
                <w:color w:val="auto"/>
                <w:highlight w:val="none"/>
                <w:lang w:eastAsia="zh-CN"/>
              </w:rPr>
              <w:t>（</w:t>
            </w:r>
            <w:r>
              <w:rPr>
                <w:rFonts w:hint="eastAsia"/>
                <w:color w:val="auto"/>
                <w:highlight w:val="none"/>
              </w:rPr>
              <w:t>小写</w:t>
            </w:r>
            <w:r>
              <w:rPr>
                <w:rFonts w:hint="eastAsia"/>
                <w:color w:val="auto"/>
                <w:highlight w:val="none"/>
                <w:lang w:eastAsia="zh-CN"/>
              </w:rPr>
              <w:t>）</w:t>
            </w:r>
            <w:r>
              <w:rPr>
                <w:rFonts w:hint="eastAsia"/>
                <w:color w:val="auto"/>
                <w:highlight w:val="none"/>
                <w:u w:val="single"/>
              </w:rPr>
              <w:t xml:space="preserve">         </w:t>
            </w:r>
            <w:r>
              <w:rPr>
                <w:rFonts w:hint="eastAsia"/>
                <w:color w:val="auto"/>
                <w:highlight w:val="none"/>
              </w:rPr>
              <w:t>元，请予核准。</w:t>
            </w:r>
          </w:p>
          <w:tbl>
            <w:tblPr>
              <w:tblStyle w:val="55"/>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3420"/>
              <w:gridCol w:w="1620"/>
              <w:gridCol w:w="1620"/>
              <w:gridCol w:w="1651"/>
            </w:tblGrid>
            <w:tr w14:paraId="075FD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641EBFB9">
                  <w:pPr>
                    <w:spacing w:line="280" w:lineRule="exact"/>
                    <w:jc w:val="center"/>
                    <w:rPr>
                      <w:rFonts w:hint="eastAsia"/>
                      <w:color w:val="auto"/>
                      <w:highlight w:val="none"/>
                    </w:rPr>
                  </w:pPr>
                  <w:r>
                    <w:rPr>
                      <w:rFonts w:hint="eastAsia"/>
                      <w:color w:val="auto"/>
                      <w:highlight w:val="none"/>
                    </w:rPr>
                    <w:t>序号</w:t>
                  </w:r>
                </w:p>
              </w:tc>
              <w:tc>
                <w:tcPr>
                  <w:tcW w:w="3420" w:type="dxa"/>
                  <w:noWrap w:val="0"/>
                  <w:vAlign w:val="center"/>
                </w:tcPr>
                <w:p w14:paraId="5C463E64">
                  <w:pPr>
                    <w:spacing w:line="280" w:lineRule="exact"/>
                    <w:jc w:val="center"/>
                    <w:rPr>
                      <w:rFonts w:hint="eastAsia"/>
                      <w:color w:val="auto"/>
                      <w:highlight w:val="none"/>
                    </w:rPr>
                  </w:pPr>
                  <w:r>
                    <w:rPr>
                      <w:rFonts w:hint="eastAsia"/>
                      <w:color w:val="auto"/>
                      <w:highlight w:val="none"/>
                    </w:rPr>
                    <w:t>名      称</w:t>
                  </w:r>
                </w:p>
              </w:tc>
              <w:tc>
                <w:tcPr>
                  <w:tcW w:w="1620" w:type="dxa"/>
                  <w:noWrap w:val="0"/>
                  <w:vAlign w:val="center"/>
                </w:tcPr>
                <w:p w14:paraId="125320C6">
                  <w:pPr>
                    <w:spacing w:line="280" w:lineRule="exact"/>
                    <w:jc w:val="center"/>
                    <w:rPr>
                      <w:rFonts w:hint="eastAsia"/>
                      <w:color w:val="auto"/>
                      <w:highlight w:val="none"/>
                    </w:rPr>
                  </w:pPr>
                  <w:r>
                    <w:rPr>
                      <w:rFonts w:hint="eastAsia"/>
                      <w:color w:val="auto"/>
                      <w:highlight w:val="none"/>
                    </w:rPr>
                    <w:t>申请金额（元）</w:t>
                  </w:r>
                </w:p>
              </w:tc>
              <w:tc>
                <w:tcPr>
                  <w:tcW w:w="1620" w:type="dxa"/>
                  <w:noWrap w:val="0"/>
                  <w:vAlign w:val="center"/>
                </w:tcPr>
                <w:p w14:paraId="749E519D">
                  <w:pPr>
                    <w:spacing w:line="280" w:lineRule="exact"/>
                    <w:jc w:val="center"/>
                    <w:rPr>
                      <w:rFonts w:hint="eastAsia"/>
                      <w:color w:val="auto"/>
                      <w:highlight w:val="none"/>
                    </w:rPr>
                  </w:pPr>
                  <w:r>
                    <w:rPr>
                      <w:rFonts w:hint="eastAsia"/>
                      <w:color w:val="auto"/>
                      <w:highlight w:val="none"/>
                    </w:rPr>
                    <w:t>复核金额（元）</w:t>
                  </w:r>
                </w:p>
              </w:tc>
              <w:tc>
                <w:tcPr>
                  <w:tcW w:w="1651" w:type="dxa"/>
                  <w:noWrap w:val="0"/>
                  <w:vAlign w:val="center"/>
                </w:tcPr>
                <w:p w14:paraId="0B7A98CE">
                  <w:pPr>
                    <w:spacing w:line="280" w:lineRule="exact"/>
                    <w:jc w:val="center"/>
                    <w:rPr>
                      <w:rFonts w:hint="eastAsia"/>
                      <w:color w:val="auto"/>
                      <w:highlight w:val="none"/>
                    </w:rPr>
                  </w:pPr>
                  <w:r>
                    <w:rPr>
                      <w:rFonts w:hint="eastAsia"/>
                      <w:color w:val="auto"/>
                      <w:highlight w:val="none"/>
                    </w:rPr>
                    <w:t>备注</w:t>
                  </w:r>
                </w:p>
              </w:tc>
            </w:tr>
            <w:tr w14:paraId="3E5AF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5CE01D4">
                  <w:pPr>
                    <w:spacing w:line="280" w:lineRule="exact"/>
                    <w:jc w:val="center"/>
                    <w:rPr>
                      <w:rFonts w:hint="eastAsia"/>
                      <w:color w:val="auto"/>
                      <w:highlight w:val="none"/>
                    </w:rPr>
                  </w:pPr>
                  <w:r>
                    <w:rPr>
                      <w:rFonts w:hint="eastAsia"/>
                      <w:color w:val="auto"/>
                      <w:highlight w:val="none"/>
                    </w:rPr>
                    <w:t>1</w:t>
                  </w:r>
                </w:p>
              </w:tc>
              <w:tc>
                <w:tcPr>
                  <w:tcW w:w="3420" w:type="dxa"/>
                  <w:noWrap w:val="0"/>
                  <w:vAlign w:val="top"/>
                </w:tcPr>
                <w:p w14:paraId="1646E3D7">
                  <w:pPr>
                    <w:spacing w:line="280" w:lineRule="exact"/>
                    <w:rPr>
                      <w:rFonts w:hint="eastAsia"/>
                      <w:color w:val="auto"/>
                      <w:highlight w:val="none"/>
                    </w:rPr>
                  </w:pPr>
                  <w:r>
                    <w:rPr>
                      <w:rFonts w:hint="eastAsia"/>
                      <w:color w:val="auto"/>
                      <w:highlight w:val="none"/>
                    </w:rPr>
                    <w:t>竣工结算合同价款总额</w:t>
                  </w:r>
                </w:p>
              </w:tc>
              <w:tc>
                <w:tcPr>
                  <w:tcW w:w="1620" w:type="dxa"/>
                  <w:noWrap w:val="0"/>
                  <w:vAlign w:val="top"/>
                </w:tcPr>
                <w:p w14:paraId="7883920C">
                  <w:pPr>
                    <w:spacing w:line="280" w:lineRule="exact"/>
                    <w:rPr>
                      <w:rFonts w:hint="eastAsia"/>
                      <w:color w:val="auto"/>
                      <w:highlight w:val="none"/>
                    </w:rPr>
                  </w:pPr>
                </w:p>
              </w:tc>
              <w:tc>
                <w:tcPr>
                  <w:tcW w:w="1620" w:type="dxa"/>
                  <w:noWrap w:val="0"/>
                  <w:vAlign w:val="top"/>
                </w:tcPr>
                <w:p w14:paraId="45578ECF">
                  <w:pPr>
                    <w:spacing w:line="280" w:lineRule="exact"/>
                    <w:rPr>
                      <w:rFonts w:hint="eastAsia"/>
                      <w:color w:val="auto"/>
                      <w:highlight w:val="none"/>
                    </w:rPr>
                  </w:pPr>
                </w:p>
              </w:tc>
              <w:tc>
                <w:tcPr>
                  <w:tcW w:w="1651" w:type="dxa"/>
                  <w:noWrap w:val="0"/>
                  <w:vAlign w:val="top"/>
                </w:tcPr>
                <w:p w14:paraId="29C73D91">
                  <w:pPr>
                    <w:spacing w:line="280" w:lineRule="exact"/>
                    <w:rPr>
                      <w:rFonts w:hint="eastAsia"/>
                      <w:color w:val="auto"/>
                      <w:highlight w:val="none"/>
                    </w:rPr>
                  </w:pPr>
                </w:p>
              </w:tc>
            </w:tr>
            <w:tr w14:paraId="5D5E3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A9125AF">
                  <w:pPr>
                    <w:spacing w:line="280" w:lineRule="exact"/>
                    <w:jc w:val="center"/>
                    <w:rPr>
                      <w:rFonts w:hint="eastAsia"/>
                      <w:color w:val="auto"/>
                      <w:highlight w:val="none"/>
                    </w:rPr>
                  </w:pPr>
                  <w:r>
                    <w:rPr>
                      <w:rFonts w:hint="eastAsia"/>
                      <w:color w:val="auto"/>
                      <w:highlight w:val="none"/>
                    </w:rPr>
                    <w:t>2</w:t>
                  </w:r>
                </w:p>
              </w:tc>
              <w:tc>
                <w:tcPr>
                  <w:tcW w:w="3420" w:type="dxa"/>
                  <w:noWrap w:val="0"/>
                  <w:vAlign w:val="top"/>
                </w:tcPr>
                <w:p w14:paraId="57F77F79">
                  <w:pPr>
                    <w:spacing w:line="280" w:lineRule="exact"/>
                    <w:rPr>
                      <w:rFonts w:hint="eastAsia"/>
                      <w:color w:val="auto"/>
                      <w:highlight w:val="none"/>
                    </w:rPr>
                  </w:pPr>
                  <w:r>
                    <w:rPr>
                      <w:rFonts w:hint="eastAsia"/>
                      <w:color w:val="auto"/>
                      <w:highlight w:val="none"/>
                    </w:rPr>
                    <w:t>累计已实际支付的合同价款</w:t>
                  </w:r>
                </w:p>
              </w:tc>
              <w:tc>
                <w:tcPr>
                  <w:tcW w:w="1620" w:type="dxa"/>
                  <w:noWrap w:val="0"/>
                  <w:vAlign w:val="top"/>
                </w:tcPr>
                <w:p w14:paraId="7327E7D4">
                  <w:pPr>
                    <w:spacing w:line="280" w:lineRule="exact"/>
                    <w:rPr>
                      <w:rFonts w:hint="eastAsia"/>
                      <w:color w:val="auto"/>
                      <w:highlight w:val="none"/>
                    </w:rPr>
                  </w:pPr>
                </w:p>
              </w:tc>
              <w:tc>
                <w:tcPr>
                  <w:tcW w:w="1620" w:type="dxa"/>
                  <w:noWrap w:val="0"/>
                  <w:vAlign w:val="top"/>
                </w:tcPr>
                <w:p w14:paraId="7173EDA3">
                  <w:pPr>
                    <w:spacing w:line="280" w:lineRule="exact"/>
                    <w:rPr>
                      <w:rFonts w:hint="eastAsia"/>
                      <w:color w:val="auto"/>
                      <w:highlight w:val="none"/>
                    </w:rPr>
                  </w:pPr>
                </w:p>
              </w:tc>
              <w:tc>
                <w:tcPr>
                  <w:tcW w:w="1651" w:type="dxa"/>
                  <w:noWrap w:val="0"/>
                  <w:vAlign w:val="top"/>
                </w:tcPr>
                <w:p w14:paraId="40382FA0">
                  <w:pPr>
                    <w:spacing w:line="280" w:lineRule="exact"/>
                    <w:rPr>
                      <w:rFonts w:hint="eastAsia"/>
                      <w:color w:val="auto"/>
                      <w:highlight w:val="none"/>
                    </w:rPr>
                  </w:pPr>
                </w:p>
              </w:tc>
            </w:tr>
            <w:tr w14:paraId="7B1B7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3FA1A6C8">
                  <w:pPr>
                    <w:spacing w:line="280" w:lineRule="exact"/>
                    <w:jc w:val="center"/>
                    <w:rPr>
                      <w:rFonts w:hint="eastAsia"/>
                      <w:color w:val="auto"/>
                      <w:highlight w:val="none"/>
                    </w:rPr>
                  </w:pPr>
                  <w:r>
                    <w:rPr>
                      <w:rFonts w:hint="eastAsia"/>
                      <w:color w:val="auto"/>
                      <w:highlight w:val="none"/>
                    </w:rPr>
                    <w:t>3</w:t>
                  </w:r>
                </w:p>
              </w:tc>
              <w:tc>
                <w:tcPr>
                  <w:tcW w:w="3420" w:type="dxa"/>
                  <w:noWrap w:val="0"/>
                  <w:vAlign w:val="top"/>
                </w:tcPr>
                <w:p w14:paraId="6EFD21CD">
                  <w:pPr>
                    <w:spacing w:line="280" w:lineRule="exact"/>
                    <w:rPr>
                      <w:rFonts w:hint="eastAsia"/>
                      <w:color w:val="auto"/>
                      <w:highlight w:val="none"/>
                    </w:rPr>
                  </w:pPr>
                  <w:r>
                    <w:rPr>
                      <w:rFonts w:hint="eastAsia"/>
                      <w:color w:val="auto"/>
                      <w:highlight w:val="none"/>
                    </w:rPr>
                    <w:t>应预留的质量保证金</w:t>
                  </w:r>
                </w:p>
              </w:tc>
              <w:tc>
                <w:tcPr>
                  <w:tcW w:w="1620" w:type="dxa"/>
                  <w:noWrap w:val="0"/>
                  <w:vAlign w:val="top"/>
                </w:tcPr>
                <w:p w14:paraId="23C60B6B">
                  <w:pPr>
                    <w:spacing w:line="280" w:lineRule="exact"/>
                    <w:rPr>
                      <w:rFonts w:hint="eastAsia"/>
                      <w:color w:val="auto"/>
                      <w:highlight w:val="none"/>
                    </w:rPr>
                  </w:pPr>
                </w:p>
              </w:tc>
              <w:tc>
                <w:tcPr>
                  <w:tcW w:w="1620" w:type="dxa"/>
                  <w:noWrap w:val="0"/>
                  <w:vAlign w:val="top"/>
                </w:tcPr>
                <w:p w14:paraId="3DBF8535">
                  <w:pPr>
                    <w:spacing w:line="280" w:lineRule="exact"/>
                    <w:rPr>
                      <w:rFonts w:hint="eastAsia"/>
                      <w:color w:val="auto"/>
                      <w:highlight w:val="none"/>
                    </w:rPr>
                  </w:pPr>
                </w:p>
              </w:tc>
              <w:tc>
                <w:tcPr>
                  <w:tcW w:w="1651" w:type="dxa"/>
                  <w:noWrap w:val="0"/>
                  <w:vAlign w:val="top"/>
                </w:tcPr>
                <w:p w14:paraId="0585B9A2">
                  <w:pPr>
                    <w:spacing w:line="280" w:lineRule="exact"/>
                    <w:rPr>
                      <w:rFonts w:hint="eastAsia"/>
                      <w:color w:val="auto"/>
                      <w:highlight w:val="none"/>
                    </w:rPr>
                  </w:pPr>
                </w:p>
              </w:tc>
            </w:tr>
            <w:tr w14:paraId="59B06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B954FFF">
                  <w:pPr>
                    <w:spacing w:line="280" w:lineRule="exact"/>
                    <w:jc w:val="center"/>
                    <w:rPr>
                      <w:rFonts w:hint="eastAsia"/>
                      <w:color w:val="auto"/>
                      <w:highlight w:val="none"/>
                    </w:rPr>
                  </w:pPr>
                  <w:r>
                    <w:rPr>
                      <w:rFonts w:hint="eastAsia"/>
                      <w:color w:val="auto"/>
                      <w:highlight w:val="none"/>
                    </w:rPr>
                    <w:t>4</w:t>
                  </w:r>
                </w:p>
              </w:tc>
              <w:tc>
                <w:tcPr>
                  <w:tcW w:w="3420" w:type="dxa"/>
                  <w:noWrap w:val="0"/>
                  <w:vAlign w:val="top"/>
                </w:tcPr>
                <w:p w14:paraId="62A7FD6C">
                  <w:pPr>
                    <w:spacing w:line="280" w:lineRule="exact"/>
                    <w:rPr>
                      <w:rFonts w:hint="eastAsia"/>
                      <w:color w:val="auto"/>
                      <w:highlight w:val="none"/>
                    </w:rPr>
                  </w:pPr>
                  <w:r>
                    <w:rPr>
                      <w:rFonts w:hint="eastAsia"/>
                      <w:color w:val="auto"/>
                      <w:highlight w:val="none"/>
                    </w:rPr>
                    <w:t>应支付的竣工结算款金额</w:t>
                  </w:r>
                </w:p>
              </w:tc>
              <w:tc>
                <w:tcPr>
                  <w:tcW w:w="1620" w:type="dxa"/>
                  <w:noWrap w:val="0"/>
                  <w:vAlign w:val="top"/>
                </w:tcPr>
                <w:p w14:paraId="457BF603">
                  <w:pPr>
                    <w:spacing w:line="280" w:lineRule="exact"/>
                    <w:rPr>
                      <w:rFonts w:hint="eastAsia"/>
                      <w:color w:val="auto"/>
                      <w:highlight w:val="none"/>
                    </w:rPr>
                  </w:pPr>
                </w:p>
              </w:tc>
              <w:tc>
                <w:tcPr>
                  <w:tcW w:w="1620" w:type="dxa"/>
                  <w:noWrap w:val="0"/>
                  <w:vAlign w:val="top"/>
                </w:tcPr>
                <w:p w14:paraId="20027570">
                  <w:pPr>
                    <w:spacing w:line="280" w:lineRule="exact"/>
                    <w:rPr>
                      <w:rFonts w:hint="eastAsia"/>
                      <w:color w:val="auto"/>
                      <w:highlight w:val="none"/>
                    </w:rPr>
                  </w:pPr>
                </w:p>
              </w:tc>
              <w:tc>
                <w:tcPr>
                  <w:tcW w:w="1651" w:type="dxa"/>
                  <w:noWrap w:val="0"/>
                  <w:vAlign w:val="top"/>
                </w:tcPr>
                <w:p w14:paraId="445AF500">
                  <w:pPr>
                    <w:spacing w:line="280" w:lineRule="exact"/>
                    <w:rPr>
                      <w:rFonts w:hint="eastAsia"/>
                      <w:color w:val="auto"/>
                      <w:highlight w:val="none"/>
                    </w:rPr>
                  </w:pPr>
                </w:p>
              </w:tc>
            </w:tr>
            <w:tr w14:paraId="24856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DA31C84">
                  <w:pPr>
                    <w:spacing w:line="280" w:lineRule="exact"/>
                    <w:jc w:val="center"/>
                    <w:rPr>
                      <w:rFonts w:hint="eastAsia"/>
                      <w:color w:val="auto"/>
                      <w:highlight w:val="none"/>
                    </w:rPr>
                  </w:pPr>
                </w:p>
              </w:tc>
              <w:tc>
                <w:tcPr>
                  <w:tcW w:w="3420" w:type="dxa"/>
                  <w:noWrap w:val="0"/>
                  <w:vAlign w:val="top"/>
                </w:tcPr>
                <w:p w14:paraId="408F7D35">
                  <w:pPr>
                    <w:spacing w:line="280" w:lineRule="exact"/>
                    <w:rPr>
                      <w:rFonts w:hint="eastAsia"/>
                      <w:color w:val="auto"/>
                      <w:highlight w:val="none"/>
                    </w:rPr>
                  </w:pPr>
                </w:p>
              </w:tc>
              <w:tc>
                <w:tcPr>
                  <w:tcW w:w="1620" w:type="dxa"/>
                  <w:noWrap w:val="0"/>
                  <w:vAlign w:val="top"/>
                </w:tcPr>
                <w:p w14:paraId="39C1E8A0">
                  <w:pPr>
                    <w:spacing w:line="280" w:lineRule="exact"/>
                    <w:rPr>
                      <w:rFonts w:hint="eastAsia"/>
                      <w:color w:val="auto"/>
                      <w:highlight w:val="none"/>
                    </w:rPr>
                  </w:pPr>
                </w:p>
              </w:tc>
              <w:tc>
                <w:tcPr>
                  <w:tcW w:w="1620" w:type="dxa"/>
                  <w:noWrap w:val="0"/>
                  <w:vAlign w:val="top"/>
                </w:tcPr>
                <w:p w14:paraId="412AD9B2">
                  <w:pPr>
                    <w:spacing w:line="280" w:lineRule="exact"/>
                    <w:rPr>
                      <w:rFonts w:hint="eastAsia"/>
                      <w:color w:val="auto"/>
                      <w:highlight w:val="none"/>
                    </w:rPr>
                  </w:pPr>
                </w:p>
              </w:tc>
              <w:tc>
                <w:tcPr>
                  <w:tcW w:w="1651" w:type="dxa"/>
                  <w:noWrap w:val="0"/>
                  <w:vAlign w:val="top"/>
                </w:tcPr>
                <w:p w14:paraId="16139072">
                  <w:pPr>
                    <w:spacing w:line="280" w:lineRule="exact"/>
                    <w:rPr>
                      <w:rFonts w:hint="eastAsia"/>
                      <w:color w:val="auto"/>
                      <w:highlight w:val="none"/>
                    </w:rPr>
                  </w:pPr>
                </w:p>
              </w:tc>
            </w:tr>
            <w:tr w14:paraId="060B0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E910CD5">
                  <w:pPr>
                    <w:spacing w:line="280" w:lineRule="exact"/>
                    <w:jc w:val="center"/>
                    <w:rPr>
                      <w:rFonts w:hint="eastAsia"/>
                      <w:color w:val="auto"/>
                      <w:highlight w:val="none"/>
                    </w:rPr>
                  </w:pPr>
                </w:p>
              </w:tc>
              <w:tc>
                <w:tcPr>
                  <w:tcW w:w="3420" w:type="dxa"/>
                  <w:noWrap w:val="0"/>
                  <w:vAlign w:val="top"/>
                </w:tcPr>
                <w:p w14:paraId="46E4DEDE">
                  <w:pPr>
                    <w:spacing w:line="280" w:lineRule="exact"/>
                    <w:rPr>
                      <w:rFonts w:hint="eastAsia"/>
                      <w:color w:val="auto"/>
                      <w:highlight w:val="none"/>
                    </w:rPr>
                  </w:pPr>
                </w:p>
              </w:tc>
              <w:tc>
                <w:tcPr>
                  <w:tcW w:w="1620" w:type="dxa"/>
                  <w:noWrap w:val="0"/>
                  <w:vAlign w:val="top"/>
                </w:tcPr>
                <w:p w14:paraId="2C6C0927">
                  <w:pPr>
                    <w:spacing w:line="280" w:lineRule="exact"/>
                    <w:rPr>
                      <w:rFonts w:hint="eastAsia"/>
                      <w:color w:val="auto"/>
                      <w:highlight w:val="none"/>
                    </w:rPr>
                  </w:pPr>
                </w:p>
              </w:tc>
              <w:tc>
                <w:tcPr>
                  <w:tcW w:w="1620" w:type="dxa"/>
                  <w:noWrap w:val="0"/>
                  <w:vAlign w:val="top"/>
                </w:tcPr>
                <w:p w14:paraId="1800ECFF">
                  <w:pPr>
                    <w:spacing w:line="280" w:lineRule="exact"/>
                    <w:rPr>
                      <w:rFonts w:hint="eastAsia"/>
                      <w:color w:val="auto"/>
                      <w:highlight w:val="none"/>
                    </w:rPr>
                  </w:pPr>
                </w:p>
              </w:tc>
              <w:tc>
                <w:tcPr>
                  <w:tcW w:w="1651" w:type="dxa"/>
                  <w:noWrap w:val="0"/>
                  <w:vAlign w:val="top"/>
                </w:tcPr>
                <w:p w14:paraId="1EE72F31">
                  <w:pPr>
                    <w:spacing w:line="280" w:lineRule="exact"/>
                    <w:rPr>
                      <w:rFonts w:hint="eastAsia"/>
                      <w:color w:val="auto"/>
                      <w:highlight w:val="none"/>
                    </w:rPr>
                  </w:pPr>
                </w:p>
              </w:tc>
            </w:tr>
            <w:tr w14:paraId="6FF98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B76E448">
                  <w:pPr>
                    <w:spacing w:line="280" w:lineRule="exact"/>
                    <w:jc w:val="center"/>
                    <w:rPr>
                      <w:rFonts w:hint="eastAsia"/>
                      <w:color w:val="auto"/>
                      <w:highlight w:val="none"/>
                    </w:rPr>
                  </w:pPr>
                </w:p>
              </w:tc>
              <w:tc>
                <w:tcPr>
                  <w:tcW w:w="3420" w:type="dxa"/>
                  <w:noWrap w:val="0"/>
                  <w:vAlign w:val="top"/>
                </w:tcPr>
                <w:p w14:paraId="126F4808">
                  <w:pPr>
                    <w:spacing w:line="280" w:lineRule="exact"/>
                    <w:rPr>
                      <w:rFonts w:hint="eastAsia"/>
                      <w:color w:val="auto"/>
                      <w:highlight w:val="none"/>
                    </w:rPr>
                  </w:pPr>
                </w:p>
              </w:tc>
              <w:tc>
                <w:tcPr>
                  <w:tcW w:w="1620" w:type="dxa"/>
                  <w:noWrap w:val="0"/>
                  <w:vAlign w:val="top"/>
                </w:tcPr>
                <w:p w14:paraId="283C1424">
                  <w:pPr>
                    <w:spacing w:line="280" w:lineRule="exact"/>
                    <w:rPr>
                      <w:rFonts w:hint="eastAsia"/>
                      <w:color w:val="auto"/>
                      <w:highlight w:val="none"/>
                    </w:rPr>
                  </w:pPr>
                </w:p>
              </w:tc>
              <w:tc>
                <w:tcPr>
                  <w:tcW w:w="1620" w:type="dxa"/>
                  <w:noWrap w:val="0"/>
                  <w:vAlign w:val="top"/>
                </w:tcPr>
                <w:p w14:paraId="0B37DAFB">
                  <w:pPr>
                    <w:spacing w:line="280" w:lineRule="exact"/>
                    <w:rPr>
                      <w:rFonts w:hint="eastAsia"/>
                      <w:color w:val="auto"/>
                      <w:highlight w:val="none"/>
                    </w:rPr>
                  </w:pPr>
                </w:p>
              </w:tc>
              <w:tc>
                <w:tcPr>
                  <w:tcW w:w="1651" w:type="dxa"/>
                  <w:noWrap w:val="0"/>
                  <w:vAlign w:val="top"/>
                </w:tcPr>
                <w:p w14:paraId="06B44C7D">
                  <w:pPr>
                    <w:spacing w:line="280" w:lineRule="exact"/>
                    <w:rPr>
                      <w:rFonts w:hint="eastAsia"/>
                      <w:color w:val="auto"/>
                      <w:highlight w:val="none"/>
                    </w:rPr>
                  </w:pPr>
                </w:p>
              </w:tc>
            </w:tr>
            <w:tr w14:paraId="6B7F8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B6971C8">
                  <w:pPr>
                    <w:spacing w:line="280" w:lineRule="exact"/>
                    <w:jc w:val="center"/>
                    <w:rPr>
                      <w:rFonts w:hint="eastAsia"/>
                      <w:color w:val="auto"/>
                      <w:highlight w:val="none"/>
                    </w:rPr>
                  </w:pPr>
                </w:p>
              </w:tc>
              <w:tc>
                <w:tcPr>
                  <w:tcW w:w="3420" w:type="dxa"/>
                  <w:noWrap w:val="0"/>
                  <w:vAlign w:val="top"/>
                </w:tcPr>
                <w:p w14:paraId="4E8614FD">
                  <w:pPr>
                    <w:spacing w:line="280" w:lineRule="exact"/>
                    <w:rPr>
                      <w:rFonts w:hint="eastAsia"/>
                      <w:color w:val="auto"/>
                      <w:highlight w:val="none"/>
                    </w:rPr>
                  </w:pPr>
                </w:p>
              </w:tc>
              <w:tc>
                <w:tcPr>
                  <w:tcW w:w="1620" w:type="dxa"/>
                  <w:noWrap w:val="0"/>
                  <w:vAlign w:val="top"/>
                </w:tcPr>
                <w:p w14:paraId="16ABB61C">
                  <w:pPr>
                    <w:spacing w:line="280" w:lineRule="exact"/>
                    <w:rPr>
                      <w:rFonts w:hint="eastAsia"/>
                      <w:color w:val="auto"/>
                      <w:highlight w:val="none"/>
                    </w:rPr>
                  </w:pPr>
                </w:p>
              </w:tc>
              <w:tc>
                <w:tcPr>
                  <w:tcW w:w="1620" w:type="dxa"/>
                  <w:noWrap w:val="0"/>
                  <w:vAlign w:val="top"/>
                </w:tcPr>
                <w:p w14:paraId="5B8E284B">
                  <w:pPr>
                    <w:spacing w:line="280" w:lineRule="exact"/>
                    <w:rPr>
                      <w:rFonts w:hint="eastAsia"/>
                      <w:color w:val="auto"/>
                      <w:highlight w:val="none"/>
                    </w:rPr>
                  </w:pPr>
                </w:p>
              </w:tc>
              <w:tc>
                <w:tcPr>
                  <w:tcW w:w="1651" w:type="dxa"/>
                  <w:noWrap w:val="0"/>
                  <w:vAlign w:val="top"/>
                </w:tcPr>
                <w:p w14:paraId="6D153BDD">
                  <w:pPr>
                    <w:spacing w:line="280" w:lineRule="exact"/>
                    <w:rPr>
                      <w:rFonts w:hint="eastAsia"/>
                      <w:color w:val="auto"/>
                      <w:highlight w:val="none"/>
                    </w:rPr>
                  </w:pPr>
                </w:p>
              </w:tc>
            </w:tr>
            <w:tr w14:paraId="4C7F4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F6829F9">
                  <w:pPr>
                    <w:spacing w:line="280" w:lineRule="exact"/>
                    <w:jc w:val="center"/>
                    <w:rPr>
                      <w:rFonts w:hint="eastAsia"/>
                      <w:color w:val="auto"/>
                      <w:highlight w:val="none"/>
                    </w:rPr>
                  </w:pPr>
                </w:p>
              </w:tc>
              <w:tc>
                <w:tcPr>
                  <w:tcW w:w="3420" w:type="dxa"/>
                  <w:noWrap w:val="0"/>
                  <w:vAlign w:val="top"/>
                </w:tcPr>
                <w:p w14:paraId="6B79891E">
                  <w:pPr>
                    <w:spacing w:line="280" w:lineRule="exact"/>
                    <w:rPr>
                      <w:rFonts w:hint="eastAsia"/>
                      <w:color w:val="auto"/>
                      <w:highlight w:val="none"/>
                    </w:rPr>
                  </w:pPr>
                </w:p>
              </w:tc>
              <w:tc>
                <w:tcPr>
                  <w:tcW w:w="1620" w:type="dxa"/>
                  <w:noWrap w:val="0"/>
                  <w:vAlign w:val="top"/>
                </w:tcPr>
                <w:p w14:paraId="54B8A7E1">
                  <w:pPr>
                    <w:spacing w:line="280" w:lineRule="exact"/>
                    <w:rPr>
                      <w:rFonts w:hint="eastAsia"/>
                      <w:color w:val="auto"/>
                      <w:highlight w:val="none"/>
                    </w:rPr>
                  </w:pPr>
                </w:p>
              </w:tc>
              <w:tc>
                <w:tcPr>
                  <w:tcW w:w="1620" w:type="dxa"/>
                  <w:noWrap w:val="0"/>
                  <w:vAlign w:val="top"/>
                </w:tcPr>
                <w:p w14:paraId="15D1A2DD">
                  <w:pPr>
                    <w:spacing w:line="280" w:lineRule="exact"/>
                    <w:rPr>
                      <w:rFonts w:hint="eastAsia"/>
                      <w:color w:val="auto"/>
                      <w:highlight w:val="none"/>
                    </w:rPr>
                  </w:pPr>
                </w:p>
              </w:tc>
              <w:tc>
                <w:tcPr>
                  <w:tcW w:w="1651" w:type="dxa"/>
                  <w:noWrap w:val="0"/>
                  <w:vAlign w:val="top"/>
                </w:tcPr>
                <w:p w14:paraId="56AAED1E">
                  <w:pPr>
                    <w:spacing w:line="280" w:lineRule="exact"/>
                    <w:rPr>
                      <w:rFonts w:hint="eastAsia"/>
                      <w:color w:val="auto"/>
                      <w:highlight w:val="none"/>
                    </w:rPr>
                  </w:pPr>
                </w:p>
              </w:tc>
            </w:tr>
          </w:tbl>
          <w:p w14:paraId="6CB32FA7">
            <w:pPr>
              <w:spacing w:line="400" w:lineRule="exact"/>
              <w:ind w:right="420" w:firstLine="435"/>
              <w:jc w:val="center"/>
              <w:rPr>
                <w:rFonts w:hint="eastAsia"/>
                <w:color w:val="auto"/>
                <w:highlight w:val="none"/>
              </w:rPr>
            </w:pPr>
          </w:p>
          <w:p w14:paraId="379B2A93">
            <w:pPr>
              <w:spacing w:line="400" w:lineRule="exact"/>
              <w:ind w:right="420" w:firstLine="435"/>
              <w:jc w:val="center"/>
              <w:rPr>
                <w:rFonts w:hint="eastAsia"/>
                <w:color w:val="auto"/>
                <w:highlight w:val="none"/>
              </w:rPr>
            </w:pPr>
            <w:r>
              <w:rPr>
                <w:rFonts w:hint="eastAsia"/>
                <w:color w:val="auto"/>
                <w:highlight w:val="none"/>
              </w:rPr>
              <w:t xml:space="preserve">                                            承包人（章）             </w:t>
            </w:r>
          </w:p>
          <w:p w14:paraId="5E5927EA">
            <w:pPr>
              <w:spacing w:line="400" w:lineRule="exact"/>
              <w:ind w:right="420" w:firstLine="435"/>
              <w:rPr>
                <w:rFonts w:hint="eastAsia"/>
                <w:color w:val="auto"/>
                <w:highlight w:val="none"/>
              </w:rPr>
            </w:pPr>
            <w:r>
              <w:rPr>
                <w:rFonts w:hint="eastAsia"/>
                <w:color w:val="auto"/>
                <w:highlight w:val="none"/>
              </w:rPr>
              <w:t>造价人员</w:t>
            </w:r>
            <w:r>
              <w:rPr>
                <w:rFonts w:hint="eastAsia"/>
                <w:color w:val="auto"/>
                <w:highlight w:val="none"/>
                <w:u w:val="single"/>
              </w:rPr>
              <w:t xml:space="preserve">               </w:t>
            </w:r>
            <w:r>
              <w:rPr>
                <w:rFonts w:hint="eastAsia"/>
                <w:color w:val="auto"/>
                <w:highlight w:val="none"/>
              </w:rPr>
              <w:t>承包人代表</w:t>
            </w:r>
            <w:r>
              <w:rPr>
                <w:rFonts w:hint="eastAsia"/>
                <w:color w:val="auto"/>
                <w:highlight w:val="none"/>
                <w:u w:val="single"/>
              </w:rPr>
              <w:t xml:space="preserve">               </w:t>
            </w:r>
            <w:r>
              <w:rPr>
                <w:rFonts w:hint="eastAsia"/>
                <w:color w:val="auto"/>
                <w:highlight w:val="none"/>
              </w:rPr>
              <w:t>日      期</w:t>
            </w:r>
            <w:r>
              <w:rPr>
                <w:rFonts w:hint="eastAsia"/>
                <w:color w:val="auto"/>
                <w:highlight w:val="none"/>
                <w:u w:val="single"/>
              </w:rPr>
              <w:t xml:space="preserve">               </w:t>
            </w:r>
          </w:p>
        </w:tc>
      </w:tr>
      <w:tr w14:paraId="52120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620" w:type="dxa"/>
            <w:noWrap w:val="0"/>
            <w:vAlign w:val="top"/>
          </w:tcPr>
          <w:p w14:paraId="19FC4312">
            <w:pPr>
              <w:spacing w:line="360" w:lineRule="exact"/>
              <w:rPr>
                <w:rFonts w:hint="eastAsia"/>
                <w:color w:val="auto"/>
                <w:highlight w:val="none"/>
              </w:rPr>
            </w:pPr>
            <w:r>
              <w:rPr>
                <w:rFonts w:hint="eastAsia"/>
                <w:color w:val="auto"/>
                <w:highlight w:val="none"/>
              </w:rPr>
              <w:t>复核意见：</w:t>
            </w:r>
          </w:p>
          <w:p w14:paraId="79DDD937">
            <w:pPr>
              <w:spacing w:line="360" w:lineRule="exact"/>
              <w:ind w:firstLine="312"/>
              <w:rPr>
                <w:rFonts w:hint="eastAsia"/>
                <w:color w:val="auto"/>
                <w:highlight w:val="none"/>
              </w:rPr>
            </w:pPr>
            <w:r>
              <w:rPr>
                <w:rFonts w:hint="eastAsia"/>
                <w:color w:val="auto"/>
                <w:highlight w:val="none"/>
              </w:rPr>
              <w:t>□与实际施工情况不相符，修改意见见附件。</w:t>
            </w:r>
          </w:p>
          <w:p w14:paraId="38A12CFB">
            <w:pPr>
              <w:spacing w:line="360" w:lineRule="exact"/>
              <w:ind w:firstLine="312"/>
              <w:rPr>
                <w:rFonts w:hint="eastAsia"/>
                <w:color w:val="auto"/>
                <w:highlight w:val="none"/>
              </w:rPr>
            </w:pPr>
            <w:r>
              <w:rPr>
                <w:rFonts w:hint="eastAsia"/>
                <w:color w:val="auto"/>
                <w:highlight w:val="none"/>
              </w:rPr>
              <w:t>□与实际施工情况相符，具体金额由造价工程师复核。</w:t>
            </w:r>
          </w:p>
          <w:p w14:paraId="795A9105">
            <w:pPr>
              <w:spacing w:line="360" w:lineRule="exact"/>
              <w:ind w:firstLine="435"/>
              <w:jc w:val="right"/>
              <w:rPr>
                <w:rFonts w:hint="eastAsia"/>
                <w:color w:val="auto"/>
                <w:highlight w:val="none"/>
              </w:rPr>
            </w:pPr>
          </w:p>
          <w:p w14:paraId="12BC70A3">
            <w:pPr>
              <w:spacing w:line="360" w:lineRule="exact"/>
              <w:ind w:firstLine="435"/>
              <w:jc w:val="right"/>
              <w:rPr>
                <w:rFonts w:hint="eastAsia"/>
                <w:color w:val="auto"/>
                <w:highlight w:val="none"/>
              </w:rPr>
            </w:pPr>
          </w:p>
          <w:p w14:paraId="1403FEA5">
            <w:pPr>
              <w:spacing w:line="360" w:lineRule="exact"/>
              <w:ind w:firstLine="435"/>
              <w:jc w:val="center"/>
              <w:rPr>
                <w:rFonts w:hint="eastAsia"/>
                <w:color w:val="auto"/>
                <w:highlight w:val="none"/>
              </w:rPr>
            </w:pPr>
            <w:r>
              <w:rPr>
                <w:color w:val="auto"/>
                <w:highlight w:val="none"/>
              </w:rPr>
              <w:t xml:space="preserve">    </w:t>
            </w:r>
            <w:r>
              <w:rPr>
                <w:rFonts w:hint="eastAsia"/>
                <w:color w:val="auto"/>
                <w:highlight w:val="none"/>
              </w:rPr>
              <w:t xml:space="preserve">     </w:t>
            </w:r>
          </w:p>
          <w:p w14:paraId="650466D9">
            <w:pPr>
              <w:spacing w:line="360" w:lineRule="exact"/>
              <w:ind w:firstLine="435"/>
              <w:jc w:val="center"/>
              <w:rPr>
                <w:rFonts w:hint="eastAsia"/>
                <w:color w:val="auto"/>
                <w:highlight w:val="none"/>
                <w:u w:val="single"/>
              </w:rPr>
            </w:pPr>
            <w:r>
              <w:rPr>
                <w:rFonts w:hint="eastAsia"/>
                <w:color w:val="auto"/>
                <w:highlight w:val="none"/>
              </w:rPr>
              <w:t xml:space="preserve">      监理工程师</w:t>
            </w:r>
            <w:r>
              <w:rPr>
                <w:rFonts w:hint="eastAsia"/>
                <w:color w:val="auto"/>
                <w:highlight w:val="none"/>
                <w:u w:val="single"/>
              </w:rPr>
              <w:t xml:space="preserve">           </w:t>
            </w:r>
          </w:p>
          <w:p w14:paraId="4F05F111">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日      期</w:t>
            </w:r>
            <w:r>
              <w:rPr>
                <w:rFonts w:hint="eastAsia"/>
                <w:color w:val="auto"/>
                <w:highlight w:val="none"/>
                <w:u w:val="single"/>
              </w:rPr>
              <w:t xml:space="preserve">           </w:t>
            </w:r>
          </w:p>
        </w:tc>
        <w:tc>
          <w:tcPr>
            <w:tcW w:w="4620" w:type="dxa"/>
            <w:noWrap w:val="0"/>
            <w:vAlign w:val="top"/>
          </w:tcPr>
          <w:p w14:paraId="02637736">
            <w:pPr>
              <w:spacing w:line="360" w:lineRule="exact"/>
              <w:rPr>
                <w:rFonts w:hint="eastAsia"/>
                <w:color w:val="auto"/>
                <w:highlight w:val="none"/>
              </w:rPr>
            </w:pPr>
            <w:r>
              <w:rPr>
                <w:rFonts w:hint="eastAsia"/>
                <w:color w:val="auto"/>
                <w:highlight w:val="none"/>
              </w:rPr>
              <w:t>复核意见：</w:t>
            </w:r>
          </w:p>
          <w:p w14:paraId="682E7FC0">
            <w:pPr>
              <w:spacing w:line="360" w:lineRule="exact"/>
              <w:ind w:firstLine="435"/>
              <w:rPr>
                <w:rFonts w:hint="eastAsia"/>
                <w:color w:val="auto"/>
                <w:highlight w:val="none"/>
                <w:u w:val="single"/>
              </w:rPr>
            </w:pPr>
            <w:r>
              <w:rPr>
                <w:rFonts w:hint="eastAsia"/>
                <w:color w:val="auto"/>
                <w:highlight w:val="none"/>
              </w:rPr>
              <w:t>你方提出的竣工结算支付申请经复核，竣工结算款总额为</w:t>
            </w:r>
            <w:r>
              <w:rPr>
                <w:rFonts w:hint="eastAsia"/>
                <w:color w:val="auto"/>
                <w:highlight w:val="none"/>
                <w:lang w:eastAsia="zh-CN"/>
              </w:rPr>
              <w:t>（</w:t>
            </w:r>
            <w:r>
              <w:rPr>
                <w:rFonts w:hint="eastAsia"/>
                <w:color w:val="auto"/>
                <w:highlight w:val="none"/>
              </w:rPr>
              <w:t>大写</w:t>
            </w:r>
            <w:r>
              <w:rPr>
                <w:rFonts w:hint="eastAsia"/>
                <w:color w:val="auto"/>
                <w:highlight w:val="none"/>
                <w:lang w:eastAsia="zh-CN"/>
              </w:rPr>
              <w:t>）</w:t>
            </w:r>
            <w:r>
              <w:rPr>
                <w:rFonts w:hint="eastAsia"/>
                <w:color w:val="auto"/>
                <w:highlight w:val="none"/>
                <w:u w:val="single"/>
              </w:rPr>
              <w:t xml:space="preserve">                </w:t>
            </w:r>
            <w:r>
              <w:rPr>
                <w:rFonts w:hint="eastAsia"/>
                <w:color w:val="auto"/>
                <w:highlight w:val="none"/>
              </w:rPr>
              <w:t>元，（小写）</w:t>
            </w:r>
            <w:r>
              <w:rPr>
                <w:rFonts w:hint="eastAsia"/>
                <w:color w:val="auto"/>
                <w:highlight w:val="none"/>
                <w:u w:val="single"/>
              </w:rPr>
              <w:t xml:space="preserve">          </w:t>
            </w:r>
            <w:r>
              <w:rPr>
                <w:rFonts w:hint="eastAsia"/>
                <w:color w:val="auto"/>
                <w:highlight w:val="none"/>
              </w:rPr>
              <w:t xml:space="preserve"> 元，扣除前期支付以及质量保证金后应支付金额为（大写）</w:t>
            </w:r>
            <w:r>
              <w:rPr>
                <w:rFonts w:hint="eastAsia"/>
                <w:color w:val="auto"/>
                <w:highlight w:val="none"/>
                <w:u w:val="single"/>
              </w:rPr>
              <w:t xml:space="preserve">              </w:t>
            </w:r>
            <w:r>
              <w:rPr>
                <w:rFonts w:hint="eastAsia"/>
                <w:color w:val="auto"/>
                <w:highlight w:val="none"/>
              </w:rPr>
              <w:t>元，（小写）</w:t>
            </w:r>
            <w:r>
              <w:rPr>
                <w:rFonts w:hint="eastAsia"/>
                <w:color w:val="auto"/>
                <w:highlight w:val="none"/>
                <w:u w:val="single"/>
              </w:rPr>
              <w:t xml:space="preserve">         </w:t>
            </w:r>
            <w:r>
              <w:rPr>
                <w:rFonts w:hint="eastAsia"/>
                <w:color w:val="auto"/>
                <w:highlight w:val="none"/>
              </w:rPr>
              <w:t>元。</w:t>
            </w:r>
          </w:p>
          <w:p w14:paraId="028A75A0">
            <w:pPr>
              <w:spacing w:line="360" w:lineRule="exact"/>
              <w:ind w:firstLine="435"/>
              <w:jc w:val="center"/>
              <w:rPr>
                <w:rFonts w:hint="eastAsia"/>
                <w:color w:val="auto"/>
                <w:highlight w:val="none"/>
              </w:rPr>
            </w:pPr>
            <w:r>
              <w:rPr>
                <w:color w:val="auto"/>
                <w:highlight w:val="none"/>
              </w:rPr>
              <w:t xml:space="preserve">    </w:t>
            </w:r>
          </w:p>
          <w:p w14:paraId="0CD4702E">
            <w:pPr>
              <w:spacing w:line="360" w:lineRule="exact"/>
              <w:ind w:firstLine="435"/>
              <w:jc w:val="center"/>
              <w:rPr>
                <w:rFonts w:hint="eastAsia"/>
                <w:color w:val="auto"/>
                <w:highlight w:val="none"/>
                <w:u w:val="single"/>
              </w:rPr>
            </w:pPr>
            <w:r>
              <w:rPr>
                <w:rFonts w:hint="eastAsia"/>
                <w:color w:val="auto"/>
                <w:highlight w:val="none"/>
              </w:rPr>
              <w:t xml:space="preserve">    造价工程师</w:t>
            </w:r>
            <w:r>
              <w:rPr>
                <w:rFonts w:hint="eastAsia"/>
                <w:color w:val="auto"/>
                <w:highlight w:val="none"/>
                <w:u w:val="single"/>
              </w:rPr>
              <w:t xml:space="preserve">           </w:t>
            </w:r>
          </w:p>
          <w:p w14:paraId="487D6B8A">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日      期</w:t>
            </w:r>
            <w:r>
              <w:rPr>
                <w:rFonts w:hint="eastAsia"/>
                <w:color w:val="auto"/>
                <w:highlight w:val="none"/>
                <w:u w:val="single"/>
              </w:rPr>
              <w:t xml:space="preserve">           </w:t>
            </w:r>
          </w:p>
        </w:tc>
      </w:tr>
      <w:tr w14:paraId="10075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240" w:type="dxa"/>
            <w:gridSpan w:val="2"/>
            <w:noWrap w:val="0"/>
            <w:vAlign w:val="top"/>
          </w:tcPr>
          <w:p w14:paraId="3178992F">
            <w:pPr>
              <w:spacing w:line="400" w:lineRule="exact"/>
              <w:rPr>
                <w:rFonts w:hint="eastAsia"/>
                <w:color w:val="auto"/>
                <w:highlight w:val="none"/>
              </w:rPr>
            </w:pPr>
            <w:r>
              <w:rPr>
                <w:rFonts w:hint="eastAsia"/>
                <w:color w:val="auto"/>
                <w:highlight w:val="none"/>
              </w:rPr>
              <w:t>审核意见：</w:t>
            </w:r>
          </w:p>
          <w:p w14:paraId="50569106">
            <w:pPr>
              <w:spacing w:line="400" w:lineRule="exact"/>
              <w:ind w:firstLine="435"/>
              <w:rPr>
                <w:rFonts w:hint="eastAsia"/>
                <w:color w:val="auto"/>
                <w:highlight w:val="none"/>
              </w:rPr>
            </w:pPr>
            <w:r>
              <w:rPr>
                <w:rFonts w:hint="eastAsia"/>
                <w:color w:val="auto"/>
                <w:highlight w:val="none"/>
              </w:rPr>
              <w:t>□不同意。</w:t>
            </w:r>
          </w:p>
          <w:p w14:paraId="6EA82A94">
            <w:pPr>
              <w:spacing w:line="400" w:lineRule="exact"/>
              <w:ind w:firstLine="420" w:firstLineChars="200"/>
              <w:rPr>
                <w:rFonts w:hint="eastAsia"/>
                <w:color w:val="auto"/>
                <w:highlight w:val="none"/>
              </w:rPr>
            </w:pPr>
            <w:r>
              <w:rPr>
                <w:rFonts w:hint="eastAsia"/>
                <w:color w:val="auto"/>
                <w:highlight w:val="none"/>
              </w:rPr>
              <w:t>□同意，支付时间为本表签发后的15天内。</w:t>
            </w:r>
          </w:p>
          <w:p w14:paraId="351CE1D8">
            <w:pPr>
              <w:wordWrap w:val="0"/>
              <w:spacing w:line="400" w:lineRule="exact"/>
              <w:ind w:firstLine="420" w:firstLineChars="200"/>
              <w:jc w:val="right"/>
              <w:rPr>
                <w:rFonts w:hint="eastAsia"/>
                <w:color w:val="auto"/>
                <w:highlight w:val="none"/>
              </w:rPr>
            </w:pPr>
            <w:r>
              <w:rPr>
                <w:rFonts w:hint="eastAsia"/>
                <w:color w:val="auto"/>
                <w:highlight w:val="none"/>
              </w:rPr>
              <w:t xml:space="preserve">发包人（章）           </w:t>
            </w:r>
          </w:p>
          <w:p w14:paraId="4D9CEDAC">
            <w:pPr>
              <w:wordWrap w:val="0"/>
              <w:spacing w:line="400" w:lineRule="exact"/>
              <w:ind w:firstLine="420" w:firstLineChars="200"/>
              <w:jc w:val="right"/>
              <w:rPr>
                <w:rFonts w:hint="eastAsia"/>
                <w:color w:val="auto"/>
                <w:highlight w:val="none"/>
                <w:u w:val="single"/>
              </w:rPr>
            </w:pPr>
            <w:r>
              <w:rPr>
                <w:rFonts w:hint="eastAsia"/>
                <w:color w:val="auto"/>
                <w:highlight w:val="none"/>
              </w:rPr>
              <w:t>发包人代表</w:t>
            </w:r>
            <w:r>
              <w:rPr>
                <w:rFonts w:hint="eastAsia"/>
                <w:color w:val="auto"/>
                <w:highlight w:val="none"/>
                <w:u w:val="single"/>
              </w:rPr>
              <w:t xml:space="preserve">             </w:t>
            </w:r>
          </w:p>
          <w:p w14:paraId="60A47788">
            <w:pPr>
              <w:wordWrap w:val="0"/>
              <w:spacing w:line="400" w:lineRule="exact"/>
              <w:ind w:firstLine="420" w:firstLineChars="200"/>
              <w:jc w:val="right"/>
              <w:rPr>
                <w:rFonts w:hint="eastAsia"/>
                <w:color w:val="auto"/>
                <w:highlight w:val="none"/>
                <w:u w:val="single"/>
              </w:rPr>
            </w:pPr>
            <w:r>
              <w:rPr>
                <w:rFonts w:hint="eastAsia"/>
                <w:color w:val="auto"/>
                <w:highlight w:val="none"/>
              </w:rPr>
              <w:t>日      期</w:t>
            </w:r>
            <w:r>
              <w:rPr>
                <w:rFonts w:hint="eastAsia"/>
                <w:color w:val="auto"/>
                <w:highlight w:val="none"/>
                <w:u w:val="single"/>
              </w:rPr>
              <w:t xml:space="preserve">             </w:t>
            </w:r>
          </w:p>
        </w:tc>
      </w:tr>
    </w:tbl>
    <w:p w14:paraId="14DA167E">
      <w:pPr>
        <w:spacing w:before="120" w:beforeLines="50"/>
        <w:ind w:firstLine="360" w:firstLineChars="200"/>
        <w:rPr>
          <w:rFonts w:hint="eastAsia"/>
          <w:color w:val="auto"/>
          <w:sz w:val="18"/>
          <w:szCs w:val="18"/>
          <w:highlight w:val="none"/>
        </w:rPr>
      </w:pPr>
      <w:r>
        <w:rPr>
          <w:rFonts w:hint="eastAsia"/>
          <w:color w:val="auto"/>
          <w:sz w:val="18"/>
          <w:szCs w:val="18"/>
          <w:highlight w:val="none"/>
        </w:rPr>
        <w:t xml:space="preserve">注：1.在选择栏中的“□”内作标识“√”。 </w:t>
      </w:r>
    </w:p>
    <w:p w14:paraId="3D64E4BE">
      <w:pPr>
        <w:spacing w:before="120" w:beforeLines="50"/>
        <w:ind w:left="720" w:hanging="720" w:hangingChars="400"/>
        <w:rPr>
          <w:rFonts w:hint="eastAsia"/>
          <w:color w:val="auto"/>
          <w:sz w:val="18"/>
          <w:szCs w:val="18"/>
          <w:highlight w:val="none"/>
        </w:rPr>
      </w:pPr>
      <w:r>
        <w:rPr>
          <w:rFonts w:hint="eastAsia"/>
          <w:color w:val="auto"/>
          <w:sz w:val="18"/>
          <w:szCs w:val="18"/>
          <w:highlight w:val="none"/>
        </w:rPr>
        <w:t xml:space="preserve">    </w:t>
      </w:r>
      <w:r>
        <w:rPr>
          <w:color w:val="auto"/>
          <w:sz w:val="18"/>
          <w:szCs w:val="18"/>
          <w:highlight w:val="none"/>
        </w:rPr>
        <w:t xml:space="preserve">  </w:t>
      </w:r>
      <w:r>
        <w:rPr>
          <w:rFonts w:hint="eastAsia"/>
          <w:color w:val="auto"/>
          <w:sz w:val="18"/>
          <w:szCs w:val="18"/>
          <w:highlight w:val="none"/>
        </w:rPr>
        <w:t xml:space="preserve">  2.本表一式四份，由承包人填报，发包人、监理人、造价咨询人、承包人各存一份。</w:t>
      </w:r>
    </w:p>
    <w:p w14:paraId="6D2673B1">
      <w:pPr>
        <w:ind w:right="360"/>
        <w:rPr>
          <w:rFonts w:hint="eastAsia"/>
          <w:color w:val="auto"/>
          <w:sz w:val="18"/>
          <w:szCs w:val="18"/>
          <w:highlight w:val="none"/>
        </w:rPr>
      </w:pPr>
      <w:r>
        <w:rPr>
          <w:rFonts w:hint="eastAsia"/>
          <w:color w:val="auto"/>
          <w:sz w:val="18"/>
          <w:szCs w:val="18"/>
          <w:highlight w:val="none"/>
        </w:rPr>
        <w:t xml:space="preserve">                                                                                            </w:t>
      </w:r>
    </w:p>
    <w:p w14:paraId="721C1EA8">
      <w:pPr>
        <w:jc w:val="center"/>
        <w:rPr>
          <w:rFonts w:hint="eastAsia" w:hAnsi="宋体" w:cs="宋体"/>
          <w:color w:val="auto"/>
          <w:highlight w:val="none"/>
        </w:rPr>
      </w:pPr>
    </w:p>
    <w:p w14:paraId="1089EF12">
      <w:pPr>
        <w:jc w:val="left"/>
        <w:rPr>
          <w:rFonts w:hint="eastAsia"/>
          <w:b/>
          <w:color w:val="auto"/>
          <w:sz w:val="30"/>
          <w:szCs w:val="30"/>
          <w:highlight w:val="none"/>
        </w:rPr>
      </w:pPr>
      <w:r>
        <w:rPr>
          <w:rFonts w:hint="eastAsia" w:hAnsi="宋体" w:cs="宋体"/>
          <w:color w:val="auto"/>
          <w:sz w:val="30"/>
          <w:szCs w:val="30"/>
          <w:highlight w:val="none"/>
        </w:rPr>
        <w:t>附件13：</w:t>
      </w:r>
    </w:p>
    <w:p w14:paraId="6CFD73BA">
      <w:pPr>
        <w:jc w:val="center"/>
        <w:rPr>
          <w:rFonts w:hint="eastAsia"/>
          <w:b/>
          <w:color w:val="auto"/>
          <w:sz w:val="36"/>
          <w:szCs w:val="36"/>
          <w:highlight w:val="none"/>
        </w:rPr>
      </w:pPr>
      <w:r>
        <w:rPr>
          <w:rFonts w:hint="eastAsia"/>
          <w:b/>
          <w:color w:val="auto"/>
          <w:sz w:val="36"/>
          <w:szCs w:val="36"/>
          <w:highlight w:val="none"/>
        </w:rPr>
        <w:t>最终结算款支付申请（核准）表</w:t>
      </w:r>
    </w:p>
    <w:p w14:paraId="798B3D21">
      <w:pPr>
        <w:rPr>
          <w:rFonts w:hint="eastAsia"/>
          <w:color w:val="auto"/>
          <w:sz w:val="24"/>
          <w:szCs w:val="24"/>
          <w:highlight w:val="none"/>
        </w:rPr>
      </w:pPr>
      <w:r>
        <w:rPr>
          <w:rFonts w:hint="eastAsia"/>
          <w:color w:val="auto"/>
          <w:sz w:val="24"/>
          <w:szCs w:val="24"/>
          <w:highlight w:val="none"/>
        </w:rPr>
        <w:t>工程名称：                                             编号：</w:t>
      </w:r>
    </w:p>
    <w:tbl>
      <w:tblPr>
        <w:tblStyle w:val="55"/>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9"/>
        <w:gridCol w:w="4533"/>
      </w:tblGrid>
      <w:tr w14:paraId="141E1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4" w:hRule="atLeast"/>
          <w:jc w:val="center"/>
        </w:trPr>
        <w:tc>
          <w:tcPr>
            <w:tcW w:w="9240" w:type="dxa"/>
            <w:gridSpan w:val="2"/>
            <w:noWrap w:val="0"/>
            <w:vAlign w:val="top"/>
          </w:tcPr>
          <w:p w14:paraId="79594BFF">
            <w:pPr>
              <w:spacing w:line="480" w:lineRule="exact"/>
              <w:ind w:left="525" w:leftChars="149" w:hanging="212" w:hangingChars="101"/>
              <w:rPr>
                <w:rFonts w:hint="eastAsia"/>
                <w:color w:val="auto"/>
                <w:highlight w:val="none"/>
                <w:u w:val="single"/>
              </w:rPr>
            </w:pPr>
            <w:r>
              <w:rPr>
                <w:rFonts w:hint="eastAsia"/>
                <w:color w:val="auto"/>
                <w:highlight w:val="none"/>
              </w:rPr>
              <w:t>致：</w:t>
            </w:r>
            <w:r>
              <w:rPr>
                <w:rFonts w:hint="eastAsia"/>
                <w:color w:val="auto"/>
                <w:highlight w:val="none"/>
                <w:u w:val="single"/>
              </w:rPr>
              <w:t xml:space="preserve">                                   （发包人全称）</w:t>
            </w:r>
          </w:p>
          <w:p w14:paraId="7A67726F">
            <w:pPr>
              <w:spacing w:line="400" w:lineRule="exact"/>
              <w:ind w:left="-4" w:leftChars="-2" w:firstLine="315" w:firstLineChars="150"/>
              <w:rPr>
                <w:rFonts w:hint="eastAsia"/>
                <w:color w:val="auto"/>
                <w:highlight w:val="none"/>
              </w:rPr>
            </w:pPr>
            <w:r>
              <w:rPr>
                <w:rFonts w:hint="eastAsia"/>
                <w:color w:val="auto"/>
                <w:highlight w:val="none"/>
              </w:rPr>
              <w:t>我方于</w:t>
            </w:r>
            <w:r>
              <w:rPr>
                <w:rFonts w:hint="eastAsia"/>
                <w:color w:val="auto"/>
                <w:highlight w:val="none"/>
                <w:u w:val="single"/>
              </w:rPr>
              <w:t xml:space="preserve">         </w:t>
            </w:r>
            <w:r>
              <w:rPr>
                <w:rFonts w:hint="eastAsia"/>
                <w:color w:val="auto"/>
                <w:highlight w:val="none"/>
              </w:rPr>
              <w:t>至</w:t>
            </w:r>
            <w:r>
              <w:rPr>
                <w:rFonts w:hint="eastAsia"/>
                <w:color w:val="auto"/>
                <w:highlight w:val="none"/>
                <w:u w:val="single"/>
              </w:rPr>
              <w:t xml:space="preserve">          </w:t>
            </w:r>
            <w:r>
              <w:rPr>
                <w:rFonts w:hint="eastAsia"/>
                <w:color w:val="auto"/>
                <w:highlight w:val="none"/>
              </w:rPr>
              <w:t>期间已完成了缺陷修复工作，根据施工合同的约定，现申请支付最终结清合同款额为</w:t>
            </w:r>
            <w:r>
              <w:rPr>
                <w:rFonts w:hint="eastAsia"/>
                <w:color w:val="auto"/>
                <w:highlight w:val="none"/>
                <w:lang w:eastAsia="zh-CN"/>
              </w:rPr>
              <w:t>（</w:t>
            </w:r>
            <w:r>
              <w:rPr>
                <w:rFonts w:hint="eastAsia"/>
                <w:color w:val="auto"/>
                <w:highlight w:val="none"/>
              </w:rPr>
              <w:t>大写</w:t>
            </w:r>
            <w:r>
              <w:rPr>
                <w:rFonts w:hint="eastAsia"/>
                <w:color w:val="auto"/>
                <w:highlight w:val="none"/>
                <w:lang w:eastAsia="zh-CN"/>
              </w:rPr>
              <w:t>）</w:t>
            </w:r>
            <w:r>
              <w:rPr>
                <w:rFonts w:hint="eastAsia"/>
                <w:color w:val="auto"/>
                <w:highlight w:val="none"/>
                <w:u w:val="single"/>
              </w:rPr>
              <w:t xml:space="preserve">            </w:t>
            </w:r>
            <w:r>
              <w:rPr>
                <w:rFonts w:hint="eastAsia"/>
                <w:color w:val="auto"/>
                <w:highlight w:val="none"/>
              </w:rPr>
              <w:t>元，</w:t>
            </w:r>
            <w:r>
              <w:rPr>
                <w:rFonts w:hint="eastAsia"/>
                <w:color w:val="auto"/>
                <w:highlight w:val="none"/>
                <w:lang w:eastAsia="zh-CN"/>
              </w:rPr>
              <w:t>（</w:t>
            </w:r>
            <w:r>
              <w:rPr>
                <w:rFonts w:hint="eastAsia"/>
                <w:color w:val="auto"/>
                <w:highlight w:val="none"/>
              </w:rPr>
              <w:t>小写</w:t>
            </w:r>
            <w:r>
              <w:rPr>
                <w:rFonts w:hint="eastAsia"/>
                <w:color w:val="auto"/>
                <w:highlight w:val="none"/>
                <w:lang w:eastAsia="zh-CN"/>
              </w:rPr>
              <w:t>）</w:t>
            </w:r>
            <w:r>
              <w:rPr>
                <w:rFonts w:hint="eastAsia"/>
                <w:color w:val="auto"/>
                <w:highlight w:val="none"/>
                <w:u w:val="single"/>
              </w:rPr>
              <w:t xml:space="preserve">         </w:t>
            </w:r>
            <w:r>
              <w:rPr>
                <w:rFonts w:hint="eastAsia"/>
                <w:color w:val="auto"/>
                <w:highlight w:val="none"/>
              </w:rPr>
              <w:t>元，请予核准。</w:t>
            </w:r>
          </w:p>
          <w:tbl>
            <w:tblPr>
              <w:tblStyle w:val="55"/>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3420"/>
              <w:gridCol w:w="1620"/>
              <w:gridCol w:w="1620"/>
              <w:gridCol w:w="1651"/>
            </w:tblGrid>
            <w:tr w14:paraId="38B58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1D11991F">
                  <w:pPr>
                    <w:spacing w:line="280" w:lineRule="exact"/>
                    <w:jc w:val="center"/>
                    <w:rPr>
                      <w:rFonts w:hint="eastAsia"/>
                      <w:color w:val="auto"/>
                      <w:highlight w:val="none"/>
                    </w:rPr>
                  </w:pPr>
                  <w:r>
                    <w:rPr>
                      <w:rFonts w:hint="eastAsia"/>
                      <w:color w:val="auto"/>
                      <w:highlight w:val="none"/>
                    </w:rPr>
                    <w:t>序号</w:t>
                  </w:r>
                </w:p>
              </w:tc>
              <w:tc>
                <w:tcPr>
                  <w:tcW w:w="3420" w:type="dxa"/>
                  <w:noWrap w:val="0"/>
                  <w:vAlign w:val="center"/>
                </w:tcPr>
                <w:p w14:paraId="43F3B81F">
                  <w:pPr>
                    <w:spacing w:line="280" w:lineRule="exact"/>
                    <w:jc w:val="center"/>
                    <w:rPr>
                      <w:rFonts w:hint="eastAsia"/>
                      <w:color w:val="auto"/>
                      <w:highlight w:val="none"/>
                    </w:rPr>
                  </w:pPr>
                  <w:r>
                    <w:rPr>
                      <w:rFonts w:hint="eastAsia"/>
                      <w:color w:val="auto"/>
                      <w:highlight w:val="none"/>
                    </w:rPr>
                    <w:t>名      称</w:t>
                  </w:r>
                </w:p>
              </w:tc>
              <w:tc>
                <w:tcPr>
                  <w:tcW w:w="1620" w:type="dxa"/>
                  <w:noWrap w:val="0"/>
                  <w:vAlign w:val="center"/>
                </w:tcPr>
                <w:p w14:paraId="4C581820">
                  <w:pPr>
                    <w:spacing w:line="280" w:lineRule="exact"/>
                    <w:jc w:val="center"/>
                    <w:rPr>
                      <w:rFonts w:hint="eastAsia"/>
                      <w:color w:val="auto"/>
                      <w:highlight w:val="none"/>
                    </w:rPr>
                  </w:pPr>
                  <w:r>
                    <w:rPr>
                      <w:rFonts w:hint="eastAsia"/>
                      <w:color w:val="auto"/>
                      <w:highlight w:val="none"/>
                    </w:rPr>
                    <w:t>申请金额（元）</w:t>
                  </w:r>
                </w:p>
              </w:tc>
              <w:tc>
                <w:tcPr>
                  <w:tcW w:w="1620" w:type="dxa"/>
                  <w:noWrap w:val="0"/>
                  <w:vAlign w:val="center"/>
                </w:tcPr>
                <w:p w14:paraId="6956313F">
                  <w:pPr>
                    <w:spacing w:line="280" w:lineRule="exact"/>
                    <w:jc w:val="center"/>
                    <w:rPr>
                      <w:rFonts w:hint="eastAsia"/>
                      <w:color w:val="auto"/>
                      <w:highlight w:val="none"/>
                    </w:rPr>
                  </w:pPr>
                  <w:r>
                    <w:rPr>
                      <w:rFonts w:hint="eastAsia"/>
                      <w:color w:val="auto"/>
                      <w:highlight w:val="none"/>
                    </w:rPr>
                    <w:t>复核金额（元）</w:t>
                  </w:r>
                </w:p>
              </w:tc>
              <w:tc>
                <w:tcPr>
                  <w:tcW w:w="1651" w:type="dxa"/>
                  <w:noWrap w:val="0"/>
                  <w:vAlign w:val="center"/>
                </w:tcPr>
                <w:p w14:paraId="4A02335E">
                  <w:pPr>
                    <w:spacing w:line="280" w:lineRule="exact"/>
                    <w:jc w:val="center"/>
                    <w:rPr>
                      <w:rFonts w:hint="eastAsia"/>
                      <w:color w:val="auto"/>
                      <w:highlight w:val="none"/>
                    </w:rPr>
                  </w:pPr>
                  <w:r>
                    <w:rPr>
                      <w:rFonts w:hint="eastAsia"/>
                      <w:color w:val="auto"/>
                      <w:highlight w:val="none"/>
                    </w:rPr>
                    <w:t>备注</w:t>
                  </w:r>
                </w:p>
              </w:tc>
            </w:tr>
            <w:tr w14:paraId="1FC78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3A8992F">
                  <w:pPr>
                    <w:spacing w:line="280" w:lineRule="exact"/>
                    <w:jc w:val="center"/>
                    <w:rPr>
                      <w:rFonts w:hint="eastAsia"/>
                      <w:color w:val="auto"/>
                      <w:highlight w:val="none"/>
                    </w:rPr>
                  </w:pPr>
                  <w:r>
                    <w:rPr>
                      <w:rFonts w:hint="eastAsia"/>
                      <w:color w:val="auto"/>
                      <w:highlight w:val="none"/>
                    </w:rPr>
                    <w:t>1</w:t>
                  </w:r>
                </w:p>
              </w:tc>
              <w:tc>
                <w:tcPr>
                  <w:tcW w:w="3420" w:type="dxa"/>
                  <w:noWrap w:val="0"/>
                  <w:vAlign w:val="top"/>
                </w:tcPr>
                <w:p w14:paraId="5B054131">
                  <w:pPr>
                    <w:spacing w:line="280" w:lineRule="exact"/>
                    <w:rPr>
                      <w:rFonts w:hint="eastAsia"/>
                      <w:color w:val="auto"/>
                      <w:highlight w:val="none"/>
                    </w:rPr>
                  </w:pPr>
                  <w:r>
                    <w:rPr>
                      <w:rFonts w:hint="eastAsia"/>
                      <w:color w:val="auto"/>
                      <w:highlight w:val="none"/>
                    </w:rPr>
                    <w:t>已预留的质量保证金</w:t>
                  </w:r>
                </w:p>
              </w:tc>
              <w:tc>
                <w:tcPr>
                  <w:tcW w:w="1620" w:type="dxa"/>
                  <w:noWrap w:val="0"/>
                  <w:vAlign w:val="top"/>
                </w:tcPr>
                <w:p w14:paraId="067C7A15">
                  <w:pPr>
                    <w:spacing w:line="280" w:lineRule="exact"/>
                    <w:rPr>
                      <w:rFonts w:hint="eastAsia"/>
                      <w:color w:val="auto"/>
                      <w:highlight w:val="none"/>
                    </w:rPr>
                  </w:pPr>
                </w:p>
              </w:tc>
              <w:tc>
                <w:tcPr>
                  <w:tcW w:w="1620" w:type="dxa"/>
                  <w:noWrap w:val="0"/>
                  <w:vAlign w:val="top"/>
                </w:tcPr>
                <w:p w14:paraId="03838A66">
                  <w:pPr>
                    <w:spacing w:line="280" w:lineRule="exact"/>
                    <w:rPr>
                      <w:rFonts w:hint="eastAsia"/>
                      <w:color w:val="auto"/>
                      <w:highlight w:val="none"/>
                    </w:rPr>
                  </w:pPr>
                </w:p>
              </w:tc>
              <w:tc>
                <w:tcPr>
                  <w:tcW w:w="1651" w:type="dxa"/>
                  <w:noWrap w:val="0"/>
                  <w:vAlign w:val="top"/>
                </w:tcPr>
                <w:p w14:paraId="00FFB306">
                  <w:pPr>
                    <w:spacing w:line="280" w:lineRule="exact"/>
                    <w:rPr>
                      <w:rFonts w:hint="eastAsia"/>
                      <w:color w:val="auto"/>
                      <w:highlight w:val="none"/>
                    </w:rPr>
                  </w:pPr>
                </w:p>
              </w:tc>
            </w:tr>
            <w:tr w14:paraId="12A07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0930F8F">
                  <w:pPr>
                    <w:spacing w:line="280" w:lineRule="exact"/>
                    <w:jc w:val="center"/>
                    <w:rPr>
                      <w:rFonts w:hint="eastAsia"/>
                      <w:color w:val="auto"/>
                      <w:highlight w:val="none"/>
                    </w:rPr>
                  </w:pPr>
                  <w:r>
                    <w:rPr>
                      <w:rFonts w:hint="eastAsia"/>
                      <w:color w:val="auto"/>
                      <w:highlight w:val="none"/>
                    </w:rPr>
                    <w:t>2</w:t>
                  </w:r>
                </w:p>
              </w:tc>
              <w:tc>
                <w:tcPr>
                  <w:tcW w:w="3420" w:type="dxa"/>
                  <w:noWrap w:val="0"/>
                  <w:vAlign w:val="top"/>
                </w:tcPr>
                <w:p w14:paraId="0073C426">
                  <w:pPr>
                    <w:spacing w:line="280" w:lineRule="exact"/>
                    <w:rPr>
                      <w:rFonts w:hint="eastAsia"/>
                      <w:color w:val="auto"/>
                      <w:highlight w:val="none"/>
                    </w:rPr>
                  </w:pPr>
                  <w:r>
                    <w:rPr>
                      <w:rFonts w:hint="eastAsia"/>
                      <w:color w:val="auto"/>
                      <w:highlight w:val="none"/>
                    </w:rPr>
                    <w:t>应增加因发包人原因造成缺陷的修复金额</w:t>
                  </w:r>
                </w:p>
              </w:tc>
              <w:tc>
                <w:tcPr>
                  <w:tcW w:w="1620" w:type="dxa"/>
                  <w:noWrap w:val="0"/>
                  <w:vAlign w:val="top"/>
                </w:tcPr>
                <w:p w14:paraId="012092D7">
                  <w:pPr>
                    <w:spacing w:line="280" w:lineRule="exact"/>
                    <w:rPr>
                      <w:rFonts w:hint="eastAsia"/>
                      <w:color w:val="auto"/>
                      <w:highlight w:val="none"/>
                    </w:rPr>
                  </w:pPr>
                </w:p>
              </w:tc>
              <w:tc>
                <w:tcPr>
                  <w:tcW w:w="1620" w:type="dxa"/>
                  <w:noWrap w:val="0"/>
                  <w:vAlign w:val="top"/>
                </w:tcPr>
                <w:p w14:paraId="68D6778D">
                  <w:pPr>
                    <w:spacing w:line="280" w:lineRule="exact"/>
                    <w:rPr>
                      <w:rFonts w:hint="eastAsia"/>
                      <w:color w:val="auto"/>
                      <w:highlight w:val="none"/>
                    </w:rPr>
                  </w:pPr>
                </w:p>
              </w:tc>
              <w:tc>
                <w:tcPr>
                  <w:tcW w:w="1651" w:type="dxa"/>
                  <w:noWrap w:val="0"/>
                  <w:vAlign w:val="top"/>
                </w:tcPr>
                <w:p w14:paraId="74DF639F">
                  <w:pPr>
                    <w:spacing w:line="280" w:lineRule="exact"/>
                    <w:rPr>
                      <w:rFonts w:hint="eastAsia"/>
                      <w:color w:val="auto"/>
                      <w:highlight w:val="none"/>
                    </w:rPr>
                  </w:pPr>
                </w:p>
              </w:tc>
            </w:tr>
            <w:tr w14:paraId="63ABD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F3C4F74">
                  <w:pPr>
                    <w:spacing w:line="280" w:lineRule="exact"/>
                    <w:jc w:val="center"/>
                    <w:rPr>
                      <w:rFonts w:hint="eastAsia"/>
                      <w:color w:val="auto"/>
                      <w:highlight w:val="none"/>
                    </w:rPr>
                  </w:pPr>
                  <w:r>
                    <w:rPr>
                      <w:rFonts w:hint="eastAsia"/>
                      <w:color w:val="auto"/>
                      <w:highlight w:val="none"/>
                    </w:rPr>
                    <w:t>3</w:t>
                  </w:r>
                </w:p>
              </w:tc>
              <w:tc>
                <w:tcPr>
                  <w:tcW w:w="3420" w:type="dxa"/>
                  <w:noWrap w:val="0"/>
                  <w:vAlign w:val="top"/>
                </w:tcPr>
                <w:p w14:paraId="6C3E2257">
                  <w:pPr>
                    <w:spacing w:line="280" w:lineRule="exact"/>
                    <w:rPr>
                      <w:rFonts w:hint="eastAsia"/>
                      <w:color w:val="auto"/>
                      <w:highlight w:val="none"/>
                    </w:rPr>
                  </w:pPr>
                  <w:r>
                    <w:rPr>
                      <w:rFonts w:hint="eastAsia"/>
                      <w:color w:val="auto"/>
                      <w:highlight w:val="none"/>
                    </w:rPr>
                    <w:t>应扣减承包人不修复缺陷、发包人组织修复的金额</w:t>
                  </w:r>
                </w:p>
              </w:tc>
              <w:tc>
                <w:tcPr>
                  <w:tcW w:w="1620" w:type="dxa"/>
                  <w:noWrap w:val="0"/>
                  <w:vAlign w:val="top"/>
                </w:tcPr>
                <w:p w14:paraId="454E65BA">
                  <w:pPr>
                    <w:spacing w:line="280" w:lineRule="exact"/>
                    <w:rPr>
                      <w:rFonts w:hint="eastAsia"/>
                      <w:color w:val="auto"/>
                      <w:highlight w:val="none"/>
                    </w:rPr>
                  </w:pPr>
                </w:p>
              </w:tc>
              <w:tc>
                <w:tcPr>
                  <w:tcW w:w="1620" w:type="dxa"/>
                  <w:noWrap w:val="0"/>
                  <w:vAlign w:val="top"/>
                </w:tcPr>
                <w:p w14:paraId="7EE474A0">
                  <w:pPr>
                    <w:spacing w:line="280" w:lineRule="exact"/>
                    <w:rPr>
                      <w:rFonts w:hint="eastAsia"/>
                      <w:color w:val="auto"/>
                      <w:highlight w:val="none"/>
                    </w:rPr>
                  </w:pPr>
                </w:p>
              </w:tc>
              <w:tc>
                <w:tcPr>
                  <w:tcW w:w="1651" w:type="dxa"/>
                  <w:noWrap w:val="0"/>
                  <w:vAlign w:val="top"/>
                </w:tcPr>
                <w:p w14:paraId="2057D5D3">
                  <w:pPr>
                    <w:spacing w:line="280" w:lineRule="exact"/>
                    <w:rPr>
                      <w:rFonts w:hint="eastAsia"/>
                      <w:color w:val="auto"/>
                      <w:highlight w:val="none"/>
                    </w:rPr>
                  </w:pPr>
                </w:p>
              </w:tc>
            </w:tr>
            <w:tr w14:paraId="1CF1D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C6F272D">
                  <w:pPr>
                    <w:spacing w:line="280" w:lineRule="exact"/>
                    <w:jc w:val="center"/>
                    <w:rPr>
                      <w:rFonts w:hint="eastAsia"/>
                      <w:color w:val="auto"/>
                      <w:highlight w:val="none"/>
                    </w:rPr>
                  </w:pPr>
                  <w:r>
                    <w:rPr>
                      <w:rFonts w:hint="eastAsia"/>
                      <w:color w:val="auto"/>
                      <w:highlight w:val="none"/>
                    </w:rPr>
                    <w:t>4</w:t>
                  </w:r>
                </w:p>
              </w:tc>
              <w:tc>
                <w:tcPr>
                  <w:tcW w:w="3420" w:type="dxa"/>
                  <w:noWrap w:val="0"/>
                  <w:vAlign w:val="top"/>
                </w:tcPr>
                <w:p w14:paraId="385E5F2B">
                  <w:pPr>
                    <w:spacing w:line="280" w:lineRule="exact"/>
                    <w:rPr>
                      <w:rFonts w:hint="eastAsia"/>
                      <w:color w:val="auto"/>
                      <w:highlight w:val="none"/>
                    </w:rPr>
                  </w:pPr>
                  <w:r>
                    <w:rPr>
                      <w:rFonts w:hint="eastAsia"/>
                      <w:color w:val="auto"/>
                      <w:highlight w:val="none"/>
                    </w:rPr>
                    <w:t>最终应支付的合同价款</w:t>
                  </w:r>
                </w:p>
              </w:tc>
              <w:tc>
                <w:tcPr>
                  <w:tcW w:w="1620" w:type="dxa"/>
                  <w:noWrap w:val="0"/>
                  <w:vAlign w:val="top"/>
                </w:tcPr>
                <w:p w14:paraId="255B2D92">
                  <w:pPr>
                    <w:spacing w:line="280" w:lineRule="exact"/>
                    <w:rPr>
                      <w:rFonts w:hint="eastAsia"/>
                      <w:color w:val="auto"/>
                      <w:highlight w:val="none"/>
                    </w:rPr>
                  </w:pPr>
                </w:p>
              </w:tc>
              <w:tc>
                <w:tcPr>
                  <w:tcW w:w="1620" w:type="dxa"/>
                  <w:noWrap w:val="0"/>
                  <w:vAlign w:val="top"/>
                </w:tcPr>
                <w:p w14:paraId="1BBB9315">
                  <w:pPr>
                    <w:spacing w:line="280" w:lineRule="exact"/>
                    <w:rPr>
                      <w:rFonts w:hint="eastAsia"/>
                      <w:color w:val="auto"/>
                      <w:highlight w:val="none"/>
                    </w:rPr>
                  </w:pPr>
                </w:p>
              </w:tc>
              <w:tc>
                <w:tcPr>
                  <w:tcW w:w="1651" w:type="dxa"/>
                  <w:noWrap w:val="0"/>
                  <w:vAlign w:val="top"/>
                </w:tcPr>
                <w:p w14:paraId="176DADD9">
                  <w:pPr>
                    <w:spacing w:line="280" w:lineRule="exact"/>
                    <w:rPr>
                      <w:rFonts w:hint="eastAsia"/>
                      <w:color w:val="auto"/>
                      <w:highlight w:val="none"/>
                    </w:rPr>
                  </w:pPr>
                </w:p>
              </w:tc>
            </w:tr>
            <w:tr w14:paraId="4DA55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0024664">
                  <w:pPr>
                    <w:spacing w:line="280" w:lineRule="exact"/>
                    <w:jc w:val="center"/>
                    <w:rPr>
                      <w:rFonts w:hint="eastAsia"/>
                      <w:color w:val="auto"/>
                      <w:highlight w:val="none"/>
                    </w:rPr>
                  </w:pPr>
                </w:p>
              </w:tc>
              <w:tc>
                <w:tcPr>
                  <w:tcW w:w="3420" w:type="dxa"/>
                  <w:noWrap w:val="0"/>
                  <w:vAlign w:val="top"/>
                </w:tcPr>
                <w:p w14:paraId="53C0C823">
                  <w:pPr>
                    <w:spacing w:line="280" w:lineRule="exact"/>
                    <w:rPr>
                      <w:rFonts w:hint="eastAsia"/>
                      <w:color w:val="auto"/>
                      <w:highlight w:val="none"/>
                    </w:rPr>
                  </w:pPr>
                </w:p>
              </w:tc>
              <w:tc>
                <w:tcPr>
                  <w:tcW w:w="1620" w:type="dxa"/>
                  <w:noWrap w:val="0"/>
                  <w:vAlign w:val="top"/>
                </w:tcPr>
                <w:p w14:paraId="101BA032">
                  <w:pPr>
                    <w:spacing w:line="280" w:lineRule="exact"/>
                    <w:rPr>
                      <w:rFonts w:hint="eastAsia"/>
                      <w:color w:val="auto"/>
                      <w:highlight w:val="none"/>
                    </w:rPr>
                  </w:pPr>
                </w:p>
              </w:tc>
              <w:tc>
                <w:tcPr>
                  <w:tcW w:w="1620" w:type="dxa"/>
                  <w:noWrap w:val="0"/>
                  <w:vAlign w:val="top"/>
                </w:tcPr>
                <w:p w14:paraId="1136DACD">
                  <w:pPr>
                    <w:spacing w:line="280" w:lineRule="exact"/>
                    <w:rPr>
                      <w:rFonts w:hint="eastAsia"/>
                      <w:color w:val="auto"/>
                      <w:highlight w:val="none"/>
                    </w:rPr>
                  </w:pPr>
                </w:p>
              </w:tc>
              <w:tc>
                <w:tcPr>
                  <w:tcW w:w="1651" w:type="dxa"/>
                  <w:noWrap w:val="0"/>
                  <w:vAlign w:val="top"/>
                </w:tcPr>
                <w:p w14:paraId="5F936675">
                  <w:pPr>
                    <w:spacing w:line="280" w:lineRule="exact"/>
                    <w:rPr>
                      <w:rFonts w:hint="eastAsia"/>
                      <w:color w:val="auto"/>
                      <w:highlight w:val="none"/>
                    </w:rPr>
                  </w:pPr>
                </w:p>
              </w:tc>
            </w:tr>
            <w:tr w14:paraId="6A956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C1303F7">
                  <w:pPr>
                    <w:spacing w:line="280" w:lineRule="exact"/>
                    <w:jc w:val="center"/>
                    <w:rPr>
                      <w:rFonts w:hint="eastAsia"/>
                      <w:color w:val="auto"/>
                      <w:highlight w:val="none"/>
                    </w:rPr>
                  </w:pPr>
                </w:p>
              </w:tc>
              <w:tc>
                <w:tcPr>
                  <w:tcW w:w="3420" w:type="dxa"/>
                  <w:noWrap w:val="0"/>
                  <w:vAlign w:val="top"/>
                </w:tcPr>
                <w:p w14:paraId="212D5436">
                  <w:pPr>
                    <w:spacing w:line="280" w:lineRule="exact"/>
                    <w:rPr>
                      <w:rFonts w:hint="eastAsia"/>
                      <w:color w:val="auto"/>
                      <w:highlight w:val="none"/>
                    </w:rPr>
                  </w:pPr>
                </w:p>
              </w:tc>
              <w:tc>
                <w:tcPr>
                  <w:tcW w:w="1620" w:type="dxa"/>
                  <w:noWrap w:val="0"/>
                  <w:vAlign w:val="top"/>
                </w:tcPr>
                <w:p w14:paraId="4BABC161">
                  <w:pPr>
                    <w:spacing w:line="280" w:lineRule="exact"/>
                    <w:rPr>
                      <w:rFonts w:hint="eastAsia"/>
                      <w:color w:val="auto"/>
                      <w:highlight w:val="none"/>
                    </w:rPr>
                  </w:pPr>
                </w:p>
              </w:tc>
              <w:tc>
                <w:tcPr>
                  <w:tcW w:w="1620" w:type="dxa"/>
                  <w:noWrap w:val="0"/>
                  <w:vAlign w:val="top"/>
                </w:tcPr>
                <w:p w14:paraId="16F75190">
                  <w:pPr>
                    <w:spacing w:line="280" w:lineRule="exact"/>
                    <w:rPr>
                      <w:rFonts w:hint="eastAsia"/>
                      <w:color w:val="auto"/>
                      <w:highlight w:val="none"/>
                    </w:rPr>
                  </w:pPr>
                </w:p>
              </w:tc>
              <w:tc>
                <w:tcPr>
                  <w:tcW w:w="1651" w:type="dxa"/>
                  <w:noWrap w:val="0"/>
                  <w:vAlign w:val="top"/>
                </w:tcPr>
                <w:p w14:paraId="618F04AA">
                  <w:pPr>
                    <w:spacing w:line="280" w:lineRule="exact"/>
                    <w:rPr>
                      <w:rFonts w:hint="eastAsia"/>
                      <w:color w:val="auto"/>
                      <w:highlight w:val="none"/>
                    </w:rPr>
                  </w:pPr>
                </w:p>
              </w:tc>
            </w:tr>
            <w:tr w14:paraId="36B9D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252C5A7">
                  <w:pPr>
                    <w:spacing w:line="280" w:lineRule="exact"/>
                    <w:jc w:val="center"/>
                    <w:rPr>
                      <w:rFonts w:hint="eastAsia"/>
                      <w:color w:val="auto"/>
                      <w:highlight w:val="none"/>
                    </w:rPr>
                  </w:pPr>
                </w:p>
              </w:tc>
              <w:tc>
                <w:tcPr>
                  <w:tcW w:w="3420" w:type="dxa"/>
                  <w:noWrap w:val="0"/>
                  <w:vAlign w:val="top"/>
                </w:tcPr>
                <w:p w14:paraId="1937007A">
                  <w:pPr>
                    <w:spacing w:line="280" w:lineRule="exact"/>
                    <w:rPr>
                      <w:rFonts w:hint="eastAsia"/>
                      <w:color w:val="auto"/>
                      <w:highlight w:val="none"/>
                    </w:rPr>
                  </w:pPr>
                </w:p>
              </w:tc>
              <w:tc>
                <w:tcPr>
                  <w:tcW w:w="1620" w:type="dxa"/>
                  <w:noWrap w:val="0"/>
                  <w:vAlign w:val="top"/>
                </w:tcPr>
                <w:p w14:paraId="65553BC7">
                  <w:pPr>
                    <w:spacing w:line="280" w:lineRule="exact"/>
                    <w:rPr>
                      <w:rFonts w:hint="eastAsia"/>
                      <w:color w:val="auto"/>
                      <w:highlight w:val="none"/>
                    </w:rPr>
                  </w:pPr>
                </w:p>
              </w:tc>
              <w:tc>
                <w:tcPr>
                  <w:tcW w:w="1620" w:type="dxa"/>
                  <w:noWrap w:val="0"/>
                  <w:vAlign w:val="top"/>
                </w:tcPr>
                <w:p w14:paraId="22420386">
                  <w:pPr>
                    <w:spacing w:line="280" w:lineRule="exact"/>
                    <w:rPr>
                      <w:rFonts w:hint="eastAsia"/>
                      <w:color w:val="auto"/>
                      <w:highlight w:val="none"/>
                    </w:rPr>
                  </w:pPr>
                </w:p>
              </w:tc>
              <w:tc>
                <w:tcPr>
                  <w:tcW w:w="1651" w:type="dxa"/>
                  <w:noWrap w:val="0"/>
                  <w:vAlign w:val="top"/>
                </w:tcPr>
                <w:p w14:paraId="1716C073">
                  <w:pPr>
                    <w:spacing w:line="280" w:lineRule="exact"/>
                    <w:rPr>
                      <w:rFonts w:hint="eastAsia"/>
                      <w:color w:val="auto"/>
                      <w:highlight w:val="none"/>
                    </w:rPr>
                  </w:pPr>
                </w:p>
              </w:tc>
            </w:tr>
            <w:tr w14:paraId="69796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0240D0D">
                  <w:pPr>
                    <w:spacing w:line="280" w:lineRule="exact"/>
                    <w:jc w:val="center"/>
                    <w:rPr>
                      <w:rFonts w:hint="eastAsia"/>
                      <w:color w:val="auto"/>
                      <w:highlight w:val="none"/>
                    </w:rPr>
                  </w:pPr>
                </w:p>
              </w:tc>
              <w:tc>
                <w:tcPr>
                  <w:tcW w:w="3420" w:type="dxa"/>
                  <w:noWrap w:val="0"/>
                  <w:vAlign w:val="top"/>
                </w:tcPr>
                <w:p w14:paraId="64683EDE">
                  <w:pPr>
                    <w:spacing w:line="280" w:lineRule="exact"/>
                    <w:rPr>
                      <w:rFonts w:hint="eastAsia"/>
                      <w:color w:val="auto"/>
                      <w:highlight w:val="none"/>
                    </w:rPr>
                  </w:pPr>
                </w:p>
              </w:tc>
              <w:tc>
                <w:tcPr>
                  <w:tcW w:w="1620" w:type="dxa"/>
                  <w:noWrap w:val="0"/>
                  <w:vAlign w:val="top"/>
                </w:tcPr>
                <w:p w14:paraId="42F34997">
                  <w:pPr>
                    <w:spacing w:line="280" w:lineRule="exact"/>
                    <w:rPr>
                      <w:rFonts w:hint="eastAsia"/>
                      <w:color w:val="auto"/>
                      <w:highlight w:val="none"/>
                    </w:rPr>
                  </w:pPr>
                </w:p>
              </w:tc>
              <w:tc>
                <w:tcPr>
                  <w:tcW w:w="1620" w:type="dxa"/>
                  <w:noWrap w:val="0"/>
                  <w:vAlign w:val="top"/>
                </w:tcPr>
                <w:p w14:paraId="6F074E09">
                  <w:pPr>
                    <w:spacing w:line="280" w:lineRule="exact"/>
                    <w:rPr>
                      <w:rFonts w:hint="eastAsia"/>
                      <w:color w:val="auto"/>
                      <w:highlight w:val="none"/>
                    </w:rPr>
                  </w:pPr>
                </w:p>
              </w:tc>
              <w:tc>
                <w:tcPr>
                  <w:tcW w:w="1651" w:type="dxa"/>
                  <w:noWrap w:val="0"/>
                  <w:vAlign w:val="top"/>
                </w:tcPr>
                <w:p w14:paraId="5EFD440C">
                  <w:pPr>
                    <w:spacing w:line="280" w:lineRule="exact"/>
                    <w:rPr>
                      <w:rFonts w:hint="eastAsia"/>
                      <w:color w:val="auto"/>
                      <w:highlight w:val="none"/>
                    </w:rPr>
                  </w:pPr>
                </w:p>
              </w:tc>
            </w:tr>
          </w:tbl>
          <w:p w14:paraId="4D00E961">
            <w:pPr>
              <w:spacing w:line="400" w:lineRule="exact"/>
              <w:ind w:right="420" w:firstLine="435"/>
              <w:jc w:val="center"/>
              <w:rPr>
                <w:rFonts w:hint="eastAsia"/>
                <w:color w:val="auto"/>
                <w:highlight w:val="none"/>
              </w:rPr>
            </w:pPr>
            <w:r>
              <w:rPr>
                <w:rFonts w:hint="eastAsia"/>
                <w:color w:val="auto"/>
                <w:highlight w:val="none"/>
              </w:rPr>
              <w:t xml:space="preserve">                                            承包人（章）             </w:t>
            </w:r>
          </w:p>
          <w:p w14:paraId="0F66F08F">
            <w:pPr>
              <w:spacing w:line="400" w:lineRule="exact"/>
              <w:ind w:right="420" w:firstLine="435"/>
              <w:rPr>
                <w:rFonts w:hint="eastAsia"/>
                <w:color w:val="auto"/>
                <w:highlight w:val="none"/>
              </w:rPr>
            </w:pPr>
            <w:r>
              <w:rPr>
                <w:rFonts w:hint="eastAsia"/>
                <w:color w:val="auto"/>
                <w:highlight w:val="none"/>
              </w:rPr>
              <w:t>造价人员</w:t>
            </w:r>
            <w:r>
              <w:rPr>
                <w:rFonts w:hint="eastAsia"/>
                <w:color w:val="auto"/>
                <w:highlight w:val="none"/>
                <w:u w:val="single"/>
              </w:rPr>
              <w:t xml:space="preserve">               </w:t>
            </w:r>
            <w:r>
              <w:rPr>
                <w:rFonts w:hint="eastAsia"/>
                <w:color w:val="auto"/>
                <w:highlight w:val="none"/>
              </w:rPr>
              <w:t>承包人代表</w:t>
            </w:r>
            <w:r>
              <w:rPr>
                <w:rFonts w:hint="eastAsia"/>
                <w:color w:val="auto"/>
                <w:highlight w:val="none"/>
                <w:u w:val="single"/>
              </w:rPr>
              <w:t xml:space="preserve">               </w:t>
            </w:r>
            <w:r>
              <w:rPr>
                <w:rFonts w:hint="eastAsia"/>
                <w:color w:val="auto"/>
                <w:highlight w:val="none"/>
              </w:rPr>
              <w:t>日      期</w:t>
            </w:r>
            <w:r>
              <w:rPr>
                <w:rFonts w:hint="eastAsia"/>
                <w:color w:val="auto"/>
                <w:highlight w:val="none"/>
                <w:u w:val="single"/>
              </w:rPr>
              <w:t xml:space="preserve">               </w:t>
            </w:r>
          </w:p>
        </w:tc>
      </w:tr>
      <w:tr w14:paraId="4845B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620" w:type="dxa"/>
            <w:noWrap w:val="0"/>
            <w:vAlign w:val="top"/>
          </w:tcPr>
          <w:p w14:paraId="6239A082">
            <w:pPr>
              <w:spacing w:line="360" w:lineRule="exact"/>
              <w:rPr>
                <w:rFonts w:hint="eastAsia"/>
                <w:color w:val="auto"/>
                <w:highlight w:val="none"/>
              </w:rPr>
            </w:pPr>
            <w:r>
              <w:rPr>
                <w:rFonts w:hint="eastAsia"/>
                <w:color w:val="auto"/>
                <w:highlight w:val="none"/>
              </w:rPr>
              <w:t>复核意见：</w:t>
            </w:r>
          </w:p>
          <w:p w14:paraId="7B63897D">
            <w:pPr>
              <w:spacing w:line="360" w:lineRule="exact"/>
              <w:ind w:firstLine="312"/>
              <w:rPr>
                <w:rFonts w:hint="eastAsia"/>
                <w:color w:val="auto"/>
                <w:highlight w:val="none"/>
              </w:rPr>
            </w:pPr>
            <w:r>
              <w:rPr>
                <w:rFonts w:hint="eastAsia"/>
                <w:color w:val="auto"/>
                <w:highlight w:val="none"/>
              </w:rPr>
              <w:t>□与实际施工情况不相符，修改意见见附件。</w:t>
            </w:r>
          </w:p>
          <w:p w14:paraId="4E31FDB2">
            <w:pPr>
              <w:spacing w:line="360" w:lineRule="exact"/>
              <w:ind w:firstLine="312"/>
              <w:rPr>
                <w:rFonts w:hint="eastAsia"/>
                <w:color w:val="auto"/>
                <w:highlight w:val="none"/>
              </w:rPr>
            </w:pPr>
            <w:r>
              <w:rPr>
                <w:rFonts w:hint="eastAsia"/>
                <w:color w:val="auto"/>
                <w:highlight w:val="none"/>
              </w:rPr>
              <w:t>□与实际施工情况相符，具体金额由造价工程师复核。</w:t>
            </w:r>
          </w:p>
          <w:p w14:paraId="787E7E69">
            <w:pPr>
              <w:spacing w:line="360" w:lineRule="exact"/>
              <w:ind w:firstLine="435"/>
              <w:jc w:val="right"/>
              <w:rPr>
                <w:rFonts w:hint="eastAsia"/>
                <w:color w:val="auto"/>
                <w:highlight w:val="none"/>
              </w:rPr>
            </w:pPr>
          </w:p>
          <w:p w14:paraId="19F01EE6">
            <w:pPr>
              <w:spacing w:line="360" w:lineRule="exact"/>
              <w:ind w:firstLine="435"/>
              <w:jc w:val="right"/>
              <w:rPr>
                <w:rFonts w:hint="eastAsia"/>
                <w:color w:val="auto"/>
                <w:highlight w:val="none"/>
              </w:rPr>
            </w:pPr>
          </w:p>
          <w:p w14:paraId="5B19A8DF">
            <w:pPr>
              <w:spacing w:line="360" w:lineRule="exact"/>
              <w:ind w:firstLine="435"/>
              <w:jc w:val="center"/>
              <w:rPr>
                <w:rFonts w:hint="eastAsia"/>
                <w:color w:val="auto"/>
                <w:highlight w:val="none"/>
              </w:rPr>
            </w:pPr>
            <w:r>
              <w:rPr>
                <w:color w:val="auto"/>
                <w:highlight w:val="none"/>
              </w:rPr>
              <w:t xml:space="preserve">    </w:t>
            </w:r>
            <w:r>
              <w:rPr>
                <w:rFonts w:hint="eastAsia"/>
                <w:color w:val="auto"/>
                <w:highlight w:val="none"/>
              </w:rPr>
              <w:t xml:space="preserve">     </w:t>
            </w:r>
          </w:p>
          <w:p w14:paraId="2C4FADF5">
            <w:pPr>
              <w:spacing w:line="360" w:lineRule="exact"/>
              <w:ind w:firstLine="435"/>
              <w:jc w:val="center"/>
              <w:rPr>
                <w:rFonts w:hint="eastAsia"/>
                <w:color w:val="auto"/>
                <w:highlight w:val="none"/>
                <w:u w:val="single"/>
              </w:rPr>
            </w:pPr>
            <w:r>
              <w:rPr>
                <w:rFonts w:hint="eastAsia"/>
                <w:color w:val="auto"/>
                <w:highlight w:val="none"/>
              </w:rPr>
              <w:t xml:space="preserve">        监理工程师</w:t>
            </w:r>
            <w:r>
              <w:rPr>
                <w:rFonts w:hint="eastAsia"/>
                <w:color w:val="auto"/>
                <w:highlight w:val="none"/>
                <w:u w:val="single"/>
              </w:rPr>
              <w:t xml:space="preserve">           </w:t>
            </w:r>
          </w:p>
          <w:p w14:paraId="320C7636">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日      期</w:t>
            </w:r>
            <w:r>
              <w:rPr>
                <w:rFonts w:hint="eastAsia"/>
                <w:color w:val="auto"/>
                <w:highlight w:val="none"/>
                <w:u w:val="single"/>
              </w:rPr>
              <w:t xml:space="preserve">           </w:t>
            </w:r>
          </w:p>
        </w:tc>
        <w:tc>
          <w:tcPr>
            <w:tcW w:w="4620" w:type="dxa"/>
            <w:noWrap w:val="0"/>
            <w:vAlign w:val="top"/>
          </w:tcPr>
          <w:p w14:paraId="54CB74C8">
            <w:pPr>
              <w:spacing w:line="360" w:lineRule="exact"/>
              <w:rPr>
                <w:rFonts w:hint="eastAsia"/>
                <w:color w:val="auto"/>
                <w:highlight w:val="none"/>
              </w:rPr>
            </w:pPr>
            <w:r>
              <w:rPr>
                <w:rFonts w:hint="eastAsia"/>
                <w:color w:val="auto"/>
                <w:highlight w:val="none"/>
              </w:rPr>
              <w:t>复核意见：</w:t>
            </w:r>
          </w:p>
          <w:p w14:paraId="1B167B02">
            <w:pPr>
              <w:spacing w:line="360" w:lineRule="exact"/>
              <w:ind w:firstLine="435"/>
              <w:rPr>
                <w:rFonts w:hint="eastAsia"/>
                <w:color w:val="auto"/>
                <w:highlight w:val="none"/>
                <w:u w:val="single"/>
              </w:rPr>
            </w:pPr>
            <w:r>
              <w:rPr>
                <w:rFonts w:hint="eastAsia"/>
                <w:color w:val="auto"/>
                <w:highlight w:val="none"/>
              </w:rPr>
              <w:t>你方提出的支付申请经复核，最终应支付金额为（大写）</w:t>
            </w:r>
            <w:r>
              <w:rPr>
                <w:rFonts w:hint="eastAsia"/>
                <w:color w:val="auto"/>
                <w:highlight w:val="none"/>
                <w:u w:val="single"/>
              </w:rPr>
              <w:t xml:space="preserve">          </w:t>
            </w:r>
            <w:r>
              <w:rPr>
                <w:rFonts w:hint="eastAsia"/>
                <w:color w:val="auto"/>
                <w:highlight w:val="none"/>
              </w:rPr>
              <w:t xml:space="preserve">元，（小写）  </w:t>
            </w:r>
            <w:r>
              <w:rPr>
                <w:rFonts w:hint="eastAsia"/>
                <w:color w:val="auto"/>
                <w:highlight w:val="none"/>
                <w:u w:val="single"/>
              </w:rPr>
              <w:t xml:space="preserve">       </w:t>
            </w:r>
            <w:r>
              <w:rPr>
                <w:rFonts w:hint="eastAsia"/>
                <w:color w:val="auto"/>
                <w:highlight w:val="none"/>
              </w:rPr>
              <w:t>元。</w:t>
            </w:r>
          </w:p>
          <w:p w14:paraId="6558BC4F">
            <w:pPr>
              <w:spacing w:line="360" w:lineRule="exact"/>
              <w:ind w:firstLine="435"/>
              <w:jc w:val="center"/>
              <w:rPr>
                <w:rFonts w:hint="eastAsia"/>
                <w:color w:val="auto"/>
                <w:highlight w:val="none"/>
              </w:rPr>
            </w:pPr>
            <w:r>
              <w:rPr>
                <w:color w:val="auto"/>
                <w:highlight w:val="none"/>
              </w:rPr>
              <w:t xml:space="preserve">    </w:t>
            </w:r>
          </w:p>
          <w:p w14:paraId="51D01F8C">
            <w:pPr>
              <w:spacing w:line="360" w:lineRule="exact"/>
              <w:ind w:firstLine="435"/>
              <w:jc w:val="center"/>
              <w:rPr>
                <w:rFonts w:hint="eastAsia"/>
                <w:color w:val="auto"/>
                <w:highlight w:val="none"/>
              </w:rPr>
            </w:pPr>
          </w:p>
          <w:p w14:paraId="02FF5367">
            <w:pPr>
              <w:spacing w:line="360" w:lineRule="exact"/>
              <w:ind w:firstLine="435"/>
              <w:jc w:val="center"/>
              <w:rPr>
                <w:rFonts w:hint="eastAsia"/>
                <w:color w:val="auto"/>
                <w:highlight w:val="none"/>
              </w:rPr>
            </w:pPr>
          </w:p>
          <w:p w14:paraId="70EB9BDF">
            <w:pPr>
              <w:spacing w:line="360" w:lineRule="exact"/>
              <w:ind w:firstLine="435"/>
              <w:jc w:val="center"/>
              <w:rPr>
                <w:rFonts w:hint="eastAsia"/>
                <w:color w:val="auto"/>
                <w:highlight w:val="none"/>
              </w:rPr>
            </w:pPr>
          </w:p>
          <w:p w14:paraId="19E8F854">
            <w:pPr>
              <w:spacing w:line="360" w:lineRule="exact"/>
              <w:ind w:firstLine="435"/>
              <w:jc w:val="center"/>
              <w:rPr>
                <w:rFonts w:hint="eastAsia"/>
                <w:color w:val="auto"/>
                <w:highlight w:val="none"/>
                <w:u w:val="single"/>
              </w:rPr>
            </w:pPr>
            <w:r>
              <w:rPr>
                <w:rFonts w:hint="eastAsia"/>
                <w:color w:val="auto"/>
                <w:highlight w:val="none"/>
              </w:rPr>
              <w:t xml:space="preserve">    造价工程师</w:t>
            </w:r>
            <w:r>
              <w:rPr>
                <w:rFonts w:hint="eastAsia"/>
                <w:color w:val="auto"/>
                <w:highlight w:val="none"/>
                <w:u w:val="single"/>
              </w:rPr>
              <w:t xml:space="preserve">           </w:t>
            </w:r>
          </w:p>
          <w:p w14:paraId="313599F4">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日      期</w:t>
            </w:r>
            <w:r>
              <w:rPr>
                <w:rFonts w:hint="eastAsia"/>
                <w:color w:val="auto"/>
                <w:highlight w:val="none"/>
                <w:u w:val="single"/>
              </w:rPr>
              <w:t xml:space="preserve">           </w:t>
            </w:r>
          </w:p>
        </w:tc>
      </w:tr>
      <w:tr w14:paraId="2D3B2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240" w:type="dxa"/>
            <w:gridSpan w:val="2"/>
            <w:noWrap w:val="0"/>
            <w:vAlign w:val="top"/>
          </w:tcPr>
          <w:p w14:paraId="210521F0">
            <w:pPr>
              <w:spacing w:line="400" w:lineRule="exact"/>
              <w:rPr>
                <w:rFonts w:hint="eastAsia"/>
                <w:color w:val="auto"/>
                <w:highlight w:val="none"/>
              </w:rPr>
            </w:pPr>
            <w:r>
              <w:rPr>
                <w:rFonts w:hint="eastAsia"/>
                <w:color w:val="auto"/>
                <w:highlight w:val="none"/>
              </w:rPr>
              <w:t>审核意见：</w:t>
            </w:r>
          </w:p>
          <w:p w14:paraId="088F193A">
            <w:pPr>
              <w:spacing w:line="400" w:lineRule="exact"/>
              <w:ind w:firstLine="435"/>
              <w:rPr>
                <w:rFonts w:hint="eastAsia"/>
                <w:color w:val="auto"/>
                <w:highlight w:val="none"/>
              </w:rPr>
            </w:pPr>
            <w:r>
              <w:rPr>
                <w:rFonts w:hint="eastAsia"/>
                <w:color w:val="auto"/>
                <w:highlight w:val="none"/>
              </w:rPr>
              <w:t>□不同意。</w:t>
            </w:r>
          </w:p>
          <w:p w14:paraId="4BB8D4D5">
            <w:pPr>
              <w:spacing w:line="400" w:lineRule="exact"/>
              <w:ind w:firstLine="420" w:firstLineChars="200"/>
              <w:rPr>
                <w:rFonts w:hint="eastAsia"/>
                <w:color w:val="auto"/>
                <w:highlight w:val="none"/>
              </w:rPr>
            </w:pPr>
            <w:r>
              <w:rPr>
                <w:rFonts w:hint="eastAsia"/>
                <w:color w:val="auto"/>
                <w:highlight w:val="none"/>
              </w:rPr>
              <w:t>□同意，支付时间为本表签发后的15天内。</w:t>
            </w:r>
          </w:p>
          <w:p w14:paraId="0CAB82A1">
            <w:pPr>
              <w:wordWrap w:val="0"/>
              <w:spacing w:line="400" w:lineRule="exact"/>
              <w:ind w:firstLine="420" w:firstLineChars="200"/>
              <w:jc w:val="right"/>
              <w:rPr>
                <w:rFonts w:hint="eastAsia"/>
                <w:color w:val="auto"/>
                <w:highlight w:val="none"/>
              </w:rPr>
            </w:pPr>
            <w:r>
              <w:rPr>
                <w:rFonts w:hint="eastAsia"/>
                <w:color w:val="auto"/>
                <w:highlight w:val="none"/>
              </w:rPr>
              <w:t xml:space="preserve">发包人（章）           </w:t>
            </w:r>
          </w:p>
          <w:p w14:paraId="6BF2E8F2">
            <w:pPr>
              <w:wordWrap w:val="0"/>
              <w:spacing w:line="400" w:lineRule="exact"/>
              <w:ind w:firstLine="420" w:firstLineChars="200"/>
              <w:jc w:val="right"/>
              <w:rPr>
                <w:rFonts w:hint="eastAsia"/>
                <w:color w:val="auto"/>
                <w:highlight w:val="none"/>
                <w:u w:val="single"/>
              </w:rPr>
            </w:pPr>
            <w:r>
              <w:rPr>
                <w:rFonts w:hint="eastAsia"/>
                <w:color w:val="auto"/>
                <w:highlight w:val="none"/>
              </w:rPr>
              <w:t>发包人代表</w:t>
            </w:r>
            <w:r>
              <w:rPr>
                <w:rFonts w:hint="eastAsia"/>
                <w:color w:val="auto"/>
                <w:highlight w:val="none"/>
                <w:u w:val="single"/>
              </w:rPr>
              <w:t xml:space="preserve">             </w:t>
            </w:r>
          </w:p>
          <w:p w14:paraId="521D8A9D">
            <w:pPr>
              <w:wordWrap w:val="0"/>
              <w:spacing w:line="400" w:lineRule="exact"/>
              <w:ind w:firstLine="420" w:firstLineChars="200"/>
              <w:jc w:val="right"/>
              <w:rPr>
                <w:rFonts w:hint="eastAsia"/>
                <w:color w:val="auto"/>
                <w:highlight w:val="none"/>
                <w:u w:val="single"/>
              </w:rPr>
            </w:pPr>
            <w:r>
              <w:rPr>
                <w:rFonts w:hint="eastAsia"/>
                <w:color w:val="auto"/>
                <w:highlight w:val="none"/>
              </w:rPr>
              <w:t>日      期</w:t>
            </w:r>
            <w:r>
              <w:rPr>
                <w:rFonts w:hint="eastAsia"/>
                <w:color w:val="auto"/>
                <w:highlight w:val="none"/>
                <w:u w:val="single"/>
              </w:rPr>
              <w:t xml:space="preserve">             </w:t>
            </w:r>
          </w:p>
        </w:tc>
      </w:tr>
    </w:tbl>
    <w:p w14:paraId="582560FB">
      <w:pPr>
        <w:spacing w:before="120" w:beforeLines="50"/>
        <w:ind w:firstLine="360" w:firstLineChars="200"/>
        <w:rPr>
          <w:rFonts w:hint="eastAsia"/>
          <w:color w:val="auto"/>
          <w:sz w:val="18"/>
          <w:szCs w:val="18"/>
          <w:highlight w:val="none"/>
        </w:rPr>
      </w:pPr>
      <w:r>
        <w:rPr>
          <w:rFonts w:hint="eastAsia"/>
          <w:color w:val="auto"/>
          <w:sz w:val="18"/>
          <w:szCs w:val="18"/>
          <w:highlight w:val="none"/>
        </w:rPr>
        <w:t>注：1.在选择栏中的“□”内作标识“√”。 如监理人已退场，监理工程师栏可空缺。</w:t>
      </w:r>
    </w:p>
    <w:p w14:paraId="16A48EA6">
      <w:pPr>
        <w:spacing w:before="120" w:beforeLines="50"/>
        <w:ind w:left="720" w:hanging="720" w:hangingChars="400"/>
        <w:rPr>
          <w:rFonts w:hint="eastAsia"/>
          <w:color w:val="auto"/>
          <w:sz w:val="18"/>
          <w:szCs w:val="18"/>
          <w:highlight w:val="none"/>
        </w:rPr>
      </w:pPr>
      <w:r>
        <w:rPr>
          <w:rFonts w:hint="eastAsia"/>
          <w:color w:val="auto"/>
          <w:sz w:val="18"/>
          <w:szCs w:val="18"/>
          <w:highlight w:val="none"/>
        </w:rPr>
        <w:t xml:space="preserve">    </w:t>
      </w:r>
      <w:r>
        <w:rPr>
          <w:color w:val="auto"/>
          <w:sz w:val="18"/>
          <w:szCs w:val="18"/>
          <w:highlight w:val="none"/>
        </w:rPr>
        <w:t xml:space="preserve">  </w:t>
      </w:r>
      <w:r>
        <w:rPr>
          <w:rFonts w:hint="eastAsia"/>
          <w:color w:val="auto"/>
          <w:sz w:val="18"/>
          <w:szCs w:val="18"/>
          <w:highlight w:val="none"/>
        </w:rPr>
        <w:t xml:space="preserve">  2.本表一式四份，由承包人填报，发包人、监理人、造价咨询人、承包人各存一份。</w:t>
      </w:r>
    </w:p>
    <w:p w14:paraId="0D301A70">
      <w:pPr>
        <w:spacing w:line="360" w:lineRule="auto"/>
        <w:ind w:firstLine="420" w:firstLineChars="200"/>
        <w:jc w:val="left"/>
        <w:rPr>
          <w:color w:val="auto"/>
          <w:highlight w:val="none"/>
          <w:u w:val="single"/>
        </w:rPr>
      </w:pPr>
    </w:p>
    <w:p w14:paraId="4AF3559C">
      <w:pPr>
        <w:spacing w:before="120" w:beforeLines="50"/>
        <w:ind w:left="1200" w:hanging="1200" w:hangingChars="400"/>
        <w:rPr>
          <w:rFonts w:ascii="宋体"/>
          <w:color w:val="auto"/>
          <w:sz w:val="30"/>
          <w:szCs w:val="30"/>
          <w:highlight w:val="none"/>
        </w:rPr>
      </w:pPr>
    </w:p>
    <w:p w14:paraId="1E56F649">
      <w:pPr>
        <w:spacing w:line="360" w:lineRule="auto"/>
        <w:jc w:val="left"/>
        <w:rPr>
          <w:rFonts w:hint="eastAsia" w:hAnsi="宋体" w:cs="宋体"/>
          <w:color w:val="auto"/>
          <w:sz w:val="30"/>
          <w:szCs w:val="30"/>
          <w:highlight w:val="none"/>
        </w:rPr>
      </w:pPr>
      <w:r>
        <w:rPr>
          <w:rFonts w:hint="eastAsia"/>
          <w:color w:val="auto"/>
          <w:sz w:val="30"/>
          <w:szCs w:val="30"/>
          <w:highlight w:val="none"/>
        </w:rPr>
        <w:t>附件14：</w:t>
      </w:r>
    </w:p>
    <w:p w14:paraId="7BEC604A">
      <w:pPr>
        <w:spacing w:line="360" w:lineRule="auto"/>
        <w:ind w:firstLine="720" w:firstLineChars="200"/>
        <w:jc w:val="center"/>
        <w:rPr>
          <w:rFonts w:hint="eastAsia" w:ascii="宋体" w:hAnsi="宋体" w:cs="宋体"/>
          <w:color w:val="auto"/>
          <w:kern w:val="0"/>
          <w:sz w:val="36"/>
          <w:szCs w:val="36"/>
          <w:highlight w:val="none"/>
        </w:rPr>
      </w:pPr>
      <w:r>
        <w:rPr>
          <w:rFonts w:hint="eastAsia" w:ascii="宋体" w:hAnsi="宋体" w:cs="宋体"/>
          <w:color w:val="auto"/>
          <w:kern w:val="0"/>
          <w:sz w:val="36"/>
          <w:szCs w:val="36"/>
          <w:highlight w:val="none"/>
        </w:rPr>
        <w:t>总价合同进度款支付分解表</w:t>
      </w:r>
    </w:p>
    <w:p w14:paraId="077ACA46">
      <w:pPr>
        <w:spacing w:line="360" w:lineRule="auto"/>
        <w:rPr>
          <w:rFonts w:hint="eastAsia" w:ascii="宋体" w:hAnsi="宋体" w:cs="宋体"/>
          <w:color w:val="auto"/>
          <w:kern w:val="0"/>
          <w:highlight w:val="none"/>
        </w:rPr>
      </w:pPr>
      <w:r>
        <w:rPr>
          <w:rFonts w:hint="eastAsia" w:ascii="宋体" w:hAnsi="宋体" w:cs="宋体"/>
          <w:color w:val="auto"/>
          <w:kern w:val="0"/>
          <w:highlight w:val="none"/>
        </w:rPr>
        <w:t>工程名称：</w:t>
      </w:r>
    </w:p>
    <w:tbl>
      <w:tblPr>
        <w:tblStyle w:val="55"/>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3113"/>
        <w:gridCol w:w="2949"/>
        <w:gridCol w:w="1276"/>
      </w:tblGrid>
      <w:tr w14:paraId="12084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46FD0054">
            <w:pPr>
              <w:spacing w:line="360" w:lineRule="auto"/>
              <w:jc w:val="center"/>
              <w:rPr>
                <w:rFonts w:hint="eastAsia" w:ascii="宋体" w:hAnsi="宋体" w:cs="宋体"/>
                <w:color w:val="auto"/>
                <w:kern w:val="0"/>
                <w:highlight w:val="none"/>
              </w:rPr>
            </w:pPr>
            <w:r>
              <w:rPr>
                <w:rFonts w:hint="eastAsia" w:ascii="宋体" w:hAnsi="宋体" w:cs="宋体"/>
                <w:color w:val="auto"/>
                <w:kern w:val="0"/>
                <w:highlight w:val="none"/>
              </w:rPr>
              <w:t>进度款期次</w:t>
            </w:r>
          </w:p>
        </w:tc>
        <w:tc>
          <w:tcPr>
            <w:tcW w:w="3113" w:type="dxa"/>
            <w:noWrap w:val="0"/>
            <w:vAlign w:val="top"/>
          </w:tcPr>
          <w:p w14:paraId="122DF94B">
            <w:pPr>
              <w:spacing w:line="360" w:lineRule="auto"/>
              <w:jc w:val="center"/>
              <w:rPr>
                <w:rFonts w:hint="eastAsia" w:ascii="宋体" w:hAnsi="宋体" w:cs="宋体"/>
                <w:color w:val="auto"/>
                <w:kern w:val="0"/>
                <w:highlight w:val="none"/>
              </w:rPr>
            </w:pPr>
            <w:r>
              <w:rPr>
                <w:rFonts w:hint="eastAsia" w:ascii="宋体" w:hAnsi="宋体" w:cs="宋体"/>
                <w:color w:val="auto"/>
                <w:kern w:val="0"/>
                <w:highlight w:val="none"/>
              </w:rPr>
              <w:t>形象进度</w:t>
            </w:r>
          </w:p>
        </w:tc>
        <w:tc>
          <w:tcPr>
            <w:tcW w:w="2949" w:type="dxa"/>
            <w:noWrap w:val="0"/>
            <w:vAlign w:val="top"/>
          </w:tcPr>
          <w:p w14:paraId="3C32AECA">
            <w:pPr>
              <w:spacing w:line="360" w:lineRule="auto"/>
              <w:jc w:val="center"/>
              <w:rPr>
                <w:rFonts w:hint="eastAsia" w:ascii="宋体" w:hAnsi="宋体" w:cs="宋体"/>
                <w:color w:val="auto"/>
                <w:kern w:val="0"/>
                <w:highlight w:val="none"/>
              </w:rPr>
            </w:pPr>
            <w:r>
              <w:rPr>
                <w:rFonts w:hint="eastAsia" w:ascii="宋体" w:hAnsi="宋体" w:cs="宋体"/>
                <w:color w:val="auto"/>
                <w:kern w:val="0"/>
                <w:highlight w:val="none"/>
              </w:rPr>
              <w:t>进度款付款金额（元）</w:t>
            </w:r>
          </w:p>
        </w:tc>
        <w:tc>
          <w:tcPr>
            <w:tcW w:w="1276" w:type="dxa"/>
            <w:noWrap w:val="0"/>
            <w:vAlign w:val="top"/>
          </w:tcPr>
          <w:p w14:paraId="499BB8F8">
            <w:pPr>
              <w:spacing w:line="360" w:lineRule="auto"/>
              <w:jc w:val="center"/>
              <w:rPr>
                <w:rFonts w:hint="eastAsia" w:ascii="宋体" w:hAnsi="宋体" w:cs="宋体"/>
                <w:color w:val="auto"/>
                <w:kern w:val="0"/>
                <w:highlight w:val="none"/>
              </w:rPr>
            </w:pPr>
            <w:r>
              <w:rPr>
                <w:rFonts w:hint="eastAsia" w:ascii="宋体" w:hAnsi="宋体" w:cs="宋体"/>
                <w:color w:val="auto"/>
                <w:kern w:val="0"/>
                <w:highlight w:val="none"/>
              </w:rPr>
              <w:t>备注</w:t>
            </w:r>
          </w:p>
        </w:tc>
      </w:tr>
      <w:tr w14:paraId="1C048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0078DE1F">
            <w:pPr>
              <w:spacing w:line="360" w:lineRule="auto"/>
              <w:jc w:val="center"/>
              <w:rPr>
                <w:rFonts w:hint="eastAsia" w:ascii="宋体" w:hAnsi="宋体" w:cs="宋体"/>
                <w:color w:val="auto"/>
                <w:kern w:val="0"/>
                <w:highlight w:val="none"/>
              </w:rPr>
            </w:pPr>
            <w:r>
              <w:rPr>
                <w:rFonts w:hint="eastAsia" w:ascii="宋体" w:hAnsi="宋体" w:cs="宋体"/>
                <w:color w:val="auto"/>
                <w:kern w:val="0"/>
                <w:highlight w:val="none"/>
              </w:rPr>
              <w:t>第一期</w:t>
            </w:r>
          </w:p>
        </w:tc>
        <w:tc>
          <w:tcPr>
            <w:tcW w:w="3113" w:type="dxa"/>
            <w:noWrap w:val="0"/>
            <w:vAlign w:val="top"/>
          </w:tcPr>
          <w:p w14:paraId="202721CA">
            <w:pPr>
              <w:spacing w:line="360" w:lineRule="auto"/>
              <w:jc w:val="center"/>
              <w:rPr>
                <w:rFonts w:hint="eastAsia" w:ascii="宋体" w:hAnsi="宋体" w:cs="宋体"/>
                <w:color w:val="auto"/>
                <w:kern w:val="0"/>
                <w:highlight w:val="none"/>
              </w:rPr>
            </w:pPr>
          </w:p>
        </w:tc>
        <w:tc>
          <w:tcPr>
            <w:tcW w:w="2949" w:type="dxa"/>
            <w:noWrap w:val="0"/>
            <w:vAlign w:val="top"/>
          </w:tcPr>
          <w:p w14:paraId="22AA840A">
            <w:pPr>
              <w:spacing w:line="360" w:lineRule="auto"/>
              <w:jc w:val="center"/>
              <w:rPr>
                <w:rFonts w:hint="eastAsia" w:ascii="宋体" w:hAnsi="宋体" w:cs="宋体"/>
                <w:color w:val="auto"/>
                <w:kern w:val="0"/>
                <w:highlight w:val="none"/>
              </w:rPr>
            </w:pPr>
          </w:p>
        </w:tc>
        <w:tc>
          <w:tcPr>
            <w:tcW w:w="1276" w:type="dxa"/>
            <w:noWrap w:val="0"/>
            <w:vAlign w:val="top"/>
          </w:tcPr>
          <w:p w14:paraId="3F7DE512">
            <w:pPr>
              <w:spacing w:line="360" w:lineRule="auto"/>
              <w:jc w:val="center"/>
              <w:rPr>
                <w:rFonts w:hint="eastAsia" w:ascii="宋体" w:hAnsi="宋体" w:cs="宋体"/>
                <w:color w:val="auto"/>
                <w:kern w:val="0"/>
                <w:highlight w:val="none"/>
              </w:rPr>
            </w:pPr>
          </w:p>
        </w:tc>
      </w:tr>
      <w:tr w14:paraId="434E8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1E7D19EA">
            <w:pPr>
              <w:spacing w:line="360" w:lineRule="auto"/>
              <w:jc w:val="center"/>
              <w:rPr>
                <w:rFonts w:hint="eastAsia" w:ascii="宋体" w:hAnsi="宋体" w:cs="宋体"/>
                <w:color w:val="auto"/>
                <w:kern w:val="0"/>
                <w:highlight w:val="none"/>
              </w:rPr>
            </w:pPr>
            <w:r>
              <w:rPr>
                <w:rFonts w:hint="eastAsia" w:ascii="宋体" w:hAnsi="宋体" w:cs="宋体"/>
                <w:color w:val="auto"/>
                <w:kern w:val="0"/>
                <w:highlight w:val="none"/>
              </w:rPr>
              <w:t>第二期</w:t>
            </w:r>
          </w:p>
        </w:tc>
        <w:tc>
          <w:tcPr>
            <w:tcW w:w="3113" w:type="dxa"/>
            <w:noWrap w:val="0"/>
            <w:vAlign w:val="top"/>
          </w:tcPr>
          <w:p w14:paraId="4ECC5400">
            <w:pPr>
              <w:spacing w:line="360" w:lineRule="auto"/>
              <w:jc w:val="center"/>
              <w:rPr>
                <w:rFonts w:hint="eastAsia" w:ascii="宋体" w:hAnsi="宋体" w:cs="宋体"/>
                <w:color w:val="auto"/>
                <w:kern w:val="0"/>
                <w:highlight w:val="none"/>
              </w:rPr>
            </w:pPr>
          </w:p>
        </w:tc>
        <w:tc>
          <w:tcPr>
            <w:tcW w:w="2949" w:type="dxa"/>
            <w:noWrap w:val="0"/>
            <w:vAlign w:val="top"/>
          </w:tcPr>
          <w:p w14:paraId="7162BF6B">
            <w:pPr>
              <w:spacing w:line="360" w:lineRule="auto"/>
              <w:jc w:val="center"/>
              <w:rPr>
                <w:rFonts w:hint="eastAsia" w:ascii="宋体" w:hAnsi="宋体" w:cs="宋体"/>
                <w:color w:val="auto"/>
                <w:kern w:val="0"/>
                <w:highlight w:val="none"/>
              </w:rPr>
            </w:pPr>
          </w:p>
        </w:tc>
        <w:tc>
          <w:tcPr>
            <w:tcW w:w="1276" w:type="dxa"/>
            <w:noWrap w:val="0"/>
            <w:vAlign w:val="top"/>
          </w:tcPr>
          <w:p w14:paraId="3939D747">
            <w:pPr>
              <w:spacing w:line="360" w:lineRule="auto"/>
              <w:jc w:val="center"/>
              <w:rPr>
                <w:rFonts w:hint="eastAsia" w:ascii="宋体" w:hAnsi="宋体" w:cs="宋体"/>
                <w:color w:val="auto"/>
                <w:kern w:val="0"/>
                <w:highlight w:val="none"/>
              </w:rPr>
            </w:pPr>
          </w:p>
        </w:tc>
      </w:tr>
      <w:tr w14:paraId="76DC4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54BC13FB">
            <w:pPr>
              <w:spacing w:line="360" w:lineRule="auto"/>
              <w:jc w:val="center"/>
              <w:rPr>
                <w:rFonts w:hint="eastAsia" w:ascii="宋体" w:hAnsi="宋体" w:cs="宋体"/>
                <w:color w:val="auto"/>
                <w:kern w:val="0"/>
                <w:highlight w:val="none"/>
              </w:rPr>
            </w:pPr>
            <w:r>
              <w:rPr>
                <w:rFonts w:hint="eastAsia" w:ascii="宋体" w:hAnsi="宋体" w:cs="宋体"/>
                <w:color w:val="auto"/>
                <w:kern w:val="0"/>
                <w:highlight w:val="none"/>
              </w:rPr>
              <w:t>第三期</w:t>
            </w:r>
          </w:p>
        </w:tc>
        <w:tc>
          <w:tcPr>
            <w:tcW w:w="3113" w:type="dxa"/>
            <w:noWrap w:val="0"/>
            <w:vAlign w:val="top"/>
          </w:tcPr>
          <w:p w14:paraId="7F223894">
            <w:pPr>
              <w:spacing w:line="360" w:lineRule="auto"/>
              <w:jc w:val="center"/>
              <w:rPr>
                <w:rFonts w:hint="eastAsia" w:ascii="宋体" w:hAnsi="宋体" w:cs="宋体"/>
                <w:color w:val="auto"/>
                <w:kern w:val="0"/>
                <w:highlight w:val="none"/>
              </w:rPr>
            </w:pPr>
          </w:p>
        </w:tc>
        <w:tc>
          <w:tcPr>
            <w:tcW w:w="2949" w:type="dxa"/>
            <w:noWrap w:val="0"/>
            <w:vAlign w:val="top"/>
          </w:tcPr>
          <w:p w14:paraId="00CFDBB4">
            <w:pPr>
              <w:spacing w:line="360" w:lineRule="auto"/>
              <w:jc w:val="center"/>
              <w:rPr>
                <w:rFonts w:hint="eastAsia" w:ascii="宋体" w:hAnsi="宋体" w:cs="宋体"/>
                <w:color w:val="auto"/>
                <w:kern w:val="0"/>
                <w:highlight w:val="none"/>
              </w:rPr>
            </w:pPr>
          </w:p>
        </w:tc>
        <w:tc>
          <w:tcPr>
            <w:tcW w:w="1276" w:type="dxa"/>
            <w:noWrap w:val="0"/>
            <w:vAlign w:val="top"/>
          </w:tcPr>
          <w:p w14:paraId="47D96A31">
            <w:pPr>
              <w:spacing w:line="360" w:lineRule="auto"/>
              <w:jc w:val="center"/>
              <w:rPr>
                <w:rFonts w:hint="eastAsia" w:ascii="宋体" w:hAnsi="宋体" w:cs="宋体"/>
                <w:color w:val="auto"/>
                <w:kern w:val="0"/>
                <w:highlight w:val="none"/>
              </w:rPr>
            </w:pPr>
          </w:p>
        </w:tc>
      </w:tr>
      <w:tr w14:paraId="33CB5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39FEBCB6">
            <w:pPr>
              <w:spacing w:line="360" w:lineRule="auto"/>
              <w:jc w:val="center"/>
              <w:rPr>
                <w:rFonts w:hint="eastAsia" w:ascii="宋体" w:hAnsi="宋体" w:cs="宋体"/>
                <w:color w:val="auto"/>
                <w:kern w:val="0"/>
                <w:highlight w:val="none"/>
              </w:rPr>
            </w:pPr>
            <w:r>
              <w:rPr>
                <w:rFonts w:ascii="宋体" w:hAnsi="宋体" w:cs="宋体"/>
                <w:color w:val="auto"/>
                <w:kern w:val="0"/>
                <w:highlight w:val="none"/>
              </w:rPr>
              <w:t>……</w:t>
            </w:r>
          </w:p>
        </w:tc>
        <w:tc>
          <w:tcPr>
            <w:tcW w:w="3113" w:type="dxa"/>
            <w:noWrap w:val="0"/>
            <w:vAlign w:val="top"/>
          </w:tcPr>
          <w:p w14:paraId="5E548125">
            <w:pPr>
              <w:spacing w:line="360" w:lineRule="auto"/>
              <w:jc w:val="center"/>
              <w:rPr>
                <w:rFonts w:hint="eastAsia" w:ascii="宋体" w:hAnsi="宋体" w:cs="宋体"/>
                <w:color w:val="auto"/>
                <w:kern w:val="0"/>
                <w:highlight w:val="none"/>
              </w:rPr>
            </w:pPr>
          </w:p>
        </w:tc>
        <w:tc>
          <w:tcPr>
            <w:tcW w:w="2949" w:type="dxa"/>
            <w:noWrap w:val="0"/>
            <w:vAlign w:val="top"/>
          </w:tcPr>
          <w:p w14:paraId="1E5AEC5E">
            <w:pPr>
              <w:spacing w:line="360" w:lineRule="auto"/>
              <w:jc w:val="center"/>
              <w:rPr>
                <w:rFonts w:hint="eastAsia" w:ascii="宋体" w:hAnsi="宋体" w:cs="宋体"/>
                <w:color w:val="auto"/>
                <w:kern w:val="0"/>
                <w:highlight w:val="none"/>
              </w:rPr>
            </w:pPr>
          </w:p>
        </w:tc>
        <w:tc>
          <w:tcPr>
            <w:tcW w:w="1276" w:type="dxa"/>
            <w:noWrap w:val="0"/>
            <w:vAlign w:val="top"/>
          </w:tcPr>
          <w:p w14:paraId="59FFCC78">
            <w:pPr>
              <w:spacing w:line="360" w:lineRule="auto"/>
              <w:jc w:val="center"/>
              <w:rPr>
                <w:rFonts w:hint="eastAsia" w:ascii="宋体" w:hAnsi="宋体" w:cs="宋体"/>
                <w:color w:val="auto"/>
                <w:kern w:val="0"/>
                <w:highlight w:val="none"/>
              </w:rPr>
            </w:pPr>
          </w:p>
        </w:tc>
      </w:tr>
      <w:tr w14:paraId="56F01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trPr>
        <w:tc>
          <w:tcPr>
            <w:tcW w:w="4530" w:type="dxa"/>
            <w:gridSpan w:val="2"/>
            <w:noWrap w:val="0"/>
            <w:vAlign w:val="top"/>
          </w:tcPr>
          <w:p w14:paraId="59FC948B">
            <w:pPr>
              <w:spacing w:line="360" w:lineRule="exact"/>
              <w:ind w:firstLine="435"/>
              <w:jc w:val="right"/>
              <w:rPr>
                <w:rFonts w:hint="eastAsia"/>
                <w:color w:val="auto"/>
                <w:highlight w:val="none"/>
              </w:rPr>
            </w:pPr>
          </w:p>
          <w:p w14:paraId="157A85AE">
            <w:pPr>
              <w:spacing w:line="360" w:lineRule="exact"/>
              <w:ind w:firstLine="435"/>
              <w:jc w:val="center"/>
              <w:rPr>
                <w:rFonts w:hint="eastAsia"/>
                <w:color w:val="auto"/>
                <w:highlight w:val="none"/>
              </w:rPr>
            </w:pPr>
          </w:p>
          <w:p w14:paraId="5D95B716">
            <w:pPr>
              <w:spacing w:line="360" w:lineRule="exact"/>
              <w:ind w:firstLine="435"/>
              <w:jc w:val="center"/>
              <w:rPr>
                <w:rFonts w:hint="eastAsia"/>
                <w:color w:val="auto"/>
                <w:highlight w:val="none"/>
              </w:rPr>
            </w:pPr>
            <w:r>
              <w:rPr>
                <w:rFonts w:hint="eastAsia"/>
                <w:color w:val="auto"/>
                <w:highlight w:val="none"/>
              </w:rPr>
              <w:t>发包人代表签字：</w:t>
            </w:r>
          </w:p>
          <w:p w14:paraId="181A705E">
            <w:pPr>
              <w:spacing w:line="360" w:lineRule="exact"/>
              <w:ind w:firstLine="435"/>
              <w:jc w:val="center"/>
              <w:rPr>
                <w:rFonts w:hint="eastAsia"/>
                <w:color w:val="auto"/>
                <w:highlight w:val="none"/>
              </w:rPr>
            </w:pPr>
          </w:p>
          <w:p w14:paraId="53298EA6">
            <w:pPr>
              <w:spacing w:line="360" w:lineRule="exact"/>
              <w:ind w:firstLine="435"/>
              <w:jc w:val="center"/>
              <w:rPr>
                <w:rFonts w:hint="eastAsia"/>
                <w:color w:val="auto"/>
                <w:highlight w:val="none"/>
              </w:rPr>
            </w:pPr>
            <w:r>
              <w:rPr>
                <w:rFonts w:hint="eastAsia"/>
                <w:color w:val="auto"/>
                <w:highlight w:val="none"/>
              </w:rPr>
              <w:t>发包人（盖公章）</w:t>
            </w:r>
          </w:p>
          <w:p w14:paraId="6C9BCBF7">
            <w:pPr>
              <w:spacing w:line="360" w:lineRule="exact"/>
              <w:ind w:firstLine="435"/>
              <w:jc w:val="center"/>
              <w:rPr>
                <w:rFonts w:hint="eastAsia"/>
                <w:color w:val="auto"/>
                <w:highlight w:val="none"/>
              </w:rPr>
            </w:pPr>
          </w:p>
          <w:p w14:paraId="37C1909A">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日      期        </w:t>
            </w:r>
            <w:r>
              <w:rPr>
                <w:rFonts w:hint="eastAsia"/>
                <w:color w:val="auto"/>
                <w:highlight w:val="none"/>
                <w:u w:val="single"/>
              </w:rPr>
              <w:t xml:space="preserve">   </w:t>
            </w:r>
          </w:p>
        </w:tc>
        <w:tc>
          <w:tcPr>
            <w:tcW w:w="4225" w:type="dxa"/>
            <w:gridSpan w:val="2"/>
            <w:noWrap w:val="0"/>
            <w:vAlign w:val="top"/>
          </w:tcPr>
          <w:p w14:paraId="22C46BAB">
            <w:pPr>
              <w:spacing w:line="360" w:lineRule="exact"/>
              <w:ind w:firstLine="435"/>
              <w:jc w:val="center"/>
              <w:rPr>
                <w:rFonts w:hint="eastAsia"/>
                <w:color w:val="auto"/>
                <w:highlight w:val="none"/>
              </w:rPr>
            </w:pPr>
          </w:p>
          <w:p w14:paraId="21EF4186">
            <w:pPr>
              <w:spacing w:line="360" w:lineRule="exact"/>
              <w:ind w:firstLine="435"/>
              <w:jc w:val="center"/>
              <w:rPr>
                <w:rFonts w:hint="eastAsia"/>
                <w:color w:val="auto"/>
                <w:highlight w:val="none"/>
                <w:u w:val="single"/>
              </w:rPr>
            </w:pPr>
          </w:p>
          <w:p w14:paraId="7B9012B8">
            <w:pPr>
              <w:spacing w:line="360" w:lineRule="exact"/>
              <w:ind w:firstLine="435"/>
              <w:jc w:val="center"/>
              <w:rPr>
                <w:rFonts w:hint="eastAsia"/>
                <w:color w:val="auto"/>
                <w:highlight w:val="none"/>
              </w:rPr>
            </w:pPr>
            <w:r>
              <w:rPr>
                <w:rFonts w:hint="eastAsia"/>
                <w:color w:val="auto"/>
                <w:highlight w:val="none"/>
              </w:rPr>
              <w:t>承包人代表签字：</w:t>
            </w:r>
          </w:p>
          <w:p w14:paraId="491D5BDC">
            <w:pPr>
              <w:spacing w:line="360" w:lineRule="exact"/>
              <w:ind w:firstLine="435"/>
              <w:jc w:val="center"/>
              <w:rPr>
                <w:rFonts w:hint="eastAsia"/>
                <w:color w:val="auto"/>
                <w:highlight w:val="none"/>
              </w:rPr>
            </w:pPr>
          </w:p>
          <w:p w14:paraId="3906E960">
            <w:pPr>
              <w:spacing w:line="360" w:lineRule="exact"/>
              <w:ind w:firstLine="435"/>
              <w:jc w:val="center"/>
              <w:rPr>
                <w:rFonts w:hint="eastAsia"/>
                <w:color w:val="auto"/>
                <w:highlight w:val="none"/>
              </w:rPr>
            </w:pPr>
            <w:r>
              <w:rPr>
                <w:rFonts w:hint="eastAsia"/>
                <w:color w:val="auto"/>
                <w:highlight w:val="none"/>
              </w:rPr>
              <w:t>承包人（盖公章）</w:t>
            </w:r>
          </w:p>
          <w:p w14:paraId="577F14EB">
            <w:pPr>
              <w:spacing w:line="360" w:lineRule="exact"/>
              <w:ind w:firstLine="435"/>
              <w:jc w:val="center"/>
              <w:rPr>
                <w:rFonts w:hint="eastAsia"/>
                <w:color w:val="auto"/>
                <w:highlight w:val="none"/>
              </w:rPr>
            </w:pPr>
          </w:p>
          <w:p w14:paraId="50A5F85A">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日      期</w:t>
            </w:r>
            <w:r>
              <w:rPr>
                <w:rFonts w:hint="eastAsia"/>
                <w:color w:val="auto"/>
                <w:highlight w:val="none"/>
                <w:u w:val="single"/>
              </w:rPr>
              <w:t xml:space="preserve">        </w:t>
            </w:r>
          </w:p>
        </w:tc>
      </w:tr>
    </w:tbl>
    <w:p w14:paraId="5C962E29">
      <w:pPr>
        <w:spacing w:line="360" w:lineRule="auto"/>
        <w:rPr>
          <w:rFonts w:ascii="宋体"/>
          <w:color w:val="auto"/>
          <w:highlight w:val="none"/>
        </w:rPr>
      </w:pPr>
    </w:p>
    <w:p w14:paraId="7D762EBA">
      <w:pPr>
        <w:spacing w:line="360" w:lineRule="auto"/>
        <w:rPr>
          <w:rFonts w:ascii="宋体"/>
          <w:color w:val="auto"/>
          <w:highlight w:val="none"/>
        </w:rPr>
      </w:pPr>
    </w:p>
    <w:p w14:paraId="207BDC00">
      <w:pPr>
        <w:spacing w:line="360" w:lineRule="auto"/>
        <w:rPr>
          <w:rFonts w:ascii="宋体"/>
          <w:color w:val="auto"/>
          <w:highlight w:val="none"/>
        </w:rPr>
      </w:pPr>
    </w:p>
    <w:p w14:paraId="0145853C">
      <w:pPr>
        <w:spacing w:line="360" w:lineRule="auto"/>
        <w:rPr>
          <w:rFonts w:ascii="宋体"/>
          <w:color w:val="auto"/>
          <w:highlight w:val="none"/>
        </w:rPr>
      </w:pPr>
    </w:p>
    <w:p w14:paraId="118D7188">
      <w:pPr>
        <w:spacing w:line="360" w:lineRule="auto"/>
        <w:rPr>
          <w:rFonts w:ascii="宋体"/>
          <w:color w:val="auto"/>
          <w:highlight w:val="none"/>
        </w:rPr>
      </w:pPr>
    </w:p>
    <w:p w14:paraId="47E31C60">
      <w:pPr>
        <w:spacing w:line="360" w:lineRule="auto"/>
        <w:rPr>
          <w:rFonts w:ascii="宋体"/>
          <w:color w:val="auto"/>
          <w:highlight w:val="none"/>
        </w:rPr>
      </w:pPr>
    </w:p>
    <w:p w14:paraId="135ECB23">
      <w:pPr>
        <w:spacing w:line="360" w:lineRule="auto"/>
        <w:rPr>
          <w:rFonts w:ascii="宋体"/>
          <w:color w:val="auto"/>
          <w:highlight w:val="none"/>
        </w:rPr>
      </w:pPr>
    </w:p>
    <w:p w14:paraId="011C2306">
      <w:pPr>
        <w:spacing w:line="360" w:lineRule="auto"/>
        <w:rPr>
          <w:rFonts w:ascii="宋体"/>
          <w:color w:val="auto"/>
          <w:highlight w:val="none"/>
        </w:rPr>
      </w:pPr>
    </w:p>
    <w:p w14:paraId="0BD87489">
      <w:pPr>
        <w:spacing w:line="360" w:lineRule="auto"/>
        <w:rPr>
          <w:rFonts w:ascii="宋体"/>
          <w:color w:val="auto"/>
          <w:highlight w:val="none"/>
        </w:rPr>
      </w:pPr>
    </w:p>
    <w:p w14:paraId="56915329">
      <w:pPr>
        <w:spacing w:line="360" w:lineRule="auto"/>
        <w:rPr>
          <w:rFonts w:ascii="宋体"/>
          <w:color w:val="auto"/>
          <w:highlight w:val="none"/>
        </w:rPr>
      </w:pPr>
    </w:p>
    <w:p w14:paraId="7F065428">
      <w:pPr>
        <w:rPr>
          <w:color w:val="auto"/>
          <w:highlight w:val="none"/>
        </w:rPr>
      </w:pPr>
    </w:p>
    <w:p w14:paraId="3F2A7AB4">
      <w:pPr>
        <w:spacing w:line="360" w:lineRule="auto"/>
        <w:rPr>
          <w:rFonts w:ascii="宋体" w:hAnsi="等线" w:eastAsia="等线"/>
          <w:color w:val="auto"/>
          <w:szCs w:val="21"/>
          <w:highlight w:val="none"/>
        </w:rPr>
      </w:pPr>
    </w:p>
    <w:sectPr>
      <w:footerReference r:id="rId10" w:type="first"/>
      <w:footerReference r:id="rId9" w:type="default"/>
      <w:pgSz w:w="11907" w:h="16840"/>
      <w:pgMar w:top="1440" w:right="1440" w:bottom="1440" w:left="1797"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C629B2C-29DB-463E-AD34-DF1140932372}"/>
  </w:font>
  <w:font w:name="黑体">
    <w:panose1 w:val="02010609060101010101"/>
    <w:charset w:val="86"/>
    <w:family w:val="auto"/>
    <w:pitch w:val="default"/>
    <w:sig w:usb0="800002BF" w:usb1="38CF7CFA" w:usb2="00000016" w:usb3="00000000" w:csb0="00040001" w:csb1="00000000"/>
    <w:embedRegular r:id="rId2" w:fontKey="{C4E0264A-8087-4877-8D4B-2300B5B1074E}"/>
  </w:font>
  <w:font w:name="Courier New">
    <w:panose1 w:val="02070309020205020404"/>
    <w:charset w:val="01"/>
    <w:family w:val="modern"/>
    <w:pitch w:val="default"/>
    <w:sig w:usb0="E0002EFF" w:usb1="C0007843" w:usb2="00000009" w:usb3="00000000" w:csb0="400001FF" w:csb1="FFFF0000"/>
    <w:embedRegular r:id="rId3" w:fontKey="{706745BF-2314-4E8E-8D49-888803172BAE}"/>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4AA00E69-2E93-4CE8-B151-A376D73E701C}"/>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5" w:fontKey="{B74FD133-5F38-44D3-81BE-011F1BB7BCBB}"/>
  </w:font>
  <w:font w:name="Tahoma">
    <w:panose1 w:val="020B0604030504040204"/>
    <w:charset w:val="00"/>
    <w:family w:val="swiss"/>
    <w:pitch w:val="default"/>
    <w:sig w:usb0="E1002EFF" w:usb1="C000605B" w:usb2="00000029" w:usb3="00000000" w:csb0="200101FF" w:csb1="2028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Times New Roman)">
    <w:altName w:val="Times New Roman"/>
    <w:panose1 w:val="00000000000000000000"/>
    <w:charset w:val="00"/>
    <w:family w:val="auto"/>
    <w:pitch w:val="default"/>
    <w:sig w:usb0="00000000" w:usb1="00000000" w:usb2="00000000" w:usb3="00000000" w:csb0="00040001" w:csb1="00000000"/>
  </w:font>
  <w:font w:name="宋体正文">
    <w:altName w:val="宋体"/>
    <w:panose1 w:val="00000000000000000000"/>
    <w:charset w:val="00"/>
    <w:family w:val="auto"/>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楷体_GB2312">
    <w:panose1 w:val="02010609030101010101"/>
    <w:charset w:val="86"/>
    <w:family w:val="modern"/>
    <w:pitch w:val="default"/>
    <w:sig w:usb0="00000001" w:usb1="080E0000" w:usb2="00000000" w:usb3="00000000" w:csb0="00040000" w:csb1="00000000"/>
    <w:embedRegular r:id="rId6" w:fontKey="{702D8710-583A-4CEC-9400-D82664451FC8}"/>
  </w:font>
  <w:font w:name="Helv">
    <w:altName w:val="Segoe Print"/>
    <w:panose1 w:val="020B0604020202030204"/>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Trebuchet MS">
    <w:panose1 w:val="020B0603020202020204"/>
    <w:charset w:val="00"/>
    <w:family w:val="swiss"/>
    <w:pitch w:val="default"/>
    <w:sig w:usb0="00000687" w:usb1="00000000" w:usb2="00000000" w:usb3="00000000" w:csb0="2000009F" w:csb1="00000000"/>
  </w:font>
  <w:font w:name="方正小标宋简体">
    <w:panose1 w:val="03000509000000000000"/>
    <w:charset w:val="86"/>
    <w:family w:val="script"/>
    <w:pitch w:val="default"/>
    <w:sig w:usb0="00000001" w:usb1="080E0000" w:usb2="00000000" w:usb3="00000000" w:csb0="00040000" w:csb1="00000000"/>
    <w:embedRegular r:id="rId7" w:fontKey="{18D68683-4162-45DE-8728-D66B12064BC3}"/>
  </w:font>
  <w:font w:name="Wingdings 2">
    <w:panose1 w:val="05020102010507070707"/>
    <w:charset w:val="02"/>
    <w:family w:val="roman"/>
    <w:pitch w:val="default"/>
    <w:sig w:usb0="00000000" w:usb1="00000000" w:usb2="00000000" w:usb3="00000000" w:csb0="80000000" w:csb1="00000000"/>
    <w:embedRegular r:id="rId8" w:fontKey="{3E6829D6-E135-419D-9A32-435BAB12447F}"/>
  </w:font>
  <w:font w:name="ˎ̥">
    <w:altName w:val="Times New Roman"/>
    <w:panose1 w:val="00000000000000000000"/>
    <w:charset w:val="00"/>
    <w:family w:val="roman"/>
    <w:pitch w:val="default"/>
    <w:sig w:usb0="00000000" w:usb1="00000000" w:usb2="00000000" w:usb3="00000000" w:csb0="00040001" w:csb1="00000000"/>
    <w:embedRegular r:id="rId9" w:fontKey="{42905EBD-FE95-4425-9317-E47BCEC3E547}"/>
  </w:font>
  <w:font w:name="MS Mincho">
    <w:altName w:val="MS UI Gothic"/>
    <w:panose1 w:val="02020609040205080304"/>
    <w:charset w:val="80"/>
    <w:family w:val="modern"/>
    <w:pitch w:val="default"/>
    <w:sig w:usb0="00000000" w:usb1="00000000" w:usb2="00000012" w:usb3="00000000" w:csb0="4002009F" w:csb1="DFD70000"/>
    <w:embedRegular r:id="rId10" w:fontKey="{B4F89D37-48A0-4DE0-B9B8-74561820382F}"/>
  </w:font>
  <w:font w:name="MS UI Gothic">
    <w:panose1 w:val="020B0600070205080204"/>
    <w:charset w:val="80"/>
    <w:family w:val="auto"/>
    <w:pitch w:val="default"/>
    <w:sig w:usb0="E00002FF" w:usb1="6AC7FDFB" w:usb2="08000012" w:usb3="00000000" w:csb0="4002009F" w:csb1="DFD70000"/>
  </w:font>
  <w:font w:name="等线">
    <w:panose1 w:val="02010600030101010101"/>
    <w:charset w:val="86"/>
    <w:family w:val="auto"/>
    <w:pitch w:val="default"/>
    <w:sig w:usb0="A00002BF" w:usb1="38CF7CFA" w:usb2="00000016" w:usb3="00000000" w:csb0="0004000F" w:csb1="00000000"/>
    <w:embedRegular r:id="rId11" w:fontKey="{EEFA8D73-08B4-408E-AF39-CAA230D06A89}"/>
  </w:font>
  <w:font w:name="WPSEMBED3">
    <w:panose1 w:val="03000509000000000000"/>
    <w:charset w:val="86"/>
    <w:family w:val="auto"/>
    <w:pitch w:val="default"/>
    <w:sig w:usb0="00000001" w:usb1="080E0000" w:usb2="00000000" w:usb3="00000000" w:csb0="00040000" w:csb1="00000000"/>
  </w:font>
  <w:font w:name="WPSEMBED1">
    <w:panose1 w:val="02010609030101010101"/>
    <w:charset w:val="86"/>
    <w:family w:val="auto"/>
    <w:pitch w:val="default"/>
    <w:sig w:usb0="00000001" w:usb1="080E0000" w:usb2="00000000" w:usb3="00000000" w:csb0="00040000" w:csb1="00000000"/>
  </w:font>
  <w:font w:name="WPSEMBED4">
    <w:panose1 w:val="05020102010507070707"/>
    <w:charset w:val="00"/>
    <w:family w:val="auto"/>
    <w:pitch w:val="default"/>
    <w:sig w:usb0="00000000" w:usb1="00000000" w:usb2="00000000" w:usb3="00000000" w:csb0="80000000" w:csb1="00000000"/>
  </w:font>
  <w:font w:name="WPSEMBED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DD5B8">
    <w:pPr>
      <w:pStyle w:val="35"/>
      <w:tabs>
        <w:tab w:val="center" w:pos="4439"/>
        <w:tab w:val="clear" w:pos="4153"/>
      </w:tabs>
      <w:jc w:val="both"/>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57785" cy="131445"/>
              <wp:effectExtent l="0" t="0" r="0" b="0"/>
              <wp:wrapNone/>
              <wp:docPr id="4" name="Text Box 4099"/>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ffectLst/>
                    </wps:spPr>
                    <wps:txbx>
                      <w:txbxContent>
                        <w:p w14:paraId="69089944">
                          <w:pPr>
                            <w:pStyle w:val="35"/>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Text Box 4099" o:spid="_x0000_s1026" o:spt="202" type="#_x0000_t202" style="position:absolute;left:0pt;margin-top:0pt;height:10.35pt;width:4.55pt;mso-position-horizontal:center;mso-position-horizontal-relative:margin;mso-wrap-style:none;z-index:251661312;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Pi91E0AAAAAIBAAAPAAAAAAAAAAEAIAAAACIAAABkcnMvZG93bnJldi54&#10;bWxQSwECFAAUAAAACACHTuJAeN44dwICAAARBAAADgAAAAAAAAABACAAAAAfAQAAZHJzL2Uyb0Rv&#10;Yy54bWxQSwUGAAAAAAYABgBZAQAAkwUAAAAA&#10;">
              <v:fill on="f" focussize="0,0"/>
              <v:stroke on="f"/>
              <v:imagedata o:title=""/>
              <o:lock v:ext="edit" aspectratio="f"/>
              <v:textbox inset="0mm,0mm,0mm,0mm" style="mso-fit-shape-to-text:t;">
                <w:txbxContent>
                  <w:p w14:paraId="69089944">
                    <w:pPr>
                      <w:pStyle w:val="3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7C47C">
    <w:pPr>
      <w:pStyle w:val="35"/>
      <w:tabs>
        <w:tab w:val="center" w:pos="4439"/>
        <w:tab w:val="clear" w:pos="4153"/>
      </w:tabs>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53035"/>
              <wp:effectExtent l="0" t="0" r="0" b="0"/>
              <wp:wrapNone/>
              <wp:docPr id="5" name="Text Box 4100"/>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32A97A3C"/>
                      </w:txbxContent>
                    </wps:txbx>
                    <wps:bodyPr rot="0" vert="horz" wrap="none" lIns="0" tIns="0" rIns="0" bIns="0" anchor="t" anchorCtr="0" upright="1">
                      <a:spAutoFit/>
                    </wps:bodyPr>
                  </wps:wsp>
                </a:graphicData>
              </a:graphic>
            </wp:anchor>
          </w:drawing>
        </mc:Choice>
        <mc:Fallback>
          <w:pict>
            <v:shape id="Text Box 4100" o:spid="_x0000_s1026" o:spt="202" type="#_x0000_t202" style="position:absolute;left:0pt;margin-top:0pt;height:12.05pt;width:9.05pt;mso-position-horizontal:center;mso-position-horizontal-relative:margin;mso-wrap-style:none;z-index:251662336;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kFT5rQAAAAAwEAAA8AAAAAAAAAAQAgAAAAIgAAAGRycy9kb3ducmV2LnhtbFBL&#10;AQIUABQAAAAIAIdO4kDYxXKQ/gEAABIEAAAOAAAAAAAAAAEAIAAAAB8BAABkcnMvZTJvRG9jLnht&#10;bFBLBQYAAAAABgAGAFkBAACPBQAAAAA=&#10;">
              <v:fill on="f" focussize="0,0"/>
              <v:stroke on="f"/>
              <v:imagedata o:title=""/>
              <o:lock v:ext="edit" aspectratio="f"/>
              <v:textbox inset="0mm,0mm,0mm,0mm" style="mso-fit-shape-to-text:t;">
                <w:txbxContent>
                  <w:p w14:paraId="32A97A3C"/>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EB986">
    <w:pPr>
      <w:pStyle w:val="35"/>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F5A34">
                          <w:pPr>
                            <w:pStyle w:val="35"/>
                            <w:jc w:val="center"/>
                          </w:pPr>
                          <w:r>
                            <w:fldChar w:fldCharType="begin"/>
                          </w:r>
                          <w:r>
                            <w:instrText xml:space="preserve">PAGE   \* MERGEFORMAT</w:instrText>
                          </w:r>
                          <w:r>
                            <w:fldChar w:fldCharType="separate"/>
                          </w:r>
                          <w:r>
                            <w:rPr>
                              <w:lang w:val="zh-CN"/>
                            </w:rPr>
                            <w:t>4</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5FCF5A34">
                    <w:pPr>
                      <w:pStyle w:val="35"/>
                      <w:jc w:val="center"/>
                    </w:pPr>
                    <w:r>
                      <w:fldChar w:fldCharType="begin"/>
                    </w:r>
                    <w:r>
                      <w:instrText xml:space="preserve">PAGE   \* MERGEFORMAT</w:instrText>
                    </w:r>
                    <w:r>
                      <w:fldChar w:fldCharType="separate"/>
                    </w:r>
                    <w:r>
                      <w:rPr>
                        <w:lang w:val="zh-CN"/>
                      </w:rPr>
                      <w:t>4</w:t>
                    </w:r>
                    <w:r>
                      <w:rPr>
                        <w:lang w:val="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99245">
    <w:pPr>
      <w:pStyle w:val="35"/>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72085" cy="131445"/>
              <wp:effectExtent l="0" t="0" r="0" b="0"/>
              <wp:wrapNone/>
              <wp:docPr id="1" name="Text Box 4097"/>
              <wp:cNvGraphicFramePr/>
              <a:graphic xmlns:a="http://schemas.openxmlformats.org/drawingml/2006/main">
                <a:graphicData uri="http://schemas.microsoft.com/office/word/2010/wordprocessingShape">
                  <wps:wsp>
                    <wps:cNvSpPr txBox="1">
                      <a:spLocks noChangeArrowheads="1"/>
                    </wps:cNvSpPr>
                    <wps:spPr bwMode="auto">
                      <a:xfrm>
                        <a:off x="0" y="0"/>
                        <a:ext cx="172085" cy="131445"/>
                      </a:xfrm>
                      <a:prstGeom prst="rect">
                        <a:avLst/>
                      </a:prstGeom>
                      <a:noFill/>
                      <a:ln>
                        <a:noFill/>
                      </a:ln>
                      <a:effectLst/>
                    </wps:spPr>
                    <wps:txbx>
                      <w:txbxContent>
                        <w:p w14:paraId="2509EE18">
                          <w:pPr>
                            <w:pStyle w:val="35"/>
                            <w:jc w:val="center"/>
                          </w:pPr>
                          <w:r>
                            <w:fldChar w:fldCharType="begin"/>
                          </w:r>
                          <w:r>
                            <w:instrText xml:space="preserve"> PAGE  \* MERGEFORMAT </w:instrText>
                          </w:r>
                          <w:r>
                            <w:fldChar w:fldCharType="separate"/>
                          </w:r>
                          <w:r>
                            <w:t>182</w:t>
                          </w:r>
                          <w:r>
                            <w:fldChar w:fldCharType="end"/>
                          </w:r>
                        </w:p>
                      </w:txbxContent>
                    </wps:txbx>
                    <wps:bodyPr rot="0" vert="horz" wrap="none" lIns="0" tIns="0" rIns="0" bIns="0" anchor="t" anchorCtr="0" upright="1">
                      <a:spAutoFit/>
                    </wps:bodyPr>
                  </wps:wsp>
                </a:graphicData>
              </a:graphic>
            </wp:anchor>
          </w:drawing>
        </mc:Choice>
        <mc:Fallback>
          <w:pict>
            <v:shape id="Text Box 4097" o:spid="_x0000_s1026" o:spt="202" type="#_x0000_t202" style="position:absolute;left:0pt;margin-top:0pt;height:10.35pt;width:13.55pt;mso-position-horizontal:center;mso-position-horizontal-relative:margin;mso-wrap-style:none;z-index:251659264;mso-width-relative:page;mso-height-relative:page;" filled="f" stroked="f" coordsize="21600,21600" o:gfxdata="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JXQ5c8AAAADAQAADwAAAAAAAAABACAAAAAiAAAAZHJzL2Rvd25yZXYueG1s&#10;UEsBAhQAFAAAAAgAh07iQISNBh8BAgAAEgQAAA4AAAAAAAAAAQAgAAAAHgEAAGRycy9lMm9Eb2Mu&#10;eG1sUEsFBgAAAAAGAAYAWQEAAJEFAAAAAA==&#10;">
              <v:fill on="f" focussize="0,0"/>
              <v:stroke on="f"/>
              <v:imagedata o:title=""/>
              <o:lock v:ext="edit" aspectratio="f"/>
              <v:textbox inset="0mm,0mm,0mm,0mm" style="mso-fit-shape-to-text:t;">
                <w:txbxContent>
                  <w:p w14:paraId="2509EE18">
                    <w:pPr>
                      <w:pStyle w:val="35"/>
                      <w:jc w:val="center"/>
                    </w:pPr>
                    <w:r>
                      <w:fldChar w:fldCharType="begin"/>
                    </w:r>
                    <w:r>
                      <w:instrText xml:space="preserve"> PAGE  \* MERGEFORMAT </w:instrText>
                    </w:r>
                    <w:r>
                      <w:fldChar w:fldCharType="separate"/>
                    </w:r>
                    <w:r>
                      <w:t>182</w:t>
                    </w:r>
                    <w:r>
                      <w:fldChar w:fldCharType="end"/>
                    </w:r>
                  </w:p>
                </w:txbxContent>
              </v:textbox>
            </v:shape>
          </w:pict>
        </mc:Fallback>
      </mc:AlternateContent>
    </w:r>
  </w:p>
  <w:p w14:paraId="31DC2274">
    <w:pPr>
      <w:pStyle w:val="3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0A53E">
    <w:pPr>
      <w:pStyle w:val="3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72085" cy="131445"/>
              <wp:effectExtent l="0" t="0" r="0" b="0"/>
              <wp:wrapNone/>
              <wp:docPr id="3" name="Text Box 4098"/>
              <wp:cNvGraphicFramePr/>
              <a:graphic xmlns:a="http://schemas.openxmlformats.org/drawingml/2006/main">
                <a:graphicData uri="http://schemas.microsoft.com/office/word/2010/wordprocessingShape">
                  <wps:wsp>
                    <wps:cNvSpPr txBox="1">
                      <a:spLocks noChangeArrowheads="1"/>
                    </wps:cNvSpPr>
                    <wps:spPr bwMode="auto">
                      <a:xfrm>
                        <a:off x="0" y="0"/>
                        <a:ext cx="172085" cy="131445"/>
                      </a:xfrm>
                      <a:prstGeom prst="rect">
                        <a:avLst/>
                      </a:prstGeom>
                      <a:noFill/>
                      <a:ln>
                        <a:noFill/>
                      </a:ln>
                      <a:effectLst/>
                    </wps:spPr>
                    <wps:txbx>
                      <w:txbxContent>
                        <w:p w14:paraId="5E1E3945">
                          <w:pPr>
                            <w:pStyle w:val="35"/>
                          </w:pPr>
                          <w:r>
                            <w:fldChar w:fldCharType="begin"/>
                          </w:r>
                          <w:r>
                            <w:instrText xml:space="preserve"> PAGE  \* MERGEFORMAT </w:instrText>
                          </w:r>
                          <w:r>
                            <w:fldChar w:fldCharType="separate"/>
                          </w:r>
                          <w:r>
                            <w:t>230</w:t>
                          </w:r>
                          <w:r>
                            <w:fldChar w:fldCharType="end"/>
                          </w:r>
                        </w:p>
                      </w:txbxContent>
                    </wps:txbx>
                    <wps:bodyPr rot="0" vert="horz" wrap="none" lIns="0" tIns="0" rIns="0" bIns="0" anchor="t" anchorCtr="0" upright="1">
                      <a:spAutoFit/>
                    </wps:bodyPr>
                  </wps:wsp>
                </a:graphicData>
              </a:graphic>
            </wp:anchor>
          </w:drawing>
        </mc:Choice>
        <mc:Fallback>
          <w:pict>
            <v:shape id="Text Box 4098" o:spid="_x0000_s1026" o:spt="202" type="#_x0000_t202" style="position:absolute;left:0pt;margin-top:0pt;height:10.35pt;width:13.55pt;mso-position-horizontal:center;mso-position-horizontal-relative:margin;mso-wrap-style:none;z-index:251660288;mso-width-relative:page;mso-height-relative:page;" filled="f" stroked="f" coordsize="21600,21600" o:gfxdata="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SV0OXPAAAAAwEAAA8AAAAAAAAAAQAgAAAAIgAAAGRycy9kb3ducmV2Lnht&#10;bFBLAQIUABQAAAAIAIdO4kAI8RXqAgIAABIEAAAOAAAAAAAAAAEAIAAAAB4BAABkcnMvZTJvRG9j&#10;LnhtbFBLBQYAAAAABgAGAFkBAACSBQAAAAA=&#10;">
              <v:fill on="f" focussize="0,0"/>
              <v:stroke on="f"/>
              <v:imagedata o:title=""/>
              <o:lock v:ext="edit" aspectratio="f"/>
              <v:textbox inset="0mm,0mm,0mm,0mm" style="mso-fit-shape-to-text:t;">
                <w:txbxContent>
                  <w:p w14:paraId="5E1E3945">
                    <w:pPr>
                      <w:pStyle w:val="35"/>
                    </w:pPr>
                    <w:r>
                      <w:fldChar w:fldCharType="begin"/>
                    </w:r>
                    <w:r>
                      <w:instrText xml:space="preserve"> PAGE  \* MERGEFORMAT </w:instrText>
                    </w:r>
                    <w:r>
                      <w:fldChar w:fldCharType="separate"/>
                    </w:r>
                    <w:r>
                      <w:t>230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046CE">
    <w:pPr>
      <w:pStyle w:val="3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C8421">
    <w:pPr>
      <w:pStyle w:val="36"/>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46D8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50DA37"/>
    <w:multiLevelType w:val="singleLevel"/>
    <w:tmpl w:val="B350DA37"/>
    <w:lvl w:ilvl="0" w:tentative="0">
      <w:start w:val="10"/>
      <w:numFmt w:val="decimal"/>
      <w:suff w:val="nothing"/>
      <w:lvlText w:val="（%1）"/>
      <w:lvlJc w:val="left"/>
    </w:lvl>
  </w:abstractNum>
  <w:abstractNum w:abstractNumId="1">
    <w:nsid w:val="F6C43966"/>
    <w:multiLevelType w:val="singleLevel"/>
    <w:tmpl w:val="F6C43966"/>
    <w:lvl w:ilvl="0" w:tentative="0">
      <w:start w:val="1"/>
      <w:numFmt w:val="decimal"/>
      <w:suff w:val="nothing"/>
      <w:lvlText w:val="（%1）"/>
      <w:lvlJc w:val="left"/>
    </w:lvl>
  </w:abstractNum>
  <w:abstractNum w:abstractNumId="2">
    <w:nsid w:val="324499CC"/>
    <w:multiLevelType w:val="singleLevel"/>
    <w:tmpl w:val="324499CC"/>
    <w:lvl w:ilvl="0" w:tentative="0">
      <w:start w:val="2"/>
      <w:numFmt w:val="decimal"/>
      <w:suff w:val="nothing"/>
      <w:lvlText w:val="（%1）"/>
      <w:lvlJc w:val="left"/>
    </w:lvl>
  </w:abstractNum>
  <w:abstractNum w:abstractNumId="3">
    <w:nsid w:val="408860E8"/>
    <w:multiLevelType w:val="singleLevel"/>
    <w:tmpl w:val="408860E8"/>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4">
    <w:nsid w:val="5498E193"/>
    <w:multiLevelType w:val="singleLevel"/>
    <w:tmpl w:val="5498E193"/>
    <w:lvl w:ilvl="0" w:tentative="0">
      <w:start w:val="11"/>
      <w:numFmt w:val="decimal"/>
      <w:suff w:val="space"/>
      <w:lvlText w:val="%1."/>
      <w:lvlJc w:val="left"/>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gxY2RiZDU1YWYyZmM1M2FmMjE4ZjRiMjZhYjg3NGUifQ=="/>
  </w:docVars>
  <w:rsids>
    <w:rsidRoot w:val="00F34B14"/>
    <w:rsid w:val="000002E0"/>
    <w:rsid w:val="00000672"/>
    <w:rsid w:val="00000C53"/>
    <w:rsid w:val="00000E69"/>
    <w:rsid w:val="00000FD7"/>
    <w:rsid w:val="00001013"/>
    <w:rsid w:val="00001245"/>
    <w:rsid w:val="00001799"/>
    <w:rsid w:val="00001AF2"/>
    <w:rsid w:val="00001CA1"/>
    <w:rsid w:val="00001ECA"/>
    <w:rsid w:val="00002480"/>
    <w:rsid w:val="00002D29"/>
    <w:rsid w:val="00002DA0"/>
    <w:rsid w:val="0000347E"/>
    <w:rsid w:val="00003B93"/>
    <w:rsid w:val="0000474D"/>
    <w:rsid w:val="0000529E"/>
    <w:rsid w:val="000057F8"/>
    <w:rsid w:val="00005FDF"/>
    <w:rsid w:val="0000644A"/>
    <w:rsid w:val="00006D8A"/>
    <w:rsid w:val="00007081"/>
    <w:rsid w:val="000070B3"/>
    <w:rsid w:val="000076B8"/>
    <w:rsid w:val="00007AE6"/>
    <w:rsid w:val="0001010E"/>
    <w:rsid w:val="000109DC"/>
    <w:rsid w:val="00010B01"/>
    <w:rsid w:val="00010D39"/>
    <w:rsid w:val="0001172C"/>
    <w:rsid w:val="00011BC9"/>
    <w:rsid w:val="00012854"/>
    <w:rsid w:val="00012D72"/>
    <w:rsid w:val="00012EA6"/>
    <w:rsid w:val="00013359"/>
    <w:rsid w:val="000139CF"/>
    <w:rsid w:val="00013AA4"/>
    <w:rsid w:val="00013DFE"/>
    <w:rsid w:val="000141EA"/>
    <w:rsid w:val="00015111"/>
    <w:rsid w:val="000151DB"/>
    <w:rsid w:val="00015239"/>
    <w:rsid w:val="00015C28"/>
    <w:rsid w:val="000163AB"/>
    <w:rsid w:val="0001657F"/>
    <w:rsid w:val="00016ABC"/>
    <w:rsid w:val="00016C68"/>
    <w:rsid w:val="000177DB"/>
    <w:rsid w:val="000179C9"/>
    <w:rsid w:val="00017CCC"/>
    <w:rsid w:val="00020227"/>
    <w:rsid w:val="00020263"/>
    <w:rsid w:val="000202AC"/>
    <w:rsid w:val="00020455"/>
    <w:rsid w:val="00020813"/>
    <w:rsid w:val="00020A9E"/>
    <w:rsid w:val="00020C36"/>
    <w:rsid w:val="000215D0"/>
    <w:rsid w:val="00021F52"/>
    <w:rsid w:val="00021FCF"/>
    <w:rsid w:val="000220B2"/>
    <w:rsid w:val="0002264C"/>
    <w:rsid w:val="00022731"/>
    <w:rsid w:val="00022792"/>
    <w:rsid w:val="00023287"/>
    <w:rsid w:val="00023A6D"/>
    <w:rsid w:val="00024292"/>
    <w:rsid w:val="0002438A"/>
    <w:rsid w:val="00024463"/>
    <w:rsid w:val="00025461"/>
    <w:rsid w:val="00025636"/>
    <w:rsid w:val="00025E36"/>
    <w:rsid w:val="000260F7"/>
    <w:rsid w:val="000260FF"/>
    <w:rsid w:val="00026855"/>
    <w:rsid w:val="00026886"/>
    <w:rsid w:val="000273DE"/>
    <w:rsid w:val="0002754F"/>
    <w:rsid w:val="0002785D"/>
    <w:rsid w:val="00030544"/>
    <w:rsid w:val="000307BE"/>
    <w:rsid w:val="000317BF"/>
    <w:rsid w:val="000321AB"/>
    <w:rsid w:val="00032633"/>
    <w:rsid w:val="000329E0"/>
    <w:rsid w:val="000336D0"/>
    <w:rsid w:val="000351A2"/>
    <w:rsid w:val="000352E9"/>
    <w:rsid w:val="00035494"/>
    <w:rsid w:val="00035ECF"/>
    <w:rsid w:val="00036125"/>
    <w:rsid w:val="00036A07"/>
    <w:rsid w:val="0003780B"/>
    <w:rsid w:val="00037C41"/>
    <w:rsid w:val="00040571"/>
    <w:rsid w:val="00040973"/>
    <w:rsid w:val="0004156E"/>
    <w:rsid w:val="00041713"/>
    <w:rsid w:val="0004212E"/>
    <w:rsid w:val="00042A19"/>
    <w:rsid w:val="00042B32"/>
    <w:rsid w:val="00042EE8"/>
    <w:rsid w:val="000434FD"/>
    <w:rsid w:val="000439AA"/>
    <w:rsid w:val="0004440C"/>
    <w:rsid w:val="00046B5E"/>
    <w:rsid w:val="000470CB"/>
    <w:rsid w:val="000479D5"/>
    <w:rsid w:val="000501AA"/>
    <w:rsid w:val="000504A6"/>
    <w:rsid w:val="000506DE"/>
    <w:rsid w:val="000509D9"/>
    <w:rsid w:val="00051006"/>
    <w:rsid w:val="00051165"/>
    <w:rsid w:val="000512AF"/>
    <w:rsid w:val="000516F3"/>
    <w:rsid w:val="00051ACB"/>
    <w:rsid w:val="00052E40"/>
    <w:rsid w:val="000531EC"/>
    <w:rsid w:val="000533E7"/>
    <w:rsid w:val="00053B29"/>
    <w:rsid w:val="00054B4B"/>
    <w:rsid w:val="000550E8"/>
    <w:rsid w:val="00055519"/>
    <w:rsid w:val="00055D41"/>
    <w:rsid w:val="000560DE"/>
    <w:rsid w:val="00056EF6"/>
    <w:rsid w:val="000575CF"/>
    <w:rsid w:val="00057CD6"/>
    <w:rsid w:val="00060D7F"/>
    <w:rsid w:val="00060DCE"/>
    <w:rsid w:val="000610E3"/>
    <w:rsid w:val="00061143"/>
    <w:rsid w:val="000614F3"/>
    <w:rsid w:val="00061A1B"/>
    <w:rsid w:val="00061EB4"/>
    <w:rsid w:val="000623B4"/>
    <w:rsid w:val="00062405"/>
    <w:rsid w:val="000627E5"/>
    <w:rsid w:val="000628B7"/>
    <w:rsid w:val="00062EC2"/>
    <w:rsid w:val="0006347E"/>
    <w:rsid w:val="000634A7"/>
    <w:rsid w:val="00063B0B"/>
    <w:rsid w:val="00063F81"/>
    <w:rsid w:val="00064847"/>
    <w:rsid w:val="00065E08"/>
    <w:rsid w:val="00065E2D"/>
    <w:rsid w:val="00066AD9"/>
    <w:rsid w:val="00066D2E"/>
    <w:rsid w:val="000673E2"/>
    <w:rsid w:val="00067EF1"/>
    <w:rsid w:val="00070378"/>
    <w:rsid w:val="0007037E"/>
    <w:rsid w:val="0007063F"/>
    <w:rsid w:val="000707FD"/>
    <w:rsid w:val="00070949"/>
    <w:rsid w:val="00070C0E"/>
    <w:rsid w:val="000711E4"/>
    <w:rsid w:val="00071E9B"/>
    <w:rsid w:val="000720A1"/>
    <w:rsid w:val="000724D9"/>
    <w:rsid w:val="00072AED"/>
    <w:rsid w:val="00073F47"/>
    <w:rsid w:val="0007492F"/>
    <w:rsid w:val="00074B5B"/>
    <w:rsid w:val="00074BC7"/>
    <w:rsid w:val="00074ED8"/>
    <w:rsid w:val="00075B7E"/>
    <w:rsid w:val="00076852"/>
    <w:rsid w:val="00076D70"/>
    <w:rsid w:val="00077ACA"/>
    <w:rsid w:val="00077C70"/>
    <w:rsid w:val="00080C87"/>
    <w:rsid w:val="00080CFB"/>
    <w:rsid w:val="00080E47"/>
    <w:rsid w:val="000813B5"/>
    <w:rsid w:val="000813E7"/>
    <w:rsid w:val="0008191E"/>
    <w:rsid w:val="00081BA3"/>
    <w:rsid w:val="00081D2E"/>
    <w:rsid w:val="00081F89"/>
    <w:rsid w:val="00082619"/>
    <w:rsid w:val="00082CDE"/>
    <w:rsid w:val="00082D02"/>
    <w:rsid w:val="0008381A"/>
    <w:rsid w:val="00083871"/>
    <w:rsid w:val="00083B91"/>
    <w:rsid w:val="0008473C"/>
    <w:rsid w:val="00084E4F"/>
    <w:rsid w:val="00085193"/>
    <w:rsid w:val="0008520B"/>
    <w:rsid w:val="0008527B"/>
    <w:rsid w:val="000857DE"/>
    <w:rsid w:val="000860BD"/>
    <w:rsid w:val="000871B8"/>
    <w:rsid w:val="00087B0A"/>
    <w:rsid w:val="00090339"/>
    <w:rsid w:val="00091373"/>
    <w:rsid w:val="000916DA"/>
    <w:rsid w:val="00091AAB"/>
    <w:rsid w:val="00092442"/>
    <w:rsid w:val="000929EF"/>
    <w:rsid w:val="00092C26"/>
    <w:rsid w:val="00092EC0"/>
    <w:rsid w:val="000933BE"/>
    <w:rsid w:val="00094428"/>
    <w:rsid w:val="000944FC"/>
    <w:rsid w:val="00094F71"/>
    <w:rsid w:val="0009560F"/>
    <w:rsid w:val="0009588E"/>
    <w:rsid w:val="000959ED"/>
    <w:rsid w:val="000959EE"/>
    <w:rsid w:val="00096C2E"/>
    <w:rsid w:val="00096DB9"/>
    <w:rsid w:val="00097183"/>
    <w:rsid w:val="000971C5"/>
    <w:rsid w:val="000972CB"/>
    <w:rsid w:val="00097608"/>
    <w:rsid w:val="000A0928"/>
    <w:rsid w:val="000A0DFC"/>
    <w:rsid w:val="000A0F35"/>
    <w:rsid w:val="000A1175"/>
    <w:rsid w:val="000A13F3"/>
    <w:rsid w:val="000A165B"/>
    <w:rsid w:val="000A1963"/>
    <w:rsid w:val="000A1C18"/>
    <w:rsid w:val="000A23B1"/>
    <w:rsid w:val="000A2818"/>
    <w:rsid w:val="000A2B0E"/>
    <w:rsid w:val="000A2D1D"/>
    <w:rsid w:val="000A3095"/>
    <w:rsid w:val="000A392D"/>
    <w:rsid w:val="000A398F"/>
    <w:rsid w:val="000A448C"/>
    <w:rsid w:val="000A4E26"/>
    <w:rsid w:val="000A509C"/>
    <w:rsid w:val="000A545A"/>
    <w:rsid w:val="000A54A7"/>
    <w:rsid w:val="000A5A17"/>
    <w:rsid w:val="000A5CC8"/>
    <w:rsid w:val="000A6007"/>
    <w:rsid w:val="000A6564"/>
    <w:rsid w:val="000A65A6"/>
    <w:rsid w:val="000A69C2"/>
    <w:rsid w:val="000A70E3"/>
    <w:rsid w:val="000A7275"/>
    <w:rsid w:val="000A7408"/>
    <w:rsid w:val="000A7A12"/>
    <w:rsid w:val="000A7A72"/>
    <w:rsid w:val="000A7DE5"/>
    <w:rsid w:val="000A7EEA"/>
    <w:rsid w:val="000B0382"/>
    <w:rsid w:val="000B0FE0"/>
    <w:rsid w:val="000B1202"/>
    <w:rsid w:val="000B12FF"/>
    <w:rsid w:val="000B1801"/>
    <w:rsid w:val="000B187E"/>
    <w:rsid w:val="000B1D0C"/>
    <w:rsid w:val="000B2273"/>
    <w:rsid w:val="000B2563"/>
    <w:rsid w:val="000B2BC6"/>
    <w:rsid w:val="000B2D03"/>
    <w:rsid w:val="000B37F2"/>
    <w:rsid w:val="000B3815"/>
    <w:rsid w:val="000B3C7B"/>
    <w:rsid w:val="000B3E68"/>
    <w:rsid w:val="000B4321"/>
    <w:rsid w:val="000B5367"/>
    <w:rsid w:val="000B544A"/>
    <w:rsid w:val="000B5CCB"/>
    <w:rsid w:val="000B5F6B"/>
    <w:rsid w:val="000B613A"/>
    <w:rsid w:val="000B6A6B"/>
    <w:rsid w:val="000B6C95"/>
    <w:rsid w:val="000B6F80"/>
    <w:rsid w:val="000B79FC"/>
    <w:rsid w:val="000B7E0A"/>
    <w:rsid w:val="000C0CF9"/>
    <w:rsid w:val="000C144E"/>
    <w:rsid w:val="000C1679"/>
    <w:rsid w:val="000C190E"/>
    <w:rsid w:val="000C1953"/>
    <w:rsid w:val="000C1BFE"/>
    <w:rsid w:val="000C1EE3"/>
    <w:rsid w:val="000C2C9F"/>
    <w:rsid w:val="000C35D0"/>
    <w:rsid w:val="000C3AE5"/>
    <w:rsid w:val="000C3AE7"/>
    <w:rsid w:val="000C3CC9"/>
    <w:rsid w:val="000C3DBC"/>
    <w:rsid w:val="000C4D87"/>
    <w:rsid w:val="000C5823"/>
    <w:rsid w:val="000C59C6"/>
    <w:rsid w:val="000C67C7"/>
    <w:rsid w:val="000C6DE4"/>
    <w:rsid w:val="000C7202"/>
    <w:rsid w:val="000C7432"/>
    <w:rsid w:val="000C7926"/>
    <w:rsid w:val="000C7FC6"/>
    <w:rsid w:val="000D0A89"/>
    <w:rsid w:val="000D10F1"/>
    <w:rsid w:val="000D1389"/>
    <w:rsid w:val="000D1798"/>
    <w:rsid w:val="000D2626"/>
    <w:rsid w:val="000D264F"/>
    <w:rsid w:val="000D285A"/>
    <w:rsid w:val="000D2CD3"/>
    <w:rsid w:val="000D4016"/>
    <w:rsid w:val="000D411D"/>
    <w:rsid w:val="000D4589"/>
    <w:rsid w:val="000D4809"/>
    <w:rsid w:val="000D4FB6"/>
    <w:rsid w:val="000D5304"/>
    <w:rsid w:val="000D5C29"/>
    <w:rsid w:val="000D6C31"/>
    <w:rsid w:val="000D6F6B"/>
    <w:rsid w:val="000D73DD"/>
    <w:rsid w:val="000D7761"/>
    <w:rsid w:val="000E02E8"/>
    <w:rsid w:val="000E0C67"/>
    <w:rsid w:val="000E1C38"/>
    <w:rsid w:val="000E1C51"/>
    <w:rsid w:val="000E1D3E"/>
    <w:rsid w:val="000E230A"/>
    <w:rsid w:val="000E28AB"/>
    <w:rsid w:val="000E2E3E"/>
    <w:rsid w:val="000E3583"/>
    <w:rsid w:val="000E3AF0"/>
    <w:rsid w:val="000E43EC"/>
    <w:rsid w:val="000E450F"/>
    <w:rsid w:val="000E4DC7"/>
    <w:rsid w:val="000E4E04"/>
    <w:rsid w:val="000E592E"/>
    <w:rsid w:val="000E5AF5"/>
    <w:rsid w:val="000E5CCD"/>
    <w:rsid w:val="000E5D63"/>
    <w:rsid w:val="000E693B"/>
    <w:rsid w:val="000E6D5C"/>
    <w:rsid w:val="000E6DBC"/>
    <w:rsid w:val="000E6EC9"/>
    <w:rsid w:val="000E70B4"/>
    <w:rsid w:val="000E7B62"/>
    <w:rsid w:val="000E7EDC"/>
    <w:rsid w:val="000F0149"/>
    <w:rsid w:val="000F085D"/>
    <w:rsid w:val="000F0E1E"/>
    <w:rsid w:val="000F1129"/>
    <w:rsid w:val="000F1A1B"/>
    <w:rsid w:val="000F2A95"/>
    <w:rsid w:val="000F2BB7"/>
    <w:rsid w:val="000F324A"/>
    <w:rsid w:val="000F3281"/>
    <w:rsid w:val="000F32FD"/>
    <w:rsid w:val="000F3733"/>
    <w:rsid w:val="000F3F1F"/>
    <w:rsid w:val="000F5B2B"/>
    <w:rsid w:val="000F5F8B"/>
    <w:rsid w:val="000F6153"/>
    <w:rsid w:val="000F649D"/>
    <w:rsid w:val="000F64AA"/>
    <w:rsid w:val="000F6C7B"/>
    <w:rsid w:val="000F7055"/>
    <w:rsid w:val="000F73AD"/>
    <w:rsid w:val="000F7AF4"/>
    <w:rsid w:val="000F7C33"/>
    <w:rsid w:val="000F7F0C"/>
    <w:rsid w:val="001004D6"/>
    <w:rsid w:val="0010176A"/>
    <w:rsid w:val="00101D1B"/>
    <w:rsid w:val="00101E8E"/>
    <w:rsid w:val="00102676"/>
    <w:rsid w:val="00103646"/>
    <w:rsid w:val="00103918"/>
    <w:rsid w:val="00104897"/>
    <w:rsid w:val="00104EDE"/>
    <w:rsid w:val="00104F54"/>
    <w:rsid w:val="00105992"/>
    <w:rsid w:val="00105CDA"/>
    <w:rsid w:val="00105F97"/>
    <w:rsid w:val="00106BEE"/>
    <w:rsid w:val="00106EE0"/>
    <w:rsid w:val="0010711C"/>
    <w:rsid w:val="00107368"/>
    <w:rsid w:val="001078E7"/>
    <w:rsid w:val="00107BDF"/>
    <w:rsid w:val="00107C74"/>
    <w:rsid w:val="0011091C"/>
    <w:rsid w:val="00111266"/>
    <w:rsid w:val="001112EB"/>
    <w:rsid w:val="00111FD1"/>
    <w:rsid w:val="00111FD7"/>
    <w:rsid w:val="0011220E"/>
    <w:rsid w:val="0011247D"/>
    <w:rsid w:val="0011351F"/>
    <w:rsid w:val="00113678"/>
    <w:rsid w:val="00113A7D"/>
    <w:rsid w:val="00113C3E"/>
    <w:rsid w:val="001142A8"/>
    <w:rsid w:val="00115375"/>
    <w:rsid w:val="001157F8"/>
    <w:rsid w:val="001159A5"/>
    <w:rsid w:val="00115E11"/>
    <w:rsid w:val="00115EEE"/>
    <w:rsid w:val="00115F56"/>
    <w:rsid w:val="001164ED"/>
    <w:rsid w:val="00116872"/>
    <w:rsid w:val="00116AF3"/>
    <w:rsid w:val="00116CA9"/>
    <w:rsid w:val="00116F38"/>
    <w:rsid w:val="001170A4"/>
    <w:rsid w:val="00117987"/>
    <w:rsid w:val="00117AE7"/>
    <w:rsid w:val="00117B20"/>
    <w:rsid w:val="00117B85"/>
    <w:rsid w:val="00117CBD"/>
    <w:rsid w:val="0012006A"/>
    <w:rsid w:val="001217E7"/>
    <w:rsid w:val="00121979"/>
    <w:rsid w:val="00122064"/>
    <w:rsid w:val="0012277A"/>
    <w:rsid w:val="0012301B"/>
    <w:rsid w:val="00123428"/>
    <w:rsid w:val="00124341"/>
    <w:rsid w:val="00124492"/>
    <w:rsid w:val="00124655"/>
    <w:rsid w:val="00124B12"/>
    <w:rsid w:val="001250A0"/>
    <w:rsid w:val="0012535C"/>
    <w:rsid w:val="001263B8"/>
    <w:rsid w:val="001273C1"/>
    <w:rsid w:val="00127B1A"/>
    <w:rsid w:val="00127E3E"/>
    <w:rsid w:val="00130217"/>
    <w:rsid w:val="00130641"/>
    <w:rsid w:val="00130783"/>
    <w:rsid w:val="00130A47"/>
    <w:rsid w:val="00130FB0"/>
    <w:rsid w:val="00132B47"/>
    <w:rsid w:val="00132DDA"/>
    <w:rsid w:val="0013346C"/>
    <w:rsid w:val="00133768"/>
    <w:rsid w:val="001337F8"/>
    <w:rsid w:val="001341B2"/>
    <w:rsid w:val="001348B4"/>
    <w:rsid w:val="001349F4"/>
    <w:rsid w:val="00134B1F"/>
    <w:rsid w:val="0013506E"/>
    <w:rsid w:val="001351CB"/>
    <w:rsid w:val="00135530"/>
    <w:rsid w:val="00135947"/>
    <w:rsid w:val="001359A2"/>
    <w:rsid w:val="00135F92"/>
    <w:rsid w:val="00136020"/>
    <w:rsid w:val="00136445"/>
    <w:rsid w:val="00136965"/>
    <w:rsid w:val="00136A9C"/>
    <w:rsid w:val="00136EA0"/>
    <w:rsid w:val="00137389"/>
    <w:rsid w:val="00140132"/>
    <w:rsid w:val="00141455"/>
    <w:rsid w:val="0014190C"/>
    <w:rsid w:val="00141C1B"/>
    <w:rsid w:val="00141C9C"/>
    <w:rsid w:val="0014277F"/>
    <w:rsid w:val="00142AD2"/>
    <w:rsid w:val="001434BE"/>
    <w:rsid w:val="00143AAD"/>
    <w:rsid w:val="00144050"/>
    <w:rsid w:val="00144369"/>
    <w:rsid w:val="0014438A"/>
    <w:rsid w:val="00144398"/>
    <w:rsid w:val="0014479F"/>
    <w:rsid w:val="00144806"/>
    <w:rsid w:val="001452B4"/>
    <w:rsid w:val="00145320"/>
    <w:rsid w:val="00145A8E"/>
    <w:rsid w:val="00145B3E"/>
    <w:rsid w:val="001476D3"/>
    <w:rsid w:val="00147999"/>
    <w:rsid w:val="00147D03"/>
    <w:rsid w:val="001505DA"/>
    <w:rsid w:val="001509CF"/>
    <w:rsid w:val="00150B99"/>
    <w:rsid w:val="00150D1D"/>
    <w:rsid w:val="0015119C"/>
    <w:rsid w:val="00151948"/>
    <w:rsid w:val="001525AA"/>
    <w:rsid w:val="00152A87"/>
    <w:rsid w:val="00152AC1"/>
    <w:rsid w:val="00153A84"/>
    <w:rsid w:val="00153BB5"/>
    <w:rsid w:val="00154518"/>
    <w:rsid w:val="0015567E"/>
    <w:rsid w:val="001556B8"/>
    <w:rsid w:val="00155944"/>
    <w:rsid w:val="00156320"/>
    <w:rsid w:val="00156359"/>
    <w:rsid w:val="00156DD6"/>
    <w:rsid w:val="00160238"/>
    <w:rsid w:val="0016086E"/>
    <w:rsid w:val="001609B9"/>
    <w:rsid w:val="00160D0C"/>
    <w:rsid w:val="00160DC9"/>
    <w:rsid w:val="00160DD1"/>
    <w:rsid w:val="00160E03"/>
    <w:rsid w:val="00161172"/>
    <w:rsid w:val="00161998"/>
    <w:rsid w:val="00161E65"/>
    <w:rsid w:val="00161F0E"/>
    <w:rsid w:val="00162597"/>
    <w:rsid w:val="001629AF"/>
    <w:rsid w:val="001629FD"/>
    <w:rsid w:val="0016428A"/>
    <w:rsid w:val="001646D5"/>
    <w:rsid w:val="001647C9"/>
    <w:rsid w:val="00164C94"/>
    <w:rsid w:val="0016537E"/>
    <w:rsid w:val="00165627"/>
    <w:rsid w:val="001661A3"/>
    <w:rsid w:val="00166AD5"/>
    <w:rsid w:val="00166E81"/>
    <w:rsid w:val="00167226"/>
    <w:rsid w:val="0016782B"/>
    <w:rsid w:val="0016784D"/>
    <w:rsid w:val="00167853"/>
    <w:rsid w:val="00167887"/>
    <w:rsid w:val="00167AE7"/>
    <w:rsid w:val="00167CAA"/>
    <w:rsid w:val="00170613"/>
    <w:rsid w:val="00170F0C"/>
    <w:rsid w:val="00171319"/>
    <w:rsid w:val="00171B8F"/>
    <w:rsid w:val="001721F8"/>
    <w:rsid w:val="0017267A"/>
    <w:rsid w:val="00172CA8"/>
    <w:rsid w:val="00173256"/>
    <w:rsid w:val="00173B0E"/>
    <w:rsid w:val="00173D86"/>
    <w:rsid w:val="00173E03"/>
    <w:rsid w:val="0017405A"/>
    <w:rsid w:val="001741C9"/>
    <w:rsid w:val="0017461E"/>
    <w:rsid w:val="00174704"/>
    <w:rsid w:val="0017512C"/>
    <w:rsid w:val="001756AF"/>
    <w:rsid w:val="0017576E"/>
    <w:rsid w:val="0017586A"/>
    <w:rsid w:val="00175BA6"/>
    <w:rsid w:val="00175C6F"/>
    <w:rsid w:val="00176CA7"/>
    <w:rsid w:val="00176D0C"/>
    <w:rsid w:val="00176F8E"/>
    <w:rsid w:val="00177485"/>
    <w:rsid w:val="0017789A"/>
    <w:rsid w:val="001778C5"/>
    <w:rsid w:val="00177C07"/>
    <w:rsid w:val="00177E56"/>
    <w:rsid w:val="00177F0A"/>
    <w:rsid w:val="0018090D"/>
    <w:rsid w:val="00180DA0"/>
    <w:rsid w:val="00181813"/>
    <w:rsid w:val="00181EAD"/>
    <w:rsid w:val="00182862"/>
    <w:rsid w:val="00184F57"/>
    <w:rsid w:val="00185091"/>
    <w:rsid w:val="00185544"/>
    <w:rsid w:val="001855B2"/>
    <w:rsid w:val="00185617"/>
    <w:rsid w:val="00186FE1"/>
    <w:rsid w:val="00187A14"/>
    <w:rsid w:val="00190D50"/>
    <w:rsid w:val="00190E7C"/>
    <w:rsid w:val="00191177"/>
    <w:rsid w:val="0019171E"/>
    <w:rsid w:val="00192368"/>
    <w:rsid w:val="001923A0"/>
    <w:rsid w:val="001924F9"/>
    <w:rsid w:val="0019270F"/>
    <w:rsid w:val="001928B1"/>
    <w:rsid w:val="00192C38"/>
    <w:rsid w:val="00192CA1"/>
    <w:rsid w:val="00193537"/>
    <w:rsid w:val="00193808"/>
    <w:rsid w:val="00193846"/>
    <w:rsid w:val="00193F6A"/>
    <w:rsid w:val="00195117"/>
    <w:rsid w:val="00195424"/>
    <w:rsid w:val="001955FF"/>
    <w:rsid w:val="001972F8"/>
    <w:rsid w:val="00197EDD"/>
    <w:rsid w:val="001A02B3"/>
    <w:rsid w:val="001A04BB"/>
    <w:rsid w:val="001A06CC"/>
    <w:rsid w:val="001A0889"/>
    <w:rsid w:val="001A08D0"/>
    <w:rsid w:val="001A17B2"/>
    <w:rsid w:val="001A18EA"/>
    <w:rsid w:val="001A1B39"/>
    <w:rsid w:val="001A1D4A"/>
    <w:rsid w:val="001A2120"/>
    <w:rsid w:val="001A21DD"/>
    <w:rsid w:val="001A28C6"/>
    <w:rsid w:val="001A2E69"/>
    <w:rsid w:val="001A3C34"/>
    <w:rsid w:val="001A3EDE"/>
    <w:rsid w:val="001A41CD"/>
    <w:rsid w:val="001A4222"/>
    <w:rsid w:val="001A4235"/>
    <w:rsid w:val="001A43BE"/>
    <w:rsid w:val="001A48B2"/>
    <w:rsid w:val="001A4CFA"/>
    <w:rsid w:val="001A50EA"/>
    <w:rsid w:val="001A55A9"/>
    <w:rsid w:val="001A5BAA"/>
    <w:rsid w:val="001A5E24"/>
    <w:rsid w:val="001A661D"/>
    <w:rsid w:val="001A6795"/>
    <w:rsid w:val="001A6B27"/>
    <w:rsid w:val="001A6D8B"/>
    <w:rsid w:val="001A6DAA"/>
    <w:rsid w:val="001A7717"/>
    <w:rsid w:val="001A793A"/>
    <w:rsid w:val="001B035E"/>
    <w:rsid w:val="001B0464"/>
    <w:rsid w:val="001B125A"/>
    <w:rsid w:val="001B1EBA"/>
    <w:rsid w:val="001B2142"/>
    <w:rsid w:val="001B2F2B"/>
    <w:rsid w:val="001B31C2"/>
    <w:rsid w:val="001B327A"/>
    <w:rsid w:val="001B3379"/>
    <w:rsid w:val="001B35DE"/>
    <w:rsid w:val="001B3A13"/>
    <w:rsid w:val="001B3F5C"/>
    <w:rsid w:val="001B57C9"/>
    <w:rsid w:val="001B59FF"/>
    <w:rsid w:val="001B5D13"/>
    <w:rsid w:val="001B6512"/>
    <w:rsid w:val="001B65D7"/>
    <w:rsid w:val="001B6752"/>
    <w:rsid w:val="001B6768"/>
    <w:rsid w:val="001B6B39"/>
    <w:rsid w:val="001B6F1F"/>
    <w:rsid w:val="001B7ECC"/>
    <w:rsid w:val="001C025B"/>
    <w:rsid w:val="001C059D"/>
    <w:rsid w:val="001C0DD4"/>
    <w:rsid w:val="001C115F"/>
    <w:rsid w:val="001C1B1C"/>
    <w:rsid w:val="001C1DED"/>
    <w:rsid w:val="001C1EAB"/>
    <w:rsid w:val="001C25A7"/>
    <w:rsid w:val="001C2775"/>
    <w:rsid w:val="001C2895"/>
    <w:rsid w:val="001C2A1D"/>
    <w:rsid w:val="001C318C"/>
    <w:rsid w:val="001C35C4"/>
    <w:rsid w:val="001C36F1"/>
    <w:rsid w:val="001C4287"/>
    <w:rsid w:val="001C4479"/>
    <w:rsid w:val="001C4F79"/>
    <w:rsid w:val="001C5190"/>
    <w:rsid w:val="001C5951"/>
    <w:rsid w:val="001C5A1F"/>
    <w:rsid w:val="001C6081"/>
    <w:rsid w:val="001C7284"/>
    <w:rsid w:val="001C73EB"/>
    <w:rsid w:val="001C7781"/>
    <w:rsid w:val="001C7B48"/>
    <w:rsid w:val="001D0CFB"/>
    <w:rsid w:val="001D108A"/>
    <w:rsid w:val="001D16C5"/>
    <w:rsid w:val="001D1A0D"/>
    <w:rsid w:val="001D1DD1"/>
    <w:rsid w:val="001D22CB"/>
    <w:rsid w:val="001D23DA"/>
    <w:rsid w:val="001D266C"/>
    <w:rsid w:val="001D267C"/>
    <w:rsid w:val="001D2AB8"/>
    <w:rsid w:val="001D2F77"/>
    <w:rsid w:val="001D343C"/>
    <w:rsid w:val="001D56E2"/>
    <w:rsid w:val="001D58A1"/>
    <w:rsid w:val="001D58C2"/>
    <w:rsid w:val="001D5A8A"/>
    <w:rsid w:val="001D5B64"/>
    <w:rsid w:val="001D5C94"/>
    <w:rsid w:val="001D61CA"/>
    <w:rsid w:val="001D6210"/>
    <w:rsid w:val="001D62C9"/>
    <w:rsid w:val="001D654A"/>
    <w:rsid w:val="001D6E87"/>
    <w:rsid w:val="001D735E"/>
    <w:rsid w:val="001D73C8"/>
    <w:rsid w:val="001D7BC6"/>
    <w:rsid w:val="001D7CA4"/>
    <w:rsid w:val="001E06E7"/>
    <w:rsid w:val="001E0C72"/>
    <w:rsid w:val="001E129E"/>
    <w:rsid w:val="001E175C"/>
    <w:rsid w:val="001E199A"/>
    <w:rsid w:val="001E1B0E"/>
    <w:rsid w:val="001E2A86"/>
    <w:rsid w:val="001E308A"/>
    <w:rsid w:val="001E38EC"/>
    <w:rsid w:val="001E3B63"/>
    <w:rsid w:val="001E4996"/>
    <w:rsid w:val="001E57B2"/>
    <w:rsid w:val="001E5A94"/>
    <w:rsid w:val="001E5CBB"/>
    <w:rsid w:val="001E5CDC"/>
    <w:rsid w:val="001E6B4B"/>
    <w:rsid w:val="001E6CE9"/>
    <w:rsid w:val="001E7986"/>
    <w:rsid w:val="001F0C0A"/>
    <w:rsid w:val="001F13FD"/>
    <w:rsid w:val="001F2A2E"/>
    <w:rsid w:val="001F3180"/>
    <w:rsid w:val="001F3356"/>
    <w:rsid w:val="001F3A99"/>
    <w:rsid w:val="001F3C63"/>
    <w:rsid w:val="001F3CBC"/>
    <w:rsid w:val="001F4141"/>
    <w:rsid w:val="001F4460"/>
    <w:rsid w:val="001F4724"/>
    <w:rsid w:val="001F4833"/>
    <w:rsid w:val="001F5869"/>
    <w:rsid w:val="001F61A6"/>
    <w:rsid w:val="001F6C96"/>
    <w:rsid w:val="001F711A"/>
    <w:rsid w:val="001F75B0"/>
    <w:rsid w:val="001F7CBE"/>
    <w:rsid w:val="0020057C"/>
    <w:rsid w:val="0020083C"/>
    <w:rsid w:val="00200CE5"/>
    <w:rsid w:val="00200F7C"/>
    <w:rsid w:val="002014DB"/>
    <w:rsid w:val="0020150B"/>
    <w:rsid w:val="00201815"/>
    <w:rsid w:val="00201D51"/>
    <w:rsid w:val="00201E12"/>
    <w:rsid w:val="00202295"/>
    <w:rsid w:val="002033B5"/>
    <w:rsid w:val="0020382C"/>
    <w:rsid w:val="0020390A"/>
    <w:rsid w:val="00203EDF"/>
    <w:rsid w:val="002042E9"/>
    <w:rsid w:val="0020437A"/>
    <w:rsid w:val="0020454C"/>
    <w:rsid w:val="00204740"/>
    <w:rsid w:val="00204942"/>
    <w:rsid w:val="00204C12"/>
    <w:rsid w:val="00205129"/>
    <w:rsid w:val="0020521F"/>
    <w:rsid w:val="0020532C"/>
    <w:rsid w:val="002065D6"/>
    <w:rsid w:val="00206AE8"/>
    <w:rsid w:val="00210A54"/>
    <w:rsid w:val="002114C7"/>
    <w:rsid w:val="00211A7B"/>
    <w:rsid w:val="0021302C"/>
    <w:rsid w:val="002131AF"/>
    <w:rsid w:val="002139F1"/>
    <w:rsid w:val="00213B18"/>
    <w:rsid w:val="00213B1C"/>
    <w:rsid w:val="00213F1E"/>
    <w:rsid w:val="00214202"/>
    <w:rsid w:val="00214530"/>
    <w:rsid w:val="002148E3"/>
    <w:rsid w:val="002148E5"/>
    <w:rsid w:val="00214C1A"/>
    <w:rsid w:val="0021552D"/>
    <w:rsid w:val="002156AE"/>
    <w:rsid w:val="0021577B"/>
    <w:rsid w:val="00215DC7"/>
    <w:rsid w:val="00215E99"/>
    <w:rsid w:val="00217B07"/>
    <w:rsid w:val="00217C26"/>
    <w:rsid w:val="00220043"/>
    <w:rsid w:val="0022054D"/>
    <w:rsid w:val="0022107B"/>
    <w:rsid w:val="00221AFB"/>
    <w:rsid w:val="002223EB"/>
    <w:rsid w:val="002238DD"/>
    <w:rsid w:val="00223DDB"/>
    <w:rsid w:val="00223FA4"/>
    <w:rsid w:val="00223FB0"/>
    <w:rsid w:val="0022405A"/>
    <w:rsid w:val="00224067"/>
    <w:rsid w:val="0022421C"/>
    <w:rsid w:val="0022454F"/>
    <w:rsid w:val="002249D1"/>
    <w:rsid w:val="00224C4A"/>
    <w:rsid w:val="00224E83"/>
    <w:rsid w:val="00225664"/>
    <w:rsid w:val="00225F84"/>
    <w:rsid w:val="0022663D"/>
    <w:rsid w:val="00226995"/>
    <w:rsid w:val="0022755B"/>
    <w:rsid w:val="00227669"/>
    <w:rsid w:val="00227682"/>
    <w:rsid w:val="00227896"/>
    <w:rsid w:val="00227C56"/>
    <w:rsid w:val="00227F2D"/>
    <w:rsid w:val="00227F52"/>
    <w:rsid w:val="00230EA4"/>
    <w:rsid w:val="00231851"/>
    <w:rsid w:val="002319FB"/>
    <w:rsid w:val="00231B89"/>
    <w:rsid w:val="00231F11"/>
    <w:rsid w:val="00231F5E"/>
    <w:rsid w:val="00232E5E"/>
    <w:rsid w:val="00233395"/>
    <w:rsid w:val="002346B4"/>
    <w:rsid w:val="00234CD9"/>
    <w:rsid w:val="00234F6E"/>
    <w:rsid w:val="002351FA"/>
    <w:rsid w:val="002355BE"/>
    <w:rsid w:val="002358EA"/>
    <w:rsid w:val="0023609B"/>
    <w:rsid w:val="00236578"/>
    <w:rsid w:val="00236A10"/>
    <w:rsid w:val="00236DE9"/>
    <w:rsid w:val="00237342"/>
    <w:rsid w:val="00237D5A"/>
    <w:rsid w:val="002401BC"/>
    <w:rsid w:val="002407BA"/>
    <w:rsid w:val="00240922"/>
    <w:rsid w:val="00240D75"/>
    <w:rsid w:val="00240F92"/>
    <w:rsid w:val="00241288"/>
    <w:rsid w:val="002412E4"/>
    <w:rsid w:val="002415AE"/>
    <w:rsid w:val="00241B38"/>
    <w:rsid w:val="00241BC7"/>
    <w:rsid w:val="00241D3C"/>
    <w:rsid w:val="00242109"/>
    <w:rsid w:val="00242B6B"/>
    <w:rsid w:val="00242F31"/>
    <w:rsid w:val="00243189"/>
    <w:rsid w:val="002439AB"/>
    <w:rsid w:val="00243C19"/>
    <w:rsid w:val="00244308"/>
    <w:rsid w:val="002448E7"/>
    <w:rsid w:val="00244AE8"/>
    <w:rsid w:val="00244DC9"/>
    <w:rsid w:val="00244EF3"/>
    <w:rsid w:val="0024531F"/>
    <w:rsid w:val="00245587"/>
    <w:rsid w:val="00245F2B"/>
    <w:rsid w:val="002460E2"/>
    <w:rsid w:val="002466CD"/>
    <w:rsid w:val="0024729B"/>
    <w:rsid w:val="00247F3A"/>
    <w:rsid w:val="00250122"/>
    <w:rsid w:val="0025024D"/>
    <w:rsid w:val="00250755"/>
    <w:rsid w:val="00251043"/>
    <w:rsid w:val="00251C4A"/>
    <w:rsid w:val="0025271C"/>
    <w:rsid w:val="0025277A"/>
    <w:rsid w:val="002533CD"/>
    <w:rsid w:val="002535EA"/>
    <w:rsid w:val="00253A8A"/>
    <w:rsid w:val="00254EAB"/>
    <w:rsid w:val="00255794"/>
    <w:rsid w:val="002557AF"/>
    <w:rsid w:val="0025589C"/>
    <w:rsid w:val="00255B62"/>
    <w:rsid w:val="002566B1"/>
    <w:rsid w:val="002575E3"/>
    <w:rsid w:val="00257A74"/>
    <w:rsid w:val="00257C5D"/>
    <w:rsid w:val="002603C1"/>
    <w:rsid w:val="002609A1"/>
    <w:rsid w:val="002612B1"/>
    <w:rsid w:val="00261997"/>
    <w:rsid w:val="00262B14"/>
    <w:rsid w:val="00264DF8"/>
    <w:rsid w:val="00265A12"/>
    <w:rsid w:val="00266165"/>
    <w:rsid w:val="00266A48"/>
    <w:rsid w:val="00266F2C"/>
    <w:rsid w:val="00267402"/>
    <w:rsid w:val="00267DAF"/>
    <w:rsid w:val="00270122"/>
    <w:rsid w:val="00270632"/>
    <w:rsid w:val="00270744"/>
    <w:rsid w:val="00270B87"/>
    <w:rsid w:val="0027125E"/>
    <w:rsid w:val="00271767"/>
    <w:rsid w:val="00272263"/>
    <w:rsid w:val="00272293"/>
    <w:rsid w:val="002723C8"/>
    <w:rsid w:val="00273633"/>
    <w:rsid w:val="00273C2A"/>
    <w:rsid w:val="00273CBE"/>
    <w:rsid w:val="002746B1"/>
    <w:rsid w:val="00274BAD"/>
    <w:rsid w:val="0027614E"/>
    <w:rsid w:val="002763A3"/>
    <w:rsid w:val="00276EB8"/>
    <w:rsid w:val="00277099"/>
    <w:rsid w:val="002775A6"/>
    <w:rsid w:val="002776FA"/>
    <w:rsid w:val="00277786"/>
    <w:rsid w:val="00277F6B"/>
    <w:rsid w:val="002807B0"/>
    <w:rsid w:val="00281B9B"/>
    <w:rsid w:val="00282446"/>
    <w:rsid w:val="002826C2"/>
    <w:rsid w:val="0028282C"/>
    <w:rsid w:val="00282D56"/>
    <w:rsid w:val="00283374"/>
    <w:rsid w:val="002835B0"/>
    <w:rsid w:val="00283C74"/>
    <w:rsid w:val="0028407E"/>
    <w:rsid w:val="0028410F"/>
    <w:rsid w:val="00284572"/>
    <w:rsid w:val="002850AA"/>
    <w:rsid w:val="00285221"/>
    <w:rsid w:val="002857F2"/>
    <w:rsid w:val="00285AB7"/>
    <w:rsid w:val="00286FB5"/>
    <w:rsid w:val="00287640"/>
    <w:rsid w:val="00287763"/>
    <w:rsid w:val="00290456"/>
    <w:rsid w:val="0029047D"/>
    <w:rsid w:val="00290606"/>
    <w:rsid w:val="002908D0"/>
    <w:rsid w:val="002909B2"/>
    <w:rsid w:val="00291263"/>
    <w:rsid w:val="00291D6D"/>
    <w:rsid w:val="00291E2B"/>
    <w:rsid w:val="00291FF1"/>
    <w:rsid w:val="00292AA2"/>
    <w:rsid w:val="00293361"/>
    <w:rsid w:val="00294F10"/>
    <w:rsid w:val="002952B1"/>
    <w:rsid w:val="002956E5"/>
    <w:rsid w:val="00295D11"/>
    <w:rsid w:val="0029649C"/>
    <w:rsid w:val="0029667A"/>
    <w:rsid w:val="00296839"/>
    <w:rsid w:val="00296FB6"/>
    <w:rsid w:val="0029724C"/>
    <w:rsid w:val="00297FC7"/>
    <w:rsid w:val="002A0001"/>
    <w:rsid w:val="002A036C"/>
    <w:rsid w:val="002A09CC"/>
    <w:rsid w:val="002A0BD9"/>
    <w:rsid w:val="002A0BDB"/>
    <w:rsid w:val="002A0C3A"/>
    <w:rsid w:val="002A0DF8"/>
    <w:rsid w:val="002A0E0A"/>
    <w:rsid w:val="002A0F1C"/>
    <w:rsid w:val="002A1130"/>
    <w:rsid w:val="002A1557"/>
    <w:rsid w:val="002A1880"/>
    <w:rsid w:val="002A23B7"/>
    <w:rsid w:val="002A3950"/>
    <w:rsid w:val="002A3A57"/>
    <w:rsid w:val="002A4320"/>
    <w:rsid w:val="002A4B4F"/>
    <w:rsid w:val="002A57A8"/>
    <w:rsid w:val="002A5D75"/>
    <w:rsid w:val="002A6DEF"/>
    <w:rsid w:val="002A739E"/>
    <w:rsid w:val="002A770B"/>
    <w:rsid w:val="002A7893"/>
    <w:rsid w:val="002B013E"/>
    <w:rsid w:val="002B058D"/>
    <w:rsid w:val="002B0C16"/>
    <w:rsid w:val="002B1420"/>
    <w:rsid w:val="002B1E01"/>
    <w:rsid w:val="002B1F54"/>
    <w:rsid w:val="002B2080"/>
    <w:rsid w:val="002B21BF"/>
    <w:rsid w:val="002B2456"/>
    <w:rsid w:val="002B2AC5"/>
    <w:rsid w:val="002B3528"/>
    <w:rsid w:val="002B3539"/>
    <w:rsid w:val="002B427F"/>
    <w:rsid w:val="002B4395"/>
    <w:rsid w:val="002B4532"/>
    <w:rsid w:val="002B4C9E"/>
    <w:rsid w:val="002B4DD9"/>
    <w:rsid w:val="002B5042"/>
    <w:rsid w:val="002B57C3"/>
    <w:rsid w:val="002B5832"/>
    <w:rsid w:val="002B612E"/>
    <w:rsid w:val="002B69CC"/>
    <w:rsid w:val="002B6D71"/>
    <w:rsid w:val="002B773F"/>
    <w:rsid w:val="002B7DC4"/>
    <w:rsid w:val="002C0389"/>
    <w:rsid w:val="002C03AE"/>
    <w:rsid w:val="002C0C1C"/>
    <w:rsid w:val="002C10A7"/>
    <w:rsid w:val="002C1190"/>
    <w:rsid w:val="002C2CC9"/>
    <w:rsid w:val="002C34F1"/>
    <w:rsid w:val="002C41BF"/>
    <w:rsid w:val="002C4B7E"/>
    <w:rsid w:val="002C5023"/>
    <w:rsid w:val="002C5424"/>
    <w:rsid w:val="002C54C2"/>
    <w:rsid w:val="002C5D34"/>
    <w:rsid w:val="002C60BB"/>
    <w:rsid w:val="002C661A"/>
    <w:rsid w:val="002D06EE"/>
    <w:rsid w:val="002D073E"/>
    <w:rsid w:val="002D0A40"/>
    <w:rsid w:val="002D0D6F"/>
    <w:rsid w:val="002D1E81"/>
    <w:rsid w:val="002D253D"/>
    <w:rsid w:val="002D25FC"/>
    <w:rsid w:val="002D2BD5"/>
    <w:rsid w:val="002D3E71"/>
    <w:rsid w:val="002D4AC6"/>
    <w:rsid w:val="002D5181"/>
    <w:rsid w:val="002D59BF"/>
    <w:rsid w:val="002D5B5A"/>
    <w:rsid w:val="002D5BF5"/>
    <w:rsid w:val="002D5C5C"/>
    <w:rsid w:val="002D5EE8"/>
    <w:rsid w:val="002D63F6"/>
    <w:rsid w:val="002D7360"/>
    <w:rsid w:val="002D750C"/>
    <w:rsid w:val="002D7648"/>
    <w:rsid w:val="002D7C80"/>
    <w:rsid w:val="002E0FCE"/>
    <w:rsid w:val="002E109C"/>
    <w:rsid w:val="002E1334"/>
    <w:rsid w:val="002E13FA"/>
    <w:rsid w:val="002E193E"/>
    <w:rsid w:val="002E1A94"/>
    <w:rsid w:val="002E1D55"/>
    <w:rsid w:val="002E2407"/>
    <w:rsid w:val="002E25FB"/>
    <w:rsid w:val="002E26C4"/>
    <w:rsid w:val="002E2734"/>
    <w:rsid w:val="002E2AA6"/>
    <w:rsid w:val="002E30A5"/>
    <w:rsid w:val="002E34EA"/>
    <w:rsid w:val="002E3B96"/>
    <w:rsid w:val="002E4114"/>
    <w:rsid w:val="002E47E4"/>
    <w:rsid w:val="002E4BF9"/>
    <w:rsid w:val="002E4D61"/>
    <w:rsid w:val="002E5045"/>
    <w:rsid w:val="002E68A7"/>
    <w:rsid w:val="002E6E6C"/>
    <w:rsid w:val="002F016E"/>
    <w:rsid w:val="002F020D"/>
    <w:rsid w:val="002F03FD"/>
    <w:rsid w:val="002F0522"/>
    <w:rsid w:val="002F16DD"/>
    <w:rsid w:val="002F199D"/>
    <w:rsid w:val="002F213C"/>
    <w:rsid w:val="002F2453"/>
    <w:rsid w:val="002F2607"/>
    <w:rsid w:val="002F33D2"/>
    <w:rsid w:val="002F352D"/>
    <w:rsid w:val="002F381E"/>
    <w:rsid w:val="002F3C58"/>
    <w:rsid w:val="002F4084"/>
    <w:rsid w:val="002F4A08"/>
    <w:rsid w:val="002F4ADB"/>
    <w:rsid w:val="002F531E"/>
    <w:rsid w:val="002F548D"/>
    <w:rsid w:val="002F54FB"/>
    <w:rsid w:val="002F5529"/>
    <w:rsid w:val="002F5ACC"/>
    <w:rsid w:val="002F65CD"/>
    <w:rsid w:val="002F66F9"/>
    <w:rsid w:val="002F6B6C"/>
    <w:rsid w:val="002F704B"/>
    <w:rsid w:val="002F72C3"/>
    <w:rsid w:val="002F768C"/>
    <w:rsid w:val="002F7D1E"/>
    <w:rsid w:val="002F7E89"/>
    <w:rsid w:val="00300201"/>
    <w:rsid w:val="0030025A"/>
    <w:rsid w:val="0030052F"/>
    <w:rsid w:val="00300A58"/>
    <w:rsid w:val="00300BF2"/>
    <w:rsid w:val="00302467"/>
    <w:rsid w:val="00302493"/>
    <w:rsid w:val="00302991"/>
    <w:rsid w:val="00302EFC"/>
    <w:rsid w:val="00303243"/>
    <w:rsid w:val="00303BCC"/>
    <w:rsid w:val="00303BEF"/>
    <w:rsid w:val="00303F2B"/>
    <w:rsid w:val="00303F8D"/>
    <w:rsid w:val="0030572D"/>
    <w:rsid w:val="0030586A"/>
    <w:rsid w:val="00305A5E"/>
    <w:rsid w:val="0030622D"/>
    <w:rsid w:val="00306811"/>
    <w:rsid w:val="00306F32"/>
    <w:rsid w:val="003074C5"/>
    <w:rsid w:val="00307A3C"/>
    <w:rsid w:val="00307FA4"/>
    <w:rsid w:val="00310178"/>
    <w:rsid w:val="00310290"/>
    <w:rsid w:val="003103B1"/>
    <w:rsid w:val="00310948"/>
    <w:rsid w:val="00310CC1"/>
    <w:rsid w:val="003118A8"/>
    <w:rsid w:val="00312504"/>
    <w:rsid w:val="00312B89"/>
    <w:rsid w:val="00313026"/>
    <w:rsid w:val="0031312C"/>
    <w:rsid w:val="00313913"/>
    <w:rsid w:val="00313DAA"/>
    <w:rsid w:val="0031421F"/>
    <w:rsid w:val="0031466A"/>
    <w:rsid w:val="00314B31"/>
    <w:rsid w:val="003151F4"/>
    <w:rsid w:val="00315569"/>
    <w:rsid w:val="00315A65"/>
    <w:rsid w:val="003165D7"/>
    <w:rsid w:val="0031666B"/>
    <w:rsid w:val="00316ABE"/>
    <w:rsid w:val="00317601"/>
    <w:rsid w:val="003179CC"/>
    <w:rsid w:val="00317BA7"/>
    <w:rsid w:val="00317EB1"/>
    <w:rsid w:val="003204AE"/>
    <w:rsid w:val="00320BE2"/>
    <w:rsid w:val="00320CD0"/>
    <w:rsid w:val="00321886"/>
    <w:rsid w:val="00321956"/>
    <w:rsid w:val="00321EDC"/>
    <w:rsid w:val="003226AC"/>
    <w:rsid w:val="00323694"/>
    <w:rsid w:val="00323BE7"/>
    <w:rsid w:val="00324B26"/>
    <w:rsid w:val="00324C3A"/>
    <w:rsid w:val="00324D63"/>
    <w:rsid w:val="0032547C"/>
    <w:rsid w:val="003255AF"/>
    <w:rsid w:val="003256EB"/>
    <w:rsid w:val="003259DB"/>
    <w:rsid w:val="0032795B"/>
    <w:rsid w:val="003303CD"/>
    <w:rsid w:val="003307BE"/>
    <w:rsid w:val="003314D9"/>
    <w:rsid w:val="00331653"/>
    <w:rsid w:val="00331A48"/>
    <w:rsid w:val="00331BCC"/>
    <w:rsid w:val="00332311"/>
    <w:rsid w:val="003330C9"/>
    <w:rsid w:val="0033364C"/>
    <w:rsid w:val="00334415"/>
    <w:rsid w:val="003345DA"/>
    <w:rsid w:val="00334972"/>
    <w:rsid w:val="00335C1B"/>
    <w:rsid w:val="00335EA1"/>
    <w:rsid w:val="0033691E"/>
    <w:rsid w:val="00336A6A"/>
    <w:rsid w:val="00336CCB"/>
    <w:rsid w:val="00340B4B"/>
    <w:rsid w:val="003411D1"/>
    <w:rsid w:val="003416BA"/>
    <w:rsid w:val="00342148"/>
    <w:rsid w:val="00342658"/>
    <w:rsid w:val="003427BE"/>
    <w:rsid w:val="00342F99"/>
    <w:rsid w:val="00343016"/>
    <w:rsid w:val="003432EE"/>
    <w:rsid w:val="00343749"/>
    <w:rsid w:val="00343AEA"/>
    <w:rsid w:val="003440C2"/>
    <w:rsid w:val="003444BF"/>
    <w:rsid w:val="00344D99"/>
    <w:rsid w:val="0034575A"/>
    <w:rsid w:val="00345F1D"/>
    <w:rsid w:val="00345F57"/>
    <w:rsid w:val="003461A7"/>
    <w:rsid w:val="00346CC8"/>
    <w:rsid w:val="00350458"/>
    <w:rsid w:val="00350E6C"/>
    <w:rsid w:val="00350F55"/>
    <w:rsid w:val="0035153C"/>
    <w:rsid w:val="003518A6"/>
    <w:rsid w:val="00351E7F"/>
    <w:rsid w:val="00352953"/>
    <w:rsid w:val="00353D83"/>
    <w:rsid w:val="00353D91"/>
    <w:rsid w:val="00354062"/>
    <w:rsid w:val="0035459E"/>
    <w:rsid w:val="00354AE9"/>
    <w:rsid w:val="00355527"/>
    <w:rsid w:val="00355C0D"/>
    <w:rsid w:val="003560A6"/>
    <w:rsid w:val="003566A9"/>
    <w:rsid w:val="00356988"/>
    <w:rsid w:val="003569D3"/>
    <w:rsid w:val="00356CE9"/>
    <w:rsid w:val="003570BB"/>
    <w:rsid w:val="00357128"/>
    <w:rsid w:val="00357377"/>
    <w:rsid w:val="0035755E"/>
    <w:rsid w:val="00357A80"/>
    <w:rsid w:val="00357C97"/>
    <w:rsid w:val="00360116"/>
    <w:rsid w:val="00361441"/>
    <w:rsid w:val="00361B8B"/>
    <w:rsid w:val="00363631"/>
    <w:rsid w:val="00363F39"/>
    <w:rsid w:val="003640FC"/>
    <w:rsid w:val="0036445C"/>
    <w:rsid w:val="0036449E"/>
    <w:rsid w:val="00364627"/>
    <w:rsid w:val="00364AB0"/>
    <w:rsid w:val="00364B13"/>
    <w:rsid w:val="00364D71"/>
    <w:rsid w:val="00365D7A"/>
    <w:rsid w:val="003667B0"/>
    <w:rsid w:val="003667DD"/>
    <w:rsid w:val="00366B48"/>
    <w:rsid w:val="00366D71"/>
    <w:rsid w:val="003674FB"/>
    <w:rsid w:val="0036774D"/>
    <w:rsid w:val="00367764"/>
    <w:rsid w:val="003678D7"/>
    <w:rsid w:val="00370316"/>
    <w:rsid w:val="003704EC"/>
    <w:rsid w:val="00370DC7"/>
    <w:rsid w:val="003713D7"/>
    <w:rsid w:val="003714AC"/>
    <w:rsid w:val="00371CBD"/>
    <w:rsid w:val="00371F20"/>
    <w:rsid w:val="003721E3"/>
    <w:rsid w:val="0037244B"/>
    <w:rsid w:val="00372B98"/>
    <w:rsid w:val="003732DC"/>
    <w:rsid w:val="003737B7"/>
    <w:rsid w:val="003740CC"/>
    <w:rsid w:val="003745F4"/>
    <w:rsid w:val="0037491A"/>
    <w:rsid w:val="00374E79"/>
    <w:rsid w:val="0037529A"/>
    <w:rsid w:val="00375388"/>
    <w:rsid w:val="00375496"/>
    <w:rsid w:val="00375559"/>
    <w:rsid w:val="00375FB9"/>
    <w:rsid w:val="00376170"/>
    <w:rsid w:val="003762F9"/>
    <w:rsid w:val="003766DE"/>
    <w:rsid w:val="00376851"/>
    <w:rsid w:val="00376FA2"/>
    <w:rsid w:val="00377133"/>
    <w:rsid w:val="00377A3B"/>
    <w:rsid w:val="00377B8B"/>
    <w:rsid w:val="00377E3C"/>
    <w:rsid w:val="00377F89"/>
    <w:rsid w:val="00380874"/>
    <w:rsid w:val="00380878"/>
    <w:rsid w:val="003809D4"/>
    <w:rsid w:val="00380BBE"/>
    <w:rsid w:val="00380EA3"/>
    <w:rsid w:val="00381243"/>
    <w:rsid w:val="00381B1B"/>
    <w:rsid w:val="00381D70"/>
    <w:rsid w:val="00382144"/>
    <w:rsid w:val="0038235E"/>
    <w:rsid w:val="0038260A"/>
    <w:rsid w:val="003826AC"/>
    <w:rsid w:val="003829D0"/>
    <w:rsid w:val="0038326A"/>
    <w:rsid w:val="0038444F"/>
    <w:rsid w:val="00384BB9"/>
    <w:rsid w:val="0038519A"/>
    <w:rsid w:val="003861F0"/>
    <w:rsid w:val="00386A27"/>
    <w:rsid w:val="00386EE5"/>
    <w:rsid w:val="00387051"/>
    <w:rsid w:val="003876F0"/>
    <w:rsid w:val="00387ECF"/>
    <w:rsid w:val="003901EA"/>
    <w:rsid w:val="0039021B"/>
    <w:rsid w:val="00390353"/>
    <w:rsid w:val="00390429"/>
    <w:rsid w:val="003906A0"/>
    <w:rsid w:val="00390D91"/>
    <w:rsid w:val="00390DBB"/>
    <w:rsid w:val="00391413"/>
    <w:rsid w:val="00391A48"/>
    <w:rsid w:val="0039207D"/>
    <w:rsid w:val="003923D5"/>
    <w:rsid w:val="00392AF4"/>
    <w:rsid w:val="00392D1F"/>
    <w:rsid w:val="00392D35"/>
    <w:rsid w:val="003931AF"/>
    <w:rsid w:val="0039338D"/>
    <w:rsid w:val="0039366C"/>
    <w:rsid w:val="00393C4C"/>
    <w:rsid w:val="00393EC8"/>
    <w:rsid w:val="003951CB"/>
    <w:rsid w:val="00395E42"/>
    <w:rsid w:val="00396409"/>
    <w:rsid w:val="00396A2D"/>
    <w:rsid w:val="00396FC3"/>
    <w:rsid w:val="003972F3"/>
    <w:rsid w:val="0039779B"/>
    <w:rsid w:val="003A0291"/>
    <w:rsid w:val="003A0A27"/>
    <w:rsid w:val="003A13E2"/>
    <w:rsid w:val="003A1431"/>
    <w:rsid w:val="003A1A94"/>
    <w:rsid w:val="003A1B38"/>
    <w:rsid w:val="003A1FF5"/>
    <w:rsid w:val="003A204E"/>
    <w:rsid w:val="003A2B19"/>
    <w:rsid w:val="003A2D25"/>
    <w:rsid w:val="003A2DB1"/>
    <w:rsid w:val="003A5101"/>
    <w:rsid w:val="003A5265"/>
    <w:rsid w:val="003A5715"/>
    <w:rsid w:val="003A5728"/>
    <w:rsid w:val="003A60E7"/>
    <w:rsid w:val="003A6AE2"/>
    <w:rsid w:val="003A7092"/>
    <w:rsid w:val="003A72A1"/>
    <w:rsid w:val="003A7302"/>
    <w:rsid w:val="003A7566"/>
    <w:rsid w:val="003A7611"/>
    <w:rsid w:val="003A7A46"/>
    <w:rsid w:val="003A7D1F"/>
    <w:rsid w:val="003B0A4E"/>
    <w:rsid w:val="003B0B6A"/>
    <w:rsid w:val="003B0C41"/>
    <w:rsid w:val="003B129D"/>
    <w:rsid w:val="003B22F7"/>
    <w:rsid w:val="003B2518"/>
    <w:rsid w:val="003B29CF"/>
    <w:rsid w:val="003B2A86"/>
    <w:rsid w:val="003B3A90"/>
    <w:rsid w:val="003B3D01"/>
    <w:rsid w:val="003B4003"/>
    <w:rsid w:val="003B4391"/>
    <w:rsid w:val="003B455A"/>
    <w:rsid w:val="003B534F"/>
    <w:rsid w:val="003B6C60"/>
    <w:rsid w:val="003B7A79"/>
    <w:rsid w:val="003C0FE1"/>
    <w:rsid w:val="003C1016"/>
    <w:rsid w:val="003C151A"/>
    <w:rsid w:val="003C17F0"/>
    <w:rsid w:val="003C1D27"/>
    <w:rsid w:val="003C2A23"/>
    <w:rsid w:val="003C33A0"/>
    <w:rsid w:val="003C350C"/>
    <w:rsid w:val="003C3733"/>
    <w:rsid w:val="003C3903"/>
    <w:rsid w:val="003C3BA0"/>
    <w:rsid w:val="003C3EFA"/>
    <w:rsid w:val="003C4580"/>
    <w:rsid w:val="003C51C0"/>
    <w:rsid w:val="003C553C"/>
    <w:rsid w:val="003C5C5E"/>
    <w:rsid w:val="003C65C0"/>
    <w:rsid w:val="003C65D3"/>
    <w:rsid w:val="003C6692"/>
    <w:rsid w:val="003C6746"/>
    <w:rsid w:val="003C7555"/>
    <w:rsid w:val="003C7898"/>
    <w:rsid w:val="003C7A17"/>
    <w:rsid w:val="003C7BDC"/>
    <w:rsid w:val="003D0FF5"/>
    <w:rsid w:val="003D11A3"/>
    <w:rsid w:val="003D1537"/>
    <w:rsid w:val="003D183C"/>
    <w:rsid w:val="003D2D1B"/>
    <w:rsid w:val="003D2F09"/>
    <w:rsid w:val="003D3558"/>
    <w:rsid w:val="003D36C0"/>
    <w:rsid w:val="003D40E5"/>
    <w:rsid w:val="003D48C7"/>
    <w:rsid w:val="003D4C27"/>
    <w:rsid w:val="003D572F"/>
    <w:rsid w:val="003D594C"/>
    <w:rsid w:val="003D6BEB"/>
    <w:rsid w:val="003D7109"/>
    <w:rsid w:val="003D71D7"/>
    <w:rsid w:val="003D7CE8"/>
    <w:rsid w:val="003E0514"/>
    <w:rsid w:val="003E0BAA"/>
    <w:rsid w:val="003E1032"/>
    <w:rsid w:val="003E1904"/>
    <w:rsid w:val="003E25B5"/>
    <w:rsid w:val="003E285E"/>
    <w:rsid w:val="003E2BD8"/>
    <w:rsid w:val="003E3124"/>
    <w:rsid w:val="003E3300"/>
    <w:rsid w:val="003E371E"/>
    <w:rsid w:val="003E3BC7"/>
    <w:rsid w:val="003E43D3"/>
    <w:rsid w:val="003E48E1"/>
    <w:rsid w:val="003E4F68"/>
    <w:rsid w:val="003E50F4"/>
    <w:rsid w:val="003E5321"/>
    <w:rsid w:val="003E5797"/>
    <w:rsid w:val="003E59BB"/>
    <w:rsid w:val="003E6225"/>
    <w:rsid w:val="003E65AC"/>
    <w:rsid w:val="003E66AE"/>
    <w:rsid w:val="003E6CFE"/>
    <w:rsid w:val="003E7160"/>
    <w:rsid w:val="003E72B9"/>
    <w:rsid w:val="003E7612"/>
    <w:rsid w:val="003E7ED4"/>
    <w:rsid w:val="003F0187"/>
    <w:rsid w:val="003F0CAA"/>
    <w:rsid w:val="003F0E52"/>
    <w:rsid w:val="003F0F6B"/>
    <w:rsid w:val="003F1DCD"/>
    <w:rsid w:val="003F1FC6"/>
    <w:rsid w:val="003F1FE3"/>
    <w:rsid w:val="003F2112"/>
    <w:rsid w:val="003F2359"/>
    <w:rsid w:val="003F2457"/>
    <w:rsid w:val="003F2D23"/>
    <w:rsid w:val="003F3232"/>
    <w:rsid w:val="003F3369"/>
    <w:rsid w:val="003F3557"/>
    <w:rsid w:val="003F359A"/>
    <w:rsid w:val="003F3865"/>
    <w:rsid w:val="003F38AC"/>
    <w:rsid w:val="003F3D55"/>
    <w:rsid w:val="003F44E2"/>
    <w:rsid w:val="003F4632"/>
    <w:rsid w:val="003F47BA"/>
    <w:rsid w:val="003F49F3"/>
    <w:rsid w:val="003F4FE6"/>
    <w:rsid w:val="003F5638"/>
    <w:rsid w:val="003F5B7B"/>
    <w:rsid w:val="003F6617"/>
    <w:rsid w:val="003F7305"/>
    <w:rsid w:val="003F7F36"/>
    <w:rsid w:val="00400A58"/>
    <w:rsid w:val="00400E70"/>
    <w:rsid w:val="00402332"/>
    <w:rsid w:val="004025C2"/>
    <w:rsid w:val="00402887"/>
    <w:rsid w:val="00402FB7"/>
    <w:rsid w:val="00403195"/>
    <w:rsid w:val="004033A9"/>
    <w:rsid w:val="00403E55"/>
    <w:rsid w:val="0040407C"/>
    <w:rsid w:val="0040416C"/>
    <w:rsid w:val="004041CA"/>
    <w:rsid w:val="004044B4"/>
    <w:rsid w:val="00404681"/>
    <w:rsid w:val="004048F9"/>
    <w:rsid w:val="00404A80"/>
    <w:rsid w:val="00404B32"/>
    <w:rsid w:val="00405445"/>
    <w:rsid w:val="0040579D"/>
    <w:rsid w:val="00405AC1"/>
    <w:rsid w:val="0040675A"/>
    <w:rsid w:val="00406923"/>
    <w:rsid w:val="0040763D"/>
    <w:rsid w:val="0041038E"/>
    <w:rsid w:val="00410D17"/>
    <w:rsid w:val="0041183A"/>
    <w:rsid w:val="00411DCB"/>
    <w:rsid w:val="00412656"/>
    <w:rsid w:val="00412AA9"/>
    <w:rsid w:val="00413442"/>
    <w:rsid w:val="00413821"/>
    <w:rsid w:val="00413BA5"/>
    <w:rsid w:val="004141A3"/>
    <w:rsid w:val="00414909"/>
    <w:rsid w:val="0041582F"/>
    <w:rsid w:val="00415AC9"/>
    <w:rsid w:val="00415CF3"/>
    <w:rsid w:val="00416112"/>
    <w:rsid w:val="004167AD"/>
    <w:rsid w:val="00416F8E"/>
    <w:rsid w:val="0041716A"/>
    <w:rsid w:val="0041745E"/>
    <w:rsid w:val="00417A18"/>
    <w:rsid w:val="00417AE0"/>
    <w:rsid w:val="00417BAA"/>
    <w:rsid w:val="00417E8E"/>
    <w:rsid w:val="0042042B"/>
    <w:rsid w:val="00420457"/>
    <w:rsid w:val="00420B45"/>
    <w:rsid w:val="00420D7A"/>
    <w:rsid w:val="00421257"/>
    <w:rsid w:val="00421621"/>
    <w:rsid w:val="004220C7"/>
    <w:rsid w:val="00422193"/>
    <w:rsid w:val="004223DE"/>
    <w:rsid w:val="00422645"/>
    <w:rsid w:val="00422A10"/>
    <w:rsid w:val="0042496A"/>
    <w:rsid w:val="00424D17"/>
    <w:rsid w:val="004259FC"/>
    <w:rsid w:val="00425DFD"/>
    <w:rsid w:val="00425EA9"/>
    <w:rsid w:val="004263A3"/>
    <w:rsid w:val="0042711B"/>
    <w:rsid w:val="00427713"/>
    <w:rsid w:val="00427C77"/>
    <w:rsid w:val="00427CCC"/>
    <w:rsid w:val="0043013A"/>
    <w:rsid w:val="00430421"/>
    <w:rsid w:val="00430A36"/>
    <w:rsid w:val="00430B4F"/>
    <w:rsid w:val="00430C37"/>
    <w:rsid w:val="00431084"/>
    <w:rsid w:val="004310D7"/>
    <w:rsid w:val="0043180D"/>
    <w:rsid w:val="00431FF2"/>
    <w:rsid w:val="004322D6"/>
    <w:rsid w:val="0043254E"/>
    <w:rsid w:val="00432589"/>
    <w:rsid w:val="00432A94"/>
    <w:rsid w:val="00432C95"/>
    <w:rsid w:val="00433359"/>
    <w:rsid w:val="00433827"/>
    <w:rsid w:val="00433A40"/>
    <w:rsid w:val="00433AEA"/>
    <w:rsid w:val="00434B70"/>
    <w:rsid w:val="004355EF"/>
    <w:rsid w:val="00435809"/>
    <w:rsid w:val="004360C8"/>
    <w:rsid w:val="00436823"/>
    <w:rsid w:val="004371D5"/>
    <w:rsid w:val="0043773F"/>
    <w:rsid w:val="00437FBF"/>
    <w:rsid w:val="0044006B"/>
    <w:rsid w:val="0044033F"/>
    <w:rsid w:val="00440576"/>
    <w:rsid w:val="00440630"/>
    <w:rsid w:val="00440D6B"/>
    <w:rsid w:val="00440E07"/>
    <w:rsid w:val="0044142F"/>
    <w:rsid w:val="00441F0F"/>
    <w:rsid w:val="00442965"/>
    <w:rsid w:val="004432B6"/>
    <w:rsid w:val="00444081"/>
    <w:rsid w:val="00444157"/>
    <w:rsid w:val="0044417C"/>
    <w:rsid w:val="00444DB3"/>
    <w:rsid w:val="00445617"/>
    <w:rsid w:val="00445A2F"/>
    <w:rsid w:val="004463FF"/>
    <w:rsid w:val="0044648F"/>
    <w:rsid w:val="0044680A"/>
    <w:rsid w:val="0044684E"/>
    <w:rsid w:val="00446F22"/>
    <w:rsid w:val="00447C74"/>
    <w:rsid w:val="00447E41"/>
    <w:rsid w:val="0045019F"/>
    <w:rsid w:val="004503A4"/>
    <w:rsid w:val="00450555"/>
    <w:rsid w:val="004506FA"/>
    <w:rsid w:val="004507B6"/>
    <w:rsid w:val="00450BC8"/>
    <w:rsid w:val="00450DC6"/>
    <w:rsid w:val="004516A5"/>
    <w:rsid w:val="00451E9C"/>
    <w:rsid w:val="00452145"/>
    <w:rsid w:val="004522D0"/>
    <w:rsid w:val="0045280F"/>
    <w:rsid w:val="00452E73"/>
    <w:rsid w:val="004533F6"/>
    <w:rsid w:val="004535AE"/>
    <w:rsid w:val="004537F7"/>
    <w:rsid w:val="00453C53"/>
    <w:rsid w:val="0045444D"/>
    <w:rsid w:val="0045463A"/>
    <w:rsid w:val="00454AC9"/>
    <w:rsid w:val="00455050"/>
    <w:rsid w:val="004554A3"/>
    <w:rsid w:val="00455626"/>
    <w:rsid w:val="00455A6E"/>
    <w:rsid w:val="00455AC4"/>
    <w:rsid w:val="00455EAD"/>
    <w:rsid w:val="004578EB"/>
    <w:rsid w:val="00457F74"/>
    <w:rsid w:val="004604D5"/>
    <w:rsid w:val="004605C6"/>
    <w:rsid w:val="00460697"/>
    <w:rsid w:val="0046117B"/>
    <w:rsid w:val="004619A3"/>
    <w:rsid w:val="00461FC2"/>
    <w:rsid w:val="0046281E"/>
    <w:rsid w:val="004632B9"/>
    <w:rsid w:val="004644A4"/>
    <w:rsid w:val="00464AB7"/>
    <w:rsid w:val="00465959"/>
    <w:rsid w:val="004659D0"/>
    <w:rsid w:val="00465DE5"/>
    <w:rsid w:val="00466103"/>
    <w:rsid w:val="004676DF"/>
    <w:rsid w:val="00467A83"/>
    <w:rsid w:val="00467EF8"/>
    <w:rsid w:val="00470006"/>
    <w:rsid w:val="00470611"/>
    <w:rsid w:val="00470848"/>
    <w:rsid w:val="00470CAB"/>
    <w:rsid w:val="00471796"/>
    <w:rsid w:val="00471AC3"/>
    <w:rsid w:val="00472429"/>
    <w:rsid w:val="004725E5"/>
    <w:rsid w:val="00472751"/>
    <w:rsid w:val="00473128"/>
    <w:rsid w:val="004748A5"/>
    <w:rsid w:val="00475078"/>
    <w:rsid w:val="00475767"/>
    <w:rsid w:val="00476FC2"/>
    <w:rsid w:val="004779A0"/>
    <w:rsid w:val="00477F17"/>
    <w:rsid w:val="004800A0"/>
    <w:rsid w:val="00480362"/>
    <w:rsid w:val="00480363"/>
    <w:rsid w:val="004808E3"/>
    <w:rsid w:val="00480B7E"/>
    <w:rsid w:val="00480CFE"/>
    <w:rsid w:val="00481016"/>
    <w:rsid w:val="0048124C"/>
    <w:rsid w:val="0048204C"/>
    <w:rsid w:val="004821BB"/>
    <w:rsid w:val="0048237A"/>
    <w:rsid w:val="004826FE"/>
    <w:rsid w:val="004827D5"/>
    <w:rsid w:val="00482AF2"/>
    <w:rsid w:val="004830C9"/>
    <w:rsid w:val="00483347"/>
    <w:rsid w:val="00483E2E"/>
    <w:rsid w:val="00484B69"/>
    <w:rsid w:val="0048529F"/>
    <w:rsid w:val="00485406"/>
    <w:rsid w:val="0048590F"/>
    <w:rsid w:val="004864D4"/>
    <w:rsid w:val="00486D60"/>
    <w:rsid w:val="00486DBC"/>
    <w:rsid w:val="00487180"/>
    <w:rsid w:val="00487BA1"/>
    <w:rsid w:val="0049155D"/>
    <w:rsid w:val="00491FA1"/>
    <w:rsid w:val="00492A25"/>
    <w:rsid w:val="004938A3"/>
    <w:rsid w:val="004950A6"/>
    <w:rsid w:val="0049558B"/>
    <w:rsid w:val="00496350"/>
    <w:rsid w:val="00496F9C"/>
    <w:rsid w:val="0049765E"/>
    <w:rsid w:val="00497843"/>
    <w:rsid w:val="0049797C"/>
    <w:rsid w:val="004A1405"/>
    <w:rsid w:val="004A15BD"/>
    <w:rsid w:val="004A1E28"/>
    <w:rsid w:val="004A1FC6"/>
    <w:rsid w:val="004A2E5F"/>
    <w:rsid w:val="004A345A"/>
    <w:rsid w:val="004A38C2"/>
    <w:rsid w:val="004A3968"/>
    <w:rsid w:val="004A3C03"/>
    <w:rsid w:val="004A3DB7"/>
    <w:rsid w:val="004A463B"/>
    <w:rsid w:val="004A5088"/>
    <w:rsid w:val="004A50E5"/>
    <w:rsid w:val="004A5255"/>
    <w:rsid w:val="004A61CA"/>
    <w:rsid w:val="004A6B28"/>
    <w:rsid w:val="004A6CB0"/>
    <w:rsid w:val="004A70FF"/>
    <w:rsid w:val="004A77B5"/>
    <w:rsid w:val="004A7EDE"/>
    <w:rsid w:val="004B0283"/>
    <w:rsid w:val="004B0D93"/>
    <w:rsid w:val="004B19C8"/>
    <w:rsid w:val="004B1FA4"/>
    <w:rsid w:val="004B29AC"/>
    <w:rsid w:val="004B2AD4"/>
    <w:rsid w:val="004B35DF"/>
    <w:rsid w:val="004B3627"/>
    <w:rsid w:val="004B3837"/>
    <w:rsid w:val="004B3EEA"/>
    <w:rsid w:val="004B4922"/>
    <w:rsid w:val="004B49C8"/>
    <w:rsid w:val="004B52E0"/>
    <w:rsid w:val="004B57DF"/>
    <w:rsid w:val="004B5976"/>
    <w:rsid w:val="004B6E54"/>
    <w:rsid w:val="004B722E"/>
    <w:rsid w:val="004B72E8"/>
    <w:rsid w:val="004B7661"/>
    <w:rsid w:val="004B771A"/>
    <w:rsid w:val="004C01A5"/>
    <w:rsid w:val="004C0412"/>
    <w:rsid w:val="004C0882"/>
    <w:rsid w:val="004C184D"/>
    <w:rsid w:val="004C2138"/>
    <w:rsid w:val="004C2B69"/>
    <w:rsid w:val="004C302E"/>
    <w:rsid w:val="004C3940"/>
    <w:rsid w:val="004C4362"/>
    <w:rsid w:val="004C51FD"/>
    <w:rsid w:val="004C5ED7"/>
    <w:rsid w:val="004C64A1"/>
    <w:rsid w:val="004C64B8"/>
    <w:rsid w:val="004C65A8"/>
    <w:rsid w:val="004C6689"/>
    <w:rsid w:val="004C6BF3"/>
    <w:rsid w:val="004C7408"/>
    <w:rsid w:val="004C7850"/>
    <w:rsid w:val="004D0479"/>
    <w:rsid w:val="004D139A"/>
    <w:rsid w:val="004D14DC"/>
    <w:rsid w:val="004D17C6"/>
    <w:rsid w:val="004D1FB2"/>
    <w:rsid w:val="004D2858"/>
    <w:rsid w:val="004D2E49"/>
    <w:rsid w:val="004D35BA"/>
    <w:rsid w:val="004D36FC"/>
    <w:rsid w:val="004D38E5"/>
    <w:rsid w:val="004D3A48"/>
    <w:rsid w:val="004D3C5A"/>
    <w:rsid w:val="004D449A"/>
    <w:rsid w:val="004D4701"/>
    <w:rsid w:val="004D47C7"/>
    <w:rsid w:val="004D4B2B"/>
    <w:rsid w:val="004D4F35"/>
    <w:rsid w:val="004D51EE"/>
    <w:rsid w:val="004D5C03"/>
    <w:rsid w:val="004D5D45"/>
    <w:rsid w:val="004D618D"/>
    <w:rsid w:val="004D62A9"/>
    <w:rsid w:val="004D6559"/>
    <w:rsid w:val="004D6FC3"/>
    <w:rsid w:val="004D7476"/>
    <w:rsid w:val="004D7716"/>
    <w:rsid w:val="004E0167"/>
    <w:rsid w:val="004E0306"/>
    <w:rsid w:val="004E0572"/>
    <w:rsid w:val="004E07BD"/>
    <w:rsid w:val="004E086D"/>
    <w:rsid w:val="004E1641"/>
    <w:rsid w:val="004E1818"/>
    <w:rsid w:val="004E1990"/>
    <w:rsid w:val="004E2186"/>
    <w:rsid w:val="004E25A8"/>
    <w:rsid w:val="004E299B"/>
    <w:rsid w:val="004E29E6"/>
    <w:rsid w:val="004E2A77"/>
    <w:rsid w:val="004E2B53"/>
    <w:rsid w:val="004E2BF8"/>
    <w:rsid w:val="004E3672"/>
    <w:rsid w:val="004E3930"/>
    <w:rsid w:val="004E3A23"/>
    <w:rsid w:val="004E3ED9"/>
    <w:rsid w:val="004E4961"/>
    <w:rsid w:val="004E5866"/>
    <w:rsid w:val="004E6097"/>
    <w:rsid w:val="004E61EF"/>
    <w:rsid w:val="004E63C6"/>
    <w:rsid w:val="004E6805"/>
    <w:rsid w:val="004E76A7"/>
    <w:rsid w:val="004E7B03"/>
    <w:rsid w:val="004E7F95"/>
    <w:rsid w:val="004F0064"/>
    <w:rsid w:val="004F06AC"/>
    <w:rsid w:val="004F0E50"/>
    <w:rsid w:val="004F1D2A"/>
    <w:rsid w:val="004F243F"/>
    <w:rsid w:val="004F252C"/>
    <w:rsid w:val="004F3065"/>
    <w:rsid w:val="004F36A3"/>
    <w:rsid w:val="004F3E0C"/>
    <w:rsid w:val="004F4036"/>
    <w:rsid w:val="004F4308"/>
    <w:rsid w:val="004F4892"/>
    <w:rsid w:val="004F4D2C"/>
    <w:rsid w:val="004F5C3B"/>
    <w:rsid w:val="004F5DA0"/>
    <w:rsid w:val="004F7160"/>
    <w:rsid w:val="004F7F77"/>
    <w:rsid w:val="00500258"/>
    <w:rsid w:val="00500B2D"/>
    <w:rsid w:val="00500EC6"/>
    <w:rsid w:val="0050130B"/>
    <w:rsid w:val="00501A99"/>
    <w:rsid w:val="00501F1D"/>
    <w:rsid w:val="005021F2"/>
    <w:rsid w:val="00502219"/>
    <w:rsid w:val="00502456"/>
    <w:rsid w:val="00503180"/>
    <w:rsid w:val="0050336B"/>
    <w:rsid w:val="005038A4"/>
    <w:rsid w:val="00503DC4"/>
    <w:rsid w:val="00504AF6"/>
    <w:rsid w:val="00504C56"/>
    <w:rsid w:val="00504CD4"/>
    <w:rsid w:val="0050524B"/>
    <w:rsid w:val="00505450"/>
    <w:rsid w:val="00505FC6"/>
    <w:rsid w:val="00506DA6"/>
    <w:rsid w:val="00507170"/>
    <w:rsid w:val="005100B7"/>
    <w:rsid w:val="005105DE"/>
    <w:rsid w:val="005113C9"/>
    <w:rsid w:val="00511ACD"/>
    <w:rsid w:val="00512050"/>
    <w:rsid w:val="00512055"/>
    <w:rsid w:val="0051280C"/>
    <w:rsid w:val="00512842"/>
    <w:rsid w:val="005128BE"/>
    <w:rsid w:val="0051356F"/>
    <w:rsid w:val="00513DEC"/>
    <w:rsid w:val="00513E7C"/>
    <w:rsid w:val="005140BB"/>
    <w:rsid w:val="00514FBE"/>
    <w:rsid w:val="00514FD9"/>
    <w:rsid w:val="005154BB"/>
    <w:rsid w:val="0051550A"/>
    <w:rsid w:val="00515E31"/>
    <w:rsid w:val="0051608F"/>
    <w:rsid w:val="00516480"/>
    <w:rsid w:val="005171F4"/>
    <w:rsid w:val="005173D3"/>
    <w:rsid w:val="00517A4E"/>
    <w:rsid w:val="00520EF8"/>
    <w:rsid w:val="005210F7"/>
    <w:rsid w:val="00521753"/>
    <w:rsid w:val="00521C64"/>
    <w:rsid w:val="00522083"/>
    <w:rsid w:val="0052239D"/>
    <w:rsid w:val="005224EE"/>
    <w:rsid w:val="005225BC"/>
    <w:rsid w:val="00522879"/>
    <w:rsid w:val="005229AD"/>
    <w:rsid w:val="00522FFE"/>
    <w:rsid w:val="0052363A"/>
    <w:rsid w:val="00523BB1"/>
    <w:rsid w:val="005241A0"/>
    <w:rsid w:val="00524B23"/>
    <w:rsid w:val="0052511C"/>
    <w:rsid w:val="00525235"/>
    <w:rsid w:val="0052570E"/>
    <w:rsid w:val="005260CD"/>
    <w:rsid w:val="00526265"/>
    <w:rsid w:val="00526332"/>
    <w:rsid w:val="0052655D"/>
    <w:rsid w:val="005265E0"/>
    <w:rsid w:val="00526BC3"/>
    <w:rsid w:val="00530064"/>
    <w:rsid w:val="00530440"/>
    <w:rsid w:val="005305D2"/>
    <w:rsid w:val="00530691"/>
    <w:rsid w:val="0053085C"/>
    <w:rsid w:val="00530FF0"/>
    <w:rsid w:val="005311F0"/>
    <w:rsid w:val="005313CA"/>
    <w:rsid w:val="00531761"/>
    <w:rsid w:val="0053248F"/>
    <w:rsid w:val="005327AB"/>
    <w:rsid w:val="00532F9C"/>
    <w:rsid w:val="00533055"/>
    <w:rsid w:val="0053332A"/>
    <w:rsid w:val="0053358A"/>
    <w:rsid w:val="00534465"/>
    <w:rsid w:val="00534668"/>
    <w:rsid w:val="005348CA"/>
    <w:rsid w:val="00534B28"/>
    <w:rsid w:val="00534DDD"/>
    <w:rsid w:val="00535291"/>
    <w:rsid w:val="00535A94"/>
    <w:rsid w:val="00536A40"/>
    <w:rsid w:val="00537874"/>
    <w:rsid w:val="0053795F"/>
    <w:rsid w:val="00537D3D"/>
    <w:rsid w:val="00540511"/>
    <w:rsid w:val="00540578"/>
    <w:rsid w:val="00540808"/>
    <w:rsid w:val="0054080E"/>
    <w:rsid w:val="00540D1A"/>
    <w:rsid w:val="00540DE5"/>
    <w:rsid w:val="00540EA1"/>
    <w:rsid w:val="00541E5A"/>
    <w:rsid w:val="00542769"/>
    <w:rsid w:val="0054277D"/>
    <w:rsid w:val="0054298C"/>
    <w:rsid w:val="00543066"/>
    <w:rsid w:val="0054358E"/>
    <w:rsid w:val="00543AF4"/>
    <w:rsid w:val="00543CD2"/>
    <w:rsid w:val="00543F53"/>
    <w:rsid w:val="00544191"/>
    <w:rsid w:val="0054440C"/>
    <w:rsid w:val="005448EC"/>
    <w:rsid w:val="00544C0A"/>
    <w:rsid w:val="00544F39"/>
    <w:rsid w:val="005452DC"/>
    <w:rsid w:val="005457FB"/>
    <w:rsid w:val="00545C5B"/>
    <w:rsid w:val="00546B96"/>
    <w:rsid w:val="00546F90"/>
    <w:rsid w:val="005477F7"/>
    <w:rsid w:val="00547EFB"/>
    <w:rsid w:val="00550186"/>
    <w:rsid w:val="00550192"/>
    <w:rsid w:val="0055037E"/>
    <w:rsid w:val="00550BD9"/>
    <w:rsid w:val="005513EB"/>
    <w:rsid w:val="005522F2"/>
    <w:rsid w:val="005531DF"/>
    <w:rsid w:val="00553874"/>
    <w:rsid w:val="00553DCE"/>
    <w:rsid w:val="00553F4B"/>
    <w:rsid w:val="005541E0"/>
    <w:rsid w:val="005543B3"/>
    <w:rsid w:val="00554577"/>
    <w:rsid w:val="005545A1"/>
    <w:rsid w:val="00554AD8"/>
    <w:rsid w:val="00554F78"/>
    <w:rsid w:val="00555DA1"/>
    <w:rsid w:val="005562FB"/>
    <w:rsid w:val="00556731"/>
    <w:rsid w:val="00556BF7"/>
    <w:rsid w:val="00556C70"/>
    <w:rsid w:val="00556E53"/>
    <w:rsid w:val="00556FF1"/>
    <w:rsid w:val="0055745C"/>
    <w:rsid w:val="00557F60"/>
    <w:rsid w:val="00560D81"/>
    <w:rsid w:val="00561730"/>
    <w:rsid w:val="00561913"/>
    <w:rsid w:val="00561B97"/>
    <w:rsid w:val="00562149"/>
    <w:rsid w:val="00562285"/>
    <w:rsid w:val="0056248C"/>
    <w:rsid w:val="005640EB"/>
    <w:rsid w:val="00565559"/>
    <w:rsid w:val="00565911"/>
    <w:rsid w:val="005666A4"/>
    <w:rsid w:val="00567B5D"/>
    <w:rsid w:val="00570593"/>
    <w:rsid w:val="00570757"/>
    <w:rsid w:val="00570921"/>
    <w:rsid w:val="0057257D"/>
    <w:rsid w:val="00572DBE"/>
    <w:rsid w:val="00573293"/>
    <w:rsid w:val="00573733"/>
    <w:rsid w:val="00573DBC"/>
    <w:rsid w:val="00573E08"/>
    <w:rsid w:val="00573F8B"/>
    <w:rsid w:val="005743E0"/>
    <w:rsid w:val="00574554"/>
    <w:rsid w:val="00574E06"/>
    <w:rsid w:val="005751BB"/>
    <w:rsid w:val="00575713"/>
    <w:rsid w:val="00576089"/>
    <w:rsid w:val="005764B1"/>
    <w:rsid w:val="00576852"/>
    <w:rsid w:val="00576D06"/>
    <w:rsid w:val="005779E4"/>
    <w:rsid w:val="00577E82"/>
    <w:rsid w:val="00580B89"/>
    <w:rsid w:val="00580EC7"/>
    <w:rsid w:val="005813FA"/>
    <w:rsid w:val="00581EA9"/>
    <w:rsid w:val="005826D2"/>
    <w:rsid w:val="0058289C"/>
    <w:rsid w:val="005836C7"/>
    <w:rsid w:val="00583A83"/>
    <w:rsid w:val="0058408E"/>
    <w:rsid w:val="005844C3"/>
    <w:rsid w:val="005847D9"/>
    <w:rsid w:val="00584909"/>
    <w:rsid w:val="00585374"/>
    <w:rsid w:val="005854CA"/>
    <w:rsid w:val="00585FAB"/>
    <w:rsid w:val="0058607D"/>
    <w:rsid w:val="00590B77"/>
    <w:rsid w:val="00590D9A"/>
    <w:rsid w:val="005913A3"/>
    <w:rsid w:val="005919E6"/>
    <w:rsid w:val="00591A5A"/>
    <w:rsid w:val="005929D8"/>
    <w:rsid w:val="00592C40"/>
    <w:rsid w:val="00593B28"/>
    <w:rsid w:val="00593C06"/>
    <w:rsid w:val="005940D4"/>
    <w:rsid w:val="00594A7B"/>
    <w:rsid w:val="0059580E"/>
    <w:rsid w:val="00595D90"/>
    <w:rsid w:val="00596A6F"/>
    <w:rsid w:val="00596D11"/>
    <w:rsid w:val="00596FCE"/>
    <w:rsid w:val="00597A4D"/>
    <w:rsid w:val="005A0300"/>
    <w:rsid w:val="005A11BC"/>
    <w:rsid w:val="005A1525"/>
    <w:rsid w:val="005A16F6"/>
    <w:rsid w:val="005A188D"/>
    <w:rsid w:val="005A1A61"/>
    <w:rsid w:val="005A1E17"/>
    <w:rsid w:val="005A252B"/>
    <w:rsid w:val="005A2A8F"/>
    <w:rsid w:val="005A3008"/>
    <w:rsid w:val="005A3204"/>
    <w:rsid w:val="005A3341"/>
    <w:rsid w:val="005A3C3D"/>
    <w:rsid w:val="005A46EC"/>
    <w:rsid w:val="005A5EAE"/>
    <w:rsid w:val="005A5EB8"/>
    <w:rsid w:val="005A6407"/>
    <w:rsid w:val="005A726C"/>
    <w:rsid w:val="005A79CF"/>
    <w:rsid w:val="005A7DDF"/>
    <w:rsid w:val="005B05D8"/>
    <w:rsid w:val="005B07EC"/>
    <w:rsid w:val="005B21B0"/>
    <w:rsid w:val="005B2899"/>
    <w:rsid w:val="005B2B11"/>
    <w:rsid w:val="005B32A4"/>
    <w:rsid w:val="005B3371"/>
    <w:rsid w:val="005B338D"/>
    <w:rsid w:val="005B33A1"/>
    <w:rsid w:val="005B3852"/>
    <w:rsid w:val="005B3BAF"/>
    <w:rsid w:val="005B43D5"/>
    <w:rsid w:val="005B4470"/>
    <w:rsid w:val="005B479B"/>
    <w:rsid w:val="005B4DA3"/>
    <w:rsid w:val="005B4E69"/>
    <w:rsid w:val="005B536A"/>
    <w:rsid w:val="005B5BEE"/>
    <w:rsid w:val="005B6AA9"/>
    <w:rsid w:val="005B77D2"/>
    <w:rsid w:val="005B7BDA"/>
    <w:rsid w:val="005C0164"/>
    <w:rsid w:val="005C0195"/>
    <w:rsid w:val="005C019B"/>
    <w:rsid w:val="005C08D0"/>
    <w:rsid w:val="005C14A0"/>
    <w:rsid w:val="005C15A1"/>
    <w:rsid w:val="005C1AED"/>
    <w:rsid w:val="005C1FCB"/>
    <w:rsid w:val="005C2136"/>
    <w:rsid w:val="005C290E"/>
    <w:rsid w:val="005C30F5"/>
    <w:rsid w:val="005C3571"/>
    <w:rsid w:val="005C3840"/>
    <w:rsid w:val="005C3AD8"/>
    <w:rsid w:val="005C426B"/>
    <w:rsid w:val="005C5084"/>
    <w:rsid w:val="005C519C"/>
    <w:rsid w:val="005C51A5"/>
    <w:rsid w:val="005C557A"/>
    <w:rsid w:val="005C566F"/>
    <w:rsid w:val="005C5B5C"/>
    <w:rsid w:val="005C5BF5"/>
    <w:rsid w:val="005C5C47"/>
    <w:rsid w:val="005C5D2D"/>
    <w:rsid w:val="005C5EFA"/>
    <w:rsid w:val="005C61DD"/>
    <w:rsid w:val="005C6438"/>
    <w:rsid w:val="005C64D2"/>
    <w:rsid w:val="005C6B8B"/>
    <w:rsid w:val="005C6E67"/>
    <w:rsid w:val="005C727F"/>
    <w:rsid w:val="005C7B0E"/>
    <w:rsid w:val="005C7B20"/>
    <w:rsid w:val="005D02E3"/>
    <w:rsid w:val="005D1419"/>
    <w:rsid w:val="005D1F34"/>
    <w:rsid w:val="005D284B"/>
    <w:rsid w:val="005D2C1F"/>
    <w:rsid w:val="005D34B2"/>
    <w:rsid w:val="005D3B54"/>
    <w:rsid w:val="005D3BB3"/>
    <w:rsid w:val="005D3E28"/>
    <w:rsid w:val="005D40CD"/>
    <w:rsid w:val="005D6B59"/>
    <w:rsid w:val="005D71C3"/>
    <w:rsid w:val="005D74D2"/>
    <w:rsid w:val="005D784B"/>
    <w:rsid w:val="005D7B90"/>
    <w:rsid w:val="005D7DE0"/>
    <w:rsid w:val="005E00AF"/>
    <w:rsid w:val="005E03E4"/>
    <w:rsid w:val="005E0454"/>
    <w:rsid w:val="005E05F6"/>
    <w:rsid w:val="005E19CF"/>
    <w:rsid w:val="005E1B9D"/>
    <w:rsid w:val="005E1BDA"/>
    <w:rsid w:val="005E1FCB"/>
    <w:rsid w:val="005E1FE5"/>
    <w:rsid w:val="005E2442"/>
    <w:rsid w:val="005E2768"/>
    <w:rsid w:val="005E3111"/>
    <w:rsid w:val="005E3B1C"/>
    <w:rsid w:val="005E3CA0"/>
    <w:rsid w:val="005E3D11"/>
    <w:rsid w:val="005E3D25"/>
    <w:rsid w:val="005E3F85"/>
    <w:rsid w:val="005E4A5F"/>
    <w:rsid w:val="005E4D86"/>
    <w:rsid w:val="005E4F8C"/>
    <w:rsid w:val="005E516A"/>
    <w:rsid w:val="005E52F5"/>
    <w:rsid w:val="005E57B0"/>
    <w:rsid w:val="005E5A0F"/>
    <w:rsid w:val="005E5B01"/>
    <w:rsid w:val="005E648D"/>
    <w:rsid w:val="005E6D3B"/>
    <w:rsid w:val="005E7EDD"/>
    <w:rsid w:val="005F009E"/>
    <w:rsid w:val="005F06A3"/>
    <w:rsid w:val="005F0BF9"/>
    <w:rsid w:val="005F0DF1"/>
    <w:rsid w:val="005F1516"/>
    <w:rsid w:val="005F1A6F"/>
    <w:rsid w:val="005F229E"/>
    <w:rsid w:val="005F2564"/>
    <w:rsid w:val="005F3822"/>
    <w:rsid w:val="005F4635"/>
    <w:rsid w:val="005F46B7"/>
    <w:rsid w:val="005F4900"/>
    <w:rsid w:val="005F4B6B"/>
    <w:rsid w:val="005F4E52"/>
    <w:rsid w:val="005F4F34"/>
    <w:rsid w:val="005F5466"/>
    <w:rsid w:val="005F6D58"/>
    <w:rsid w:val="005F6DF6"/>
    <w:rsid w:val="005F7060"/>
    <w:rsid w:val="005F7383"/>
    <w:rsid w:val="005F76BD"/>
    <w:rsid w:val="005F7A58"/>
    <w:rsid w:val="0060058E"/>
    <w:rsid w:val="00602A3C"/>
    <w:rsid w:val="00602A54"/>
    <w:rsid w:val="00602A60"/>
    <w:rsid w:val="0060377B"/>
    <w:rsid w:val="00603B89"/>
    <w:rsid w:val="00603EFD"/>
    <w:rsid w:val="0060475B"/>
    <w:rsid w:val="00604BED"/>
    <w:rsid w:val="00604FB6"/>
    <w:rsid w:val="00605387"/>
    <w:rsid w:val="00606302"/>
    <w:rsid w:val="006076FD"/>
    <w:rsid w:val="0061036A"/>
    <w:rsid w:val="00610470"/>
    <w:rsid w:val="006107B1"/>
    <w:rsid w:val="00610811"/>
    <w:rsid w:val="0061143F"/>
    <w:rsid w:val="006114D8"/>
    <w:rsid w:val="00611800"/>
    <w:rsid w:val="00611CA1"/>
    <w:rsid w:val="00612685"/>
    <w:rsid w:val="00613553"/>
    <w:rsid w:val="00613601"/>
    <w:rsid w:val="00613791"/>
    <w:rsid w:val="006143F9"/>
    <w:rsid w:val="00614CD4"/>
    <w:rsid w:val="006150D6"/>
    <w:rsid w:val="00615245"/>
    <w:rsid w:val="0061525A"/>
    <w:rsid w:val="0061526D"/>
    <w:rsid w:val="00615788"/>
    <w:rsid w:val="0061590D"/>
    <w:rsid w:val="00615C84"/>
    <w:rsid w:val="00617EEE"/>
    <w:rsid w:val="00620A1F"/>
    <w:rsid w:val="0062169D"/>
    <w:rsid w:val="00621737"/>
    <w:rsid w:val="0062181E"/>
    <w:rsid w:val="0062197C"/>
    <w:rsid w:val="0062211B"/>
    <w:rsid w:val="0062227E"/>
    <w:rsid w:val="00622827"/>
    <w:rsid w:val="006228D3"/>
    <w:rsid w:val="00622BB7"/>
    <w:rsid w:val="00622C1E"/>
    <w:rsid w:val="00623389"/>
    <w:rsid w:val="00623DAA"/>
    <w:rsid w:val="00623FAF"/>
    <w:rsid w:val="0062460C"/>
    <w:rsid w:val="00624B3E"/>
    <w:rsid w:val="00624D82"/>
    <w:rsid w:val="00625337"/>
    <w:rsid w:val="0062578C"/>
    <w:rsid w:val="006259B6"/>
    <w:rsid w:val="00625A24"/>
    <w:rsid w:val="006265C4"/>
    <w:rsid w:val="0062678A"/>
    <w:rsid w:val="00626AF1"/>
    <w:rsid w:val="00626FCA"/>
    <w:rsid w:val="006270AF"/>
    <w:rsid w:val="00627237"/>
    <w:rsid w:val="00631184"/>
    <w:rsid w:val="00631864"/>
    <w:rsid w:val="00632F83"/>
    <w:rsid w:val="00634367"/>
    <w:rsid w:val="006355C2"/>
    <w:rsid w:val="006360AD"/>
    <w:rsid w:val="006364D7"/>
    <w:rsid w:val="00636554"/>
    <w:rsid w:val="006367E9"/>
    <w:rsid w:val="00636CE3"/>
    <w:rsid w:val="00640082"/>
    <w:rsid w:val="00640291"/>
    <w:rsid w:val="0064058C"/>
    <w:rsid w:val="00640EFE"/>
    <w:rsid w:val="00641020"/>
    <w:rsid w:val="00641D6D"/>
    <w:rsid w:val="00641E5B"/>
    <w:rsid w:val="00641FAC"/>
    <w:rsid w:val="00643664"/>
    <w:rsid w:val="006437ED"/>
    <w:rsid w:val="00643A99"/>
    <w:rsid w:val="00643CAA"/>
    <w:rsid w:val="006447C9"/>
    <w:rsid w:val="00644F16"/>
    <w:rsid w:val="006455EB"/>
    <w:rsid w:val="006456C2"/>
    <w:rsid w:val="00645A65"/>
    <w:rsid w:val="00646959"/>
    <w:rsid w:val="006477F0"/>
    <w:rsid w:val="006478E4"/>
    <w:rsid w:val="00647FD1"/>
    <w:rsid w:val="006509EA"/>
    <w:rsid w:val="0065164D"/>
    <w:rsid w:val="0065171A"/>
    <w:rsid w:val="00652680"/>
    <w:rsid w:val="00653CDE"/>
    <w:rsid w:val="00653EDB"/>
    <w:rsid w:val="00654585"/>
    <w:rsid w:val="006548E4"/>
    <w:rsid w:val="00654AC8"/>
    <w:rsid w:val="0065566E"/>
    <w:rsid w:val="00655999"/>
    <w:rsid w:val="00655AB6"/>
    <w:rsid w:val="00655C67"/>
    <w:rsid w:val="00655E2B"/>
    <w:rsid w:val="00655EFA"/>
    <w:rsid w:val="00656061"/>
    <w:rsid w:val="00656281"/>
    <w:rsid w:val="0065636A"/>
    <w:rsid w:val="00656BFC"/>
    <w:rsid w:val="00657003"/>
    <w:rsid w:val="00657428"/>
    <w:rsid w:val="00657CE2"/>
    <w:rsid w:val="00660238"/>
    <w:rsid w:val="006602EF"/>
    <w:rsid w:val="00661277"/>
    <w:rsid w:val="006619E0"/>
    <w:rsid w:val="00663FEA"/>
    <w:rsid w:val="00664803"/>
    <w:rsid w:val="00664934"/>
    <w:rsid w:val="00664D53"/>
    <w:rsid w:val="00664EB7"/>
    <w:rsid w:val="006657C5"/>
    <w:rsid w:val="00665874"/>
    <w:rsid w:val="00665D75"/>
    <w:rsid w:val="00666186"/>
    <w:rsid w:val="006661A4"/>
    <w:rsid w:val="00666433"/>
    <w:rsid w:val="00666A63"/>
    <w:rsid w:val="00666AC0"/>
    <w:rsid w:val="006670E0"/>
    <w:rsid w:val="006671B8"/>
    <w:rsid w:val="00667275"/>
    <w:rsid w:val="00667532"/>
    <w:rsid w:val="0066783E"/>
    <w:rsid w:val="00667E53"/>
    <w:rsid w:val="006704DF"/>
    <w:rsid w:val="00670A64"/>
    <w:rsid w:val="00670D03"/>
    <w:rsid w:val="006711C4"/>
    <w:rsid w:val="006713AB"/>
    <w:rsid w:val="00672680"/>
    <w:rsid w:val="00672A3A"/>
    <w:rsid w:val="00672CA5"/>
    <w:rsid w:val="006733ED"/>
    <w:rsid w:val="00673711"/>
    <w:rsid w:val="00673CDA"/>
    <w:rsid w:val="00673F82"/>
    <w:rsid w:val="00674F74"/>
    <w:rsid w:val="0067508F"/>
    <w:rsid w:val="006752B2"/>
    <w:rsid w:val="00676B25"/>
    <w:rsid w:val="00676B3E"/>
    <w:rsid w:val="0067704E"/>
    <w:rsid w:val="00677576"/>
    <w:rsid w:val="0068051E"/>
    <w:rsid w:val="00680B9D"/>
    <w:rsid w:val="00680DF1"/>
    <w:rsid w:val="00681F13"/>
    <w:rsid w:val="0068231C"/>
    <w:rsid w:val="00682344"/>
    <w:rsid w:val="00682C87"/>
    <w:rsid w:val="00682F28"/>
    <w:rsid w:val="006834F9"/>
    <w:rsid w:val="00683515"/>
    <w:rsid w:val="00683AB2"/>
    <w:rsid w:val="00684842"/>
    <w:rsid w:val="006856CA"/>
    <w:rsid w:val="00685789"/>
    <w:rsid w:val="006859AA"/>
    <w:rsid w:val="00685BD6"/>
    <w:rsid w:val="00686A20"/>
    <w:rsid w:val="00687116"/>
    <w:rsid w:val="006872D2"/>
    <w:rsid w:val="006878A6"/>
    <w:rsid w:val="00687D5F"/>
    <w:rsid w:val="00687F2E"/>
    <w:rsid w:val="00690437"/>
    <w:rsid w:val="00690623"/>
    <w:rsid w:val="00690DC3"/>
    <w:rsid w:val="00690E65"/>
    <w:rsid w:val="006911B7"/>
    <w:rsid w:val="00691387"/>
    <w:rsid w:val="006915C2"/>
    <w:rsid w:val="0069188E"/>
    <w:rsid w:val="00691974"/>
    <w:rsid w:val="00692584"/>
    <w:rsid w:val="00692BF6"/>
    <w:rsid w:val="00692C92"/>
    <w:rsid w:val="00692CA6"/>
    <w:rsid w:val="00692CE6"/>
    <w:rsid w:val="00693186"/>
    <w:rsid w:val="00693381"/>
    <w:rsid w:val="006936E4"/>
    <w:rsid w:val="00693B6C"/>
    <w:rsid w:val="006942AE"/>
    <w:rsid w:val="0069464B"/>
    <w:rsid w:val="006947A1"/>
    <w:rsid w:val="00695421"/>
    <w:rsid w:val="00696A9C"/>
    <w:rsid w:val="006970BF"/>
    <w:rsid w:val="00697BD3"/>
    <w:rsid w:val="00697DFA"/>
    <w:rsid w:val="006A12BA"/>
    <w:rsid w:val="006A16D5"/>
    <w:rsid w:val="006A1772"/>
    <w:rsid w:val="006A1780"/>
    <w:rsid w:val="006A1851"/>
    <w:rsid w:val="006A21DD"/>
    <w:rsid w:val="006A234F"/>
    <w:rsid w:val="006A25F0"/>
    <w:rsid w:val="006A26C6"/>
    <w:rsid w:val="006A2DCC"/>
    <w:rsid w:val="006A3302"/>
    <w:rsid w:val="006A34AF"/>
    <w:rsid w:val="006A38DA"/>
    <w:rsid w:val="006A3B28"/>
    <w:rsid w:val="006A47DC"/>
    <w:rsid w:val="006A4A4B"/>
    <w:rsid w:val="006A4FEE"/>
    <w:rsid w:val="006A5522"/>
    <w:rsid w:val="006A5549"/>
    <w:rsid w:val="006A59CC"/>
    <w:rsid w:val="006A6182"/>
    <w:rsid w:val="006A6574"/>
    <w:rsid w:val="006A703E"/>
    <w:rsid w:val="006A7BE3"/>
    <w:rsid w:val="006A7D32"/>
    <w:rsid w:val="006A7E1A"/>
    <w:rsid w:val="006B01D1"/>
    <w:rsid w:val="006B0C04"/>
    <w:rsid w:val="006B0DF4"/>
    <w:rsid w:val="006B1214"/>
    <w:rsid w:val="006B16EA"/>
    <w:rsid w:val="006B1780"/>
    <w:rsid w:val="006B1B60"/>
    <w:rsid w:val="006B1C80"/>
    <w:rsid w:val="006B21DC"/>
    <w:rsid w:val="006B224E"/>
    <w:rsid w:val="006B2349"/>
    <w:rsid w:val="006B25FA"/>
    <w:rsid w:val="006B2943"/>
    <w:rsid w:val="006B2C00"/>
    <w:rsid w:val="006B351F"/>
    <w:rsid w:val="006B376E"/>
    <w:rsid w:val="006B4128"/>
    <w:rsid w:val="006B4589"/>
    <w:rsid w:val="006B4CFA"/>
    <w:rsid w:val="006B5157"/>
    <w:rsid w:val="006B5E49"/>
    <w:rsid w:val="006B610E"/>
    <w:rsid w:val="006B6805"/>
    <w:rsid w:val="006B6C07"/>
    <w:rsid w:val="006B6DE0"/>
    <w:rsid w:val="006B723D"/>
    <w:rsid w:val="006B7DEE"/>
    <w:rsid w:val="006C1337"/>
    <w:rsid w:val="006C16C3"/>
    <w:rsid w:val="006C1FA6"/>
    <w:rsid w:val="006C2187"/>
    <w:rsid w:val="006C2588"/>
    <w:rsid w:val="006C27D9"/>
    <w:rsid w:val="006C32F4"/>
    <w:rsid w:val="006C3C54"/>
    <w:rsid w:val="006C3CA5"/>
    <w:rsid w:val="006C3CAA"/>
    <w:rsid w:val="006C4B6B"/>
    <w:rsid w:val="006C4CE1"/>
    <w:rsid w:val="006C4F9F"/>
    <w:rsid w:val="006C54B1"/>
    <w:rsid w:val="006C71A2"/>
    <w:rsid w:val="006C73EC"/>
    <w:rsid w:val="006D0997"/>
    <w:rsid w:val="006D0C1D"/>
    <w:rsid w:val="006D1BB1"/>
    <w:rsid w:val="006D2519"/>
    <w:rsid w:val="006D28F3"/>
    <w:rsid w:val="006D2E9D"/>
    <w:rsid w:val="006D31F0"/>
    <w:rsid w:val="006D3B48"/>
    <w:rsid w:val="006D4305"/>
    <w:rsid w:val="006D4A4E"/>
    <w:rsid w:val="006D4C42"/>
    <w:rsid w:val="006D4CF3"/>
    <w:rsid w:val="006D5067"/>
    <w:rsid w:val="006D5389"/>
    <w:rsid w:val="006D53A2"/>
    <w:rsid w:val="006D5809"/>
    <w:rsid w:val="006D607E"/>
    <w:rsid w:val="006D6E12"/>
    <w:rsid w:val="006D70CB"/>
    <w:rsid w:val="006D715C"/>
    <w:rsid w:val="006D7363"/>
    <w:rsid w:val="006D774E"/>
    <w:rsid w:val="006D7F08"/>
    <w:rsid w:val="006E0754"/>
    <w:rsid w:val="006E1481"/>
    <w:rsid w:val="006E19A4"/>
    <w:rsid w:val="006E1D1D"/>
    <w:rsid w:val="006E2668"/>
    <w:rsid w:val="006E2C88"/>
    <w:rsid w:val="006E2D39"/>
    <w:rsid w:val="006E2FE9"/>
    <w:rsid w:val="006E30A2"/>
    <w:rsid w:val="006E32B0"/>
    <w:rsid w:val="006E348E"/>
    <w:rsid w:val="006E396A"/>
    <w:rsid w:val="006E3D63"/>
    <w:rsid w:val="006E445C"/>
    <w:rsid w:val="006E4632"/>
    <w:rsid w:val="006E4998"/>
    <w:rsid w:val="006E4B31"/>
    <w:rsid w:val="006E58BF"/>
    <w:rsid w:val="006E5CE6"/>
    <w:rsid w:val="006E5DD8"/>
    <w:rsid w:val="006E5EA1"/>
    <w:rsid w:val="006E6BE5"/>
    <w:rsid w:val="006E6DEE"/>
    <w:rsid w:val="006E6F44"/>
    <w:rsid w:val="006E7D4B"/>
    <w:rsid w:val="006E7F32"/>
    <w:rsid w:val="006F018A"/>
    <w:rsid w:val="006F0760"/>
    <w:rsid w:val="006F0D30"/>
    <w:rsid w:val="006F11E2"/>
    <w:rsid w:val="006F1A50"/>
    <w:rsid w:val="006F1A67"/>
    <w:rsid w:val="006F2574"/>
    <w:rsid w:val="006F292D"/>
    <w:rsid w:val="006F3231"/>
    <w:rsid w:val="006F3DE3"/>
    <w:rsid w:val="006F4787"/>
    <w:rsid w:val="006F4B8F"/>
    <w:rsid w:val="006F57E6"/>
    <w:rsid w:val="006F5E2E"/>
    <w:rsid w:val="006F61D8"/>
    <w:rsid w:val="006F62B7"/>
    <w:rsid w:val="006F63E7"/>
    <w:rsid w:val="006F70BC"/>
    <w:rsid w:val="006F726C"/>
    <w:rsid w:val="006F7A22"/>
    <w:rsid w:val="006F7E7C"/>
    <w:rsid w:val="006F7F66"/>
    <w:rsid w:val="006F7F85"/>
    <w:rsid w:val="006F7FEA"/>
    <w:rsid w:val="00700C5B"/>
    <w:rsid w:val="00701329"/>
    <w:rsid w:val="0070174E"/>
    <w:rsid w:val="007018DB"/>
    <w:rsid w:val="00701DE6"/>
    <w:rsid w:val="00702740"/>
    <w:rsid w:val="007028E3"/>
    <w:rsid w:val="00703407"/>
    <w:rsid w:val="0070381B"/>
    <w:rsid w:val="00703F81"/>
    <w:rsid w:val="007041BC"/>
    <w:rsid w:val="00704CC8"/>
    <w:rsid w:val="00706759"/>
    <w:rsid w:val="0070796C"/>
    <w:rsid w:val="007109BB"/>
    <w:rsid w:val="00710B2D"/>
    <w:rsid w:val="00710EBF"/>
    <w:rsid w:val="007110B8"/>
    <w:rsid w:val="00711A7A"/>
    <w:rsid w:val="00711CD1"/>
    <w:rsid w:val="0071209F"/>
    <w:rsid w:val="007123F0"/>
    <w:rsid w:val="007125A2"/>
    <w:rsid w:val="007126FC"/>
    <w:rsid w:val="00712A68"/>
    <w:rsid w:val="00713DD9"/>
    <w:rsid w:val="00713F79"/>
    <w:rsid w:val="0071477B"/>
    <w:rsid w:val="007148A8"/>
    <w:rsid w:val="00714A29"/>
    <w:rsid w:val="007153E7"/>
    <w:rsid w:val="00715C70"/>
    <w:rsid w:val="00715E44"/>
    <w:rsid w:val="007164B0"/>
    <w:rsid w:val="00716AC8"/>
    <w:rsid w:val="00716E54"/>
    <w:rsid w:val="00717280"/>
    <w:rsid w:val="007202D2"/>
    <w:rsid w:val="0072033C"/>
    <w:rsid w:val="00720B1B"/>
    <w:rsid w:val="00720C76"/>
    <w:rsid w:val="00721062"/>
    <w:rsid w:val="00721366"/>
    <w:rsid w:val="00721454"/>
    <w:rsid w:val="00721D3D"/>
    <w:rsid w:val="00721E5D"/>
    <w:rsid w:val="007229D4"/>
    <w:rsid w:val="00722C42"/>
    <w:rsid w:val="00722E35"/>
    <w:rsid w:val="007230F8"/>
    <w:rsid w:val="007233F4"/>
    <w:rsid w:val="007235E3"/>
    <w:rsid w:val="0072381D"/>
    <w:rsid w:val="00724044"/>
    <w:rsid w:val="007240DB"/>
    <w:rsid w:val="00724120"/>
    <w:rsid w:val="007243F2"/>
    <w:rsid w:val="007248D3"/>
    <w:rsid w:val="00724B75"/>
    <w:rsid w:val="00724DF8"/>
    <w:rsid w:val="00725137"/>
    <w:rsid w:val="00725378"/>
    <w:rsid w:val="00725C31"/>
    <w:rsid w:val="00727795"/>
    <w:rsid w:val="00727A43"/>
    <w:rsid w:val="00727DBF"/>
    <w:rsid w:val="00727FF2"/>
    <w:rsid w:val="00727FFD"/>
    <w:rsid w:val="00730550"/>
    <w:rsid w:val="00730C2A"/>
    <w:rsid w:val="00730DF1"/>
    <w:rsid w:val="00731125"/>
    <w:rsid w:val="00731434"/>
    <w:rsid w:val="0073165D"/>
    <w:rsid w:val="00731E59"/>
    <w:rsid w:val="007323E0"/>
    <w:rsid w:val="00732911"/>
    <w:rsid w:val="00733721"/>
    <w:rsid w:val="00733965"/>
    <w:rsid w:val="00733DE2"/>
    <w:rsid w:val="00734142"/>
    <w:rsid w:val="00734358"/>
    <w:rsid w:val="007352AB"/>
    <w:rsid w:val="007352EA"/>
    <w:rsid w:val="00735DD6"/>
    <w:rsid w:val="007362CC"/>
    <w:rsid w:val="0073792F"/>
    <w:rsid w:val="00737CB3"/>
    <w:rsid w:val="00740C81"/>
    <w:rsid w:val="00740DA6"/>
    <w:rsid w:val="0074197B"/>
    <w:rsid w:val="00741B4B"/>
    <w:rsid w:val="00741D1E"/>
    <w:rsid w:val="00741DD6"/>
    <w:rsid w:val="00741EE2"/>
    <w:rsid w:val="0074207F"/>
    <w:rsid w:val="00742118"/>
    <w:rsid w:val="00742367"/>
    <w:rsid w:val="00742CBD"/>
    <w:rsid w:val="00742EAA"/>
    <w:rsid w:val="00743360"/>
    <w:rsid w:val="00743818"/>
    <w:rsid w:val="00743857"/>
    <w:rsid w:val="0074411D"/>
    <w:rsid w:val="007441C7"/>
    <w:rsid w:val="007441FB"/>
    <w:rsid w:val="007444D7"/>
    <w:rsid w:val="00744517"/>
    <w:rsid w:val="0074522A"/>
    <w:rsid w:val="00745D90"/>
    <w:rsid w:val="007465D3"/>
    <w:rsid w:val="00746AED"/>
    <w:rsid w:val="00747295"/>
    <w:rsid w:val="00747346"/>
    <w:rsid w:val="00747829"/>
    <w:rsid w:val="0074789C"/>
    <w:rsid w:val="00747D46"/>
    <w:rsid w:val="00747DE2"/>
    <w:rsid w:val="00747E6D"/>
    <w:rsid w:val="007502D0"/>
    <w:rsid w:val="007504BF"/>
    <w:rsid w:val="007506CD"/>
    <w:rsid w:val="0075267F"/>
    <w:rsid w:val="007526EC"/>
    <w:rsid w:val="00753B8A"/>
    <w:rsid w:val="00753C48"/>
    <w:rsid w:val="00754250"/>
    <w:rsid w:val="00754FE4"/>
    <w:rsid w:val="00755216"/>
    <w:rsid w:val="00756236"/>
    <w:rsid w:val="00756271"/>
    <w:rsid w:val="00756348"/>
    <w:rsid w:val="00756521"/>
    <w:rsid w:val="00756AB7"/>
    <w:rsid w:val="00757975"/>
    <w:rsid w:val="00760B3A"/>
    <w:rsid w:val="0076106D"/>
    <w:rsid w:val="007610DA"/>
    <w:rsid w:val="007623FB"/>
    <w:rsid w:val="00762517"/>
    <w:rsid w:val="00763191"/>
    <w:rsid w:val="00763240"/>
    <w:rsid w:val="0076376A"/>
    <w:rsid w:val="0076413A"/>
    <w:rsid w:val="007643A1"/>
    <w:rsid w:val="007648AD"/>
    <w:rsid w:val="0076504E"/>
    <w:rsid w:val="00765E8F"/>
    <w:rsid w:val="007660C0"/>
    <w:rsid w:val="0076767E"/>
    <w:rsid w:val="00767BFD"/>
    <w:rsid w:val="00767EA0"/>
    <w:rsid w:val="0077068F"/>
    <w:rsid w:val="00771C16"/>
    <w:rsid w:val="00771CB0"/>
    <w:rsid w:val="00771EDF"/>
    <w:rsid w:val="00772530"/>
    <w:rsid w:val="00772A90"/>
    <w:rsid w:val="00772F8D"/>
    <w:rsid w:val="0077408D"/>
    <w:rsid w:val="00774270"/>
    <w:rsid w:val="007743F6"/>
    <w:rsid w:val="00775679"/>
    <w:rsid w:val="0077574F"/>
    <w:rsid w:val="00775823"/>
    <w:rsid w:val="00775AB0"/>
    <w:rsid w:val="00775B63"/>
    <w:rsid w:val="00776206"/>
    <w:rsid w:val="00777153"/>
    <w:rsid w:val="007777CC"/>
    <w:rsid w:val="00777B32"/>
    <w:rsid w:val="0078010C"/>
    <w:rsid w:val="00780250"/>
    <w:rsid w:val="0078051E"/>
    <w:rsid w:val="00780A3E"/>
    <w:rsid w:val="00781089"/>
    <w:rsid w:val="007814DD"/>
    <w:rsid w:val="00781AC3"/>
    <w:rsid w:val="00781CB6"/>
    <w:rsid w:val="00782715"/>
    <w:rsid w:val="007838F3"/>
    <w:rsid w:val="0078419B"/>
    <w:rsid w:val="007853D6"/>
    <w:rsid w:val="00785612"/>
    <w:rsid w:val="007856FE"/>
    <w:rsid w:val="007857A0"/>
    <w:rsid w:val="00785A15"/>
    <w:rsid w:val="00785F46"/>
    <w:rsid w:val="007865F4"/>
    <w:rsid w:val="00786D5C"/>
    <w:rsid w:val="00786E96"/>
    <w:rsid w:val="00787BB6"/>
    <w:rsid w:val="00787DFF"/>
    <w:rsid w:val="00787F17"/>
    <w:rsid w:val="00787F93"/>
    <w:rsid w:val="00791E6D"/>
    <w:rsid w:val="00791EB5"/>
    <w:rsid w:val="00792377"/>
    <w:rsid w:val="0079343F"/>
    <w:rsid w:val="00793696"/>
    <w:rsid w:val="00793B8C"/>
    <w:rsid w:val="00793F13"/>
    <w:rsid w:val="007955DA"/>
    <w:rsid w:val="0079676B"/>
    <w:rsid w:val="00796A49"/>
    <w:rsid w:val="00796F65"/>
    <w:rsid w:val="00797813"/>
    <w:rsid w:val="007A11C2"/>
    <w:rsid w:val="007A1781"/>
    <w:rsid w:val="007A18BB"/>
    <w:rsid w:val="007A2489"/>
    <w:rsid w:val="007A27DD"/>
    <w:rsid w:val="007A2D2A"/>
    <w:rsid w:val="007A3C3F"/>
    <w:rsid w:val="007A41BF"/>
    <w:rsid w:val="007A490A"/>
    <w:rsid w:val="007A4F24"/>
    <w:rsid w:val="007A549E"/>
    <w:rsid w:val="007A54DC"/>
    <w:rsid w:val="007A5D50"/>
    <w:rsid w:val="007A6811"/>
    <w:rsid w:val="007A7289"/>
    <w:rsid w:val="007A7A78"/>
    <w:rsid w:val="007A7B95"/>
    <w:rsid w:val="007B0297"/>
    <w:rsid w:val="007B02FA"/>
    <w:rsid w:val="007B0F53"/>
    <w:rsid w:val="007B110A"/>
    <w:rsid w:val="007B1A4D"/>
    <w:rsid w:val="007B2027"/>
    <w:rsid w:val="007B21AE"/>
    <w:rsid w:val="007B2570"/>
    <w:rsid w:val="007B3113"/>
    <w:rsid w:val="007B3304"/>
    <w:rsid w:val="007B3BF0"/>
    <w:rsid w:val="007B6927"/>
    <w:rsid w:val="007B6B18"/>
    <w:rsid w:val="007B6D80"/>
    <w:rsid w:val="007B7490"/>
    <w:rsid w:val="007B7C17"/>
    <w:rsid w:val="007B7C61"/>
    <w:rsid w:val="007C00B9"/>
    <w:rsid w:val="007C0525"/>
    <w:rsid w:val="007C06DB"/>
    <w:rsid w:val="007C13F7"/>
    <w:rsid w:val="007C1D77"/>
    <w:rsid w:val="007C218D"/>
    <w:rsid w:val="007C2590"/>
    <w:rsid w:val="007C2C5B"/>
    <w:rsid w:val="007C2D28"/>
    <w:rsid w:val="007C3875"/>
    <w:rsid w:val="007C3E22"/>
    <w:rsid w:val="007C4DAF"/>
    <w:rsid w:val="007C58C1"/>
    <w:rsid w:val="007C5B39"/>
    <w:rsid w:val="007C6218"/>
    <w:rsid w:val="007C6484"/>
    <w:rsid w:val="007C67C6"/>
    <w:rsid w:val="007C7356"/>
    <w:rsid w:val="007C78BE"/>
    <w:rsid w:val="007C7A5D"/>
    <w:rsid w:val="007C7E59"/>
    <w:rsid w:val="007D0363"/>
    <w:rsid w:val="007D0476"/>
    <w:rsid w:val="007D0B91"/>
    <w:rsid w:val="007D0F24"/>
    <w:rsid w:val="007D0FE7"/>
    <w:rsid w:val="007D1197"/>
    <w:rsid w:val="007D1452"/>
    <w:rsid w:val="007D1563"/>
    <w:rsid w:val="007D1FC6"/>
    <w:rsid w:val="007D2367"/>
    <w:rsid w:val="007D26DC"/>
    <w:rsid w:val="007D2BFE"/>
    <w:rsid w:val="007D3983"/>
    <w:rsid w:val="007D3DCB"/>
    <w:rsid w:val="007D4601"/>
    <w:rsid w:val="007D460C"/>
    <w:rsid w:val="007D4996"/>
    <w:rsid w:val="007D4AD3"/>
    <w:rsid w:val="007D4E63"/>
    <w:rsid w:val="007D5C58"/>
    <w:rsid w:val="007D5D19"/>
    <w:rsid w:val="007D5FDC"/>
    <w:rsid w:val="007D6176"/>
    <w:rsid w:val="007D641C"/>
    <w:rsid w:val="007D69CD"/>
    <w:rsid w:val="007D6D68"/>
    <w:rsid w:val="007D715E"/>
    <w:rsid w:val="007D7A0D"/>
    <w:rsid w:val="007E03B4"/>
    <w:rsid w:val="007E066C"/>
    <w:rsid w:val="007E194F"/>
    <w:rsid w:val="007E201B"/>
    <w:rsid w:val="007E250B"/>
    <w:rsid w:val="007E2724"/>
    <w:rsid w:val="007E2EE9"/>
    <w:rsid w:val="007E32DA"/>
    <w:rsid w:val="007E3B12"/>
    <w:rsid w:val="007E3B29"/>
    <w:rsid w:val="007E3B6D"/>
    <w:rsid w:val="007E4998"/>
    <w:rsid w:val="007E4A9C"/>
    <w:rsid w:val="007E4B9D"/>
    <w:rsid w:val="007E5248"/>
    <w:rsid w:val="007E5C4F"/>
    <w:rsid w:val="007E6914"/>
    <w:rsid w:val="007E70FD"/>
    <w:rsid w:val="007E7F78"/>
    <w:rsid w:val="007F0179"/>
    <w:rsid w:val="007F0FF8"/>
    <w:rsid w:val="007F148A"/>
    <w:rsid w:val="007F159F"/>
    <w:rsid w:val="007F2640"/>
    <w:rsid w:val="007F2C13"/>
    <w:rsid w:val="007F2CEC"/>
    <w:rsid w:val="007F2ED1"/>
    <w:rsid w:val="007F3435"/>
    <w:rsid w:val="007F4D57"/>
    <w:rsid w:val="007F503A"/>
    <w:rsid w:val="007F505D"/>
    <w:rsid w:val="007F531B"/>
    <w:rsid w:val="007F54CF"/>
    <w:rsid w:val="007F55DE"/>
    <w:rsid w:val="007F5BAC"/>
    <w:rsid w:val="007F6153"/>
    <w:rsid w:val="007F6ACC"/>
    <w:rsid w:val="007F718F"/>
    <w:rsid w:val="007F762D"/>
    <w:rsid w:val="007F78B8"/>
    <w:rsid w:val="007F78F0"/>
    <w:rsid w:val="007F78FF"/>
    <w:rsid w:val="008001C5"/>
    <w:rsid w:val="00800F6C"/>
    <w:rsid w:val="00801065"/>
    <w:rsid w:val="0080148E"/>
    <w:rsid w:val="008015A1"/>
    <w:rsid w:val="008024CA"/>
    <w:rsid w:val="00802C0B"/>
    <w:rsid w:val="00802D83"/>
    <w:rsid w:val="0080319D"/>
    <w:rsid w:val="00803ADF"/>
    <w:rsid w:val="00803B8D"/>
    <w:rsid w:val="00803DF1"/>
    <w:rsid w:val="00804206"/>
    <w:rsid w:val="0080425E"/>
    <w:rsid w:val="00805040"/>
    <w:rsid w:val="008051FC"/>
    <w:rsid w:val="008055A9"/>
    <w:rsid w:val="008056C4"/>
    <w:rsid w:val="008057FD"/>
    <w:rsid w:val="00805D8B"/>
    <w:rsid w:val="00806C33"/>
    <w:rsid w:val="00806F21"/>
    <w:rsid w:val="00807BF7"/>
    <w:rsid w:val="0081010F"/>
    <w:rsid w:val="008109E0"/>
    <w:rsid w:val="00810BB6"/>
    <w:rsid w:val="00810E8E"/>
    <w:rsid w:val="00811A50"/>
    <w:rsid w:val="00812C44"/>
    <w:rsid w:val="008135E1"/>
    <w:rsid w:val="00813779"/>
    <w:rsid w:val="00813792"/>
    <w:rsid w:val="00813AA2"/>
    <w:rsid w:val="00813E26"/>
    <w:rsid w:val="00813EAD"/>
    <w:rsid w:val="00814321"/>
    <w:rsid w:val="0081481D"/>
    <w:rsid w:val="00814B60"/>
    <w:rsid w:val="00814BE8"/>
    <w:rsid w:val="00814D94"/>
    <w:rsid w:val="00814F6E"/>
    <w:rsid w:val="00815B84"/>
    <w:rsid w:val="00816342"/>
    <w:rsid w:val="008166F6"/>
    <w:rsid w:val="00816897"/>
    <w:rsid w:val="00816BE9"/>
    <w:rsid w:val="00817A39"/>
    <w:rsid w:val="00817D10"/>
    <w:rsid w:val="00821191"/>
    <w:rsid w:val="00822518"/>
    <w:rsid w:val="008225D3"/>
    <w:rsid w:val="008226F5"/>
    <w:rsid w:val="00823FAA"/>
    <w:rsid w:val="00823FC6"/>
    <w:rsid w:val="00824306"/>
    <w:rsid w:val="00824B1F"/>
    <w:rsid w:val="00825C74"/>
    <w:rsid w:val="00825CFA"/>
    <w:rsid w:val="00825F10"/>
    <w:rsid w:val="00826AB9"/>
    <w:rsid w:val="00826E0E"/>
    <w:rsid w:val="00826EB7"/>
    <w:rsid w:val="00827D11"/>
    <w:rsid w:val="00827E0F"/>
    <w:rsid w:val="00827F6E"/>
    <w:rsid w:val="0083077E"/>
    <w:rsid w:val="00830E66"/>
    <w:rsid w:val="00831758"/>
    <w:rsid w:val="008317D9"/>
    <w:rsid w:val="00831AEC"/>
    <w:rsid w:val="0083279F"/>
    <w:rsid w:val="00832CE9"/>
    <w:rsid w:val="008334DB"/>
    <w:rsid w:val="00833B7F"/>
    <w:rsid w:val="00833B82"/>
    <w:rsid w:val="00833D2C"/>
    <w:rsid w:val="00833E8E"/>
    <w:rsid w:val="0083407B"/>
    <w:rsid w:val="00834906"/>
    <w:rsid w:val="00835202"/>
    <w:rsid w:val="00836075"/>
    <w:rsid w:val="00836417"/>
    <w:rsid w:val="00836BC6"/>
    <w:rsid w:val="00836D47"/>
    <w:rsid w:val="008373B7"/>
    <w:rsid w:val="00837526"/>
    <w:rsid w:val="00837BB1"/>
    <w:rsid w:val="008407A7"/>
    <w:rsid w:val="00842275"/>
    <w:rsid w:val="0084322B"/>
    <w:rsid w:val="008433A0"/>
    <w:rsid w:val="00843F81"/>
    <w:rsid w:val="00844087"/>
    <w:rsid w:val="008448F1"/>
    <w:rsid w:val="00844A56"/>
    <w:rsid w:val="0084519E"/>
    <w:rsid w:val="00845CAE"/>
    <w:rsid w:val="008462C5"/>
    <w:rsid w:val="008462FA"/>
    <w:rsid w:val="00846370"/>
    <w:rsid w:val="00846873"/>
    <w:rsid w:val="00846D33"/>
    <w:rsid w:val="00847366"/>
    <w:rsid w:val="008474A6"/>
    <w:rsid w:val="00847544"/>
    <w:rsid w:val="008477E7"/>
    <w:rsid w:val="00847C2B"/>
    <w:rsid w:val="00850272"/>
    <w:rsid w:val="008506B9"/>
    <w:rsid w:val="0085086F"/>
    <w:rsid w:val="00850B42"/>
    <w:rsid w:val="00851822"/>
    <w:rsid w:val="00851C16"/>
    <w:rsid w:val="00851E20"/>
    <w:rsid w:val="00852744"/>
    <w:rsid w:val="008532BF"/>
    <w:rsid w:val="008539B2"/>
    <w:rsid w:val="00853BF4"/>
    <w:rsid w:val="00853F94"/>
    <w:rsid w:val="00854294"/>
    <w:rsid w:val="00854295"/>
    <w:rsid w:val="008545CE"/>
    <w:rsid w:val="0085572E"/>
    <w:rsid w:val="008577C8"/>
    <w:rsid w:val="0085788B"/>
    <w:rsid w:val="00857A9E"/>
    <w:rsid w:val="00857D1F"/>
    <w:rsid w:val="00857DE2"/>
    <w:rsid w:val="00857EEE"/>
    <w:rsid w:val="00857F1A"/>
    <w:rsid w:val="0086003D"/>
    <w:rsid w:val="00861D63"/>
    <w:rsid w:val="0086358C"/>
    <w:rsid w:val="00863A8E"/>
    <w:rsid w:val="0086407F"/>
    <w:rsid w:val="008640BE"/>
    <w:rsid w:val="008644DD"/>
    <w:rsid w:val="008645E3"/>
    <w:rsid w:val="0086486A"/>
    <w:rsid w:val="00864E79"/>
    <w:rsid w:val="00864EC0"/>
    <w:rsid w:val="0086542D"/>
    <w:rsid w:val="0086572B"/>
    <w:rsid w:val="008665BF"/>
    <w:rsid w:val="00866615"/>
    <w:rsid w:val="0086661F"/>
    <w:rsid w:val="00866A0D"/>
    <w:rsid w:val="00866DB5"/>
    <w:rsid w:val="0086701D"/>
    <w:rsid w:val="0086702B"/>
    <w:rsid w:val="008672E2"/>
    <w:rsid w:val="0086784E"/>
    <w:rsid w:val="0087110C"/>
    <w:rsid w:val="0087121C"/>
    <w:rsid w:val="00871225"/>
    <w:rsid w:val="00871EB0"/>
    <w:rsid w:val="00871FD2"/>
    <w:rsid w:val="00872084"/>
    <w:rsid w:val="00872827"/>
    <w:rsid w:val="00872A32"/>
    <w:rsid w:val="0087321D"/>
    <w:rsid w:val="00873653"/>
    <w:rsid w:val="00873D25"/>
    <w:rsid w:val="00873E90"/>
    <w:rsid w:val="00874911"/>
    <w:rsid w:val="008754E4"/>
    <w:rsid w:val="00876EAE"/>
    <w:rsid w:val="00877305"/>
    <w:rsid w:val="0087778B"/>
    <w:rsid w:val="00877983"/>
    <w:rsid w:val="00877A02"/>
    <w:rsid w:val="00880106"/>
    <w:rsid w:val="00880F95"/>
    <w:rsid w:val="00881EE2"/>
    <w:rsid w:val="00882910"/>
    <w:rsid w:val="00882B44"/>
    <w:rsid w:val="008838AD"/>
    <w:rsid w:val="008841D3"/>
    <w:rsid w:val="008847DB"/>
    <w:rsid w:val="00884940"/>
    <w:rsid w:val="00885381"/>
    <w:rsid w:val="0088572B"/>
    <w:rsid w:val="00885BC9"/>
    <w:rsid w:val="008864B3"/>
    <w:rsid w:val="008865E5"/>
    <w:rsid w:val="0088682F"/>
    <w:rsid w:val="008871B0"/>
    <w:rsid w:val="00887A0B"/>
    <w:rsid w:val="008905A6"/>
    <w:rsid w:val="00890B57"/>
    <w:rsid w:val="008916BA"/>
    <w:rsid w:val="00892030"/>
    <w:rsid w:val="0089217C"/>
    <w:rsid w:val="00892476"/>
    <w:rsid w:val="00892790"/>
    <w:rsid w:val="00893671"/>
    <w:rsid w:val="0089445B"/>
    <w:rsid w:val="008945B9"/>
    <w:rsid w:val="0089493F"/>
    <w:rsid w:val="00894979"/>
    <w:rsid w:val="00895838"/>
    <w:rsid w:val="00895A1E"/>
    <w:rsid w:val="00895A72"/>
    <w:rsid w:val="00895CDF"/>
    <w:rsid w:val="00895EE3"/>
    <w:rsid w:val="00896046"/>
    <w:rsid w:val="0089615A"/>
    <w:rsid w:val="00896679"/>
    <w:rsid w:val="0089668C"/>
    <w:rsid w:val="00896D8C"/>
    <w:rsid w:val="00897184"/>
    <w:rsid w:val="008A0717"/>
    <w:rsid w:val="008A0FAC"/>
    <w:rsid w:val="008A0FC9"/>
    <w:rsid w:val="008A14C8"/>
    <w:rsid w:val="008A1956"/>
    <w:rsid w:val="008A1A7C"/>
    <w:rsid w:val="008A2CE2"/>
    <w:rsid w:val="008A3F0C"/>
    <w:rsid w:val="008A40D3"/>
    <w:rsid w:val="008A413F"/>
    <w:rsid w:val="008A451F"/>
    <w:rsid w:val="008A469C"/>
    <w:rsid w:val="008A50FB"/>
    <w:rsid w:val="008A51D1"/>
    <w:rsid w:val="008A5C90"/>
    <w:rsid w:val="008A5DCE"/>
    <w:rsid w:val="008A75D3"/>
    <w:rsid w:val="008A7F09"/>
    <w:rsid w:val="008B00D6"/>
    <w:rsid w:val="008B05DD"/>
    <w:rsid w:val="008B062C"/>
    <w:rsid w:val="008B07B8"/>
    <w:rsid w:val="008B17E8"/>
    <w:rsid w:val="008B1D32"/>
    <w:rsid w:val="008B2C45"/>
    <w:rsid w:val="008B2E7C"/>
    <w:rsid w:val="008B399A"/>
    <w:rsid w:val="008B3C16"/>
    <w:rsid w:val="008B45F0"/>
    <w:rsid w:val="008B4A70"/>
    <w:rsid w:val="008B502F"/>
    <w:rsid w:val="008B54FD"/>
    <w:rsid w:val="008B5692"/>
    <w:rsid w:val="008B5F31"/>
    <w:rsid w:val="008B6CE5"/>
    <w:rsid w:val="008B6DFC"/>
    <w:rsid w:val="008B7227"/>
    <w:rsid w:val="008C02FB"/>
    <w:rsid w:val="008C04E0"/>
    <w:rsid w:val="008C191C"/>
    <w:rsid w:val="008C1DA4"/>
    <w:rsid w:val="008C2138"/>
    <w:rsid w:val="008C2608"/>
    <w:rsid w:val="008C29B0"/>
    <w:rsid w:val="008C2CD5"/>
    <w:rsid w:val="008C33AE"/>
    <w:rsid w:val="008C3618"/>
    <w:rsid w:val="008C39E7"/>
    <w:rsid w:val="008C43AD"/>
    <w:rsid w:val="008C49A3"/>
    <w:rsid w:val="008C4C1E"/>
    <w:rsid w:val="008C5A63"/>
    <w:rsid w:val="008C602A"/>
    <w:rsid w:val="008C6118"/>
    <w:rsid w:val="008C6341"/>
    <w:rsid w:val="008C653D"/>
    <w:rsid w:val="008C731F"/>
    <w:rsid w:val="008C74D9"/>
    <w:rsid w:val="008C7569"/>
    <w:rsid w:val="008C7726"/>
    <w:rsid w:val="008D06EC"/>
    <w:rsid w:val="008D2050"/>
    <w:rsid w:val="008D21DD"/>
    <w:rsid w:val="008D2D79"/>
    <w:rsid w:val="008D35CA"/>
    <w:rsid w:val="008D3B2D"/>
    <w:rsid w:val="008D5433"/>
    <w:rsid w:val="008D58D9"/>
    <w:rsid w:val="008D5AD4"/>
    <w:rsid w:val="008D5E4E"/>
    <w:rsid w:val="008D5E9D"/>
    <w:rsid w:val="008D5F65"/>
    <w:rsid w:val="008D62B3"/>
    <w:rsid w:val="008D695E"/>
    <w:rsid w:val="008D6DD5"/>
    <w:rsid w:val="008D6E59"/>
    <w:rsid w:val="008D7155"/>
    <w:rsid w:val="008D76E0"/>
    <w:rsid w:val="008E03A3"/>
    <w:rsid w:val="008E079C"/>
    <w:rsid w:val="008E0B29"/>
    <w:rsid w:val="008E141A"/>
    <w:rsid w:val="008E1810"/>
    <w:rsid w:val="008E1A44"/>
    <w:rsid w:val="008E1EED"/>
    <w:rsid w:val="008E26CA"/>
    <w:rsid w:val="008E2859"/>
    <w:rsid w:val="008E28E6"/>
    <w:rsid w:val="008E2C57"/>
    <w:rsid w:val="008E3232"/>
    <w:rsid w:val="008E3674"/>
    <w:rsid w:val="008E3B6C"/>
    <w:rsid w:val="008E3DE7"/>
    <w:rsid w:val="008E4FB9"/>
    <w:rsid w:val="008E5227"/>
    <w:rsid w:val="008E562C"/>
    <w:rsid w:val="008E5FB9"/>
    <w:rsid w:val="008E611D"/>
    <w:rsid w:val="008E6540"/>
    <w:rsid w:val="008E6758"/>
    <w:rsid w:val="008E6A1C"/>
    <w:rsid w:val="008E6FBE"/>
    <w:rsid w:val="008E77D4"/>
    <w:rsid w:val="008E7ADD"/>
    <w:rsid w:val="008F091F"/>
    <w:rsid w:val="008F1548"/>
    <w:rsid w:val="008F17B2"/>
    <w:rsid w:val="008F22B3"/>
    <w:rsid w:val="008F241E"/>
    <w:rsid w:val="008F2F1F"/>
    <w:rsid w:val="008F312B"/>
    <w:rsid w:val="008F357B"/>
    <w:rsid w:val="008F366E"/>
    <w:rsid w:val="008F36DE"/>
    <w:rsid w:val="008F3B56"/>
    <w:rsid w:val="008F44CA"/>
    <w:rsid w:val="008F4547"/>
    <w:rsid w:val="008F4578"/>
    <w:rsid w:val="008F49D3"/>
    <w:rsid w:val="008F51D3"/>
    <w:rsid w:val="008F5B69"/>
    <w:rsid w:val="008F6519"/>
    <w:rsid w:val="008F68C5"/>
    <w:rsid w:val="008F694F"/>
    <w:rsid w:val="008F6AC1"/>
    <w:rsid w:val="008F6B67"/>
    <w:rsid w:val="008F6F4C"/>
    <w:rsid w:val="008F7012"/>
    <w:rsid w:val="008F7576"/>
    <w:rsid w:val="008F7ADA"/>
    <w:rsid w:val="008F7B17"/>
    <w:rsid w:val="00900042"/>
    <w:rsid w:val="0090034B"/>
    <w:rsid w:val="009005D7"/>
    <w:rsid w:val="0090087C"/>
    <w:rsid w:val="00900D2F"/>
    <w:rsid w:val="00901121"/>
    <w:rsid w:val="00901B50"/>
    <w:rsid w:val="00902623"/>
    <w:rsid w:val="009029CF"/>
    <w:rsid w:val="00902A67"/>
    <w:rsid w:val="00902C5E"/>
    <w:rsid w:val="009032F7"/>
    <w:rsid w:val="009035FA"/>
    <w:rsid w:val="00904BE4"/>
    <w:rsid w:val="0090504A"/>
    <w:rsid w:val="009051F5"/>
    <w:rsid w:val="00905221"/>
    <w:rsid w:val="0090530B"/>
    <w:rsid w:val="00905664"/>
    <w:rsid w:val="009058FC"/>
    <w:rsid w:val="00905A7C"/>
    <w:rsid w:val="00905D7E"/>
    <w:rsid w:val="00907037"/>
    <w:rsid w:val="00907259"/>
    <w:rsid w:val="00907929"/>
    <w:rsid w:val="00910577"/>
    <w:rsid w:val="00910C5D"/>
    <w:rsid w:val="0091112C"/>
    <w:rsid w:val="009113F2"/>
    <w:rsid w:val="0091160A"/>
    <w:rsid w:val="00911A41"/>
    <w:rsid w:val="00912A06"/>
    <w:rsid w:val="00912E04"/>
    <w:rsid w:val="00913258"/>
    <w:rsid w:val="00913851"/>
    <w:rsid w:val="00913BB0"/>
    <w:rsid w:val="0091456C"/>
    <w:rsid w:val="009145DE"/>
    <w:rsid w:val="00914C58"/>
    <w:rsid w:val="00914D78"/>
    <w:rsid w:val="009151FC"/>
    <w:rsid w:val="009153D3"/>
    <w:rsid w:val="0091564D"/>
    <w:rsid w:val="009156DA"/>
    <w:rsid w:val="00915774"/>
    <w:rsid w:val="00916BC5"/>
    <w:rsid w:val="0091726A"/>
    <w:rsid w:val="0091733B"/>
    <w:rsid w:val="00917571"/>
    <w:rsid w:val="00917C01"/>
    <w:rsid w:val="00920184"/>
    <w:rsid w:val="00920421"/>
    <w:rsid w:val="00920EA4"/>
    <w:rsid w:val="00921792"/>
    <w:rsid w:val="00921BEA"/>
    <w:rsid w:val="009223AF"/>
    <w:rsid w:val="009227BE"/>
    <w:rsid w:val="00922C83"/>
    <w:rsid w:val="009233CE"/>
    <w:rsid w:val="009238FD"/>
    <w:rsid w:val="00923998"/>
    <w:rsid w:val="00923DB4"/>
    <w:rsid w:val="0092420B"/>
    <w:rsid w:val="0092430E"/>
    <w:rsid w:val="00924451"/>
    <w:rsid w:val="00926112"/>
    <w:rsid w:val="0092625F"/>
    <w:rsid w:val="00926B28"/>
    <w:rsid w:val="00926D9C"/>
    <w:rsid w:val="00927028"/>
    <w:rsid w:val="0092708F"/>
    <w:rsid w:val="0092734A"/>
    <w:rsid w:val="00927763"/>
    <w:rsid w:val="00927A2D"/>
    <w:rsid w:val="00927B37"/>
    <w:rsid w:val="00930CC5"/>
    <w:rsid w:val="009314B1"/>
    <w:rsid w:val="0093155A"/>
    <w:rsid w:val="009321B1"/>
    <w:rsid w:val="0093236E"/>
    <w:rsid w:val="009327F0"/>
    <w:rsid w:val="00932A42"/>
    <w:rsid w:val="00932ECE"/>
    <w:rsid w:val="00932ED7"/>
    <w:rsid w:val="00933278"/>
    <w:rsid w:val="00933E30"/>
    <w:rsid w:val="0093422D"/>
    <w:rsid w:val="0093483B"/>
    <w:rsid w:val="00934CF9"/>
    <w:rsid w:val="00934DD7"/>
    <w:rsid w:val="00934F9C"/>
    <w:rsid w:val="00934FEB"/>
    <w:rsid w:val="009357C9"/>
    <w:rsid w:val="00935CB2"/>
    <w:rsid w:val="00936898"/>
    <w:rsid w:val="009369A9"/>
    <w:rsid w:val="00936CF7"/>
    <w:rsid w:val="00937783"/>
    <w:rsid w:val="00937EAD"/>
    <w:rsid w:val="00937F28"/>
    <w:rsid w:val="009401F5"/>
    <w:rsid w:val="00940FE1"/>
    <w:rsid w:val="0094117A"/>
    <w:rsid w:val="00941474"/>
    <w:rsid w:val="00942306"/>
    <w:rsid w:val="009424B8"/>
    <w:rsid w:val="0094286B"/>
    <w:rsid w:val="009432E2"/>
    <w:rsid w:val="009440DD"/>
    <w:rsid w:val="00944668"/>
    <w:rsid w:val="00944DC6"/>
    <w:rsid w:val="00945829"/>
    <w:rsid w:val="009458B0"/>
    <w:rsid w:val="00945B52"/>
    <w:rsid w:val="00945B7A"/>
    <w:rsid w:val="00945F05"/>
    <w:rsid w:val="00945FE0"/>
    <w:rsid w:val="00946348"/>
    <w:rsid w:val="00946B10"/>
    <w:rsid w:val="0094708D"/>
    <w:rsid w:val="009471C2"/>
    <w:rsid w:val="00947224"/>
    <w:rsid w:val="00947797"/>
    <w:rsid w:val="009478A2"/>
    <w:rsid w:val="00947942"/>
    <w:rsid w:val="00950181"/>
    <w:rsid w:val="00950402"/>
    <w:rsid w:val="00950865"/>
    <w:rsid w:val="0095321D"/>
    <w:rsid w:val="009533BD"/>
    <w:rsid w:val="00953557"/>
    <w:rsid w:val="009536FB"/>
    <w:rsid w:val="00953808"/>
    <w:rsid w:val="009539A6"/>
    <w:rsid w:val="00953C3A"/>
    <w:rsid w:val="00954032"/>
    <w:rsid w:val="00954537"/>
    <w:rsid w:val="0095472D"/>
    <w:rsid w:val="00954F0F"/>
    <w:rsid w:val="00955342"/>
    <w:rsid w:val="00955D57"/>
    <w:rsid w:val="00955FBB"/>
    <w:rsid w:val="0095694B"/>
    <w:rsid w:val="00956BD5"/>
    <w:rsid w:val="00956D84"/>
    <w:rsid w:val="00956F1E"/>
    <w:rsid w:val="009577B5"/>
    <w:rsid w:val="00957D66"/>
    <w:rsid w:val="00960491"/>
    <w:rsid w:val="009608E6"/>
    <w:rsid w:val="00960F57"/>
    <w:rsid w:val="00961669"/>
    <w:rsid w:val="009618AF"/>
    <w:rsid w:val="009619E0"/>
    <w:rsid w:val="00961A75"/>
    <w:rsid w:val="00961C26"/>
    <w:rsid w:val="00961C90"/>
    <w:rsid w:val="00962A26"/>
    <w:rsid w:val="00965186"/>
    <w:rsid w:val="00965443"/>
    <w:rsid w:val="00965954"/>
    <w:rsid w:val="00965A21"/>
    <w:rsid w:val="00965C3A"/>
    <w:rsid w:val="00965E55"/>
    <w:rsid w:val="0096608E"/>
    <w:rsid w:val="00966522"/>
    <w:rsid w:val="00966926"/>
    <w:rsid w:val="00966C33"/>
    <w:rsid w:val="00967288"/>
    <w:rsid w:val="009678D3"/>
    <w:rsid w:val="00970F18"/>
    <w:rsid w:val="00971CF1"/>
    <w:rsid w:val="00971F5D"/>
    <w:rsid w:val="009721E9"/>
    <w:rsid w:val="009722B5"/>
    <w:rsid w:val="00972C2E"/>
    <w:rsid w:val="00973330"/>
    <w:rsid w:val="009733D3"/>
    <w:rsid w:val="00973772"/>
    <w:rsid w:val="00974240"/>
    <w:rsid w:val="00974610"/>
    <w:rsid w:val="00975499"/>
    <w:rsid w:val="0097560A"/>
    <w:rsid w:val="0097598F"/>
    <w:rsid w:val="00975E1E"/>
    <w:rsid w:val="00975E70"/>
    <w:rsid w:val="009761DE"/>
    <w:rsid w:val="009766D4"/>
    <w:rsid w:val="009766FA"/>
    <w:rsid w:val="00976E80"/>
    <w:rsid w:val="00977714"/>
    <w:rsid w:val="00977944"/>
    <w:rsid w:val="00977CD6"/>
    <w:rsid w:val="009803E3"/>
    <w:rsid w:val="0098048B"/>
    <w:rsid w:val="00980908"/>
    <w:rsid w:val="00980DF9"/>
    <w:rsid w:val="00981CD8"/>
    <w:rsid w:val="0098243D"/>
    <w:rsid w:val="009825EF"/>
    <w:rsid w:val="00982C19"/>
    <w:rsid w:val="00982D26"/>
    <w:rsid w:val="00983B6E"/>
    <w:rsid w:val="00983FE5"/>
    <w:rsid w:val="00984544"/>
    <w:rsid w:val="009849E9"/>
    <w:rsid w:val="00984AFF"/>
    <w:rsid w:val="00985048"/>
    <w:rsid w:val="009855AC"/>
    <w:rsid w:val="009859E4"/>
    <w:rsid w:val="00985D7F"/>
    <w:rsid w:val="00987812"/>
    <w:rsid w:val="00987A48"/>
    <w:rsid w:val="00987B39"/>
    <w:rsid w:val="009900FE"/>
    <w:rsid w:val="00990225"/>
    <w:rsid w:val="00990678"/>
    <w:rsid w:val="00991307"/>
    <w:rsid w:val="0099157D"/>
    <w:rsid w:val="00991FAA"/>
    <w:rsid w:val="00991FD2"/>
    <w:rsid w:val="00992A13"/>
    <w:rsid w:val="00993DB1"/>
    <w:rsid w:val="00994AAD"/>
    <w:rsid w:val="00995150"/>
    <w:rsid w:val="009957A6"/>
    <w:rsid w:val="00995D67"/>
    <w:rsid w:val="009968C5"/>
    <w:rsid w:val="00997613"/>
    <w:rsid w:val="009A013B"/>
    <w:rsid w:val="009A02F4"/>
    <w:rsid w:val="009A052D"/>
    <w:rsid w:val="009A0617"/>
    <w:rsid w:val="009A06BF"/>
    <w:rsid w:val="009A09C5"/>
    <w:rsid w:val="009A0D17"/>
    <w:rsid w:val="009A2494"/>
    <w:rsid w:val="009A32B1"/>
    <w:rsid w:val="009A33A3"/>
    <w:rsid w:val="009A36F2"/>
    <w:rsid w:val="009A40C3"/>
    <w:rsid w:val="009A40D5"/>
    <w:rsid w:val="009A5268"/>
    <w:rsid w:val="009A57D0"/>
    <w:rsid w:val="009A6559"/>
    <w:rsid w:val="009A68FC"/>
    <w:rsid w:val="009A6AE6"/>
    <w:rsid w:val="009A6CE4"/>
    <w:rsid w:val="009A7514"/>
    <w:rsid w:val="009A7665"/>
    <w:rsid w:val="009A7E7A"/>
    <w:rsid w:val="009B021B"/>
    <w:rsid w:val="009B0925"/>
    <w:rsid w:val="009B1584"/>
    <w:rsid w:val="009B18F0"/>
    <w:rsid w:val="009B194E"/>
    <w:rsid w:val="009B1F4C"/>
    <w:rsid w:val="009B2203"/>
    <w:rsid w:val="009B2471"/>
    <w:rsid w:val="009B314F"/>
    <w:rsid w:val="009B439C"/>
    <w:rsid w:val="009B49A1"/>
    <w:rsid w:val="009B4A6C"/>
    <w:rsid w:val="009B4DA8"/>
    <w:rsid w:val="009B4FA6"/>
    <w:rsid w:val="009B5125"/>
    <w:rsid w:val="009B519A"/>
    <w:rsid w:val="009B53E6"/>
    <w:rsid w:val="009B620C"/>
    <w:rsid w:val="009B6454"/>
    <w:rsid w:val="009B64CC"/>
    <w:rsid w:val="009B6753"/>
    <w:rsid w:val="009B676C"/>
    <w:rsid w:val="009B6A26"/>
    <w:rsid w:val="009C079D"/>
    <w:rsid w:val="009C0C12"/>
    <w:rsid w:val="009C0D70"/>
    <w:rsid w:val="009C1282"/>
    <w:rsid w:val="009C13D1"/>
    <w:rsid w:val="009C14A3"/>
    <w:rsid w:val="009C1799"/>
    <w:rsid w:val="009C1E9D"/>
    <w:rsid w:val="009C2913"/>
    <w:rsid w:val="009C2BD4"/>
    <w:rsid w:val="009C2C5F"/>
    <w:rsid w:val="009C32F0"/>
    <w:rsid w:val="009C334C"/>
    <w:rsid w:val="009C3EED"/>
    <w:rsid w:val="009C4596"/>
    <w:rsid w:val="009C52FB"/>
    <w:rsid w:val="009C5314"/>
    <w:rsid w:val="009C5AFE"/>
    <w:rsid w:val="009C6606"/>
    <w:rsid w:val="009C6CE5"/>
    <w:rsid w:val="009C6D50"/>
    <w:rsid w:val="009C72B2"/>
    <w:rsid w:val="009C7547"/>
    <w:rsid w:val="009D05EC"/>
    <w:rsid w:val="009D18D4"/>
    <w:rsid w:val="009D1E82"/>
    <w:rsid w:val="009D1FCF"/>
    <w:rsid w:val="009D209F"/>
    <w:rsid w:val="009D2F60"/>
    <w:rsid w:val="009D3A2E"/>
    <w:rsid w:val="009D3E61"/>
    <w:rsid w:val="009D4C2E"/>
    <w:rsid w:val="009D53C0"/>
    <w:rsid w:val="009D5912"/>
    <w:rsid w:val="009D5ADE"/>
    <w:rsid w:val="009D5BAC"/>
    <w:rsid w:val="009D5C56"/>
    <w:rsid w:val="009D5EBC"/>
    <w:rsid w:val="009D6265"/>
    <w:rsid w:val="009D64BD"/>
    <w:rsid w:val="009D6CB1"/>
    <w:rsid w:val="009D799C"/>
    <w:rsid w:val="009E0286"/>
    <w:rsid w:val="009E0A4B"/>
    <w:rsid w:val="009E153F"/>
    <w:rsid w:val="009E18C5"/>
    <w:rsid w:val="009E2758"/>
    <w:rsid w:val="009E2B98"/>
    <w:rsid w:val="009E322A"/>
    <w:rsid w:val="009E32F4"/>
    <w:rsid w:val="009E3483"/>
    <w:rsid w:val="009E393E"/>
    <w:rsid w:val="009E42FD"/>
    <w:rsid w:val="009E444E"/>
    <w:rsid w:val="009E454D"/>
    <w:rsid w:val="009E4968"/>
    <w:rsid w:val="009E4E01"/>
    <w:rsid w:val="009E5676"/>
    <w:rsid w:val="009E663C"/>
    <w:rsid w:val="009E684A"/>
    <w:rsid w:val="009E6BB1"/>
    <w:rsid w:val="009E6E14"/>
    <w:rsid w:val="009E794A"/>
    <w:rsid w:val="009E7B26"/>
    <w:rsid w:val="009E7C14"/>
    <w:rsid w:val="009F0494"/>
    <w:rsid w:val="009F0CD9"/>
    <w:rsid w:val="009F1A79"/>
    <w:rsid w:val="009F1F57"/>
    <w:rsid w:val="009F246E"/>
    <w:rsid w:val="009F249F"/>
    <w:rsid w:val="009F2DDD"/>
    <w:rsid w:val="009F32B4"/>
    <w:rsid w:val="009F3447"/>
    <w:rsid w:val="009F4BBF"/>
    <w:rsid w:val="009F5847"/>
    <w:rsid w:val="009F65F4"/>
    <w:rsid w:val="009F6763"/>
    <w:rsid w:val="009F676B"/>
    <w:rsid w:val="009F6D2D"/>
    <w:rsid w:val="009F6D54"/>
    <w:rsid w:val="00A004DF"/>
    <w:rsid w:val="00A00A52"/>
    <w:rsid w:val="00A00EE6"/>
    <w:rsid w:val="00A00FD5"/>
    <w:rsid w:val="00A012C0"/>
    <w:rsid w:val="00A019A8"/>
    <w:rsid w:val="00A01B03"/>
    <w:rsid w:val="00A01B89"/>
    <w:rsid w:val="00A02C66"/>
    <w:rsid w:val="00A02C84"/>
    <w:rsid w:val="00A035E1"/>
    <w:rsid w:val="00A03842"/>
    <w:rsid w:val="00A04394"/>
    <w:rsid w:val="00A0464C"/>
    <w:rsid w:val="00A04F3F"/>
    <w:rsid w:val="00A050BB"/>
    <w:rsid w:val="00A05128"/>
    <w:rsid w:val="00A0521B"/>
    <w:rsid w:val="00A05262"/>
    <w:rsid w:val="00A054E0"/>
    <w:rsid w:val="00A05D91"/>
    <w:rsid w:val="00A06972"/>
    <w:rsid w:val="00A0734B"/>
    <w:rsid w:val="00A0740B"/>
    <w:rsid w:val="00A07ED3"/>
    <w:rsid w:val="00A10162"/>
    <w:rsid w:val="00A10CA8"/>
    <w:rsid w:val="00A10D5A"/>
    <w:rsid w:val="00A11042"/>
    <w:rsid w:val="00A12579"/>
    <w:rsid w:val="00A1291A"/>
    <w:rsid w:val="00A12CDC"/>
    <w:rsid w:val="00A12E1D"/>
    <w:rsid w:val="00A1304B"/>
    <w:rsid w:val="00A133D8"/>
    <w:rsid w:val="00A13464"/>
    <w:rsid w:val="00A13553"/>
    <w:rsid w:val="00A13F58"/>
    <w:rsid w:val="00A14382"/>
    <w:rsid w:val="00A15480"/>
    <w:rsid w:val="00A15655"/>
    <w:rsid w:val="00A160B0"/>
    <w:rsid w:val="00A1740C"/>
    <w:rsid w:val="00A17904"/>
    <w:rsid w:val="00A20069"/>
    <w:rsid w:val="00A2244D"/>
    <w:rsid w:val="00A2253D"/>
    <w:rsid w:val="00A2267F"/>
    <w:rsid w:val="00A22CDB"/>
    <w:rsid w:val="00A22D95"/>
    <w:rsid w:val="00A247B8"/>
    <w:rsid w:val="00A24914"/>
    <w:rsid w:val="00A2495A"/>
    <w:rsid w:val="00A24C7A"/>
    <w:rsid w:val="00A24D8F"/>
    <w:rsid w:val="00A25366"/>
    <w:rsid w:val="00A254D1"/>
    <w:rsid w:val="00A25B8B"/>
    <w:rsid w:val="00A2689F"/>
    <w:rsid w:val="00A26D30"/>
    <w:rsid w:val="00A26ECA"/>
    <w:rsid w:val="00A272C6"/>
    <w:rsid w:val="00A2734E"/>
    <w:rsid w:val="00A27461"/>
    <w:rsid w:val="00A27AE5"/>
    <w:rsid w:val="00A27D67"/>
    <w:rsid w:val="00A27EE9"/>
    <w:rsid w:val="00A27F23"/>
    <w:rsid w:val="00A30ABC"/>
    <w:rsid w:val="00A30D1F"/>
    <w:rsid w:val="00A310FB"/>
    <w:rsid w:val="00A320F4"/>
    <w:rsid w:val="00A3267D"/>
    <w:rsid w:val="00A3354D"/>
    <w:rsid w:val="00A33AFF"/>
    <w:rsid w:val="00A33B74"/>
    <w:rsid w:val="00A3467F"/>
    <w:rsid w:val="00A34B4C"/>
    <w:rsid w:val="00A35030"/>
    <w:rsid w:val="00A3551A"/>
    <w:rsid w:val="00A3588F"/>
    <w:rsid w:val="00A36015"/>
    <w:rsid w:val="00A366A0"/>
    <w:rsid w:val="00A36952"/>
    <w:rsid w:val="00A37196"/>
    <w:rsid w:val="00A37209"/>
    <w:rsid w:val="00A37381"/>
    <w:rsid w:val="00A37584"/>
    <w:rsid w:val="00A376E8"/>
    <w:rsid w:val="00A37F8E"/>
    <w:rsid w:val="00A4103C"/>
    <w:rsid w:val="00A411DA"/>
    <w:rsid w:val="00A41537"/>
    <w:rsid w:val="00A41678"/>
    <w:rsid w:val="00A41737"/>
    <w:rsid w:val="00A42AD4"/>
    <w:rsid w:val="00A42B8F"/>
    <w:rsid w:val="00A42D8E"/>
    <w:rsid w:val="00A43254"/>
    <w:rsid w:val="00A43896"/>
    <w:rsid w:val="00A43951"/>
    <w:rsid w:val="00A43A26"/>
    <w:rsid w:val="00A4429D"/>
    <w:rsid w:val="00A447A0"/>
    <w:rsid w:val="00A4505E"/>
    <w:rsid w:val="00A459F5"/>
    <w:rsid w:val="00A45FC0"/>
    <w:rsid w:val="00A467AF"/>
    <w:rsid w:val="00A468C7"/>
    <w:rsid w:val="00A46B74"/>
    <w:rsid w:val="00A46E6A"/>
    <w:rsid w:val="00A47BF7"/>
    <w:rsid w:val="00A47ECC"/>
    <w:rsid w:val="00A50171"/>
    <w:rsid w:val="00A50418"/>
    <w:rsid w:val="00A504FA"/>
    <w:rsid w:val="00A50E40"/>
    <w:rsid w:val="00A5102E"/>
    <w:rsid w:val="00A5132E"/>
    <w:rsid w:val="00A51375"/>
    <w:rsid w:val="00A51533"/>
    <w:rsid w:val="00A516D4"/>
    <w:rsid w:val="00A51F1A"/>
    <w:rsid w:val="00A52E32"/>
    <w:rsid w:val="00A531D4"/>
    <w:rsid w:val="00A53622"/>
    <w:rsid w:val="00A53736"/>
    <w:rsid w:val="00A53C42"/>
    <w:rsid w:val="00A5429C"/>
    <w:rsid w:val="00A54572"/>
    <w:rsid w:val="00A559D8"/>
    <w:rsid w:val="00A570F2"/>
    <w:rsid w:val="00A575B8"/>
    <w:rsid w:val="00A6020A"/>
    <w:rsid w:val="00A60CE7"/>
    <w:rsid w:val="00A60CF8"/>
    <w:rsid w:val="00A619BB"/>
    <w:rsid w:val="00A61C60"/>
    <w:rsid w:val="00A61ECB"/>
    <w:rsid w:val="00A63D58"/>
    <w:rsid w:val="00A63FE9"/>
    <w:rsid w:val="00A6410C"/>
    <w:rsid w:val="00A647B1"/>
    <w:rsid w:val="00A64DEF"/>
    <w:rsid w:val="00A65311"/>
    <w:rsid w:val="00A654D2"/>
    <w:rsid w:val="00A665DF"/>
    <w:rsid w:val="00A67331"/>
    <w:rsid w:val="00A673F1"/>
    <w:rsid w:val="00A674DB"/>
    <w:rsid w:val="00A67625"/>
    <w:rsid w:val="00A67FCC"/>
    <w:rsid w:val="00A702C3"/>
    <w:rsid w:val="00A70AA5"/>
    <w:rsid w:val="00A70C03"/>
    <w:rsid w:val="00A70C34"/>
    <w:rsid w:val="00A71256"/>
    <w:rsid w:val="00A7147C"/>
    <w:rsid w:val="00A71CB8"/>
    <w:rsid w:val="00A72172"/>
    <w:rsid w:val="00A7217B"/>
    <w:rsid w:val="00A722D7"/>
    <w:rsid w:val="00A723A3"/>
    <w:rsid w:val="00A73861"/>
    <w:rsid w:val="00A738EE"/>
    <w:rsid w:val="00A739A6"/>
    <w:rsid w:val="00A73C97"/>
    <w:rsid w:val="00A740ED"/>
    <w:rsid w:val="00A74229"/>
    <w:rsid w:val="00A746C7"/>
    <w:rsid w:val="00A74C29"/>
    <w:rsid w:val="00A74C62"/>
    <w:rsid w:val="00A75A70"/>
    <w:rsid w:val="00A75EF9"/>
    <w:rsid w:val="00A7642C"/>
    <w:rsid w:val="00A7657C"/>
    <w:rsid w:val="00A76B5E"/>
    <w:rsid w:val="00A76BD8"/>
    <w:rsid w:val="00A76E4E"/>
    <w:rsid w:val="00A7744F"/>
    <w:rsid w:val="00A80018"/>
    <w:rsid w:val="00A80A5D"/>
    <w:rsid w:val="00A81E9C"/>
    <w:rsid w:val="00A81ECA"/>
    <w:rsid w:val="00A821D4"/>
    <w:rsid w:val="00A82764"/>
    <w:rsid w:val="00A8311C"/>
    <w:rsid w:val="00A835D0"/>
    <w:rsid w:val="00A83821"/>
    <w:rsid w:val="00A84150"/>
    <w:rsid w:val="00A84761"/>
    <w:rsid w:val="00A84BA0"/>
    <w:rsid w:val="00A84C5F"/>
    <w:rsid w:val="00A85240"/>
    <w:rsid w:val="00A85930"/>
    <w:rsid w:val="00A86116"/>
    <w:rsid w:val="00A863F7"/>
    <w:rsid w:val="00A86604"/>
    <w:rsid w:val="00A86ACC"/>
    <w:rsid w:val="00A87519"/>
    <w:rsid w:val="00A90213"/>
    <w:rsid w:val="00A90870"/>
    <w:rsid w:val="00A90C73"/>
    <w:rsid w:val="00A914DA"/>
    <w:rsid w:val="00A91E71"/>
    <w:rsid w:val="00A9246D"/>
    <w:rsid w:val="00A92C64"/>
    <w:rsid w:val="00A92CCA"/>
    <w:rsid w:val="00A93456"/>
    <w:rsid w:val="00A93BD0"/>
    <w:rsid w:val="00A93CC2"/>
    <w:rsid w:val="00A93F20"/>
    <w:rsid w:val="00A9451D"/>
    <w:rsid w:val="00A94D4B"/>
    <w:rsid w:val="00A951EE"/>
    <w:rsid w:val="00A95320"/>
    <w:rsid w:val="00A956AC"/>
    <w:rsid w:val="00A9592C"/>
    <w:rsid w:val="00A95A90"/>
    <w:rsid w:val="00A974CC"/>
    <w:rsid w:val="00A97EE7"/>
    <w:rsid w:val="00A97FC3"/>
    <w:rsid w:val="00AA0A68"/>
    <w:rsid w:val="00AA1F34"/>
    <w:rsid w:val="00AA2001"/>
    <w:rsid w:val="00AA217C"/>
    <w:rsid w:val="00AA2942"/>
    <w:rsid w:val="00AA2B5C"/>
    <w:rsid w:val="00AA32D2"/>
    <w:rsid w:val="00AA33AA"/>
    <w:rsid w:val="00AA3A5C"/>
    <w:rsid w:val="00AA3AA4"/>
    <w:rsid w:val="00AA3B8B"/>
    <w:rsid w:val="00AA4016"/>
    <w:rsid w:val="00AA416D"/>
    <w:rsid w:val="00AA4976"/>
    <w:rsid w:val="00AA4C1F"/>
    <w:rsid w:val="00AA4F0C"/>
    <w:rsid w:val="00AA5328"/>
    <w:rsid w:val="00AA5393"/>
    <w:rsid w:val="00AA5881"/>
    <w:rsid w:val="00AA63D4"/>
    <w:rsid w:val="00AA7931"/>
    <w:rsid w:val="00AA7BE1"/>
    <w:rsid w:val="00AB03FD"/>
    <w:rsid w:val="00AB09B8"/>
    <w:rsid w:val="00AB1678"/>
    <w:rsid w:val="00AB199F"/>
    <w:rsid w:val="00AB1C40"/>
    <w:rsid w:val="00AB2000"/>
    <w:rsid w:val="00AB21CC"/>
    <w:rsid w:val="00AB2C06"/>
    <w:rsid w:val="00AB38CB"/>
    <w:rsid w:val="00AB3BEC"/>
    <w:rsid w:val="00AB4080"/>
    <w:rsid w:val="00AB44E4"/>
    <w:rsid w:val="00AB4AEB"/>
    <w:rsid w:val="00AB4E5F"/>
    <w:rsid w:val="00AB5352"/>
    <w:rsid w:val="00AB56AE"/>
    <w:rsid w:val="00AB62D5"/>
    <w:rsid w:val="00AB65B5"/>
    <w:rsid w:val="00AB6DCD"/>
    <w:rsid w:val="00AB6EE0"/>
    <w:rsid w:val="00AB7240"/>
    <w:rsid w:val="00AB780C"/>
    <w:rsid w:val="00AB7D43"/>
    <w:rsid w:val="00AB7ECC"/>
    <w:rsid w:val="00AC1325"/>
    <w:rsid w:val="00AC13DA"/>
    <w:rsid w:val="00AC17A2"/>
    <w:rsid w:val="00AC216D"/>
    <w:rsid w:val="00AC3096"/>
    <w:rsid w:val="00AC33F3"/>
    <w:rsid w:val="00AC40B7"/>
    <w:rsid w:val="00AC49E2"/>
    <w:rsid w:val="00AC4EAC"/>
    <w:rsid w:val="00AC531F"/>
    <w:rsid w:val="00AC5448"/>
    <w:rsid w:val="00AC5459"/>
    <w:rsid w:val="00AC5B36"/>
    <w:rsid w:val="00AC5FFE"/>
    <w:rsid w:val="00AC6377"/>
    <w:rsid w:val="00AC651A"/>
    <w:rsid w:val="00AC66A4"/>
    <w:rsid w:val="00AC6CB1"/>
    <w:rsid w:val="00AC75E9"/>
    <w:rsid w:val="00AC7965"/>
    <w:rsid w:val="00AC7D6D"/>
    <w:rsid w:val="00AC7D76"/>
    <w:rsid w:val="00AD0091"/>
    <w:rsid w:val="00AD046F"/>
    <w:rsid w:val="00AD04C1"/>
    <w:rsid w:val="00AD1119"/>
    <w:rsid w:val="00AD1315"/>
    <w:rsid w:val="00AD21D4"/>
    <w:rsid w:val="00AD23EF"/>
    <w:rsid w:val="00AD2662"/>
    <w:rsid w:val="00AD307B"/>
    <w:rsid w:val="00AD34C4"/>
    <w:rsid w:val="00AD355F"/>
    <w:rsid w:val="00AD36D2"/>
    <w:rsid w:val="00AD3992"/>
    <w:rsid w:val="00AD4014"/>
    <w:rsid w:val="00AD41B3"/>
    <w:rsid w:val="00AD452D"/>
    <w:rsid w:val="00AD5721"/>
    <w:rsid w:val="00AD69F0"/>
    <w:rsid w:val="00AD7127"/>
    <w:rsid w:val="00AD730C"/>
    <w:rsid w:val="00AE04FD"/>
    <w:rsid w:val="00AE0F90"/>
    <w:rsid w:val="00AE123A"/>
    <w:rsid w:val="00AE1539"/>
    <w:rsid w:val="00AE1FB8"/>
    <w:rsid w:val="00AE28A7"/>
    <w:rsid w:val="00AE2A98"/>
    <w:rsid w:val="00AE2CA0"/>
    <w:rsid w:val="00AE2CF2"/>
    <w:rsid w:val="00AE2F19"/>
    <w:rsid w:val="00AE3012"/>
    <w:rsid w:val="00AE3297"/>
    <w:rsid w:val="00AE33A6"/>
    <w:rsid w:val="00AE34EE"/>
    <w:rsid w:val="00AE3513"/>
    <w:rsid w:val="00AE3729"/>
    <w:rsid w:val="00AE3C81"/>
    <w:rsid w:val="00AE4A3E"/>
    <w:rsid w:val="00AE4CCE"/>
    <w:rsid w:val="00AE59DB"/>
    <w:rsid w:val="00AE5C6A"/>
    <w:rsid w:val="00AE6358"/>
    <w:rsid w:val="00AE7058"/>
    <w:rsid w:val="00AE7280"/>
    <w:rsid w:val="00AE7B5F"/>
    <w:rsid w:val="00AF01FA"/>
    <w:rsid w:val="00AF033A"/>
    <w:rsid w:val="00AF0D26"/>
    <w:rsid w:val="00AF118E"/>
    <w:rsid w:val="00AF1658"/>
    <w:rsid w:val="00AF1699"/>
    <w:rsid w:val="00AF18D1"/>
    <w:rsid w:val="00AF1BA4"/>
    <w:rsid w:val="00AF1FD3"/>
    <w:rsid w:val="00AF237E"/>
    <w:rsid w:val="00AF2910"/>
    <w:rsid w:val="00AF34B8"/>
    <w:rsid w:val="00AF3896"/>
    <w:rsid w:val="00AF39C9"/>
    <w:rsid w:val="00AF3F97"/>
    <w:rsid w:val="00AF3FC2"/>
    <w:rsid w:val="00AF4DEC"/>
    <w:rsid w:val="00AF62F0"/>
    <w:rsid w:val="00AF6B57"/>
    <w:rsid w:val="00AF6BB9"/>
    <w:rsid w:val="00B003FF"/>
    <w:rsid w:val="00B0085F"/>
    <w:rsid w:val="00B0098A"/>
    <w:rsid w:val="00B00A5F"/>
    <w:rsid w:val="00B01091"/>
    <w:rsid w:val="00B0116A"/>
    <w:rsid w:val="00B0139C"/>
    <w:rsid w:val="00B01821"/>
    <w:rsid w:val="00B029B8"/>
    <w:rsid w:val="00B02F60"/>
    <w:rsid w:val="00B02F94"/>
    <w:rsid w:val="00B032B8"/>
    <w:rsid w:val="00B0396A"/>
    <w:rsid w:val="00B04074"/>
    <w:rsid w:val="00B04721"/>
    <w:rsid w:val="00B04B15"/>
    <w:rsid w:val="00B04B46"/>
    <w:rsid w:val="00B0534D"/>
    <w:rsid w:val="00B05685"/>
    <w:rsid w:val="00B05F9F"/>
    <w:rsid w:val="00B06070"/>
    <w:rsid w:val="00B062BE"/>
    <w:rsid w:val="00B06368"/>
    <w:rsid w:val="00B068DA"/>
    <w:rsid w:val="00B06A00"/>
    <w:rsid w:val="00B06FC6"/>
    <w:rsid w:val="00B0710D"/>
    <w:rsid w:val="00B074C9"/>
    <w:rsid w:val="00B07A70"/>
    <w:rsid w:val="00B07D9D"/>
    <w:rsid w:val="00B11AE5"/>
    <w:rsid w:val="00B12263"/>
    <w:rsid w:val="00B12ECA"/>
    <w:rsid w:val="00B12FE6"/>
    <w:rsid w:val="00B1303F"/>
    <w:rsid w:val="00B1364A"/>
    <w:rsid w:val="00B13859"/>
    <w:rsid w:val="00B13EC9"/>
    <w:rsid w:val="00B14319"/>
    <w:rsid w:val="00B14A06"/>
    <w:rsid w:val="00B14CF8"/>
    <w:rsid w:val="00B156F4"/>
    <w:rsid w:val="00B158E1"/>
    <w:rsid w:val="00B1599B"/>
    <w:rsid w:val="00B15C0E"/>
    <w:rsid w:val="00B15CCD"/>
    <w:rsid w:val="00B16715"/>
    <w:rsid w:val="00B16FFA"/>
    <w:rsid w:val="00B1768E"/>
    <w:rsid w:val="00B17910"/>
    <w:rsid w:val="00B20D7C"/>
    <w:rsid w:val="00B20F18"/>
    <w:rsid w:val="00B20FB7"/>
    <w:rsid w:val="00B21516"/>
    <w:rsid w:val="00B21723"/>
    <w:rsid w:val="00B219D9"/>
    <w:rsid w:val="00B21A37"/>
    <w:rsid w:val="00B21D23"/>
    <w:rsid w:val="00B21F62"/>
    <w:rsid w:val="00B223A4"/>
    <w:rsid w:val="00B22CE0"/>
    <w:rsid w:val="00B22F2E"/>
    <w:rsid w:val="00B232BF"/>
    <w:rsid w:val="00B23738"/>
    <w:rsid w:val="00B23BEF"/>
    <w:rsid w:val="00B247BB"/>
    <w:rsid w:val="00B2504A"/>
    <w:rsid w:val="00B25EE6"/>
    <w:rsid w:val="00B27365"/>
    <w:rsid w:val="00B3043F"/>
    <w:rsid w:val="00B3115A"/>
    <w:rsid w:val="00B3178B"/>
    <w:rsid w:val="00B31825"/>
    <w:rsid w:val="00B31A5C"/>
    <w:rsid w:val="00B32265"/>
    <w:rsid w:val="00B325CC"/>
    <w:rsid w:val="00B3276D"/>
    <w:rsid w:val="00B33331"/>
    <w:rsid w:val="00B333C8"/>
    <w:rsid w:val="00B33B06"/>
    <w:rsid w:val="00B33C19"/>
    <w:rsid w:val="00B33E0B"/>
    <w:rsid w:val="00B3462E"/>
    <w:rsid w:val="00B353A7"/>
    <w:rsid w:val="00B35A15"/>
    <w:rsid w:val="00B35B45"/>
    <w:rsid w:val="00B36165"/>
    <w:rsid w:val="00B36A99"/>
    <w:rsid w:val="00B37395"/>
    <w:rsid w:val="00B40385"/>
    <w:rsid w:val="00B40C29"/>
    <w:rsid w:val="00B419BB"/>
    <w:rsid w:val="00B42264"/>
    <w:rsid w:val="00B434B2"/>
    <w:rsid w:val="00B43B9E"/>
    <w:rsid w:val="00B43CA0"/>
    <w:rsid w:val="00B43D45"/>
    <w:rsid w:val="00B448C4"/>
    <w:rsid w:val="00B459AF"/>
    <w:rsid w:val="00B468F2"/>
    <w:rsid w:val="00B469DE"/>
    <w:rsid w:val="00B47286"/>
    <w:rsid w:val="00B4772A"/>
    <w:rsid w:val="00B47EB4"/>
    <w:rsid w:val="00B50234"/>
    <w:rsid w:val="00B5052F"/>
    <w:rsid w:val="00B51641"/>
    <w:rsid w:val="00B51BF4"/>
    <w:rsid w:val="00B521A2"/>
    <w:rsid w:val="00B52279"/>
    <w:rsid w:val="00B522D7"/>
    <w:rsid w:val="00B5235E"/>
    <w:rsid w:val="00B527AD"/>
    <w:rsid w:val="00B52C68"/>
    <w:rsid w:val="00B5324B"/>
    <w:rsid w:val="00B5372B"/>
    <w:rsid w:val="00B542FE"/>
    <w:rsid w:val="00B54360"/>
    <w:rsid w:val="00B546D2"/>
    <w:rsid w:val="00B5525E"/>
    <w:rsid w:val="00B55A1B"/>
    <w:rsid w:val="00B561DB"/>
    <w:rsid w:val="00B5645C"/>
    <w:rsid w:val="00B568A1"/>
    <w:rsid w:val="00B56DF9"/>
    <w:rsid w:val="00B56E80"/>
    <w:rsid w:val="00B570EC"/>
    <w:rsid w:val="00B571F1"/>
    <w:rsid w:val="00B5770A"/>
    <w:rsid w:val="00B6001F"/>
    <w:rsid w:val="00B600BD"/>
    <w:rsid w:val="00B60CB4"/>
    <w:rsid w:val="00B60E4E"/>
    <w:rsid w:val="00B61274"/>
    <w:rsid w:val="00B613F6"/>
    <w:rsid w:val="00B6141E"/>
    <w:rsid w:val="00B61DCE"/>
    <w:rsid w:val="00B62188"/>
    <w:rsid w:val="00B621D6"/>
    <w:rsid w:val="00B622E3"/>
    <w:rsid w:val="00B62F79"/>
    <w:rsid w:val="00B62F82"/>
    <w:rsid w:val="00B63028"/>
    <w:rsid w:val="00B6306A"/>
    <w:rsid w:val="00B635E3"/>
    <w:rsid w:val="00B64388"/>
    <w:rsid w:val="00B64B9A"/>
    <w:rsid w:val="00B662FF"/>
    <w:rsid w:val="00B665B8"/>
    <w:rsid w:val="00B665F6"/>
    <w:rsid w:val="00B66679"/>
    <w:rsid w:val="00B66C87"/>
    <w:rsid w:val="00B70139"/>
    <w:rsid w:val="00B70145"/>
    <w:rsid w:val="00B701C9"/>
    <w:rsid w:val="00B7035F"/>
    <w:rsid w:val="00B710AD"/>
    <w:rsid w:val="00B71A92"/>
    <w:rsid w:val="00B721D8"/>
    <w:rsid w:val="00B730CA"/>
    <w:rsid w:val="00B732EA"/>
    <w:rsid w:val="00B73747"/>
    <w:rsid w:val="00B747C5"/>
    <w:rsid w:val="00B74F2F"/>
    <w:rsid w:val="00B753ED"/>
    <w:rsid w:val="00B75C6D"/>
    <w:rsid w:val="00B7665F"/>
    <w:rsid w:val="00B769BC"/>
    <w:rsid w:val="00B770F7"/>
    <w:rsid w:val="00B77349"/>
    <w:rsid w:val="00B7761E"/>
    <w:rsid w:val="00B8020C"/>
    <w:rsid w:val="00B80A3D"/>
    <w:rsid w:val="00B80B04"/>
    <w:rsid w:val="00B821E4"/>
    <w:rsid w:val="00B823E0"/>
    <w:rsid w:val="00B8260D"/>
    <w:rsid w:val="00B82694"/>
    <w:rsid w:val="00B8286F"/>
    <w:rsid w:val="00B82B78"/>
    <w:rsid w:val="00B82FD9"/>
    <w:rsid w:val="00B845A8"/>
    <w:rsid w:val="00B845B4"/>
    <w:rsid w:val="00B84662"/>
    <w:rsid w:val="00B84C74"/>
    <w:rsid w:val="00B84CE9"/>
    <w:rsid w:val="00B84F6E"/>
    <w:rsid w:val="00B85191"/>
    <w:rsid w:val="00B85412"/>
    <w:rsid w:val="00B858A1"/>
    <w:rsid w:val="00B85BB8"/>
    <w:rsid w:val="00B85FEC"/>
    <w:rsid w:val="00B864A3"/>
    <w:rsid w:val="00B867B8"/>
    <w:rsid w:val="00B86C2A"/>
    <w:rsid w:val="00B87575"/>
    <w:rsid w:val="00B902A5"/>
    <w:rsid w:val="00B90420"/>
    <w:rsid w:val="00B90848"/>
    <w:rsid w:val="00B91146"/>
    <w:rsid w:val="00B913E4"/>
    <w:rsid w:val="00B91DB9"/>
    <w:rsid w:val="00B91FF3"/>
    <w:rsid w:val="00B925F8"/>
    <w:rsid w:val="00B9330A"/>
    <w:rsid w:val="00B93EFE"/>
    <w:rsid w:val="00B944B9"/>
    <w:rsid w:val="00B94602"/>
    <w:rsid w:val="00B94956"/>
    <w:rsid w:val="00B94C7F"/>
    <w:rsid w:val="00B94E93"/>
    <w:rsid w:val="00B956B5"/>
    <w:rsid w:val="00B95956"/>
    <w:rsid w:val="00B96DF2"/>
    <w:rsid w:val="00B96E18"/>
    <w:rsid w:val="00B96F5A"/>
    <w:rsid w:val="00B97AF7"/>
    <w:rsid w:val="00BA02CF"/>
    <w:rsid w:val="00BA0A69"/>
    <w:rsid w:val="00BA0B39"/>
    <w:rsid w:val="00BA0CB2"/>
    <w:rsid w:val="00BA0E26"/>
    <w:rsid w:val="00BA138B"/>
    <w:rsid w:val="00BA207E"/>
    <w:rsid w:val="00BA238F"/>
    <w:rsid w:val="00BA2471"/>
    <w:rsid w:val="00BA305B"/>
    <w:rsid w:val="00BA31BF"/>
    <w:rsid w:val="00BA3258"/>
    <w:rsid w:val="00BA3C0F"/>
    <w:rsid w:val="00BA3FC7"/>
    <w:rsid w:val="00BA478B"/>
    <w:rsid w:val="00BA5224"/>
    <w:rsid w:val="00BA575E"/>
    <w:rsid w:val="00BA67B1"/>
    <w:rsid w:val="00BA69D5"/>
    <w:rsid w:val="00BA7524"/>
    <w:rsid w:val="00BA756D"/>
    <w:rsid w:val="00BA76B7"/>
    <w:rsid w:val="00BA7E3B"/>
    <w:rsid w:val="00BB078D"/>
    <w:rsid w:val="00BB079C"/>
    <w:rsid w:val="00BB0D7A"/>
    <w:rsid w:val="00BB10E1"/>
    <w:rsid w:val="00BB23BF"/>
    <w:rsid w:val="00BB2471"/>
    <w:rsid w:val="00BB3035"/>
    <w:rsid w:val="00BB3039"/>
    <w:rsid w:val="00BB39C1"/>
    <w:rsid w:val="00BB3DF5"/>
    <w:rsid w:val="00BB3EA7"/>
    <w:rsid w:val="00BB45BC"/>
    <w:rsid w:val="00BB4653"/>
    <w:rsid w:val="00BB5D16"/>
    <w:rsid w:val="00BB5E55"/>
    <w:rsid w:val="00BB6180"/>
    <w:rsid w:val="00BB6290"/>
    <w:rsid w:val="00BB69DC"/>
    <w:rsid w:val="00BB69E6"/>
    <w:rsid w:val="00BB7323"/>
    <w:rsid w:val="00BB73CA"/>
    <w:rsid w:val="00BB7BE5"/>
    <w:rsid w:val="00BB7C6D"/>
    <w:rsid w:val="00BC08BD"/>
    <w:rsid w:val="00BC1002"/>
    <w:rsid w:val="00BC11E8"/>
    <w:rsid w:val="00BC1418"/>
    <w:rsid w:val="00BC1B7A"/>
    <w:rsid w:val="00BC2C17"/>
    <w:rsid w:val="00BC3149"/>
    <w:rsid w:val="00BC3ACD"/>
    <w:rsid w:val="00BC3B20"/>
    <w:rsid w:val="00BC3EE4"/>
    <w:rsid w:val="00BC4A6C"/>
    <w:rsid w:val="00BC577D"/>
    <w:rsid w:val="00BC588C"/>
    <w:rsid w:val="00BC6E73"/>
    <w:rsid w:val="00BC74D3"/>
    <w:rsid w:val="00BC7ACA"/>
    <w:rsid w:val="00BC7E6E"/>
    <w:rsid w:val="00BD0014"/>
    <w:rsid w:val="00BD01D8"/>
    <w:rsid w:val="00BD1C96"/>
    <w:rsid w:val="00BD1E3A"/>
    <w:rsid w:val="00BD1F36"/>
    <w:rsid w:val="00BD255F"/>
    <w:rsid w:val="00BD2895"/>
    <w:rsid w:val="00BD4236"/>
    <w:rsid w:val="00BD4400"/>
    <w:rsid w:val="00BD483B"/>
    <w:rsid w:val="00BD4FBA"/>
    <w:rsid w:val="00BD51F9"/>
    <w:rsid w:val="00BD5BD8"/>
    <w:rsid w:val="00BD5CD4"/>
    <w:rsid w:val="00BD65D9"/>
    <w:rsid w:val="00BD6922"/>
    <w:rsid w:val="00BD6DF3"/>
    <w:rsid w:val="00BD6E09"/>
    <w:rsid w:val="00BD6EF9"/>
    <w:rsid w:val="00BE045C"/>
    <w:rsid w:val="00BE0ACB"/>
    <w:rsid w:val="00BE11F3"/>
    <w:rsid w:val="00BE1843"/>
    <w:rsid w:val="00BE2260"/>
    <w:rsid w:val="00BE25DA"/>
    <w:rsid w:val="00BE2826"/>
    <w:rsid w:val="00BE2D95"/>
    <w:rsid w:val="00BE2F75"/>
    <w:rsid w:val="00BE3917"/>
    <w:rsid w:val="00BE39BE"/>
    <w:rsid w:val="00BE3D7E"/>
    <w:rsid w:val="00BE4A76"/>
    <w:rsid w:val="00BE4E87"/>
    <w:rsid w:val="00BE50FD"/>
    <w:rsid w:val="00BE51CA"/>
    <w:rsid w:val="00BE537F"/>
    <w:rsid w:val="00BE5B73"/>
    <w:rsid w:val="00BE5D77"/>
    <w:rsid w:val="00BE630A"/>
    <w:rsid w:val="00BE638C"/>
    <w:rsid w:val="00BE6914"/>
    <w:rsid w:val="00BE6BA1"/>
    <w:rsid w:val="00BE6D47"/>
    <w:rsid w:val="00BE6F9B"/>
    <w:rsid w:val="00BE6FBF"/>
    <w:rsid w:val="00BE7032"/>
    <w:rsid w:val="00BE7330"/>
    <w:rsid w:val="00BE77A7"/>
    <w:rsid w:val="00BF01C5"/>
    <w:rsid w:val="00BF061A"/>
    <w:rsid w:val="00BF066A"/>
    <w:rsid w:val="00BF0771"/>
    <w:rsid w:val="00BF0EDE"/>
    <w:rsid w:val="00BF14CC"/>
    <w:rsid w:val="00BF1821"/>
    <w:rsid w:val="00BF214F"/>
    <w:rsid w:val="00BF22E9"/>
    <w:rsid w:val="00BF3FE4"/>
    <w:rsid w:val="00BF4342"/>
    <w:rsid w:val="00BF4704"/>
    <w:rsid w:val="00BF4FFC"/>
    <w:rsid w:val="00BF5050"/>
    <w:rsid w:val="00BF50D1"/>
    <w:rsid w:val="00BF5422"/>
    <w:rsid w:val="00BF59B1"/>
    <w:rsid w:val="00BF5C4D"/>
    <w:rsid w:val="00BF6625"/>
    <w:rsid w:val="00BF6A78"/>
    <w:rsid w:val="00BF6B3F"/>
    <w:rsid w:val="00BF7118"/>
    <w:rsid w:val="00BF7695"/>
    <w:rsid w:val="00BF775D"/>
    <w:rsid w:val="00BF79B4"/>
    <w:rsid w:val="00BF7C61"/>
    <w:rsid w:val="00C00366"/>
    <w:rsid w:val="00C00686"/>
    <w:rsid w:val="00C00E54"/>
    <w:rsid w:val="00C013AC"/>
    <w:rsid w:val="00C01427"/>
    <w:rsid w:val="00C014C7"/>
    <w:rsid w:val="00C031CF"/>
    <w:rsid w:val="00C04172"/>
    <w:rsid w:val="00C047AB"/>
    <w:rsid w:val="00C053CF"/>
    <w:rsid w:val="00C058AF"/>
    <w:rsid w:val="00C069E5"/>
    <w:rsid w:val="00C06EAB"/>
    <w:rsid w:val="00C0709D"/>
    <w:rsid w:val="00C07136"/>
    <w:rsid w:val="00C075B6"/>
    <w:rsid w:val="00C10027"/>
    <w:rsid w:val="00C1118B"/>
    <w:rsid w:val="00C124C1"/>
    <w:rsid w:val="00C128AE"/>
    <w:rsid w:val="00C12BA8"/>
    <w:rsid w:val="00C13094"/>
    <w:rsid w:val="00C1359F"/>
    <w:rsid w:val="00C136D6"/>
    <w:rsid w:val="00C13D5B"/>
    <w:rsid w:val="00C141D7"/>
    <w:rsid w:val="00C16074"/>
    <w:rsid w:val="00C16F9E"/>
    <w:rsid w:val="00C1711B"/>
    <w:rsid w:val="00C17526"/>
    <w:rsid w:val="00C17AE2"/>
    <w:rsid w:val="00C20140"/>
    <w:rsid w:val="00C20CD6"/>
    <w:rsid w:val="00C20F27"/>
    <w:rsid w:val="00C215CF"/>
    <w:rsid w:val="00C21A89"/>
    <w:rsid w:val="00C21C6D"/>
    <w:rsid w:val="00C2244B"/>
    <w:rsid w:val="00C22711"/>
    <w:rsid w:val="00C2280A"/>
    <w:rsid w:val="00C22B0D"/>
    <w:rsid w:val="00C22BFF"/>
    <w:rsid w:val="00C23522"/>
    <w:rsid w:val="00C23581"/>
    <w:rsid w:val="00C23E71"/>
    <w:rsid w:val="00C24015"/>
    <w:rsid w:val="00C240C1"/>
    <w:rsid w:val="00C241CD"/>
    <w:rsid w:val="00C244A1"/>
    <w:rsid w:val="00C24AED"/>
    <w:rsid w:val="00C250D0"/>
    <w:rsid w:val="00C252AC"/>
    <w:rsid w:val="00C25C0F"/>
    <w:rsid w:val="00C26567"/>
    <w:rsid w:val="00C26923"/>
    <w:rsid w:val="00C271C9"/>
    <w:rsid w:val="00C27214"/>
    <w:rsid w:val="00C27597"/>
    <w:rsid w:val="00C27E5E"/>
    <w:rsid w:val="00C30382"/>
    <w:rsid w:val="00C30772"/>
    <w:rsid w:val="00C30D6F"/>
    <w:rsid w:val="00C31063"/>
    <w:rsid w:val="00C311E7"/>
    <w:rsid w:val="00C31492"/>
    <w:rsid w:val="00C31B7E"/>
    <w:rsid w:val="00C320D1"/>
    <w:rsid w:val="00C320E8"/>
    <w:rsid w:val="00C322D1"/>
    <w:rsid w:val="00C323E6"/>
    <w:rsid w:val="00C3242A"/>
    <w:rsid w:val="00C33201"/>
    <w:rsid w:val="00C3328B"/>
    <w:rsid w:val="00C33A39"/>
    <w:rsid w:val="00C33F55"/>
    <w:rsid w:val="00C343FF"/>
    <w:rsid w:val="00C34619"/>
    <w:rsid w:val="00C348D9"/>
    <w:rsid w:val="00C35D01"/>
    <w:rsid w:val="00C360B3"/>
    <w:rsid w:val="00C36451"/>
    <w:rsid w:val="00C365EA"/>
    <w:rsid w:val="00C367F0"/>
    <w:rsid w:val="00C37027"/>
    <w:rsid w:val="00C373BF"/>
    <w:rsid w:val="00C37B15"/>
    <w:rsid w:val="00C37B19"/>
    <w:rsid w:val="00C37B38"/>
    <w:rsid w:val="00C40B87"/>
    <w:rsid w:val="00C41318"/>
    <w:rsid w:val="00C41349"/>
    <w:rsid w:val="00C413CB"/>
    <w:rsid w:val="00C41429"/>
    <w:rsid w:val="00C41558"/>
    <w:rsid w:val="00C41F9F"/>
    <w:rsid w:val="00C42752"/>
    <w:rsid w:val="00C42973"/>
    <w:rsid w:val="00C43426"/>
    <w:rsid w:val="00C45267"/>
    <w:rsid w:val="00C4542D"/>
    <w:rsid w:val="00C46A3D"/>
    <w:rsid w:val="00C46B95"/>
    <w:rsid w:val="00C4712A"/>
    <w:rsid w:val="00C476B5"/>
    <w:rsid w:val="00C478F8"/>
    <w:rsid w:val="00C47E99"/>
    <w:rsid w:val="00C5001E"/>
    <w:rsid w:val="00C5034F"/>
    <w:rsid w:val="00C505D2"/>
    <w:rsid w:val="00C50830"/>
    <w:rsid w:val="00C52436"/>
    <w:rsid w:val="00C52479"/>
    <w:rsid w:val="00C5266E"/>
    <w:rsid w:val="00C52C59"/>
    <w:rsid w:val="00C5349E"/>
    <w:rsid w:val="00C539FF"/>
    <w:rsid w:val="00C54215"/>
    <w:rsid w:val="00C544BD"/>
    <w:rsid w:val="00C54D3D"/>
    <w:rsid w:val="00C55A30"/>
    <w:rsid w:val="00C55E1C"/>
    <w:rsid w:val="00C56076"/>
    <w:rsid w:val="00C561FB"/>
    <w:rsid w:val="00C56384"/>
    <w:rsid w:val="00C563D0"/>
    <w:rsid w:val="00C567E9"/>
    <w:rsid w:val="00C56ED2"/>
    <w:rsid w:val="00C60F8C"/>
    <w:rsid w:val="00C61424"/>
    <w:rsid w:val="00C61794"/>
    <w:rsid w:val="00C617AE"/>
    <w:rsid w:val="00C623E3"/>
    <w:rsid w:val="00C62A48"/>
    <w:rsid w:val="00C62AC4"/>
    <w:rsid w:val="00C62B59"/>
    <w:rsid w:val="00C62F96"/>
    <w:rsid w:val="00C631E1"/>
    <w:rsid w:val="00C638D8"/>
    <w:rsid w:val="00C63A43"/>
    <w:rsid w:val="00C63AE7"/>
    <w:rsid w:val="00C63D26"/>
    <w:rsid w:val="00C64127"/>
    <w:rsid w:val="00C6540A"/>
    <w:rsid w:val="00C65CF7"/>
    <w:rsid w:val="00C668A1"/>
    <w:rsid w:val="00C66E72"/>
    <w:rsid w:val="00C67223"/>
    <w:rsid w:val="00C67F42"/>
    <w:rsid w:val="00C707B8"/>
    <w:rsid w:val="00C712AC"/>
    <w:rsid w:val="00C7158C"/>
    <w:rsid w:val="00C71C15"/>
    <w:rsid w:val="00C71F3D"/>
    <w:rsid w:val="00C72767"/>
    <w:rsid w:val="00C72AA4"/>
    <w:rsid w:val="00C72F53"/>
    <w:rsid w:val="00C74035"/>
    <w:rsid w:val="00C748EA"/>
    <w:rsid w:val="00C74921"/>
    <w:rsid w:val="00C76FB0"/>
    <w:rsid w:val="00C77818"/>
    <w:rsid w:val="00C8063F"/>
    <w:rsid w:val="00C808BE"/>
    <w:rsid w:val="00C8121A"/>
    <w:rsid w:val="00C81282"/>
    <w:rsid w:val="00C8155F"/>
    <w:rsid w:val="00C8198D"/>
    <w:rsid w:val="00C82167"/>
    <w:rsid w:val="00C827B4"/>
    <w:rsid w:val="00C83214"/>
    <w:rsid w:val="00C8329F"/>
    <w:rsid w:val="00C84E65"/>
    <w:rsid w:val="00C84F8A"/>
    <w:rsid w:val="00C85743"/>
    <w:rsid w:val="00C85846"/>
    <w:rsid w:val="00C85BA4"/>
    <w:rsid w:val="00C8618F"/>
    <w:rsid w:val="00C8625D"/>
    <w:rsid w:val="00C863FA"/>
    <w:rsid w:val="00C865AD"/>
    <w:rsid w:val="00C86612"/>
    <w:rsid w:val="00C87402"/>
    <w:rsid w:val="00C90372"/>
    <w:rsid w:val="00C9041F"/>
    <w:rsid w:val="00C9166B"/>
    <w:rsid w:val="00C91945"/>
    <w:rsid w:val="00C91A45"/>
    <w:rsid w:val="00C91BA5"/>
    <w:rsid w:val="00C91FB4"/>
    <w:rsid w:val="00C92150"/>
    <w:rsid w:val="00C92328"/>
    <w:rsid w:val="00C928D6"/>
    <w:rsid w:val="00C9292F"/>
    <w:rsid w:val="00C92D42"/>
    <w:rsid w:val="00C938C2"/>
    <w:rsid w:val="00C9397B"/>
    <w:rsid w:val="00C93F8A"/>
    <w:rsid w:val="00C942C2"/>
    <w:rsid w:val="00C94EA1"/>
    <w:rsid w:val="00C95745"/>
    <w:rsid w:val="00C95813"/>
    <w:rsid w:val="00C95902"/>
    <w:rsid w:val="00C95999"/>
    <w:rsid w:val="00C95CCD"/>
    <w:rsid w:val="00C962E3"/>
    <w:rsid w:val="00C968C9"/>
    <w:rsid w:val="00C978E2"/>
    <w:rsid w:val="00C97997"/>
    <w:rsid w:val="00CA10A2"/>
    <w:rsid w:val="00CA1D83"/>
    <w:rsid w:val="00CA1FEB"/>
    <w:rsid w:val="00CA25C0"/>
    <w:rsid w:val="00CA2BFB"/>
    <w:rsid w:val="00CA3451"/>
    <w:rsid w:val="00CA35C6"/>
    <w:rsid w:val="00CA475F"/>
    <w:rsid w:val="00CA4948"/>
    <w:rsid w:val="00CA52F9"/>
    <w:rsid w:val="00CA5368"/>
    <w:rsid w:val="00CA547B"/>
    <w:rsid w:val="00CA568B"/>
    <w:rsid w:val="00CA573A"/>
    <w:rsid w:val="00CA58E0"/>
    <w:rsid w:val="00CA5C58"/>
    <w:rsid w:val="00CA68B2"/>
    <w:rsid w:val="00CA73A1"/>
    <w:rsid w:val="00CA7656"/>
    <w:rsid w:val="00CA7FB0"/>
    <w:rsid w:val="00CB0CC1"/>
    <w:rsid w:val="00CB160B"/>
    <w:rsid w:val="00CB17D8"/>
    <w:rsid w:val="00CB19D7"/>
    <w:rsid w:val="00CB19FE"/>
    <w:rsid w:val="00CB1AAE"/>
    <w:rsid w:val="00CB1C3F"/>
    <w:rsid w:val="00CB1FCA"/>
    <w:rsid w:val="00CB2364"/>
    <w:rsid w:val="00CB24C5"/>
    <w:rsid w:val="00CB2FEE"/>
    <w:rsid w:val="00CB304C"/>
    <w:rsid w:val="00CB3933"/>
    <w:rsid w:val="00CB44C2"/>
    <w:rsid w:val="00CB5010"/>
    <w:rsid w:val="00CB53E8"/>
    <w:rsid w:val="00CB594A"/>
    <w:rsid w:val="00CB5CB2"/>
    <w:rsid w:val="00CB6979"/>
    <w:rsid w:val="00CB7A04"/>
    <w:rsid w:val="00CB7DDE"/>
    <w:rsid w:val="00CB7F55"/>
    <w:rsid w:val="00CC01D8"/>
    <w:rsid w:val="00CC043E"/>
    <w:rsid w:val="00CC04F2"/>
    <w:rsid w:val="00CC0A3D"/>
    <w:rsid w:val="00CC22B8"/>
    <w:rsid w:val="00CC2FF0"/>
    <w:rsid w:val="00CC33B8"/>
    <w:rsid w:val="00CC3A84"/>
    <w:rsid w:val="00CC3C53"/>
    <w:rsid w:val="00CC3D24"/>
    <w:rsid w:val="00CC3F91"/>
    <w:rsid w:val="00CC405D"/>
    <w:rsid w:val="00CC47EE"/>
    <w:rsid w:val="00CC4ACD"/>
    <w:rsid w:val="00CC4B0A"/>
    <w:rsid w:val="00CC5387"/>
    <w:rsid w:val="00CC544A"/>
    <w:rsid w:val="00CC57EA"/>
    <w:rsid w:val="00CC5954"/>
    <w:rsid w:val="00CC5CF8"/>
    <w:rsid w:val="00CC5F4B"/>
    <w:rsid w:val="00CC629B"/>
    <w:rsid w:val="00CC66A2"/>
    <w:rsid w:val="00CC6C4E"/>
    <w:rsid w:val="00CC7709"/>
    <w:rsid w:val="00CC770A"/>
    <w:rsid w:val="00CC7B1F"/>
    <w:rsid w:val="00CD009D"/>
    <w:rsid w:val="00CD05A2"/>
    <w:rsid w:val="00CD1049"/>
    <w:rsid w:val="00CD1F6F"/>
    <w:rsid w:val="00CD29D4"/>
    <w:rsid w:val="00CD2B5C"/>
    <w:rsid w:val="00CD2CA1"/>
    <w:rsid w:val="00CD2FF3"/>
    <w:rsid w:val="00CD3323"/>
    <w:rsid w:val="00CD3324"/>
    <w:rsid w:val="00CD356A"/>
    <w:rsid w:val="00CD37AE"/>
    <w:rsid w:val="00CD38F5"/>
    <w:rsid w:val="00CD3BF2"/>
    <w:rsid w:val="00CD437E"/>
    <w:rsid w:val="00CD4AAF"/>
    <w:rsid w:val="00CD5DAD"/>
    <w:rsid w:val="00CD5FFB"/>
    <w:rsid w:val="00CD72C5"/>
    <w:rsid w:val="00CD74E3"/>
    <w:rsid w:val="00CD79A7"/>
    <w:rsid w:val="00CD7B44"/>
    <w:rsid w:val="00CD7FAD"/>
    <w:rsid w:val="00CE074B"/>
    <w:rsid w:val="00CE0789"/>
    <w:rsid w:val="00CE0E8D"/>
    <w:rsid w:val="00CE1A03"/>
    <w:rsid w:val="00CE233E"/>
    <w:rsid w:val="00CE2346"/>
    <w:rsid w:val="00CE25B2"/>
    <w:rsid w:val="00CE2748"/>
    <w:rsid w:val="00CE312F"/>
    <w:rsid w:val="00CE3529"/>
    <w:rsid w:val="00CE35C8"/>
    <w:rsid w:val="00CE3962"/>
    <w:rsid w:val="00CE43FA"/>
    <w:rsid w:val="00CE4D0A"/>
    <w:rsid w:val="00CE4D1A"/>
    <w:rsid w:val="00CE4E8A"/>
    <w:rsid w:val="00CE5105"/>
    <w:rsid w:val="00CE5525"/>
    <w:rsid w:val="00CE56BD"/>
    <w:rsid w:val="00CE5EC0"/>
    <w:rsid w:val="00CE68AD"/>
    <w:rsid w:val="00CE6BA5"/>
    <w:rsid w:val="00CE6EA4"/>
    <w:rsid w:val="00CE6F15"/>
    <w:rsid w:val="00CE6F9F"/>
    <w:rsid w:val="00CE781A"/>
    <w:rsid w:val="00CE7B08"/>
    <w:rsid w:val="00CE7B7A"/>
    <w:rsid w:val="00CE7D52"/>
    <w:rsid w:val="00CF0AAA"/>
    <w:rsid w:val="00CF0AB7"/>
    <w:rsid w:val="00CF1D74"/>
    <w:rsid w:val="00CF1F8D"/>
    <w:rsid w:val="00CF2BE2"/>
    <w:rsid w:val="00CF371A"/>
    <w:rsid w:val="00CF37C2"/>
    <w:rsid w:val="00CF3DE4"/>
    <w:rsid w:val="00CF3DEB"/>
    <w:rsid w:val="00CF42C9"/>
    <w:rsid w:val="00CF4363"/>
    <w:rsid w:val="00CF4626"/>
    <w:rsid w:val="00CF55F9"/>
    <w:rsid w:val="00CF578D"/>
    <w:rsid w:val="00CF63B2"/>
    <w:rsid w:val="00CF7074"/>
    <w:rsid w:val="00CF7495"/>
    <w:rsid w:val="00CF76D6"/>
    <w:rsid w:val="00D00314"/>
    <w:rsid w:val="00D01CF9"/>
    <w:rsid w:val="00D01F93"/>
    <w:rsid w:val="00D021E8"/>
    <w:rsid w:val="00D02AA3"/>
    <w:rsid w:val="00D0334D"/>
    <w:rsid w:val="00D0374D"/>
    <w:rsid w:val="00D0411B"/>
    <w:rsid w:val="00D05614"/>
    <w:rsid w:val="00D05D5C"/>
    <w:rsid w:val="00D06312"/>
    <w:rsid w:val="00D06B62"/>
    <w:rsid w:val="00D06D7B"/>
    <w:rsid w:val="00D06DA5"/>
    <w:rsid w:val="00D07191"/>
    <w:rsid w:val="00D07319"/>
    <w:rsid w:val="00D07813"/>
    <w:rsid w:val="00D07F1D"/>
    <w:rsid w:val="00D10558"/>
    <w:rsid w:val="00D10AA3"/>
    <w:rsid w:val="00D10EE8"/>
    <w:rsid w:val="00D11140"/>
    <w:rsid w:val="00D11739"/>
    <w:rsid w:val="00D119A6"/>
    <w:rsid w:val="00D11D4D"/>
    <w:rsid w:val="00D11DB1"/>
    <w:rsid w:val="00D126DC"/>
    <w:rsid w:val="00D12B03"/>
    <w:rsid w:val="00D13E70"/>
    <w:rsid w:val="00D13EE7"/>
    <w:rsid w:val="00D147BE"/>
    <w:rsid w:val="00D148A0"/>
    <w:rsid w:val="00D158D5"/>
    <w:rsid w:val="00D15ECD"/>
    <w:rsid w:val="00D15FCD"/>
    <w:rsid w:val="00D16C58"/>
    <w:rsid w:val="00D17019"/>
    <w:rsid w:val="00D1705A"/>
    <w:rsid w:val="00D17ABA"/>
    <w:rsid w:val="00D17D34"/>
    <w:rsid w:val="00D17FC8"/>
    <w:rsid w:val="00D2015B"/>
    <w:rsid w:val="00D202B2"/>
    <w:rsid w:val="00D207E7"/>
    <w:rsid w:val="00D20B44"/>
    <w:rsid w:val="00D21168"/>
    <w:rsid w:val="00D21A90"/>
    <w:rsid w:val="00D21C3A"/>
    <w:rsid w:val="00D2224A"/>
    <w:rsid w:val="00D22700"/>
    <w:rsid w:val="00D230BF"/>
    <w:rsid w:val="00D2385D"/>
    <w:rsid w:val="00D23AAD"/>
    <w:rsid w:val="00D23FB9"/>
    <w:rsid w:val="00D23FF4"/>
    <w:rsid w:val="00D2438C"/>
    <w:rsid w:val="00D247E0"/>
    <w:rsid w:val="00D2585A"/>
    <w:rsid w:val="00D25920"/>
    <w:rsid w:val="00D259B0"/>
    <w:rsid w:val="00D259C2"/>
    <w:rsid w:val="00D26586"/>
    <w:rsid w:val="00D26C3F"/>
    <w:rsid w:val="00D27185"/>
    <w:rsid w:val="00D27338"/>
    <w:rsid w:val="00D3028A"/>
    <w:rsid w:val="00D30E98"/>
    <w:rsid w:val="00D3125C"/>
    <w:rsid w:val="00D3214D"/>
    <w:rsid w:val="00D32A92"/>
    <w:rsid w:val="00D32CF5"/>
    <w:rsid w:val="00D33488"/>
    <w:rsid w:val="00D33AB3"/>
    <w:rsid w:val="00D33F24"/>
    <w:rsid w:val="00D34160"/>
    <w:rsid w:val="00D343BA"/>
    <w:rsid w:val="00D346B8"/>
    <w:rsid w:val="00D34DCA"/>
    <w:rsid w:val="00D35AC8"/>
    <w:rsid w:val="00D36F05"/>
    <w:rsid w:val="00D36F87"/>
    <w:rsid w:val="00D37DF9"/>
    <w:rsid w:val="00D37E4E"/>
    <w:rsid w:val="00D40672"/>
    <w:rsid w:val="00D417D8"/>
    <w:rsid w:val="00D41F78"/>
    <w:rsid w:val="00D42687"/>
    <w:rsid w:val="00D42ABC"/>
    <w:rsid w:val="00D42E6C"/>
    <w:rsid w:val="00D430A5"/>
    <w:rsid w:val="00D4351C"/>
    <w:rsid w:val="00D43B80"/>
    <w:rsid w:val="00D44348"/>
    <w:rsid w:val="00D4485C"/>
    <w:rsid w:val="00D44988"/>
    <w:rsid w:val="00D45828"/>
    <w:rsid w:val="00D45B4C"/>
    <w:rsid w:val="00D45BA4"/>
    <w:rsid w:val="00D45C8D"/>
    <w:rsid w:val="00D471AF"/>
    <w:rsid w:val="00D471E2"/>
    <w:rsid w:val="00D4724F"/>
    <w:rsid w:val="00D47A34"/>
    <w:rsid w:val="00D50252"/>
    <w:rsid w:val="00D50519"/>
    <w:rsid w:val="00D50702"/>
    <w:rsid w:val="00D50779"/>
    <w:rsid w:val="00D50D4C"/>
    <w:rsid w:val="00D51601"/>
    <w:rsid w:val="00D51EC3"/>
    <w:rsid w:val="00D51ECB"/>
    <w:rsid w:val="00D520DE"/>
    <w:rsid w:val="00D5264C"/>
    <w:rsid w:val="00D52BBC"/>
    <w:rsid w:val="00D537FE"/>
    <w:rsid w:val="00D53CC9"/>
    <w:rsid w:val="00D54A6A"/>
    <w:rsid w:val="00D54B8F"/>
    <w:rsid w:val="00D55848"/>
    <w:rsid w:val="00D55951"/>
    <w:rsid w:val="00D559F0"/>
    <w:rsid w:val="00D56455"/>
    <w:rsid w:val="00D5650F"/>
    <w:rsid w:val="00D56594"/>
    <w:rsid w:val="00D576A4"/>
    <w:rsid w:val="00D57EB6"/>
    <w:rsid w:val="00D608C0"/>
    <w:rsid w:val="00D60D6D"/>
    <w:rsid w:val="00D6128C"/>
    <w:rsid w:val="00D63B22"/>
    <w:rsid w:val="00D63DF9"/>
    <w:rsid w:val="00D65E33"/>
    <w:rsid w:val="00D66009"/>
    <w:rsid w:val="00D66A9F"/>
    <w:rsid w:val="00D66D8B"/>
    <w:rsid w:val="00D66F72"/>
    <w:rsid w:val="00D671B2"/>
    <w:rsid w:val="00D674BE"/>
    <w:rsid w:val="00D67863"/>
    <w:rsid w:val="00D70849"/>
    <w:rsid w:val="00D70DFA"/>
    <w:rsid w:val="00D72297"/>
    <w:rsid w:val="00D72A1C"/>
    <w:rsid w:val="00D72CC0"/>
    <w:rsid w:val="00D7308F"/>
    <w:rsid w:val="00D7313E"/>
    <w:rsid w:val="00D73396"/>
    <w:rsid w:val="00D73580"/>
    <w:rsid w:val="00D73802"/>
    <w:rsid w:val="00D73883"/>
    <w:rsid w:val="00D73C2C"/>
    <w:rsid w:val="00D73D52"/>
    <w:rsid w:val="00D73E70"/>
    <w:rsid w:val="00D745E7"/>
    <w:rsid w:val="00D74C25"/>
    <w:rsid w:val="00D75296"/>
    <w:rsid w:val="00D75FDA"/>
    <w:rsid w:val="00D774ED"/>
    <w:rsid w:val="00D776AD"/>
    <w:rsid w:val="00D777C3"/>
    <w:rsid w:val="00D7797C"/>
    <w:rsid w:val="00D77C44"/>
    <w:rsid w:val="00D77F88"/>
    <w:rsid w:val="00D8131B"/>
    <w:rsid w:val="00D81AFA"/>
    <w:rsid w:val="00D81EAA"/>
    <w:rsid w:val="00D81FE2"/>
    <w:rsid w:val="00D8259F"/>
    <w:rsid w:val="00D825F2"/>
    <w:rsid w:val="00D8273B"/>
    <w:rsid w:val="00D8285C"/>
    <w:rsid w:val="00D828B1"/>
    <w:rsid w:val="00D82A55"/>
    <w:rsid w:val="00D830F8"/>
    <w:rsid w:val="00D83174"/>
    <w:rsid w:val="00D83D49"/>
    <w:rsid w:val="00D84181"/>
    <w:rsid w:val="00D846AD"/>
    <w:rsid w:val="00D84754"/>
    <w:rsid w:val="00D84F27"/>
    <w:rsid w:val="00D853F0"/>
    <w:rsid w:val="00D85862"/>
    <w:rsid w:val="00D85892"/>
    <w:rsid w:val="00D85B03"/>
    <w:rsid w:val="00D86D47"/>
    <w:rsid w:val="00D8710C"/>
    <w:rsid w:val="00D871CE"/>
    <w:rsid w:val="00D873C6"/>
    <w:rsid w:val="00D87819"/>
    <w:rsid w:val="00D878A3"/>
    <w:rsid w:val="00D87FA5"/>
    <w:rsid w:val="00D9074A"/>
    <w:rsid w:val="00D9099E"/>
    <w:rsid w:val="00D9193A"/>
    <w:rsid w:val="00D91D05"/>
    <w:rsid w:val="00D923B2"/>
    <w:rsid w:val="00D92463"/>
    <w:rsid w:val="00D924E7"/>
    <w:rsid w:val="00D927B5"/>
    <w:rsid w:val="00D92981"/>
    <w:rsid w:val="00D92C81"/>
    <w:rsid w:val="00D93037"/>
    <w:rsid w:val="00D93E64"/>
    <w:rsid w:val="00D93F64"/>
    <w:rsid w:val="00D94CA4"/>
    <w:rsid w:val="00D95E99"/>
    <w:rsid w:val="00D965D5"/>
    <w:rsid w:val="00D96F7C"/>
    <w:rsid w:val="00D9714B"/>
    <w:rsid w:val="00D97DA2"/>
    <w:rsid w:val="00DA0485"/>
    <w:rsid w:val="00DA1A3A"/>
    <w:rsid w:val="00DA1FC3"/>
    <w:rsid w:val="00DA2351"/>
    <w:rsid w:val="00DA249E"/>
    <w:rsid w:val="00DA2D3D"/>
    <w:rsid w:val="00DA35D9"/>
    <w:rsid w:val="00DA3855"/>
    <w:rsid w:val="00DA39BA"/>
    <w:rsid w:val="00DA4C30"/>
    <w:rsid w:val="00DA52B3"/>
    <w:rsid w:val="00DA538E"/>
    <w:rsid w:val="00DA5FB3"/>
    <w:rsid w:val="00DA6980"/>
    <w:rsid w:val="00DA6A44"/>
    <w:rsid w:val="00DA7A3C"/>
    <w:rsid w:val="00DB145E"/>
    <w:rsid w:val="00DB1A94"/>
    <w:rsid w:val="00DB1D52"/>
    <w:rsid w:val="00DB1E2B"/>
    <w:rsid w:val="00DB1F62"/>
    <w:rsid w:val="00DB21E7"/>
    <w:rsid w:val="00DB2E03"/>
    <w:rsid w:val="00DB3742"/>
    <w:rsid w:val="00DB38F2"/>
    <w:rsid w:val="00DB3C5A"/>
    <w:rsid w:val="00DB3E9B"/>
    <w:rsid w:val="00DB3F4B"/>
    <w:rsid w:val="00DB495F"/>
    <w:rsid w:val="00DB4A80"/>
    <w:rsid w:val="00DB5375"/>
    <w:rsid w:val="00DB6003"/>
    <w:rsid w:val="00DB6103"/>
    <w:rsid w:val="00DB6769"/>
    <w:rsid w:val="00DB67C1"/>
    <w:rsid w:val="00DB6C0B"/>
    <w:rsid w:val="00DB70F4"/>
    <w:rsid w:val="00DB748A"/>
    <w:rsid w:val="00DB7AC2"/>
    <w:rsid w:val="00DB7CB7"/>
    <w:rsid w:val="00DC1056"/>
    <w:rsid w:val="00DC1442"/>
    <w:rsid w:val="00DC1781"/>
    <w:rsid w:val="00DC21D8"/>
    <w:rsid w:val="00DC282A"/>
    <w:rsid w:val="00DC2DE8"/>
    <w:rsid w:val="00DC3054"/>
    <w:rsid w:val="00DC34DC"/>
    <w:rsid w:val="00DC3780"/>
    <w:rsid w:val="00DC3ADA"/>
    <w:rsid w:val="00DC3CC6"/>
    <w:rsid w:val="00DC3F55"/>
    <w:rsid w:val="00DC4782"/>
    <w:rsid w:val="00DC4B02"/>
    <w:rsid w:val="00DC514A"/>
    <w:rsid w:val="00DC67B1"/>
    <w:rsid w:val="00DC7EAE"/>
    <w:rsid w:val="00DC7FBC"/>
    <w:rsid w:val="00DD0019"/>
    <w:rsid w:val="00DD132B"/>
    <w:rsid w:val="00DD1571"/>
    <w:rsid w:val="00DD1725"/>
    <w:rsid w:val="00DD2159"/>
    <w:rsid w:val="00DD218B"/>
    <w:rsid w:val="00DD28BA"/>
    <w:rsid w:val="00DD2A18"/>
    <w:rsid w:val="00DD3044"/>
    <w:rsid w:val="00DD33D1"/>
    <w:rsid w:val="00DD3985"/>
    <w:rsid w:val="00DD5A55"/>
    <w:rsid w:val="00DD61E8"/>
    <w:rsid w:val="00DD62C0"/>
    <w:rsid w:val="00DD63F8"/>
    <w:rsid w:val="00DD64DE"/>
    <w:rsid w:val="00DD66DE"/>
    <w:rsid w:val="00DD7197"/>
    <w:rsid w:val="00DD76DA"/>
    <w:rsid w:val="00DD7859"/>
    <w:rsid w:val="00DD7B41"/>
    <w:rsid w:val="00DE0784"/>
    <w:rsid w:val="00DE0A1D"/>
    <w:rsid w:val="00DE1584"/>
    <w:rsid w:val="00DE15B2"/>
    <w:rsid w:val="00DE1A9A"/>
    <w:rsid w:val="00DE3D2C"/>
    <w:rsid w:val="00DE57D0"/>
    <w:rsid w:val="00DE5E82"/>
    <w:rsid w:val="00DE5EC5"/>
    <w:rsid w:val="00DE5F7F"/>
    <w:rsid w:val="00DE5FA6"/>
    <w:rsid w:val="00DE5FC9"/>
    <w:rsid w:val="00DE6792"/>
    <w:rsid w:val="00DE6AA1"/>
    <w:rsid w:val="00DE77A3"/>
    <w:rsid w:val="00DE7EF7"/>
    <w:rsid w:val="00DF015B"/>
    <w:rsid w:val="00DF02EC"/>
    <w:rsid w:val="00DF0404"/>
    <w:rsid w:val="00DF10FC"/>
    <w:rsid w:val="00DF1185"/>
    <w:rsid w:val="00DF1299"/>
    <w:rsid w:val="00DF132C"/>
    <w:rsid w:val="00DF155A"/>
    <w:rsid w:val="00DF1620"/>
    <w:rsid w:val="00DF1A70"/>
    <w:rsid w:val="00DF1E5F"/>
    <w:rsid w:val="00DF224B"/>
    <w:rsid w:val="00DF23A8"/>
    <w:rsid w:val="00DF2B9C"/>
    <w:rsid w:val="00DF2EE1"/>
    <w:rsid w:val="00DF2F27"/>
    <w:rsid w:val="00DF36B6"/>
    <w:rsid w:val="00DF4296"/>
    <w:rsid w:val="00DF4E8F"/>
    <w:rsid w:val="00DF5267"/>
    <w:rsid w:val="00DF53F0"/>
    <w:rsid w:val="00DF5700"/>
    <w:rsid w:val="00DF5F38"/>
    <w:rsid w:val="00DF604C"/>
    <w:rsid w:val="00DF6075"/>
    <w:rsid w:val="00DF6608"/>
    <w:rsid w:val="00DF6CCC"/>
    <w:rsid w:val="00DF6D0C"/>
    <w:rsid w:val="00DF6F64"/>
    <w:rsid w:val="00DF721E"/>
    <w:rsid w:val="00DF72F3"/>
    <w:rsid w:val="00DF73CD"/>
    <w:rsid w:val="00DF7549"/>
    <w:rsid w:val="00DF78D0"/>
    <w:rsid w:val="00DF7B8A"/>
    <w:rsid w:val="00DF7C87"/>
    <w:rsid w:val="00E009B0"/>
    <w:rsid w:val="00E00A12"/>
    <w:rsid w:val="00E00B39"/>
    <w:rsid w:val="00E00C49"/>
    <w:rsid w:val="00E01C9C"/>
    <w:rsid w:val="00E01D7A"/>
    <w:rsid w:val="00E01FF4"/>
    <w:rsid w:val="00E0219D"/>
    <w:rsid w:val="00E030D1"/>
    <w:rsid w:val="00E032D9"/>
    <w:rsid w:val="00E03D4C"/>
    <w:rsid w:val="00E04482"/>
    <w:rsid w:val="00E04C0F"/>
    <w:rsid w:val="00E05510"/>
    <w:rsid w:val="00E0570B"/>
    <w:rsid w:val="00E05A7A"/>
    <w:rsid w:val="00E05B1D"/>
    <w:rsid w:val="00E069C5"/>
    <w:rsid w:val="00E102E1"/>
    <w:rsid w:val="00E1065D"/>
    <w:rsid w:val="00E10913"/>
    <w:rsid w:val="00E10B87"/>
    <w:rsid w:val="00E121CE"/>
    <w:rsid w:val="00E12209"/>
    <w:rsid w:val="00E12FE9"/>
    <w:rsid w:val="00E1362E"/>
    <w:rsid w:val="00E144C4"/>
    <w:rsid w:val="00E14585"/>
    <w:rsid w:val="00E1478B"/>
    <w:rsid w:val="00E14FAC"/>
    <w:rsid w:val="00E15007"/>
    <w:rsid w:val="00E15102"/>
    <w:rsid w:val="00E15DC6"/>
    <w:rsid w:val="00E16277"/>
    <w:rsid w:val="00E16EC7"/>
    <w:rsid w:val="00E17DCC"/>
    <w:rsid w:val="00E20627"/>
    <w:rsid w:val="00E219CE"/>
    <w:rsid w:val="00E21D93"/>
    <w:rsid w:val="00E22A86"/>
    <w:rsid w:val="00E22D2A"/>
    <w:rsid w:val="00E24071"/>
    <w:rsid w:val="00E24142"/>
    <w:rsid w:val="00E24DCA"/>
    <w:rsid w:val="00E24EBC"/>
    <w:rsid w:val="00E2522C"/>
    <w:rsid w:val="00E2552F"/>
    <w:rsid w:val="00E2599B"/>
    <w:rsid w:val="00E2656E"/>
    <w:rsid w:val="00E26759"/>
    <w:rsid w:val="00E2710C"/>
    <w:rsid w:val="00E272BD"/>
    <w:rsid w:val="00E27428"/>
    <w:rsid w:val="00E305B4"/>
    <w:rsid w:val="00E305DE"/>
    <w:rsid w:val="00E31AFA"/>
    <w:rsid w:val="00E31CB7"/>
    <w:rsid w:val="00E32463"/>
    <w:rsid w:val="00E324EE"/>
    <w:rsid w:val="00E3367B"/>
    <w:rsid w:val="00E34D2F"/>
    <w:rsid w:val="00E34DAE"/>
    <w:rsid w:val="00E34DB1"/>
    <w:rsid w:val="00E35931"/>
    <w:rsid w:val="00E359FF"/>
    <w:rsid w:val="00E36337"/>
    <w:rsid w:val="00E3699A"/>
    <w:rsid w:val="00E371E1"/>
    <w:rsid w:val="00E37BFE"/>
    <w:rsid w:val="00E402C5"/>
    <w:rsid w:val="00E402F4"/>
    <w:rsid w:val="00E405F1"/>
    <w:rsid w:val="00E4076D"/>
    <w:rsid w:val="00E40913"/>
    <w:rsid w:val="00E417DB"/>
    <w:rsid w:val="00E41998"/>
    <w:rsid w:val="00E41BB1"/>
    <w:rsid w:val="00E423C5"/>
    <w:rsid w:val="00E427A0"/>
    <w:rsid w:val="00E43054"/>
    <w:rsid w:val="00E432D1"/>
    <w:rsid w:val="00E433B4"/>
    <w:rsid w:val="00E43655"/>
    <w:rsid w:val="00E44440"/>
    <w:rsid w:val="00E44A8B"/>
    <w:rsid w:val="00E45958"/>
    <w:rsid w:val="00E46013"/>
    <w:rsid w:val="00E4673F"/>
    <w:rsid w:val="00E46839"/>
    <w:rsid w:val="00E46DAD"/>
    <w:rsid w:val="00E47099"/>
    <w:rsid w:val="00E47284"/>
    <w:rsid w:val="00E477C3"/>
    <w:rsid w:val="00E5017E"/>
    <w:rsid w:val="00E50734"/>
    <w:rsid w:val="00E5140B"/>
    <w:rsid w:val="00E514BB"/>
    <w:rsid w:val="00E51E16"/>
    <w:rsid w:val="00E5290C"/>
    <w:rsid w:val="00E52990"/>
    <w:rsid w:val="00E52DED"/>
    <w:rsid w:val="00E53593"/>
    <w:rsid w:val="00E53730"/>
    <w:rsid w:val="00E5410A"/>
    <w:rsid w:val="00E5438D"/>
    <w:rsid w:val="00E54511"/>
    <w:rsid w:val="00E54E50"/>
    <w:rsid w:val="00E55288"/>
    <w:rsid w:val="00E56429"/>
    <w:rsid w:val="00E5682A"/>
    <w:rsid w:val="00E57577"/>
    <w:rsid w:val="00E57CDA"/>
    <w:rsid w:val="00E600E5"/>
    <w:rsid w:val="00E60F05"/>
    <w:rsid w:val="00E62043"/>
    <w:rsid w:val="00E626B9"/>
    <w:rsid w:val="00E627C9"/>
    <w:rsid w:val="00E630F3"/>
    <w:rsid w:val="00E6332F"/>
    <w:rsid w:val="00E637A5"/>
    <w:rsid w:val="00E637C9"/>
    <w:rsid w:val="00E6402D"/>
    <w:rsid w:val="00E64322"/>
    <w:rsid w:val="00E64A19"/>
    <w:rsid w:val="00E65AE0"/>
    <w:rsid w:val="00E6680A"/>
    <w:rsid w:val="00E66960"/>
    <w:rsid w:val="00E669E3"/>
    <w:rsid w:val="00E66D44"/>
    <w:rsid w:val="00E66F0D"/>
    <w:rsid w:val="00E679F6"/>
    <w:rsid w:val="00E67BFA"/>
    <w:rsid w:val="00E7004F"/>
    <w:rsid w:val="00E70615"/>
    <w:rsid w:val="00E7159E"/>
    <w:rsid w:val="00E7161E"/>
    <w:rsid w:val="00E71BE3"/>
    <w:rsid w:val="00E72004"/>
    <w:rsid w:val="00E7207B"/>
    <w:rsid w:val="00E722CF"/>
    <w:rsid w:val="00E72880"/>
    <w:rsid w:val="00E7347A"/>
    <w:rsid w:val="00E73798"/>
    <w:rsid w:val="00E7384D"/>
    <w:rsid w:val="00E73DE4"/>
    <w:rsid w:val="00E75383"/>
    <w:rsid w:val="00E75A36"/>
    <w:rsid w:val="00E75A47"/>
    <w:rsid w:val="00E75BB6"/>
    <w:rsid w:val="00E75C2B"/>
    <w:rsid w:val="00E75D8C"/>
    <w:rsid w:val="00E7719C"/>
    <w:rsid w:val="00E7757E"/>
    <w:rsid w:val="00E777F2"/>
    <w:rsid w:val="00E802C9"/>
    <w:rsid w:val="00E80BFB"/>
    <w:rsid w:val="00E80EC2"/>
    <w:rsid w:val="00E80F0A"/>
    <w:rsid w:val="00E81334"/>
    <w:rsid w:val="00E815D4"/>
    <w:rsid w:val="00E818FD"/>
    <w:rsid w:val="00E819BA"/>
    <w:rsid w:val="00E8291B"/>
    <w:rsid w:val="00E82E70"/>
    <w:rsid w:val="00E82F92"/>
    <w:rsid w:val="00E8395F"/>
    <w:rsid w:val="00E83C3D"/>
    <w:rsid w:val="00E83ECB"/>
    <w:rsid w:val="00E8408E"/>
    <w:rsid w:val="00E8410F"/>
    <w:rsid w:val="00E84358"/>
    <w:rsid w:val="00E84650"/>
    <w:rsid w:val="00E849D7"/>
    <w:rsid w:val="00E8559B"/>
    <w:rsid w:val="00E85868"/>
    <w:rsid w:val="00E85E41"/>
    <w:rsid w:val="00E85EA1"/>
    <w:rsid w:val="00E86703"/>
    <w:rsid w:val="00E86C01"/>
    <w:rsid w:val="00E87F57"/>
    <w:rsid w:val="00E900DA"/>
    <w:rsid w:val="00E91044"/>
    <w:rsid w:val="00E910D3"/>
    <w:rsid w:val="00E91CBA"/>
    <w:rsid w:val="00E92097"/>
    <w:rsid w:val="00E92154"/>
    <w:rsid w:val="00E923CF"/>
    <w:rsid w:val="00E93685"/>
    <w:rsid w:val="00E93B65"/>
    <w:rsid w:val="00E93C8C"/>
    <w:rsid w:val="00E93FED"/>
    <w:rsid w:val="00E94F33"/>
    <w:rsid w:val="00E95111"/>
    <w:rsid w:val="00E95D57"/>
    <w:rsid w:val="00E95FDF"/>
    <w:rsid w:val="00E960AD"/>
    <w:rsid w:val="00E9677F"/>
    <w:rsid w:val="00E96898"/>
    <w:rsid w:val="00E97043"/>
    <w:rsid w:val="00E97A16"/>
    <w:rsid w:val="00EA0185"/>
    <w:rsid w:val="00EA02A8"/>
    <w:rsid w:val="00EA14C8"/>
    <w:rsid w:val="00EA2110"/>
    <w:rsid w:val="00EA24AF"/>
    <w:rsid w:val="00EA283A"/>
    <w:rsid w:val="00EA2C90"/>
    <w:rsid w:val="00EA2E07"/>
    <w:rsid w:val="00EA2FF3"/>
    <w:rsid w:val="00EA383B"/>
    <w:rsid w:val="00EA44ED"/>
    <w:rsid w:val="00EA48F3"/>
    <w:rsid w:val="00EA4D46"/>
    <w:rsid w:val="00EA526B"/>
    <w:rsid w:val="00EA60BF"/>
    <w:rsid w:val="00EA6C71"/>
    <w:rsid w:val="00EA71B5"/>
    <w:rsid w:val="00EA7365"/>
    <w:rsid w:val="00EA763F"/>
    <w:rsid w:val="00EA77E9"/>
    <w:rsid w:val="00EA7BBA"/>
    <w:rsid w:val="00EA7E61"/>
    <w:rsid w:val="00EB0548"/>
    <w:rsid w:val="00EB05D0"/>
    <w:rsid w:val="00EB1151"/>
    <w:rsid w:val="00EB1D49"/>
    <w:rsid w:val="00EB23D9"/>
    <w:rsid w:val="00EB39A0"/>
    <w:rsid w:val="00EB430A"/>
    <w:rsid w:val="00EB4CB9"/>
    <w:rsid w:val="00EB4EF7"/>
    <w:rsid w:val="00EB559F"/>
    <w:rsid w:val="00EB566C"/>
    <w:rsid w:val="00EB5A18"/>
    <w:rsid w:val="00EB5D09"/>
    <w:rsid w:val="00EB5F3D"/>
    <w:rsid w:val="00EB6C97"/>
    <w:rsid w:val="00EB7E87"/>
    <w:rsid w:val="00EC0317"/>
    <w:rsid w:val="00EC1CEB"/>
    <w:rsid w:val="00EC1DC0"/>
    <w:rsid w:val="00EC1DC2"/>
    <w:rsid w:val="00EC1E09"/>
    <w:rsid w:val="00EC210E"/>
    <w:rsid w:val="00EC21EC"/>
    <w:rsid w:val="00EC24B8"/>
    <w:rsid w:val="00EC268C"/>
    <w:rsid w:val="00EC3753"/>
    <w:rsid w:val="00EC3FB6"/>
    <w:rsid w:val="00EC471E"/>
    <w:rsid w:val="00EC4E71"/>
    <w:rsid w:val="00EC5409"/>
    <w:rsid w:val="00EC5B29"/>
    <w:rsid w:val="00EC5BC4"/>
    <w:rsid w:val="00EC5F1C"/>
    <w:rsid w:val="00EC7AEB"/>
    <w:rsid w:val="00ED033A"/>
    <w:rsid w:val="00ED0365"/>
    <w:rsid w:val="00ED0512"/>
    <w:rsid w:val="00ED0865"/>
    <w:rsid w:val="00ED0C1C"/>
    <w:rsid w:val="00ED1353"/>
    <w:rsid w:val="00ED1C60"/>
    <w:rsid w:val="00ED2EB9"/>
    <w:rsid w:val="00ED3144"/>
    <w:rsid w:val="00ED3722"/>
    <w:rsid w:val="00ED3A31"/>
    <w:rsid w:val="00ED4214"/>
    <w:rsid w:val="00ED4469"/>
    <w:rsid w:val="00ED5424"/>
    <w:rsid w:val="00ED5F23"/>
    <w:rsid w:val="00ED6DC0"/>
    <w:rsid w:val="00ED7A7A"/>
    <w:rsid w:val="00ED7F9C"/>
    <w:rsid w:val="00EE0327"/>
    <w:rsid w:val="00EE038C"/>
    <w:rsid w:val="00EE060A"/>
    <w:rsid w:val="00EE105A"/>
    <w:rsid w:val="00EE187A"/>
    <w:rsid w:val="00EE1D00"/>
    <w:rsid w:val="00EE1F23"/>
    <w:rsid w:val="00EE21F9"/>
    <w:rsid w:val="00EE259E"/>
    <w:rsid w:val="00EE25C8"/>
    <w:rsid w:val="00EE28C5"/>
    <w:rsid w:val="00EE2F09"/>
    <w:rsid w:val="00EE3244"/>
    <w:rsid w:val="00EE3FB2"/>
    <w:rsid w:val="00EE47C5"/>
    <w:rsid w:val="00EE490C"/>
    <w:rsid w:val="00EE4BCA"/>
    <w:rsid w:val="00EE4E57"/>
    <w:rsid w:val="00EE5738"/>
    <w:rsid w:val="00EE58BD"/>
    <w:rsid w:val="00EE5DDB"/>
    <w:rsid w:val="00EE5E59"/>
    <w:rsid w:val="00EE6108"/>
    <w:rsid w:val="00EE706B"/>
    <w:rsid w:val="00EE73D0"/>
    <w:rsid w:val="00EE7CB0"/>
    <w:rsid w:val="00EE7CD1"/>
    <w:rsid w:val="00EF08A8"/>
    <w:rsid w:val="00EF167B"/>
    <w:rsid w:val="00EF1C90"/>
    <w:rsid w:val="00EF2496"/>
    <w:rsid w:val="00EF2647"/>
    <w:rsid w:val="00EF270A"/>
    <w:rsid w:val="00EF3D20"/>
    <w:rsid w:val="00EF41A8"/>
    <w:rsid w:val="00EF44FB"/>
    <w:rsid w:val="00EF474F"/>
    <w:rsid w:val="00EF5122"/>
    <w:rsid w:val="00EF5554"/>
    <w:rsid w:val="00EF5AD8"/>
    <w:rsid w:val="00EF6B90"/>
    <w:rsid w:val="00EF6DD7"/>
    <w:rsid w:val="00EF70C9"/>
    <w:rsid w:val="00EF741E"/>
    <w:rsid w:val="00EF7807"/>
    <w:rsid w:val="00EF79F7"/>
    <w:rsid w:val="00F006C0"/>
    <w:rsid w:val="00F00EB1"/>
    <w:rsid w:val="00F0125F"/>
    <w:rsid w:val="00F0176A"/>
    <w:rsid w:val="00F019AA"/>
    <w:rsid w:val="00F0267E"/>
    <w:rsid w:val="00F02686"/>
    <w:rsid w:val="00F030C0"/>
    <w:rsid w:val="00F03114"/>
    <w:rsid w:val="00F03291"/>
    <w:rsid w:val="00F03A85"/>
    <w:rsid w:val="00F04052"/>
    <w:rsid w:val="00F04314"/>
    <w:rsid w:val="00F0459B"/>
    <w:rsid w:val="00F04E15"/>
    <w:rsid w:val="00F056EC"/>
    <w:rsid w:val="00F05DF3"/>
    <w:rsid w:val="00F06829"/>
    <w:rsid w:val="00F069EA"/>
    <w:rsid w:val="00F06A4B"/>
    <w:rsid w:val="00F06A69"/>
    <w:rsid w:val="00F070E5"/>
    <w:rsid w:val="00F07D5E"/>
    <w:rsid w:val="00F07DDE"/>
    <w:rsid w:val="00F10396"/>
    <w:rsid w:val="00F10F30"/>
    <w:rsid w:val="00F11675"/>
    <w:rsid w:val="00F123DA"/>
    <w:rsid w:val="00F12557"/>
    <w:rsid w:val="00F1268D"/>
    <w:rsid w:val="00F127C8"/>
    <w:rsid w:val="00F12881"/>
    <w:rsid w:val="00F12C62"/>
    <w:rsid w:val="00F13321"/>
    <w:rsid w:val="00F134BA"/>
    <w:rsid w:val="00F13599"/>
    <w:rsid w:val="00F13A71"/>
    <w:rsid w:val="00F13B28"/>
    <w:rsid w:val="00F14DCD"/>
    <w:rsid w:val="00F151AB"/>
    <w:rsid w:val="00F156A0"/>
    <w:rsid w:val="00F15730"/>
    <w:rsid w:val="00F15AB9"/>
    <w:rsid w:val="00F16B7A"/>
    <w:rsid w:val="00F16CE3"/>
    <w:rsid w:val="00F176A6"/>
    <w:rsid w:val="00F17A24"/>
    <w:rsid w:val="00F202C2"/>
    <w:rsid w:val="00F204B3"/>
    <w:rsid w:val="00F20C3D"/>
    <w:rsid w:val="00F2124C"/>
    <w:rsid w:val="00F212F6"/>
    <w:rsid w:val="00F217F8"/>
    <w:rsid w:val="00F2190F"/>
    <w:rsid w:val="00F21B3B"/>
    <w:rsid w:val="00F22756"/>
    <w:rsid w:val="00F23248"/>
    <w:rsid w:val="00F23700"/>
    <w:rsid w:val="00F23890"/>
    <w:rsid w:val="00F23CD8"/>
    <w:rsid w:val="00F249A1"/>
    <w:rsid w:val="00F24FBA"/>
    <w:rsid w:val="00F2504D"/>
    <w:rsid w:val="00F2595D"/>
    <w:rsid w:val="00F25B26"/>
    <w:rsid w:val="00F2637F"/>
    <w:rsid w:val="00F268F7"/>
    <w:rsid w:val="00F30B83"/>
    <w:rsid w:val="00F30BDB"/>
    <w:rsid w:val="00F30CF8"/>
    <w:rsid w:val="00F31402"/>
    <w:rsid w:val="00F31EDF"/>
    <w:rsid w:val="00F32507"/>
    <w:rsid w:val="00F327D9"/>
    <w:rsid w:val="00F32CDE"/>
    <w:rsid w:val="00F32D4C"/>
    <w:rsid w:val="00F3327E"/>
    <w:rsid w:val="00F3343C"/>
    <w:rsid w:val="00F33746"/>
    <w:rsid w:val="00F33895"/>
    <w:rsid w:val="00F338C3"/>
    <w:rsid w:val="00F3401D"/>
    <w:rsid w:val="00F34B14"/>
    <w:rsid w:val="00F34CF1"/>
    <w:rsid w:val="00F34E35"/>
    <w:rsid w:val="00F34F58"/>
    <w:rsid w:val="00F3572F"/>
    <w:rsid w:val="00F35750"/>
    <w:rsid w:val="00F35DA7"/>
    <w:rsid w:val="00F35E35"/>
    <w:rsid w:val="00F36A6A"/>
    <w:rsid w:val="00F40101"/>
    <w:rsid w:val="00F404F7"/>
    <w:rsid w:val="00F40CCA"/>
    <w:rsid w:val="00F41968"/>
    <w:rsid w:val="00F41E02"/>
    <w:rsid w:val="00F42AA4"/>
    <w:rsid w:val="00F42D97"/>
    <w:rsid w:val="00F42F0E"/>
    <w:rsid w:val="00F42FCF"/>
    <w:rsid w:val="00F436B2"/>
    <w:rsid w:val="00F43813"/>
    <w:rsid w:val="00F43FEE"/>
    <w:rsid w:val="00F440B0"/>
    <w:rsid w:val="00F44114"/>
    <w:rsid w:val="00F4492F"/>
    <w:rsid w:val="00F44D46"/>
    <w:rsid w:val="00F45030"/>
    <w:rsid w:val="00F45A72"/>
    <w:rsid w:val="00F46723"/>
    <w:rsid w:val="00F46A81"/>
    <w:rsid w:val="00F4706D"/>
    <w:rsid w:val="00F47309"/>
    <w:rsid w:val="00F476E1"/>
    <w:rsid w:val="00F47855"/>
    <w:rsid w:val="00F47D1D"/>
    <w:rsid w:val="00F47F29"/>
    <w:rsid w:val="00F50016"/>
    <w:rsid w:val="00F5118A"/>
    <w:rsid w:val="00F515F3"/>
    <w:rsid w:val="00F51A21"/>
    <w:rsid w:val="00F51A35"/>
    <w:rsid w:val="00F523B9"/>
    <w:rsid w:val="00F52614"/>
    <w:rsid w:val="00F5276E"/>
    <w:rsid w:val="00F52E9F"/>
    <w:rsid w:val="00F532B2"/>
    <w:rsid w:val="00F53304"/>
    <w:rsid w:val="00F534C0"/>
    <w:rsid w:val="00F53B81"/>
    <w:rsid w:val="00F53C15"/>
    <w:rsid w:val="00F540FE"/>
    <w:rsid w:val="00F542F3"/>
    <w:rsid w:val="00F5459A"/>
    <w:rsid w:val="00F556FF"/>
    <w:rsid w:val="00F55D12"/>
    <w:rsid w:val="00F56836"/>
    <w:rsid w:val="00F5687F"/>
    <w:rsid w:val="00F56A02"/>
    <w:rsid w:val="00F56B58"/>
    <w:rsid w:val="00F56D3F"/>
    <w:rsid w:val="00F571AD"/>
    <w:rsid w:val="00F5725B"/>
    <w:rsid w:val="00F575C7"/>
    <w:rsid w:val="00F57CC1"/>
    <w:rsid w:val="00F57DF7"/>
    <w:rsid w:val="00F57FD0"/>
    <w:rsid w:val="00F60305"/>
    <w:rsid w:val="00F61B12"/>
    <w:rsid w:val="00F61C70"/>
    <w:rsid w:val="00F627D8"/>
    <w:rsid w:val="00F62869"/>
    <w:rsid w:val="00F62ED4"/>
    <w:rsid w:val="00F63264"/>
    <w:rsid w:val="00F634E4"/>
    <w:rsid w:val="00F6379E"/>
    <w:rsid w:val="00F64047"/>
    <w:rsid w:val="00F65171"/>
    <w:rsid w:val="00F6533A"/>
    <w:rsid w:val="00F6560D"/>
    <w:rsid w:val="00F6676A"/>
    <w:rsid w:val="00F669BD"/>
    <w:rsid w:val="00F67844"/>
    <w:rsid w:val="00F67B09"/>
    <w:rsid w:val="00F70221"/>
    <w:rsid w:val="00F705F6"/>
    <w:rsid w:val="00F70795"/>
    <w:rsid w:val="00F70799"/>
    <w:rsid w:val="00F70A8B"/>
    <w:rsid w:val="00F70B8D"/>
    <w:rsid w:val="00F70F0F"/>
    <w:rsid w:val="00F71236"/>
    <w:rsid w:val="00F71936"/>
    <w:rsid w:val="00F71F81"/>
    <w:rsid w:val="00F724FB"/>
    <w:rsid w:val="00F726B8"/>
    <w:rsid w:val="00F72A26"/>
    <w:rsid w:val="00F733C3"/>
    <w:rsid w:val="00F73E15"/>
    <w:rsid w:val="00F746A1"/>
    <w:rsid w:val="00F74820"/>
    <w:rsid w:val="00F74F08"/>
    <w:rsid w:val="00F7506D"/>
    <w:rsid w:val="00F755DD"/>
    <w:rsid w:val="00F756DD"/>
    <w:rsid w:val="00F76BEC"/>
    <w:rsid w:val="00F77F4E"/>
    <w:rsid w:val="00F80047"/>
    <w:rsid w:val="00F800C7"/>
    <w:rsid w:val="00F8010B"/>
    <w:rsid w:val="00F80361"/>
    <w:rsid w:val="00F8104D"/>
    <w:rsid w:val="00F8153F"/>
    <w:rsid w:val="00F81587"/>
    <w:rsid w:val="00F819C3"/>
    <w:rsid w:val="00F81B2A"/>
    <w:rsid w:val="00F81B4C"/>
    <w:rsid w:val="00F81C12"/>
    <w:rsid w:val="00F81D9A"/>
    <w:rsid w:val="00F81DE7"/>
    <w:rsid w:val="00F8263C"/>
    <w:rsid w:val="00F8288F"/>
    <w:rsid w:val="00F82DD3"/>
    <w:rsid w:val="00F8376E"/>
    <w:rsid w:val="00F83C52"/>
    <w:rsid w:val="00F840EC"/>
    <w:rsid w:val="00F84802"/>
    <w:rsid w:val="00F84948"/>
    <w:rsid w:val="00F84B25"/>
    <w:rsid w:val="00F85B72"/>
    <w:rsid w:val="00F8652A"/>
    <w:rsid w:val="00F86540"/>
    <w:rsid w:val="00F865CE"/>
    <w:rsid w:val="00F8766F"/>
    <w:rsid w:val="00F901B3"/>
    <w:rsid w:val="00F90282"/>
    <w:rsid w:val="00F90BC8"/>
    <w:rsid w:val="00F91082"/>
    <w:rsid w:val="00F9116D"/>
    <w:rsid w:val="00F91171"/>
    <w:rsid w:val="00F91342"/>
    <w:rsid w:val="00F91543"/>
    <w:rsid w:val="00F91A9A"/>
    <w:rsid w:val="00F923AF"/>
    <w:rsid w:val="00F92634"/>
    <w:rsid w:val="00F933F3"/>
    <w:rsid w:val="00F93ABA"/>
    <w:rsid w:val="00F93ABB"/>
    <w:rsid w:val="00F94D79"/>
    <w:rsid w:val="00F95AEF"/>
    <w:rsid w:val="00F9658C"/>
    <w:rsid w:val="00F96EEB"/>
    <w:rsid w:val="00F9775D"/>
    <w:rsid w:val="00F97A7F"/>
    <w:rsid w:val="00F97CD0"/>
    <w:rsid w:val="00F97D7A"/>
    <w:rsid w:val="00FA0152"/>
    <w:rsid w:val="00FA0889"/>
    <w:rsid w:val="00FA16E7"/>
    <w:rsid w:val="00FA1998"/>
    <w:rsid w:val="00FA1D69"/>
    <w:rsid w:val="00FA2897"/>
    <w:rsid w:val="00FA31C7"/>
    <w:rsid w:val="00FA4394"/>
    <w:rsid w:val="00FA472D"/>
    <w:rsid w:val="00FA4A82"/>
    <w:rsid w:val="00FA5A92"/>
    <w:rsid w:val="00FA681F"/>
    <w:rsid w:val="00FA7373"/>
    <w:rsid w:val="00FB0261"/>
    <w:rsid w:val="00FB0CBF"/>
    <w:rsid w:val="00FB18F6"/>
    <w:rsid w:val="00FB2A52"/>
    <w:rsid w:val="00FB3961"/>
    <w:rsid w:val="00FB39E0"/>
    <w:rsid w:val="00FB3F92"/>
    <w:rsid w:val="00FB52C7"/>
    <w:rsid w:val="00FB57DC"/>
    <w:rsid w:val="00FB5915"/>
    <w:rsid w:val="00FB6E19"/>
    <w:rsid w:val="00FB71F6"/>
    <w:rsid w:val="00FB74F1"/>
    <w:rsid w:val="00FC0670"/>
    <w:rsid w:val="00FC07AF"/>
    <w:rsid w:val="00FC0AF8"/>
    <w:rsid w:val="00FC0B69"/>
    <w:rsid w:val="00FC1055"/>
    <w:rsid w:val="00FC1238"/>
    <w:rsid w:val="00FC1483"/>
    <w:rsid w:val="00FC1BEF"/>
    <w:rsid w:val="00FC1C47"/>
    <w:rsid w:val="00FC1EA7"/>
    <w:rsid w:val="00FC26DB"/>
    <w:rsid w:val="00FC2866"/>
    <w:rsid w:val="00FC2869"/>
    <w:rsid w:val="00FC2F9E"/>
    <w:rsid w:val="00FC3102"/>
    <w:rsid w:val="00FC3848"/>
    <w:rsid w:val="00FC39ED"/>
    <w:rsid w:val="00FC3D40"/>
    <w:rsid w:val="00FC4419"/>
    <w:rsid w:val="00FC47E2"/>
    <w:rsid w:val="00FC4AA5"/>
    <w:rsid w:val="00FC4B88"/>
    <w:rsid w:val="00FC4BB8"/>
    <w:rsid w:val="00FC4DD8"/>
    <w:rsid w:val="00FC5148"/>
    <w:rsid w:val="00FC56F0"/>
    <w:rsid w:val="00FC6524"/>
    <w:rsid w:val="00FC6B58"/>
    <w:rsid w:val="00FC6DE3"/>
    <w:rsid w:val="00FC711D"/>
    <w:rsid w:val="00FC75AC"/>
    <w:rsid w:val="00FC7984"/>
    <w:rsid w:val="00FD01BF"/>
    <w:rsid w:val="00FD0525"/>
    <w:rsid w:val="00FD0AB7"/>
    <w:rsid w:val="00FD1000"/>
    <w:rsid w:val="00FD15F8"/>
    <w:rsid w:val="00FD297D"/>
    <w:rsid w:val="00FD29A8"/>
    <w:rsid w:val="00FD2D13"/>
    <w:rsid w:val="00FD374D"/>
    <w:rsid w:val="00FD40F7"/>
    <w:rsid w:val="00FD4D2A"/>
    <w:rsid w:val="00FD5FA5"/>
    <w:rsid w:val="00FD6071"/>
    <w:rsid w:val="00FD633B"/>
    <w:rsid w:val="00FD66ED"/>
    <w:rsid w:val="00FD6ABA"/>
    <w:rsid w:val="00FD7AAD"/>
    <w:rsid w:val="00FE02C5"/>
    <w:rsid w:val="00FE0794"/>
    <w:rsid w:val="00FE1041"/>
    <w:rsid w:val="00FE1614"/>
    <w:rsid w:val="00FE1D32"/>
    <w:rsid w:val="00FE24CB"/>
    <w:rsid w:val="00FE323F"/>
    <w:rsid w:val="00FE3473"/>
    <w:rsid w:val="00FE38E5"/>
    <w:rsid w:val="00FE4049"/>
    <w:rsid w:val="00FE4794"/>
    <w:rsid w:val="00FE480F"/>
    <w:rsid w:val="00FE4998"/>
    <w:rsid w:val="00FE4CA2"/>
    <w:rsid w:val="00FE5382"/>
    <w:rsid w:val="00FE57DE"/>
    <w:rsid w:val="00FE6715"/>
    <w:rsid w:val="00FE719F"/>
    <w:rsid w:val="00FE795F"/>
    <w:rsid w:val="00FE7A68"/>
    <w:rsid w:val="00FF00A3"/>
    <w:rsid w:val="00FF0231"/>
    <w:rsid w:val="00FF056D"/>
    <w:rsid w:val="00FF0F87"/>
    <w:rsid w:val="00FF19D5"/>
    <w:rsid w:val="00FF1C9B"/>
    <w:rsid w:val="00FF1D49"/>
    <w:rsid w:val="00FF203B"/>
    <w:rsid w:val="00FF2562"/>
    <w:rsid w:val="00FF3A41"/>
    <w:rsid w:val="00FF3E5B"/>
    <w:rsid w:val="00FF5183"/>
    <w:rsid w:val="00FF57E4"/>
    <w:rsid w:val="00FF5E26"/>
    <w:rsid w:val="00FF5ECD"/>
    <w:rsid w:val="00FF6D57"/>
    <w:rsid w:val="00FF78E5"/>
    <w:rsid w:val="011E3D92"/>
    <w:rsid w:val="012C5FAF"/>
    <w:rsid w:val="0194674A"/>
    <w:rsid w:val="01AF3D99"/>
    <w:rsid w:val="02493090"/>
    <w:rsid w:val="02511F9D"/>
    <w:rsid w:val="02982F2F"/>
    <w:rsid w:val="031E276F"/>
    <w:rsid w:val="03800D34"/>
    <w:rsid w:val="03A010B2"/>
    <w:rsid w:val="03A314B8"/>
    <w:rsid w:val="03D42E2E"/>
    <w:rsid w:val="03D8291E"/>
    <w:rsid w:val="03D82B98"/>
    <w:rsid w:val="03F83E8B"/>
    <w:rsid w:val="0422003D"/>
    <w:rsid w:val="05347716"/>
    <w:rsid w:val="05C56868"/>
    <w:rsid w:val="0620235A"/>
    <w:rsid w:val="070264E9"/>
    <w:rsid w:val="07A539BD"/>
    <w:rsid w:val="07B72767"/>
    <w:rsid w:val="07F27382"/>
    <w:rsid w:val="08077E72"/>
    <w:rsid w:val="08882DD0"/>
    <w:rsid w:val="09063A89"/>
    <w:rsid w:val="093700E7"/>
    <w:rsid w:val="09816C5A"/>
    <w:rsid w:val="09CC2AAC"/>
    <w:rsid w:val="0A652D3E"/>
    <w:rsid w:val="0AD0731B"/>
    <w:rsid w:val="0AD30859"/>
    <w:rsid w:val="0B326F2A"/>
    <w:rsid w:val="0C1E2888"/>
    <w:rsid w:val="0C3B6140"/>
    <w:rsid w:val="0C6E110E"/>
    <w:rsid w:val="0C92213C"/>
    <w:rsid w:val="0CC2027E"/>
    <w:rsid w:val="0CD36378"/>
    <w:rsid w:val="0D044784"/>
    <w:rsid w:val="0D84032B"/>
    <w:rsid w:val="0ECD6DF7"/>
    <w:rsid w:val="0F1F58A5"/>
    <w:rsid w:val="0F221070"/>
    <w:rsid w:val="0F2A74C4"/>
    <w:rsid w:val="10466E61"/>
    <w:rsid w:val="107C13BF"/>
    <w:rsid w:val="10A27F31"/>
    <w:rsid w:val="10BB15FD"/>
    <w:rsid w:val="11927058"/>
    <w:rsid w:val="120E171E"/>
    <w:rsid w:val="12977E48"/>
    <w:rsid w:val="131E40C5"/>
    <w:rsid w:val="138A175B"/>
    <w:rsid w:val="13AF4F03"/>
    <w:rsid w:val="144C07BE"/>
    <w:rsid w:val="14736E66"/>
    <w:rsid w:val="147F458F"/>
    <w:rsid w:val="1534169A"/>
    <w:rsid w:val="15592B75"/>
    <w:rsid w:val="15C03E03"/>
    <w:rsid w:val="162A25EB"/>
    <w:rsid w:val="16353C00"/>
    <w:rsid w:val="16735895"/>
    <w:rsid w:val="16B85C93"/>
    <w:rsid w:val="16FD2A55"/>
    <w:rsid w:val="17067C1A"/>
    <w:rsid w:val="17366761"/>
    <w:rsid w:val="177C01F0"/>
    <w:rsid w:val="17935082"/>
    <w:rsid w:val="179E3EFA"/>
    <w:rsid w:val="17CE6630"/>
    <w:rsid w:val="18B04FBB"/>
    <w:rsid w:val="18F27B86"/>
    <w:rsid w:val="194A1770"/>
    <w:rsid w:val="19DD009A"/>
    <w:rsid w:val="1A7A6085"/>
    <w:rsid w:val="1AFF0AFE"/>
    <w:rsid w:val="1B4A1EFB"/>
    <w:rsid w:val="1B4F19F8"/>
    <w:rsid w:val="1CAB69CA"/>
    <w:rsid w:val="1D2B3A2C"/>
    <w:rsid w:val="1DCB4E4A"/>
    <w:rsid w:val="1DD027A6"/>
    <w:rsid w:val="1E7503CE"/>
    <w:rsid w:val="1E94348E"/>
    <w:rsid w:val="1ECC44FA"/>
    <w:rsid w:val="1F063325"/>
    <w:rsid w:val="1F86727A"/>
    <w:rsid w:val="1FB468AD"/>
    <w:rsid w:val="1FBC5DF5"/>
    <w:rsid w:val="1FF90588"/>
    <w:rsid w:val="20AE6A88"/>
    <w:rsid w:val="20C3623F"/>
    <w:rsid w:val="21781212"/>
    <w:rsid w:val="21AB746C"/>
    <w:rsid w:val="21B83F86"/>
    <w:rsid w:val="21BE719F"/>
    <w:rsid w:val="21E15012"/>
    <w:rsid w:val="221178A8"/>
    <w:rsid w:val="221213CF"/>
    <w:rsid w:val="22253E63"/>
    <w:rsid w:val="22327A92"/>
    <w:rsid w:val="231D53A2"/>
    <w:rsid w:val="23244DE0"/>
    <w:rsid w:val="236D5383"/>
    <w:rsid w:val="23B7504C"/>
    <w:rsid w:val="23C77FA2"/>
    <w:rsid w:val="24571307"/>
    <w:rsid w:val="24615F75"/>
    <w:rsid w:val="249A5E3E"/>
    <w:rsid w:val="25110A2A"/>
    <w:rsid w:val="2520473E"/>
    <w:rsid w:val="256C0944"/>
    <w:rsid w:val="26446DE3"/>
    <w:rsid w:val="26877DFE"/>
    <w:rsid w:val="269669E7"/>
    <w:rsid w:val="26A270C1"/>
    <w:rsid w:val="26D7699F"/>
    <w:rsid w:val="27A25976"/>
    <w:rsid w:val="2873343C"/>
    <w:rsid w:val="28795EC9"/>
    <w:rsid w:val="28B46C06"/>
    <w:rsid w:val="28DC43AF"/>
    <w:rsid w:val="28E13773"/>
    <w:rsid w:val="28F74D45"/>
    <w:rsid w:val="293722C0"/>
    <w:rsid w:val="29A273A6"/>
    <w:rsid w:val="29D75F7F"/>
    <w:rsid w:val="2B774624"/>
    <w:rsid w:val="2C353BC3"/>
    <w:rsid w:val="2C7A72BE"/>
    <w:rsid w:val="2C9A7D75"/>
    <w:rsid w:val="2CC17412"/>
    <w:rsid w:val="2D163AC1"/>
    <w:rsid w:val="2D7C1E99"/>
    <w:rsid w:val="2DB640F0"/>
    <w:rsid w:val="2E0917A2"/>
    <w:rsid w:val="2E2B796A"/>
    <w:rsid w:val="2E2C5491"/>
    <w:rsid w:val="2E9976CE"/>
    <w:rsid w:val="2EF01DEE"/>
    <w:rsid w:val="2F401D3C"/>
    <w:rsid w:val="2F5B24E1"/>
    <w:rsid w:val="2F7E6F0B"/>
    <w:rsid w:val="2F860BD0"/>
    <w:rsid w:val="2FA95C88"/>
    <w:rsid w:val="302F7962"/>
    <w:rsid w:val="3041370F"/>
    <w:rsid w:val="30B87FED"/>
    <w:rsid w:val="312B50A3"/>
    <w:rsid w:val="31894FD2"/>
    <w:rsid w:val="32453A27"/>
    <w:rsid w:val="3263064A"/>
    <w:rsid w:val="32A43132"/>
    <w:rsid w:val="32AC0C06"/>
    <w:rsid w:val="331A1D5C"/>
    <w:rsid w:val="33344EF5"/>
    <w:rsid w:val="337E6A5E"/>
    <w:rsid w:val="34300B16"/>
    <w:rsid w:val="34CA77B1"/>
    <w:rsid w:val="34D1304F"/>
    <w:rsid w:val="35020CF9"/>
    <w:rsid w:val="3537750C"/>
    <w:rsid w:val="3537798C"/>
    <w:rsid w:val="355A4B01"/>
    <w:rsid w:val="357C04F3"/>
    <w:rsid w:val="35961329"/>
    <w:rsid w:val="35C13FC9"/>
    <w:rsid w:val="35CC6ED3"/>
    <w:rsid w:val="35F02ABC"/>
    <w:rsid w:val="35FF41CE"/>
    <w:rsid w:val="36372B05"/>
    <w:rsid w:val="364257B6"/>
    <w:rsid w:val="36976D9C"/>
    <w:rsid w:val="37EA5922"/>
    <w:rsid w:val="37F7B5EA"/>
    <w:rsid w:val="38276B93"/>
    <w:rsid w:val="382E58B8"/>
    <w:rsid w:val="38AB088E"/>
    <w:rsid w:val="38AC3431"/>
    <w:rsid w:val="392F2E16"/>
    <w:rsid w:val="39D60FA5"/>
    <w:rsid w:val="39E00529"/>
    <w:rsid w:val="3A0B64A7"/>
    <w:rsid w:val="3A574DDA"/>
    <w:rsid w:val="3ACD1DA9"/>
    <w:rsid w:val="3AD3075A"/>
    <w:rsid w:val="3AEA64B7"/>
    <w:rsid w:val="3AF74C02"/>
    <w:rsid w:val="3B146A06"/>
    <w:rsid w:val="3C0059A5"/>
    <w:rsid w:val="3C134E78"/>
    <w:rsid w:val="3D37175C"/>
    <w:rsid w:val="3D583BAC"/>
    <w:rsid w:val="3DA0781E"/>
    <w:rsid w:val="3DF6345D"/>
    <w:rsid w:val="3E2B5515"/>
    <w:rsid w:val="3E4D4F28"/>
    <w:rsid w:val="3EA11583"/>
    <w:rsid w:val="3ED92EC4"/>
    <w:rsid w:val="3EE13701"/>
    <w:rsid w:val="3F1A4BB3"/>
    <w:rsid w:val="3F535AA5"/>
    <w:rsid w:val="40192BA6"/>
    <w:rsid w:val="409B4C2F"/>
    <w:rsid w:val="41766EA9"/>
    <w:rsid w:val="41870F04"/>
    <w:rsid w:val="422229DB"/>
    <w:rsid w:val="42550A18"/>
    <w:rsid w:val="429D496A"/>
    <w:rsid w:val="42BF46CD"/>
    <w:rsid w:val="42E247C8"/>
    <w:rsid w:val="42F473A1"/>
    <w:rsid w:val="437217EA"/>
    <w:rsid w:val="43AB7156"/>
    <w:rsid w:val="43FF60DE"/>
    <w:rsid w:val="441E62C0"/>
    <w:rsid w:val="45325D14"/>
    <w:rsid w:val="45575091"/>
    <w:rsid w:val="45811C7C"/>
    <w:rsid w:val="45906116"/>
    <w:rsid w:val="45931B8C"/>
    <w:rsid w:val="45DB42AF"/>
    <w:rsid w:val="45EF2552"/>
    <w:rsid w:val="468B3EFB"/>
    <w:rsid w:val="468E587C"/>
    <w:rsid w:val="46A037B8"/>
    <w:rsid w:val="470A6193"/>
    <w:rsid w:val="47385210"/>
    <w:rsid w:val="475510F8"/>
    <w:rsid w:val="47DC4F5C"/>
    <w:rsid w:val="47E30E5E"/>
    <w:rsid w:val="48B40671"/>
    <w:rsid w:val="48EC789E"/>
    <w:rsid w:val="499B5738"/>
    <w:rsid w:val="499F244D"/>
    <w:rsid w:val="4A973F3F"/>
    <w:rsid w:val="4AF96BC7"/>
    <w:rsid w:val="4B315A3D"/>
    <w:rsid w:val="4B62209A"/>
    <w:rsid w:val="4B862A85"/>
    <w:rsid w:val="4B8D35BB"/>
    <w:rsid w:val="4CEF36E2"/>
    <w:rsid w:val="4CEF4DC5"/>
    <w:rsid w:val="4E257655"/>
    <w:rsid w:val="4E2D56C3"/>
    <w:rsid w:val="4F0C5D1C"/>
    <w:rsid w:val="4F372380"/>
    <w:rsid w:val="4F372FFB"/>
    <w:rsid w:val="4F9071D6"/>
    <w:rsid w:val="4FB1539E"/>
    <w:rsid w:val="4FDA66A3"/>
    <w:rsid w:val="5025116D"/>
    <w:rsid w:val="50F47C38"/>
    <w:rsid w:val="5159372E"/>
    <w:rsid w:val="52395ECD"/>
    <w:rsid w:val="52A31394"/>
    <w:rsid w:val="52C10D75"/>
    <w:rsid w:val="52CA1363"/>
    <w:rsid w:val="53C27FF8"/>
    <w:rsid w:val="53FD3D79"/>
    <w:rsid w:val="54453340"/>
    <w:rsid w:val="54806794"/>
    <w:rsid w:val="5492579E"/>
    <w:rsid w:val="549E1A80"/>
    <w:rsid w:val="54C658F4"/>
    <w:rsid w:val="550C4BD7"/>
    <w:rsid w:val="554C1D56"/>
    <w:rsid w:val="55572986"/>
    <w:rsid w:val="562C577E"/>
    <w:rsid w:val="565340FA"/>
    <w:rsid w:val="569C6DA8"/>
    <w:rsid w:val="56AD5F59"/>
    <w:rsid w:val="56C60774"/>
    <w:rsid w:val="56D57E03"/>
    <w:rsid w:val="56E542AB"/>
    <w:rsid w:val="57853398"/>
    <w:rsid w:val="57B12A52"/>
    <w:rsid w:val="580544D9"/>
    <w:rsid w:val="586F3C21"/>
    <w:rsid w:val="58931AE5"/>
    <w:rsid w:val="5A2F2CC8"/>
    <w:rsid w:val="5A9C2798"/>
    <w:rsid w:val="5C10702D"/>
    <w:rsid w:val="5C152601"/>
    <w:rsid w:val="5C591F03"/>
    <w:rsid w:val="5C8A1B2F"/>
    <w:rsid w:val="5CE84AF5"/>
    <w:rsid w:val="5E341674"/>
    <w:rsid w:val="5E895E64"/>
    <w:rsid w:val="5F561B72"/>
    <w:rsid w:val="5F6826E5"/>
    <w:rsid w:val="6056340B"/>
    <w:rsid w:val="606007BB"/>
    <w:rsid w:val="60AC7F66"/>
    <w:rsid w:val="61B72CE8"/>
    <w:rsid w:val="61BF10D9"/>
    <w:rsid w:val="62261C1B"/>
    <w:rsid w:val="624071C5"/>
    <w:rsid w:val="626C1660"/>
    <w:rsid w:val="62774225"/>
    <w:rsid w:val="628726BA"/>
    <w:rsid w:val="62AC22DC"/>
    <w:rsid w:val="62BF00A6"/>
    <w:rsid w:val="63464323"/>
    <w:rsid w:val="63A22BFD"/>
    <w:rsid w:val="64DD1E43"/>
    <w:rsid w:val="64E45EF7"/>
    <w:rsid w:val="65D47F14"/>
    <w:rsid w:val="66545A1E"/>
    <w:rsid w:val="667F3EFA"/>
    <w:rsid w:val="66803B32"/>
    <w:rsid w:val="6691014E"/>
    <w:rsid w:val="66C87CCE"/>
    <w:rsid w:val="677435B2"/>
    <w:rsid w:val="677F6056"/>
    <w:rsid w:val="67C223E6"/>
    <w:rsid w:val="67EF75F1"/>
    <w:rsid w:val="683E7CBF"/>
    <w:rsid w:val="684F4F11"/>
    <w:rsid w:val="68C51C1E"/>
    <w:rsid w:val="69124F16"/>
    <w:rsid w:val="693C0721"/>
    <w:rsid w:val="69CD5C14"/>
    <w:rsid w:val="69CF0D33"/>
    <w:rsid w:val="6B9946B3"/>
    <w:rsid w:val="6BB42357"/>
    <w:rsid w:val="6BE518DA"/>
    <w:rsid w:val="6C276F3A"/>
    <w:rsid w:val="6C6B4DFB"/>
    <w:rsid w:val="6C7007C7"/>
    <w:rsid w:val="6CDD6CE9"/>
    <w:rsid w:val="6D723F67"/>
    <w:rsid w:val="6DE76850"/>
    <w:rsid w:val="6EF52990"/>
    <w:rsid w:val="6FA17290"/>
    <w:rsid w:val="6FB20BD4"/>
    <w:rsid w:val="6FBA59BE"/>
    <w:rsid w:val="6FF27339"/>
    <w:rsid w:val="70296B3E"/>
    <w:rsid w:val="7047792D"/>
    <w:rsid w:val="70611204"/>
    <w:rsid w:val="7165620F"/>
    <w:rsid w:val="717039F8"/>
    <w:rsid w:val="72A34D66"/>
    <w:rsid w:val="733817AF"/>
    <w:rsid w:val="739534EB"/>
    <w:rsid w:val="739F35DC"/>
    <w:rsid w:val="745F3497"/>
    <w:rsid w:val="74D13AD5"/>
    <w:rsid w:val="74FA2C30"/>
    <w:rsid w:val="754D5C4B"/>
    <w:rsid w:val="758331B5"/>
    <w:rsid w:val="76C240A7"/>
    <w:rsid w:val="76DA416A"/>
    <w:rsid w:val="7725204A"/>
    <w:rsid w:val="775246B7"/>
    <w:rsid w:val="779C67B0"/>
    <w:rsid w:val="781E69D1"/>
    <w:rsid w:val="782728FA"/>
    <w:rsid w:val="785F3B8E"/>
    <w:rsid w:val="78EA354B"/>
    <w:rsid w:val="7901747F"/>
    <w:rsid w:val="791B4953"/>
    <w:rsid w:val="793B1F88"/>
    <w:rsid w:val="79A2053B"/>
    <w:rsid w:val="79C30024"/>
    <w:rsid w:val="7A263B6B"/>
    <w:rsid w:val="7A2A00A3"/>
    <w:rsid w:val="7A2C276C"/>
    <w:rsid w:val="7AF46346"/>
    <w:rsid w:val="7B0F5EBF"/>
    <w:rsid w:val="7B130FB9"/>
    <w:rsid w:val="7BD71E38"/>
    <w:rsid w:val="7BF64EDE"/>
    <w:rsid w:val="7C400C1E"/>
    <w:rsid w:val="7C7D5BD7"/>
    <w:rsid w:val="7D543B7E"/>
    <w:rsid w:val="7DD11708"/>
    <w:rsid w:val="7DEE4A4F"/>
    <w:rsid w:val="7E1D4C4C"/>
    <w:rsid w:val="7E521976"/>
    <w:rsid w:val="7E774D8A"/>
    <w:rsid w:val="7EAE6230"/>
    <w:rsid w:val="7EBD579E"/>
    <w:rsid w:val="7EC167BD"/>
    <w:rsid w:val="7F232388"/>
    <w:rsid w:val="7F272D9E"/>
    <w:rsid w:val="7F477001"/>
    <w:rsid w:val="94BB81FF"/>
    <w:rsid w:val="979F7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uiPriority="99" w:name="index 2"/>
    <w:lsdException w:uiPriority="99" w:name="index 3"/>
    <w:lsdException w:qFormat="1" w:unhideWhenUsed="0" w:uiPriority="99" w:semiHidden="0" w:name="index 4"/>
    <w:lsdException w:uiPriority="99" w:name="index 5"/>
    <w:lsdException w:qFormat="1" w:unhideWhenUsed="0" w:uiPriority="0" w:semiHidden="0" w:name="index 6"/>
    <w:lsdException w:uiPriority="99" w:name="index 7"/>
    <w:lsdException w:qFormat="1" w:unhideWhenUsed="0" w:uiPriority="99" w:semiHidden="0" w:name="index 8"/>
    <w:lsdException w:uiPriority="99" w:name="index 9"/>
    <w:lsdException w:qFormat="1"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99"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99" w:semiHidden="0" w:name="page number"/>
    <w:lsdException w:qFormat="1" w:uiPriority="99" w:semiHidden="0" w:name="endnote reference"/>
    <w:lsdException w:qFormat="1" w:unhideWhenUsed="0" w:uiPriority="0" w:semiHidden="0" w:name="endnote text"/>
    <w:lsdException w:qFormat="1" w:uiPriority="99" w:semiHidden="0"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iPriority="99" w:semiHidden="0" w:name="List 2"/>
    <w:lsdException w:uiPriority="99" w:name="List 3"/>
    <w:lsdException w:qFormat="1" w:unhideWhenUsed="0" w:uiPriority="0" w:semiHidden="0"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99" w:semiHidden="0" w:name="Document Map"/>
    <w:lsdException w:qFormat="1" w:unhideWhenUsed="0" w:uiPriority="0" w:semiHidden="0" w:name="Plain Text"/>
    <w:lsdException w:uiPriority="99" w:name="E-mail Signature"/>
    <w:lsdException w:qFormat="1" w:uiPriority="0"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iPriority="99" w:semiHidden="0" w:name="HTML Preformatted"/>
    <w:lsdException w:qFormat="1" w:uiPriority="99" w:semiHidden="0" w:name="HTML Sample"/>
    <w:lsdException w:qFormat="1" w:uiPriority="99" w:semiHidden="0"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nhideWhenUsed="0" w:uiPriority="99" w:semiHidden="0" w:name="Balloon Text"/>
    <w:lsdException w:qFormat="1" w:unhideWhenUsed="0" w:uiPriority="0" w:semiHidden="0" w:name="Table Grid"/>
    <w:lsdException w:unhideWhenUsed="0" w:uiPriority="99" w:semiHidden="0" w:name="Table Theme"/>
    <w:lsdException w:qFormat="1" w:uiPriority="99"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99"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6"/>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77"/>
    <w:qFormat/>
    <w:uiPriority w:val="99"/>
    <w:pPr>
      <w:keepNext/>
      <w:keepLines/>
      <w:spacing w:before="260" w:after="260" w:line="416" w:lineRule="auto"/>
      <w:outlineLvl w:val="1"/>
    </w:pPr>
    <w:rPr>
      <w:rFonts w:ascii="Cambria" w:hAnsi="Cambria"/>
      <w:b/>
      <w:bCs/>
      <w:sz w:val="32"/>
      <w:szCs w:val="32"/>
    </w:rPr>
  </w:style>
  <w:style w:type="paragraph" w:styleId="4">
    <w:name w:val="heading 3"/>
    <w:basedOn w:val="1"/>
    <w:next w:val="1"/>
    <w:link w:val="78"/>
    <w:qFormat/>
    <w:uiPriority w:val="99"/>
    <w:pPr>
      <w:keepNext/>
      <w:keepLines/>
      <w:spacing w:before="260" w:after="260" w:line="416" w:lineRule="auto"/>
      <w:outlineLvl w:val="2"/>
    </w:pPr>
    <w:rPr>
      <w:b/>
      <w:bCs/>
      <w:sz w:val="32"/>
      <w:szCs w:val="32"/>
    </w:rPr>
  </w:style>
  <w:style w:type="paragraph" w:styleId="5">
    <w:name w:val="heading 4"/>
    <w:basedOn w:val="1"/>
    <w:next w:val="1"/>
    <w:link w:val="79"/>
    <w:qFormat/>
    <w:uiPriority w:val="99"/>
    <w:pPr>
      <w:keepNext/>
      <w:keepLines/>
      <w:spacing w:line="360" w:lineRule="auto"/>
      <w:outlineLvl w:val="3"/>
    </w:pPr>
    <w:rPr>
      <w:rFonts w:ascii="Arial" w:hAnsi="Arial"/>
      <w:b/>
      <w:bCs/>
      <w:sz w:val="28"/>
      <w:szCs w:val="28"/>
    </w:rPr>
  </w:style>
  <w:style w:type="paragraph" w:styleId="6">
    <w:name w:val="heading 5"/>
    <w:basedOn w:val="1"/>
    <w:next w:val="7"/>
    <w:link w:val="80"/>
    <w:qFormat/>
    <w:uiPriority w:val="99"/>
    <w:pPr>
      <w:keepNext/>
      <w:keepLines/>
      <w:spacing w:before="280" w:after="290" w:line="376" w:lineRule="auto"/>
      <w:outlineLvl w:val="4"/>
    </w:pPr>
    <w:rPr>
      <w:b/>
      <w:bCs/>
      <w:sz w:val="28"/>
      <w:szCs w:val="28"/>
    </w:rPr>
  </w:style>
  <w:style w:type="paragraph" w:styleId="8">
    <w:name w:val="heading 6"/>
    <w:basedOn w:val="1"/>
    <w:next w:val="1"/>
    <w:link w:val="82"/>
    <w:qFormat/>
    <w:uiPriority w:val="9"/>
    <w:pPr>
      <w:keepNext/>
      <w:keepLines/>
      <w:spacing w:before="240" w:after="64" w:line="317" w:lineRule="auto"/>
      <w:outlineLvl w:val="5"/>
    </w:pPr>
    <w:rPr>
      <w:rFonts w:ascii="Cambria" w:hAnsi="Cambria"/>
      <w:b/>
      <w:bCs/>
      <w:kern w:val="0"/>
      <w:sz w:val="24"/>
    </w:rPr>
  </w:style>
  <w:style w:type="paragraph" w:styleId="9">
    <w:name w:val="heading 7"/>
    <w:basedOn w:val="1"/>
    <w:next w:val="1"/>
    <w:link w:val="83"/>
    <w:qFormat/>
    <w:uiPriority w:val="9"/>
    <w:pPr>
      <w:keepNext/>
      <w:keepLines/>
      <w:spacing w:before="240" w:after="64" w:line="317" w:lineRule="auto"/>
      <w:outlineLvl w:val="6"/>
    </w:pPr>
    <w:rPr>
      <w:b/>
      <w:bCs/>
      <w:kern w:val="0"/>
      <w:sz w:val="24"/>
    </w:rPr>
  </w:style>
  <w:style w:type="paragraph" w:styleId="10">
    <w:name w:val="heading 8"/>
    <w:basedOn w:val="1"/>
    <w:next w:val="1"/>
    <w:link w:val="84"/>
    <w:qFormat/>
    <w:uiPriority w:val="9"/>
    <w:pPr>
      <w:keepNext/>
      <w:keepLines/>
      <w:spacing w:before="240" w:after="64" w:line="320" w:lineRule="auto"/>
      <w:outlineLvl w:val="7"/>
    </w:pPr>
    <w:rPr>
      <w:rFonts w:ascii="等线 Light" w:hAnsi="等线 Light" w:eastAsia="等线 Light"/>
      <w:sz w:val="24"/>
    </w:rPr>
  </w:style>
  <w:style w:type="paragraph" w:styleId="11">
    <w:name w:val="heading 9"/>
    <w:basedOn w:val="1"/>
    <w:next w:val="1"/>
    <w:link w:val="85"/>
    <w:qFormat/>
    <w:uiPriority w:val="9"/>
    <w:pPr>
      <w:keepNext/>
      <w:keepLines/>
      <w:spacing w:before="240" w:after="64" w:line="317" w:lineRule="auto"/>
      <w:outlineLvl w:val="8"/>
    </w:pPr>
    <w:rPr>
      <w:rFonts w:ascii="Cambria" w:hAnsi="Cambria"/>
      <w:kern w:val="0"/>
      <w:sz w:val="20"/>
      <w:szCs w:val="21"/>
    </w:rPr>
  </w:style>
  <w:style w:type="character" w:default="1" w:styleId="57">
    <w:name w:val="Default Paragraph Font"/>
    <w:semiHidden/>
    <w:unhideWhenUsed/>
    <w:qFormat/>
    <w:uiPriority w:val="1"/>
  </w:style>
  <w:style w:type="table" w:default="1" w:styleId="55">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81"/>
    <w:qFormat/>
    <w:uiPriority w:val="99"/>
    <w:pPr>
      <w:ind w:firstLine="420"/>
    </w:pPr>
    <w:rPr>
      <w:szCs w:val="20"/>
    </w:rPr>
  </w:style>
  <w:style w:type="paragraph" w:styleId="12">
    <w:name w:val="toc 7"/>
    <w:basedOn w:val="1"/>
    <w:next w:val="1"/>
    <w:qFormat/>
    <w:uiPriority w:val="39"/>
    <w:pPr>
      <w:ind w:left="2520" w:leftChars="1200"/>
    </w:pPr>
    <w:rPr>
      <w:rFonts w:ascii="Calibri" w:hAnsi="Calibri" w:cs="Calibri"/>
      <w:szCs w:val="21"/>
    </w:rPr>
  </w:style>
  <w:style w:type="paragraph" w:styleId="13">
    <w:name w:val="table of authorities"/>
    <w:basedOn w:val="1"/>
    <w:next w:val="1"/>
    <w:unhideWhenUsed/>
    <w:qFormat/>
    <w:uiPriority w:val="99"/>
    <w:pPr>
      <w:ind w:left="420" w:leftChars="200"/>
    </w:pPr>
  </w:style>
  <w:style w:type="paragraph" w:styleId="14">
    <w:name w:val="index 8"/>
    <w:basedOn w:val="1"/>
    <w:next w:val="1"/>
    <w:qFormat/>
    <w:uiPriority w:val="99"/>
    <w:pPr>
      <w:ind w:left="2940"/>
    </w:pPr>
    <w:rPr>
      <w:rFonts w:ascii="Calibri" w:hAnsi="Calibri" w:eastAsia="宋体" w:cs="Times New Roman"/>
      <w:szCs w:val="22"/>
    </w:rPr>
  </w:style>
  <w:style w:type="paragraph" w:styleId="15">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6">
    <w:name w:val="caption"/>
    <w:basedOn w:val="1"/>
    <w:next w:val="1"/>
    <w:qFormat/>
    <w:uiPriority w:val="99"/>
    <w:rPr>
      <w:rFonts w:ascii="Cambria" w:hAnsi="Cambria" w:eastAsia="黑体" w:cs="Cambria"/>
      <w:sz w:val="20"/>
      <w:szCs w:val="20"/>
    </w:rPr>
  </w:style>
  <w:style w:type="paragraph" w:styleId="17">
    <w:name w:val="Document Map"/>
    <w:basedOn w:val="1"/>
    <w:link w:val="86"/>
    <w:qFormat/>
    <w:uiPriority w:val="99"/>
    <w:pPr>
      <w:shd w:val="clear" w:color="auto" w:fill="000080"/>
    </w:pPr>
    <w:rPr>
      <w:sz w:val="24"/>
      <w:shd w:val="clear" w:color="auto" w:fill="000080"/>
    </w:rPr>
  </w:style>
  <w:style w:type="paragraph" w:styleId="18">
    <w:name w:val="annotation text"/>
    <w:basedOn w:val="1"/>
    <w:link w:val="87"/>
    <w:qFormat/>
    <w:uiPriority w:val="0"/>
    <w:pPr>
      <w:jc w:val="left"/>
    </w:pPr>
  </w:style>
  <w:style w:type="paragraph" w:styleId="19">
    <w:name w:val="index 6"/>
    <w:next w:val="1"/>
    <w:qFormat/>
    <w:uiPriority w:val="0"/>
    <w:pPr>
      <w:jc w:val="both"/>
    </w:pPr>
    <w:rPr>
      <w:rFonts w:ascii="Times New Roman" w:hAnsi="Times New Roman" w:eastAsia="宋体" w:cs="Times New Roman"/>
      <w:sz w:val="21"/>
      <w:szCs w:val="24"/>
      <w:lang w:val="en-US" w:eastAsia="zh-CN" w:bidi="ar-SA"/>
    </w:rPr>
  </w:style>
  <w:style w:type="paragraph" w:styleId="20">
    <w:name w:val="Body Text 3"/>
    <w:basedOn w:val="1"/>
    <w:link w:val="88"/>
    <w:unhideWhenUsed/>
    <w:qFormat/>
    <w:uiPriority w:val="99"/>
    <w:pPr>
      <w:spacing w:after="120"/>
    </w:pPr>
    <w:rPr>
      <w:sz w:val="16"/>
      <w:szCs w:val="16"/>
    </w:rPr>
  </w:style>
  <w:style w:type="paragraph" w:styleId="21">
    <w:name w:val="Body Text"/>
    <w:basedOn w:val="1"/>
    <w:next w:val="1"/>
    <w:link w:val="89"/>
    <w:unhideWhenUsed/>
    <w:qFormat/>
    <w:uiPriority w:val="99"/>
    <w:pPr>
      <w:spacing w:after="120"/>
    </w:pPr>
  </w:style>
  <w:style w:type="paragraph" w:styleId="22">
    <w:name w:val="Body Text Indent"/>
    <w:basedOn w:val="1"/>
    <w:link w:val="90"/>
    <w:qFormat/>
    <w:uiPriority w:val="99"/>
    <w:pPr>
      <w:ind w:firstLine="830" w:firstLineChars="352"/>
    </w:pPr>
    <w:rPr>
      <w:rFonts w:ascii="仿宋_GB2312" w:eastAsia="仿宋_GB2312"/>
      <w:kern w:val="0"/>
      <w:sz w:val="32"/>
      <w:szCs w:val="20"/>
    </w:rPr>
  </w:style>
  <w:style w:type="paragraph" w:styleId="23">
    <w:name w:val="List Number 3"/>
    <w:basedOn w:val="1"/>
    <w:qFormat/>
    <w:uiPriority w:val="0"/>
    <w:pPr>
      <w:tabs>
        <w:tab w:val="left" w:pos="1200"/>
      </w:tabs>
    </w:pPr>
  </w:style>
  <w:style w:type="paragraph" w:styleId="24">
    <w:name w:val="List 2"/>
    <w:basedOn w:val="1"/>
    <w:unhideWhenUsed/>
    <w:qFormat/>
    <w:uiPriority w:val="99"/>
    <w:pPr>
      <w:ind w:left="100" w:leftChars="200" w:hanging="200" w:hangingChars="200"/>
      <w:contextualSpacing/>
    </w:pPr>
  </w:style>
  <w:style w:type="paragraph" w:styleId="25">
    <w:name w:val="Block Text"/>
    <w:basedOn w:val="1"/>
    <w:qFormat/>
    <w:uiPriority w:val="0"/>
    <w:pPr>
      <w:adjustRightInd w:val="0"/>
      <w:ind w:left="420" w:right="33"/>
      <w:jc w:val="left"/>
      <w:textAlignment w:val="baseline"/>
    </w:pPr>
    <w:rPr>
      <w:kern w:val="0"/>
      <w:sz w:val="24"/>
      <w:szCs w:val="20"/>
    </w:rPr>
  </w:style>
  <w:style w:type="paragraph" w:styleId="26">
    <w:name w:val="index 4"/>
    <w:basedOn w:val="1"/>
    <w:next w:val="1"/>
    <w:qFormat/>
    <w:uiPriority w:val="99"/>
    <w:pPr>
      <w:ind w:left="600" w:leftChars="600"/>
    </w:pPr>
    <w:rPr>
      <w:szCs w:val="21"/>
    </w:rPr>
  </w:style>
  <w:style w:type="paragraph" w:styleId="27">
    <w:name w:val="toc 5"/>
    <w:basedOn w:val="1"/>
    <w:next w:val="1"/>
    <w:qFormat/>
    <w:uiPriority w:val="39"/>
    <w:pPr>
      <w:ind w:left="1680" w:leftChars="800"/>
    </w:pPr>
    <w:rPr>
      <w:rFonts w:ascii="Calibri" w:hAnsi="Calibri" w:cs="Calibri"/>
      <w:szCs w:val="21"/>
    </w:rPr>
  </w:style>
  <w:style w:type="paragraph" w:styleId="28">
    <w:name w:val="toc 3"/>
    <w:basedOn w:val="1"/>
    <w:next w:val="1"/>
    <w:qFormat/>
    <w:uiPriority w:val="39"/>
    <w:pPr>
      <w:ind w:left="840" w:leftChars="400"/>
    </w:pPr>
    <w:rPr>
      <w:szCs w:val="21"/>
    </w:rPr>
  </w:style>
  <w:style w:type="paragraph" w:styleId="29">
    <w:name w:val="Plain Text"/>
    <w:basedOn w:val="1"/>
    <w:next w:val="14"/>
    <w:link w:val="91"/>
    <w:qFormat/>
    <w:uiPriority w:val="0"/>
    <w:rPr>
      <w:rFonts w:ascii="宋体" w:hAnsi="Courier New"/>
      <w:kern w:val="0"/>
      <w:sz w:val="20"/>
      <w:szCs w:val="21"/>
    </w:rPr>
  </w:style>
  <w:style w:type="paragraph" w:styleId="30">
    <w:name w:val="toc 8"/>
    <w:basedOn w:val="1"/>
    <w:next w:val="1"/>
    <w:qFormat/>
    <w:uiPriority w:val="39"/>
    <w:pPr>
      <w:ind w:left="2940" w:leftChars="1400"/>
    </w:pPr>
    <w:rPr>
      <w:rFonts w:ascii="Calibri" w:hAnsi="Calibri" w:cs="Calibri"/>
      <w:szCs w:val="21"/>
    </w:rPr>
  </w:style>
  <w:style w:type="paragraph" w:styleId="31">
    <w:name w:val="Date"/>
    <w:basedOn w:val="1"/>
    <w:next w:val="1"/>
    <w:link w:val="92"/>
    <w:unhideWhenUsed/>
    <w:qFormat/>
    <w:uiPriority w:val="99"/>
    <w:pPr>
      <w:ind w:left="100" w:leftChars="2500"/>
    </w:pPr>
  </w:style>
  <w:style w:type="paragraph" w:styleId="32">
    <w:name w:val="Body Text Indent 2"/>
    <w:basedOn w:val="1"/>
    <w:link w:val="93"/>
    <w:qFormat/>
    <w:uiPriority w:val="99"/>
    <w:pPr>
      <w:spacing w:after="120" w:line="480" w:lineRule="auto"/>
      <w:ind w:left="420" w:leftChars="200"/>
    </w:pPr>
    <w:rPr>
      <w:sz w:val="24"/>
    </w:rPr>
  </w:style>
  <w:style w:type="paragraph" w:styleId="33">
    <w:name w:val="endnote text"/>
    <w:basedOn w:val="1"/>
    <w:link w:val="94"/>
    <w:qFormat/>
    <w:uiPriority w:val="0"/>
    <w:pPr>
      <w:snapToGrid w:val="0"/>
      <w:jc w:val="left"/>
    </w:pPr>
  </w:style>
  <w:style w:type="paragraph" w:styleId="34">
    <w:name w:val="Balloon Text"/>
    <w:basedOn w:val="1"/>
    <w:link w:val="95"/>
    <w:qFormat/>
    <w:uiPriority w:val="99"/>
    <w:rPr>
      <w:sz w:val="18"/>
      <w:szCs w:val="18"/>
    </w:rPr>
  </w:style>
  <w:style w:type="paragraph" w:styleId="35">
    <w:name w:val="footer"/>
    <w:basedOn w:val="1"/>
    <w:link w:val="96"/>
    <w:unhideWhenUsed/>
    <w:qFormat/>
    <w:uiPriority w:val="99"/>
    <w:pPr>
      <w:tabs>
        <w:tab w:val="center" w:pos="4153"/>
        <w:tab w:val="right" w:pos="8306"/>
      </w:tabs>
      <w:snapToGrid w:val="0"/>
      <w:jc w:val="left"/>
    </w:pPr>
    <w:rPr>
      <w:kern w:val="0"/>
      <w:sz w:val="18"/>
      <w:szCs w:val="18"/>
    </w:rPr>
  </w:style>
  <w:style w:type="paragraph" w:styleId="36">
    <w:name w:val="header"/>
    <w:basedOn w:val="1"/>
    <w:link w:val="97"/>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37">
    <w:name w:val="toc 1"/>
    <w:basedOn w:val="1"/>
    <w:next w:val="1"/>
    <w:unhideWhenUsed/>
    <w:qFormat/>
    <w:uiPriority w:val="39"/>
  </w:style>
  <w:style w:type="paragraph" w:styleId="38">
    <w:name w:val="toc 4"/>
    <w:basedOn w:val="1"/>
    <w:next w:val="1"/>
    <w:qFormat/>
    <w:uiPriority w:val="39"/>
    <w:pPr>
      <w:ind w:left="1260" w:leftChars="600"/>
    </w:pPr>
    <w:rPr>
      <w:rFonts w:ascii="Calibri" w:hAnsi="Calibri" w:cs="Calibri"/>
      <w:szCs w:val="21"/>
    </w:rPr>
  </w:style>
  <w:style w:type="paragraph" w:styleId="39">
    <w:name w:val="Subtitle"/>
    <w:basedOn w:val="1"/>
    <w:next w:val="1"/>
    <w:link w:val="98"/>
    <w:qFormat/>
    <w:uiPriority w:val="11"/>
    <w:pPr>
      <w:spacing w:before="240" w:after="60" w:line="312" w:lineRule="auto"/>
      <w:jc w:val="center"/>
      <w:outlineLvl w:val="1"/>
    </w:pPr>
    <w:rPr>
      <w:rFonts w:ascii="Cambria" w:hAnsi="Cambria"/>
      <w:b/>
      <w:bCs/>
      <w:kern w:val="28"/>
      <w:sz w:val="32"/>
      <w:szCs w:val="32"/>
    </w:rPr>
  </w:style>
  <w:style w:type="paragraph" w:styleId="40">
    <w:name w:val="List"/>
    <w:basedOn w:val="1"/>
    <w:qFormat/>
    <w:uiPriority w:val="0"/>
    <w:pPr>
      <w:ind w:left="200" w:hanging="200" w:hangingChars="200"/>
    </w:pPr>
    <w:rPr>
      <w:sz w:val="28"/>
    </w:rPr>
  </w:style>
  <w:style w:type="paragraph" w:styleId="41">
    <w:name w:val="footnote text"/>
    <w:basedOn w:val="1"/>
    <w:link w:val="99"/>
    <w:qFormat/>
    <w:uiPriority w:val="99"/>
    <w:pPr>
      <w:adjustRightInd w:val="0"/>
      <w:spacing w:line="312" w:lineRule="atLeast"/>
      <w:jc w:val="left"/>
      <w:textAlignment w:val="baseline"/>
    </w:pPr>
    <w:rPr>
      <w:kern w:val="0"/>
      <w:sz w:val="18"/>
      <w:szCs w:val="18"/>
    </w:rPr>
  </w:style>
  <w:style w:type="paragraph" w:styleId="42">
    <w:name w:val="toc 6"/>
    <w:basedOn w:val="1"/>
    <w:next w:val="1"/>
    <w:qFormat/>
    <w:uiPriority w:val="39"/>
    <w:pPr>
      <w:ind w:left="2100" w:leftChars="1000"/>
    </w:pPr>
    <w:rPr>
      <w:rFonts w:ascii="Calibri" w:hAnsi="Calibri" w:cs="Calibri"/>
      <w:szCs w:val="21"/>
    </w:rPr>
  </w:style>
  <w:style w:type="paragraph" w:styleId="43">
    <w:name w:val="List 5"/>
    <w:basedOn w:val="1"/>
    <w:qFormat/>
    <w:uiPriority w:val="0"/>
    <w:pPr>
      <w:ind w:left="2100" w:hanging="420"/>
    </w:pPr>
    <w:rPr>
      <w:szCs w:val="20"/>
    </w:rPr>
  </w:style>
  <w:style w:type="paragraph" w:styleId="44">
    <w:name w:val="Body Text Indent 3"/>
    <w:basedOn w:val="1"/>
    <w:link w:val="100"/>
    <w:qFormat/>
    <w:uiPriority w:val="0"/>
    <w:pPr>
      <w:spacing w:after="120"/>
      <w:ind w:left="420" w:leftChars="200"/>
    </w:pPr>
    <w:rPr>
      <w:kern w:val="0"/>
      <w:sz w:val="16"/>
      <w:szCs w:val="16"/>
    </w:rPr>
  </w:style>
  <w:style w:type="paragraph" w:styleId="45">
    <w:name w:val="toc 2"/>
    <w:basedOn w:val="1"/>
    <w:next w:val="1"/>
    <w:unhideWhenUsed/>
    <w:qFormat/>
    <w:uiPriority w:val="39"/>
    <w:pPr>
      <w:tabs>
        <w:tab w:val="right" w:leader="dot" w:pos="8296"/>
      </w:tabs>
      <w:ind w:left="420" w:leftChars="200"/>
    </w:pPr>
  </w:style>
  <w:style w:type="paragraph" w:styleId="46">
    <w:name w:val="toc 9"/>
    <w:basedOn w:val="1"/>
    <w:next w:val="1"/>
    <w:qFormat/>
    <w:uiPriority w:val="39"/>
    <w:pPr>
      <w:ind w:left="3360" w:leftChars="1600"/>
    </w:pPr>
    <w:rPr>
      <w:rFonts w:ascii="Calibri" w:hAnsi="Calibri" w:cs="Calibri"/>
      <w:szCs w:val="21"/>
    </w:rPr>
  </w:style>
  <w:style w:type="paragraph" w:styleId="47">
    <w:name w:val="Body Text 2"/>
    <w:basedOn w:val="1"/>
    <w:link w:val="101"/>
    <w:qFormat/>
    <w:uiPriority w:val="0"/>
    <w:pPr>
      <w:spacing w:after="120" w:line="480" w:lineRule="auto"/>
    </w:pPr>
    <w:rPr>
      <w:kern w:val="0"/>
      <w:sz w:val="20"/>
    </w:rPr>
  </w:style>
  <w:style w:type="paragraph" w:styleId="48">
    <w:name w:val="List 4"/>
    <w:basedOn w:val="1"/>
    <w:qFormat/>
    <w:uiPriority w:val="0"/>
    <w:pPr>
      <w:ind w:left="100" w:leftChars="600" w:hanging="200" w:hangingChars="200"/>
    </w:pPr>
  </w:style>
  <w:style w:type="paragraph" w:styleId="49">
    <w:name w:val="HTML Preformatted"/>
    <w:basedOn w:val="1"/>
    <w:link w:val="102"/>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50">
    <w:name w:val="Normal (Web)"/>
    <w:basedOn w:val="1"/>
    <w:unhideWhenUsed/>
    <w:qFormat/>
    <w:uiPriority w:val="0"/>
    <w:rPr>
      <w:rFonts w:ascii="Calibri" w:hAnsi="Calibri"/>
      <w:kern w:val="0"/>
      <w:sz w:val="24"/>
    </w:rPr>
  </w:style>
  <w:style w:type="paragraph" w:styleId="51">
    <w:name w:val="index 1"/>
    <w:basedOn w:val="1"/>
    <w:next w:val="1"/>
    <w:qFormat/>
    <w:uiPriority w:val="0"/>
    <w:pPr>
      <w:spacing w:line="400" w:lineRule="exact"/>
      <w:ind w:firstLine="420" w:firstLineChars="200"/>
    </w:pPr>
    <w:rPr>
      <w:rFonts w:ascii="宋体" w:hAnsi="Courier New"/>
      <w:b/>
      <w:szCs w:val="20"/>
    </w:rPr>
  </w:style>
  <w:style w:type="paragraph" w:styleId="52">
    <w:name w:val="Title"/>
    <w:basedOn w:val="1"/>
    <w:next w:val="1"/>
    <w:link w:val="103"/>
    <w:qFormat/>
    <w:uiPriority w:val="99"/>
    <w:pPr>
      <w:spacing w:before="240" w:after="60"/>
      <w:jc w:val="center"/>
      <w:outlineLvl w:val="0"/>
    </w:pPr>
    <w:rPr>
      <w:rFonts w:ascii="Cambria" w:hAnsi="Cambria"/>
      <w:b/>
      <w:bCs/>
      <w:sz w:val="32"/>
      <w:szCs w:val="32"/>
    </w:rPr>
  </w:style>
  <w:style w:type="paragraph" w:styleId="53">
    <w:name w:val="annotation subject"/>
    <w:basedOn w:val="18"/>
    <w:next w:val="18"/>
    <w:link w:val="104"/>
    <w:qFormat/>
    <w:uiPriority w:val="99"/>
    <w:rPr>
      <w:b/>
      <w:bCs/>
    </w:rPr>
  </w:style>
  <w:style w:type="paragraph" w:styleId="54">
    <w:name w:val="Body Text First Indent 2"/>
    <w:basedOn w:val="22"/>
    <w:link w:val="105"/>
    <w:unhideWhenUsed/>
    <w:qFormat/>
    <w:uiPriority w:val="0"/>
    <w:pPr>
      <w:spacing w:after="120"/>
      <w:ind w:left="420" w:leftChars="200" w:firstLine="420"/>
    </w:pPr>
    <w:rPr>
      <w:szCs w:val="22"/>
    </w:rPr>
  </w:style>
  <w:style w:type="table" w:styleId="56">
    <w:name w:val="Table Grid"/>
    <w:basedOn w:val="55"/>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8">
    <w:name w:val="Strong"/>
    <w:qFormat/>
    <w:uiPriority w:val="22"/>
    <w:rPr>
      <w:b/>
      <w:bCs/>
    </w:rPr>
  </w:style>
  <w:style w:type="character" w:styleId="59">
    <w:name w:val="endnote reference"/>
    <w:unhideWhenUsed/>
    <w:qFormat/>
    <w:uiPriority w:val="99"/>
    <w:rPr>
      <w:vertAlign w:val="superscript"/>
    </w:rPr>
  </w:style>
  <w:style w:type="character" w:styleId="60">
    <w:name w:val="page number"/>
    <w:qFormat/>
    <w:uiPriority w:val="99"/>
  </w:style>
  <w:style w:type="character" w:styleId="61">
    <w:name w:val="FollowedHyperlink"/>
    <w:qFormat/>
    <w:uiPriority w:val="99"/>
    <w:rPr>
      <w:color w:val="146C88"/>
      <w:u w:val="none"/>
    </w:rPr>
  </w:style>
  <w:style w:type="character" w:styleId="62">
    <w:name w:val="Emphasis"/>
    <w:qFormat/>
    <w:uiPriority w:val="99"/>
    <w:rPr>
      <w:i/>
      <w:iCs/>
    </w:rPr>
  </w:style>
  <w:style w:type="character" w:styleId="63">
    <w:name w:val="line number"/>
    <w:qFormat/>
    <w:uiPriority w:val="0"/>
    <w:rPr>
      <w:rFonts w:ascii="Tahoma" w:hAnsi="Tahoma" w:eastAsia="宋体"/>
      <w:kern w:val="2"/>
      <w:sz w:val="24"/>
      <w:szCs w:val="24"/>
      <w:lang w:val="en-US" w:eastAsia="zh-CN" w:bidi="ar-SA"/>
    </w:rPr>
  </w:style>
  <w:style w:type="character" w:styleId="64">
    <w:name w:val="HTML Definition"/>
    <w:basedOn w:val="57"/>
    <w:unhideWhenUsed/>
    <w:qFormat/>
    <w:uiPriority w:val="99"/>
  </w:style>
  <w:style w:type="character" w:styleId="65">
    <w:name w:val="HTML Typewriter"/>
    <w:basedOn w:val="57"/>
    <w:unhideWhenUsed/>
    <w:qFormat/>
    <w:uiPriority w:val="99"/>
    <w:rPr>
      <w:rFonts w:hint="default" w:ascii="monospace" w:hAnsi="monospace" w:eastAsia="monospace" w:cs="monospace"/>
      <w:sz w:val="20"/>
    </w:rPr>
  </w:style>
  <w:style w:type="character" w:styleId="66">
    <w:name w:val="HTML Acronym"/>
    <w:basedOn w:val="57"/>
    <w:unhideWhenUsed/>
    <w:qFormat/>
    <w:uiPriority w:val="99"/>
  </w:style>
  <w:style w:type="character" w:styleId="67">
    <w:name w:val="HTML Variable"/>
    <w:basedOn w:val="57"/>
    <w:unhideWhenUsed/>
    <w:qFormat/>
    <w:uiPriority w:val="99"/>
  </w:style>
  <w:style w:type="character" w:styleId="68">
    <w:name w:val="Hyperlink"/>
    <w:unhideWhenUsed/>
    <w:qFormat/>
    <w:uiPriority w:val="99"/>
    <w:rPr>
      <w:color w:val="0000FF"/>
      <w:u w:val="single"/>
    </w:rPr>
  </w:style>
  <w:style w:type="character" w:styleId="69">
    <w:name w:val="HTML Code"/>
    <w:basedOn w:val="57"/>
    <w:unhideWhenUsed/>
    <w:qFormat/>
    <w:uiPriority w:val="99"/>
    <w:rPr>
      <w:rFonts w:hint="default" w:ascii="monospace" w:hAnsi="monospace" w:eastAsia="monospace" w:cs="monospace"/>
      <w:sz w:val="20"/>
    </w:rPr>
  </w:style>
  <w:style w:type="character" w:styleId="70">
    <w:name w:val="annotation reference"/>
    <w:qFormat/>
    <w:uiPriority w:val="0"/>
    <w:rPr>
      <w:sz w:val="21"/>
      <w:szCs w:val="21"/>
    </w:rPr>
  </w:style>
  <w:style w:type="character" w:styleId="71">
    <w:name w:val="HTML Cite"/>
    <w:basedOn w:val="57"/>
    <w:unhideWhenUsed/>
    <w:qFormat/>
    <w:uiPriority w:val="99"/>
  </w:style>
  <w:style w:type="character" w:styleId="72">
    <w:name w:val="footnote reference"/>
    <w:unhideWhenUsed/>
    <w:qFormat/>
    <w:uiPriority w:val="0"/>
    <w:rPr>
      <w:vertAlign w:val="superscript"/>
    </w:rPr>
  </w:style>
  <w:style w:type="character" w:styleId="73">
    <w:name w:val="HTML Keyboard"/>
    <w:basedOn w:val="57"/>
    <w:unhideWhenUsed/>
    <w:qFormat/>
    <w:uiPriority w:val="99"/>
    <w:rPr>
      <w:rFonts w:hint="default" w:ascii="monospace" w:hAnsi="monospace" w:eastAsia="monospace" w:cs="monospace"/>
      <w:sz w:val="20"/>
    </w:rPr>
  </w:style>
  <w:style w:type="character" w:styleId="74">
    <w:name w:val="HTML Sample"/>
    <w:basedOn w:val="57"/>
    <w:unhideWhenUsed/>
    <w:qFormat/>
    <w:uiPriority w:val="99"/>
    <w:rPr>
      <w:rFonts w:ascii="monospace" w:hAnsi="monospace" w:eastAsia="monospace" w:cs="monospace"/>
    </w:rPr>
  </w:style>
  <w:style w:type="paragraph" w:customStyle="1" w:styleId="75">
    <w:name w:val="正文1"/>
    <w:basedOn w:val="1"/>
    <w:qFormat/>
    <w:uiPriority w:val="0"/>
    <w:pPr>
      <w:spacing w:line="360" w:lineRule="auto"/>
      <w:ind w:firstLine="200" w:firstLineChars="200"/>
      <w:jc w:val="left"/>
    </w:pPr>
    <w:rPr>
      <w:rFonts w:ascii="Times New Roman)" w:hAnsi="Times New Roman)" w:eastAsia="宋体正文"/>
      <w:color w:val="000000"/>
      <w:kern w:val="0"/>
      <w:sz w:val="24"/>
      <w:lang w:eastAsia="en-US" w:bidi="en-US"/>
    </w:rPr>
  </w:style>
  <w:style w:type="character" w:customStyle="1" w:styleId="76">
    <w:name w:val="标题 1 字符2"/>
    <w:link w:val="2"/>
    <w:qFormat/>
    <w:uiPriority w:val="99"/>
    <w:rPr>
      <w:b/>
      <w:bCs/>
      <w:kern w:val="44"/>
      <w:sz w:val="44"/>
      <w:szCs w:val="44"/>
    </w:rPr>
  </w:style>
  <w:style w:type="character" w:customStyle="1" w:styleId="77">
    <w:name w:val="标题 2 字符1"/>
    <w:link w:val="3"/>
    <w:qFormat/>
    <w:uiPriority w:val="99"/>
    <w:rPr>
      <w:rFonts w:ascii="Cambria" w:hAnsi="Cambria" w:eastAsia="宋体" w:cs="Times New Roman"/>
      <w:b/>
      <w:bCs/>
      <w:kern w:val="2"/>
      <w:sz w:val="32"/>
      <w:szCs w:val="32"/>
    </w:rPr>
  </w:style>
  <w:style w:type="character" w:customStyle="1" w:styleId="78">
    <w:name w:val="标题 3 字符1"/>
    <w:link w:val="4"/>
    <w:qFormat/>
    <w:uiPriority w:val="99"/>
    <w:rPr>
      <w:b/>
      <w:bCs/>
      <w:kern w:val="2"/>
      <w:sz w:val="32"/>
      <w:szCs w:val="32"/>
    </w:rPr>
  </w:style>
  <w:style w:type="character" w:customStyle="1" w:styleId="79">
    <w:name w:val="标题 4 字符1"/>
    <w:link w:val="5"/>
    <w:qFormat/>
    <w:uiPriority w:val="99"/>
    <w:rPr>
      <w:rFonts w:ascii="Arial" w:hAnsi="Arial"/>
      <w:b/>
      <w:bCs/>
      <w:kern w:val="2"/>
      <w:sz w:val="28"/>
      <w:szCs w:val="28"/>
    </w:rPr>
  </w:style>
  <w:style w:type="character" w:customStyle="1" w:styleId="80">
    <w:name w:val="标题 5 字符1"/>
    <w:link w:val="6"/>
    <w:qFormat/>
    <w:uiPriority w:val="99"/>
    <w:rPr>
      <w:rFonts w:ascii="Times New Roman" w:hAnsi="Times New Roman"/>
      <w:b/>
      <w:bCs/>
      <w:kern w:val="2"/>
      <w:sz w:val="28"/>
      <w:szCs w:val="28"/>
    </w:rPr>
  </w:style>
  <w:style w:type="character" w:customStyle="1" w:styleId="81">
    <w:name w:val="正文缩进 字符"/>
    <w:link w:val="7"/>
    <w:qFormat/>
    <w:uiPriority w:val="99"/>
    <w:rPr>
      <w:kern w:val="2"/>
      <w:sz w:val="21"/>
    </w:rPr>
  </w:style>
  <w:style w:type="character" w:customStyle="1" w:styleId="82">
    <w:name w:val="标题 6 字符1"/>
    <w:link w:val="8"/>
    <w:qFormat/>
    <w:uiPriority w:val="9"/>
    <w:rPr>
      <w:rFonts w:ascii="Cambria" w:hAnsi="Cambria"/>
      <w:b/>
      <w:bCs/>
      <w:sz w:val="24"/>
      <w:szCs w:val="24"/>
    </w:rPr>
  </w:style>
  <w:style w:type="character" w:customStyle="1" w:styleId="83">
    <w:name w:val="标题 7 字符1"/>
    <w:link w:val="9"/>
    <w:qFormat/>
    <w:uiPriority w:val="9"/>
    <w:rPr>
      <w:b/>
      <w:bCs/>
      <w:sz w:val="24"/>
      <w:szCs w:val="24"/>
    </w:rPr>
  </w:style>
  <w:style w:type="character" w:customStyle="1" w:styleId="84">
    <w:name w:val="标题 8 字符1"/>
    <w:link w:val="10"/>
    <w:qFormat/>
    <w:uiPriority w:val="9"/>
    <w:rPr>
      <w:rFonts w:ascii="等线 Light" w:hAnsi="等线 Light" w:eastAsia="等线 Light" w:cs="Times New Roman"/>
      <w:kern w:val="2"/>
      <w:sz w:val="24"/>
      <w:szCs w:val="24"/>
    </w:rPr>
  </w:style>
  <w:style w:type="character" w:customStyle="1" w:styleId="85">
    <w:name w:val="标题 9 字符1"/>
    <w:link w:val="11"/>
    <w:qFormat/>
    <w:uiPriority w:val="9"/>
    <w:rPr>
      <w:rFonts w:ascii="Cambria" w:hAnsi="Cambria"/>
      <w:szCs w:val="21"/>
    </w:rPr>
  </w:style>
  <w:style w:type="character" w:customStyle="1" w:styleId="86">
    <w:name w:val="文档结构图 字符1"/>
    <w:link w:val="17"/>
    <w:qFormat/>
    <w:uiPriority w:val="99"/>
    <w:rPr>
      <w:kern w:val="2"/>
      <w:sz w:val="24"/>
      <w:szCs w:val="24"/>
      <w:shd w:val="clear" w:color="auto" w:fill="000080"/>
    </w:rPr>
  </w:style>
  <w:style w:type="character" w:customStyle="1" w:styleId="87">
    <w:name w:val="批注文字 字符2"/>
    <w:link w:val="18"/>
    <w:qFormat/>
    <w:uiPriority w:val="99"/>
    <w:rPr>
      <w:rFonts w:ascii="Times New Roman" w:hAnsi="Times New Roman"/>
      <w:kern w:val="2"/>
      <w:sz w:val="21"/>
      <w:szCs w:val="24"/>
    </w:rPr>
  </w:style>
  <w:style w:type="character" w:customStyle="1" w:styleId="88">
    <w:name w:val="正文文本 3 字符"/>
    <w:link w:val="20"/>
    <w:qFormat/>
    <w:uiPriority w:val="99"/>
    <w:rPr>
      <w:kern w:val="2"/>
      <w:sz w:val="16"/>
      <w:szCs w:val="16"/>
    </w:rPr>
  </w:style>
  <w:style w:type="character" w:customStyle="1" w:styleId="89">
    <w:name w:val="正文文本 字符1"/>
    <w:link w:val="21"/>
    <w:qFormat/>
    <w:uiPriority w:val="99"/>
    <w:rPr>
      <w:rFonts w:ascii="Times New Roman" w:hAnsi="Times New Roman"/>
      <w:kern w:val="2"/>
      <w:sz w:val="21"/>
      <w:szCs w:val="24"/>
    </w:rPr>
  </w:style>
  <w:style w:type="character" w:customStyle="1" w:styleId="90">
    <w:name w:val="正文文本缩进 字符"/>
    <w:link w:val="22"/>
    <w:qFormat/>
    <w:uiPriority w:val="99"/>
    <w:rPr>
      <w:rFonts w:ascii="仿宋_GB2312" w:hAnsi="Times New Roman" w:eastAsia="仿宋_GB2312" w:cs="Times New Roman"/>
      <w:sz w:val="32"/>
      <w:szCs w:val="20"/>
    </w:rPr>
  </w:style>
  <w:style w:type="character" w:customStyle="1" w:styleId="91">
    <w:name w:val="纯文本 字符3"/>
    <w:link w:val="29"/>
    <w:qFormat/>
    <w:uiPriority w:val="0"/>
    <w:rPr>
      <w:rFonts w:ascii="宋体" w:hAnsi="Courier New" w:eastAsia="宋体" w:cs="Courier New"/>
      <w:szCs w:val="21"/>
    </w:rPr>
  </w:style>
  <w:style w:type="character" w:customStyle="1" w:styleId="92">
    <w:name w:val="日期 字符1"/>
    <w:link w:val="31"/>
    <w:qFormat/>
    <w:uiPriority w:val="99"/>
    <w:rPr>
      <w:rFonts w:ascii="Times New Roman" w:hAnsi="Times New Roman"/>
      <w:kern w:val="2"/>
      <w:sz w:val="21"/>
      <w:szCs w:val="24"/>
    </w:rPr>
  </w:style>
  <w:style w:type="character" w:customStyle="1" w:styleId="93">
    <w:name w:val="正文文本缩进 2 字符"/>
    <w:link w:val="32"/>
    <w:qFormat/>
    <w:uiPriority w:val="99"/>
    <w:rPr>
      <w:kern w:val="2"/>
      <w:sz w:val="24"/>
      <w:szCs w:val="24"/>
    </w:rPr>
  </w:style>
  <w:style w:type="character" w:customStyle="1" w:styleId="94">
    <w:name w:val="尾注文本 字符"/>
    <w:basedOn w:val="57"/>
    <w:link w:val="33"/>
    <w:qFormat/>
    <w:uiPriority w:val="0"/>
    <w:rPr>
      <w:kern w:val="2"/>
      <w:sz w:val="21"/>
      <w:szCs w:val="24"/>
    </w:rPr>
  </w:style>
  <w:style w:type="character" w:customStyle="1" w:styleId="95">
    <w:name w:val="批注框文本 字符1"/>
    <w:link w:val="34"/>
    <w:qFormat/>
    <w:locked/>
    <w:uiPriority w:val="99"/>
    <w:rPr>
      <w:kern w:val="2"/>
      <w:sz w:val="18"/>
      <w:szCs w:val="18"/>
    </w:rPr>
  </w:style>
  <w:style w:type="character" w:customStyle="1" w:styleId="96">
    <w:name w:val="页脚 字符"/>
    <w:link w:val="35"/>
    <w:qFormat/>
    <w:uiPriority w:val="99"/>
    <w:rPr>
      <w:sz w:val="18"/>
      <w:szCs w:val="18"/>
    </w:rPr>
  </w:style>
  <w:style w:type="character" w:customStyle="1" w:styleId="97">
    <w:name w:val="页眉 字符"/>
    <w:link w:val="36"/>
    <w:qFormat/>
    <w:uiPriority w:val="99"/>
    <w:rPr>
      <w:sz w:val="18"/>
      <w:szCs w:val="18"/>
    </w:rPr>
  </w:style>
  <w:style w:type="character" w:customStyle="1" w:styleId="98">
    <w:name w:val="副标题 字符"/>
    <w:link w:val="39"/>
    <w:qFormat/>
    <w:uiPriority w:val="11"/>
    <w:rPr>
      <w:rFonts w:ascii="Cambria" w:hAnsi="Cambria"/>
      <w:b/>
      <w:bCs/>
      <w:kern w:val="28"/>
      <w:sz w:val="32"/>
      <w:szCs w:val="32"/>
    </w:rPr>
  </w:style>
  <w:style w:type="character" w:customStyle="1" w:styleId="99">
    <w:name w:val="脚注文本 字符"/>
    <w:link w:val="41"/>
    <w:qFormat/>
    <w:uiPriority w:val="99"/>
    <w:rPr>
      <w:sz w:val="18"/>
      <w:szCs w:val="18"/>
    </w:rPr>
  </w:style>
  <w:style w:type="character" w:customStyle="1" w:styleId="100">
    <w:name w:val="正文文本缩进 3 字符"/>
    <w:basedOn w:val="57"/>
    <w:link w:val="44"/>
    <w:qFormat/>
    <w:uiPriority w:val="0"/>
    <w:rPr>
      <w:kern w:val="2"/>
      <w:sz w:val="16"/>
      <w:szCs w:val="16"/>
    </w:rPr>
  </w:style>
  <w:style w:type="character" w:customStyle="1" w:styleId="101">
    <w:name w:val="正文文本 2 字符"/>
    <w:basedOn w:val="57"/>
    <w:link w:val="47"/>
    <w:qFormat/>
    <w:uiPriority w:val="0"/>
    <w:rPr>
      <w:kern w:val="2"/>
      <w:sz w:val="21"/>
      <w:szCs w:val="24"/>
    </w:rPr>
  </w:style>
  <w:style w:type="character" w:customStyle="1" w:styleId="102">
    <w:name w:val="HTML 预设格式 字符1"/>
    <w:link w:val="49"/>
    <w:qFormat/>
    <w:uiPriority w:val="99"/>
    <w:rPr>
      <w:rFonts w:ascii="宋体" w:hAnsi="宋体"/>
      <w:sz w:val="24"/>
      <w:szCs w:val="24"/>
    </w:rPr>
  </w:style>
  <w:style w:type="character" w:customStyle="1" w:styleId="103">
    <w:name w:val="标题 字符1"/>
    <w:link w:val="52"/>
    <w:qFormat/>
    <w:uiPriority w:val="99"/>
    <w:rPr>
      <w:rFonts w:ascii="Cambria" w:hAnsi="Cambria"/>
      <w:b/>
      <w:bCs/>
      <w:kern w:val="2"/>
      <w:sz w:val="32"/>
      <w:szCs w:val="32"/>
    </w:rPr>
  </w:style>
  <w:style w:type="character" w:customStyle="1" w:styleId="104">
    <w:name w:val="批注主题 字符1"/>
    <w:link w:val="53"/>
    <w:qFormat/>
    <w:uiPriority w:val="99"/>
    <w:rPr>
      <w:rFonts w:ascii="Times New Roman" w:hAnsi="Times New Roman"/>
      <w:b/>
      <w:bCs/>
      <w:kern w:val="2"/>
      <w:sz w:val="21"/>
      <w:szCs w:val="24"/>
    </w:rPr>
  </w:style>
  <w:style w:type="character" w:customStyle="1" w:styleId="105">
    <w:name w:val="正文文本首行缩进 2 字符"/>
    <w:basedOn w:val="90"/>
    <w:link w:val="54"/>
    <w:qFormat/>
    <w:uiPriority w:val="0"/>
    <w:rPr>
      <w:rFonts w:ascii="仿宋_GB2312" w:hAnsi="Times New Roman" w:eastAsia="仿宋_GB2312" w:cs="Times New Roman"/>
      <w:sz w:val="32"/>
      <w:szCs w:val="22"/>
    </w:rPr>
  </w:style>
  <w:style w:type="character" w:customStyle="1" w:styleId="106">
    <w:name w:val="正文文本缩进 3 Char1"/>
    <w:qFormat/>
    <w:uiPriority w:val="0"/>
    <w:rPr>
      <w:sz w:val="16"/>
      <w:szCs w:val="16"/>
    </w:rPr>
  </w:style>
  <w:style w:type="character" w:customStyle="1" w:styleId="107">
    <w:name w:val="正文文本 2 Char1"/>
    <w:qFormat/>
    <w:uiPriority w:val="0"/>
    <w:rPr>
      <w:szCs w:val="24"/>
    </w:rPr>
  </w:style>
  <w:style w:type="character" w:customStyle="1" w:styleId="108">
    <w:name w:val="访问过的超链接1"/>
    <w:qFormat/>
    <w:uiPriority w:val="99"/>
    <w:rPr>
      <w:color w:val="800080"/>
      <w:u w:val="single"/>
    </w:rPr>
  </w:style>
  <w:style w:type="character" w:customStyle="1" w:styleId="109">
    <w:name w:val="书籍标题1"/>
    <w:qFormat/>
    <w:uiPriority w:val="99"/>
    <w:rPr>
      <w:b/>
      <w:bCs/>
      <w:smallCaps/>
      <w:spacing w:val="5"/>
    </w:rPr>
  </w:style>
  <w:style w:type="character" w:customStyle="1" w:styleId="110">
    <w:name w:val="Body text|5_"/>
    <w:link w:val="111"/>
    <w:qFormat/>
    <w:uiPriority w:val="0"/>
    <w:rPr>
      <w:rFonts w:ascii="宋体" w:hAnsi="宋体" w:cs="宋体"/>
      <w:sz w:val="52"/>
      <w:szCs w:val="52"/>
      <w:lang w:val="zh-CN" w:bidi="zh-CN"/>
    </w:rPr>
  </w:style>
  <w:style w:type="paragraph" w:customStyle="1" w:styleId="111">
    <w:name w:val="Body text|5"/>
    <w:basedOn w:val="1"/>
    <w:link w:val="110"/>
    <w:qFormat/>
    <w:uiPriority w:val="0"/>
    <w:pPr>
      <w:jc w:val="center"/>
    </w:pPr>
    <w:rPr>
      <w:rFonts w:ascii="宋体" w:hAnsi="宋体" w:cs="宋体"/>
      <w:kern w:val="0"/>
      <w:sz w:val="52"/>
      <w:szCs w:val="52"/>
      <w:lang w:val="zh-CN" w:bidi="zh-CN"/>
    </w:rPr>
  </w:style>
  <w:style w:type="character" w:customStyle="1" w:styleId="112">
    <w:name w:val="Body text|1_"/>
    <w:link w:val="113"/>
    <w:qFormat/>
    <w:uiPriority w:val="0"/>
    <w:rPr>
      <w:rFonts w:ascii="宋体" w:hAnsi="宋体" w:cs="宋体"/>
      <w:kern w:val="2"/>
      <w:sz w:val="21"/>
      <w:lang w:val="zh-CN" w:bidi="zh-CN"/>
    </w:rPr>
  </w:style>
  <w:style w:type="paragraph" w:customStyle="1" w:styleId="113">
    <w:name w:val="Body text|1"/>
    <w:basedOn w:val="1"/>
    <w:link w:val="112"/>
    <w:qFormat/>
    <w:uiPriority w:val="0"/>
    <w:pPr>
      <w:spacing w:line="360" w:lineRule="auto"/>
      <w:ind w:firstLine="400"/>
    </w:pPr>
    <w:rPr>
      <w:rFonts w:ascii="宋体" w:hAnsi="宋体" w:cs="宋体"/>
      <w:szCs w:val="20"/>
      <w:lang w:val="zh-CN" w:bidi="zh-CN"/>
    </w:rPr>
  </w:style>
  <w:style w:type="character" w:customStyle="1" w:styleId="114">
    <w:name w:val="Table caption|1_"/>
    <w:link w:val="115"/>
    <w:qFormat/>
    <w:uiPriority w:val="0"/>
    <w:rPr>
      <w:rFonts w:ascii="宋体" w:hAnsi="宋体" w:cs="宋体"/>
      <w:lang w:val="zh-CN" w:bidi="zh-CN"/>
    </w:rPr>
  </w:style>
  <w:style w:type="paragraph" w:customStyle="1" w:styleId="115">
    <w:name w:val="Table caption|1"/>
    <w:basedOn w:val="1"/>
    <w:link w:val="114"/>
    <w:qFormat/>
    <w:uiPriority w:val="0"/>
    <w:pPr>
      <w:jc w:val="left"/>
    </w:pPr>
    <w:rPr>
      <w:rFonts w:ascii="宋体" w:hAnsi="宋体" w:cs="宋体"/>
      <w:kern w:val="0"/>
      <w:sz w:val="20"/>
      <w:szCs w:val="20"/>
      <w:lang w:val="zh-CN" w:bidi="zh-CN"/>
    </w:rPr>
  </w:style>
  <w:style w:type="character" w:customStyle="1" w:styleId="116">
    <w:name w:val="Heading #4|1_"/>
    <w:link w:val="117"/>
    <w:qFormat/>
    <w:uiPriority w:val="0"/>
    <w:rPr>
      <w:rFonts w:ascii="宋体" w:hAnsi="宋体" w:cs="宋体"/>
      <w:lang w:val="zh-CN" w:bidi="zh-CN"/>
    </w:rPr>
  </w:style>
  <w:style w:type="paragraph" w:customStyle="1" w:styleId="117">
    <w:name w:val="Heading #4|1"/>
    <w:basedOn w:val="1"/>
    <w:link w:val="116"/>
    <w:qFormat/>
    <w:uiPriority w:val="0"/>
    <w:pPr>
      <w:spacing w:after="120"/>
      <w:jc w:val="left"/>
      <w:outlineLvl w:val="3"/>
    </w:pPr>
    <w:rPr>
      <w:rFonts w:ascii="宋体" w:hAnsi="宋体" w:cs="宋体"/>
      <w:kern w:val="0"/>
      <w:sz w:val="20"/>
      <w:szCs w:val="20"/>
      <w:lang w:val="zh-CN" w:bidi="zh-CN"/>
    </w:rPr>
  </w:style>
  <w:style w:type="character" w:customStyle="1" w:styleId="118">
    <w:name w:val="Body text|2_"/>
    <w:link w:val="119"/>
    <w:qFormat/>
    <w:uiPriority w:val="0"/>
    <w:rPr>
      <w:sz w:val="21"/>
    </w:rPr>
  </w:style>
  <w:style w:type="paragraph" w:customStyle="1" w:styleId="119">
    <w:name w:val="Body text|2"/>
    <w:basedOn w:val="1"/>
    <w:link w:val="118"/>
    <w:qFormat/>
    <w:uiPriority w:val="0"/>
    <w:pPr>
      <w:spacing w:after="30"/>
      <w:ind w:firstLine="420"/>
      <w:jc w:val="left"/>
    </w:pPr>
    <w:rPr>
      <w:kern w:val="0"/>
      <w:szCs w:val="20"/>
    </w:rPr>
  </w:style>
  <w:style w:type="character" w:customStyle="1" w:styleId="120">
    <w:name w:val="Heading #1|1_"/>
    <w:link w:val="121"/>
    <w:qFormat/>
    <w:uiPriority w:val="0"/>
    <w:rPr>
      <w:rFonts w:ascii="宋体" w:hAnsi="宋体" w:cs="宋体"/>
      <w:sz w:val="38"/>
      <w:szCs w:val="38"/>
      <w:lang w:val="zh-CN" w:bidi="zh-CN"/>
    </w:rPr>
  </w:style>
  <w:style w:type="paragraph" w:customStyle="1" w:styleId="121">
    <w:name w:val="Heading #1|1"/>
    <w:basedOn w:val="1"/>
    <w:link w:val="120"/>
    <w:qFormat/>
    <w:uiPriority w:val="0"/>
    <w:pPr>
      <w:spacing w:after="440" w:line="564" w:lineRule="exact"/>
      <w:jc w:val="center"/>
      <w:outlineLvl w:val="0"/>
    </w:pPr>
    <w:rPr>
      <w:rFonts w:ascii="宋体" w:hAnsi="宋体" w:cs="宋体"/>
      <w:kern w:val="0"/>
      <w:sz w:val="38"/>
      <w:szCs w:val="38"/>
      <w:lang w:val="zh-CN" w:bidi="zh-CN"/>
    </w:rPr>
  </w:style>
  <w:style w:type="character" w:customStyle="1" w:styleId="122">
    <w:name w:val="Header or footer|2_"/>
    <w:link w:val="123"/>
    <w:qFormat/>
    <w:uiPriority w:val="0"/>
    <w:rPr>
      <w:lang w:val="zh-CN" w:bidi="zh-CN"/>
    </w:rPr>
  </w:style>
  <w:style w:type="paragraph" w:customStyle="1" w:styleId="123">
    <w:name w:val="Header or footer|2"/>
    <w:basedOn w:val="1"/>
    <w:link w:val="122"/>
    <w:qFormat/>
    <w:uiPriority w:val="0"/>
    <w:pPr>
      <w:jc w:val="left"/>
    </w:pPr>
    <w:rPr>
      <w:kern w:val="0"/>
      <w:sz w:val="20"/>
      <w:szCs w:val="20"/>
      <w:lang w:val="zh-CN" w:bidi="zh-CN"/>
    </w:rPr>
  </w:style>
  <w:style w:type="character" w:customStyle="1" w:styleId="124">
    <w:name w:val="Title Char"/>
    <w:qFormat/>
    <w:uiPriority w:val="99"/>
    <w:rPr>
      <w:rFonts w:ascii="Cambria" w:hAnsi="Cambria" w:cs="Cambria"/>
      <w:b/>
      <w:bCs/>
      <w:sz w:val="32"/>
      <w:szCs w:val="32"/>
    </w:rPr>
  </w:style>
  <w:style w:type="character" w:customStyle="1" w:styleId="125">
    <w:name w:val="Body text|3_"/>
    <w:link w:val="126"/>
    <w:qFormat/>
    <w:uiPriority w:val="0"/>
    <w:rPr>
      <w:rFonts w:ascii="宋体" w:hAnsi="宋体" w:cs="宋体"/>
      <w:lang w:val="zh-CN" w:bidi="zh-CN"/>
    </w:rPr>
  </w:style>
  <w:style w:type="paragraph" w:customStyle="1" w:styleId="126">
    <w:name w:val="Body text|3"/>
    <w:basedOn w:val="1"/>
    <w:link w:val="125"/>
    <w:qFormat/>
    <w:uiPriority w:val="0"/>
    <w:pPr>
      <w:spacing w:after="340"/>
      <w:jc w:val="left"/>
    </w:pPr>
    <w:rPr>
      <w:rFonts w:ascii="宋体" w:hAnsi="宋体" w:cs="宋体"/>
      <w:kern w:val="0"/>
      <w:sz w:val="20"/>
      <w:szCs w:val="20"/>
      <w:lang w:val="zh-CN" w:bidi="zh-CN"/>
    </w:rPr>
  </w:style>
  <w:style w:type="character" w:customStyle="1" w:styleId="127">
    <w:name w:val="Table of contents|1_"/>
    <w:link w:val="128"/>
    <w:qFormat/>
    <w:uiPriority w:val="0"/>
    <w:rPr>
      <w:rFonts w:ascii="宋体" w:hAnsi="宋体" w:cs="宋体"/>
      <w:lang w:val="zh-CN" w:bidi="zh-CN"/>
    </w:rPr>
  </w:style>
  <w:style w:type="paragraph" w:customStyle="1" w:styleId="128">
    <w:name w:val="Table of contents|1"/>
    <w:basedOn w:val="1"/>
    <w:link w:val="127"/>
    <w:qFormat/>
    <w:uiPriority w:val="0"/>
    <w:pPr>
      <w:spacing w:after="100"/>
      <w:ind w:firstLine="600"/>
      <w:jc w:val="left"/>
    </w:pPr>
    <w:rPr>
      <w:rFonts w:ascii="宋体" w:hAnsi="宋体" w:cs="宋体"/>
      <w:kern w:val="0"/>
      <w:sz w:val="20"/>
      <w:szCs w:val="20"/>
      <w:lang w:val="zh-CN" w:bidi="zh-CN"/>
    </w:rPr>
  </w:style>
  <w:style w:type="character" w:customStyle="1" w:styleId="129">
    <w:name w:val="Date Char"/>
    <w:qFormat/>
    <w:uiPriority w:val="99"/>
    <w:rPr>
      <w:rFonts w:eastAsia="宋体"/>
      <w:kern w:val="2"/>
      <w:sz w:val="24"/>
      <w:szCs w:val="24"/>
      <w:lang w:val="en-US" w:eastAsia="zh-CN"/>
    </w:rPr>
  </w:style>
  <w:style w:type="character" w:customStyle="1" w:styleId="130">
    <w:name w:val="Char Char9"/>
    <w:qFormat/>
    <w:uiPriority w:val="99"/>
    <w:rPr>
      <w:rFonts w:eastAsia="宋体"/>
      <w:b/>
      <w:bCs/>
      <w:kern w:val="44"/>
      <w:sz w:val="44"/>
      <w:szCs w:val="44"/>
      <w:lang w:val="en-US" w:eastAsia="zh-CN"/>
    </w:rPr>
  </w:style>
  <w:style w:type="character" w:customStyle="1" w:styleId="131">
    <w:name w:val="Document Map Char"/>
    <w:qFormat/>
    <w:uiPriority w:val="99"/>
    <w:rPr>
      <w:rFonts w:eastAsia="宋体"/>
      <w:kern w:val="2"/>
      <w:sz w:val="24"/>
      <w:szCs w:val="24"/>
      <w:lang w:val="en-US" w:eastAsia="zh-CN"/>
    </w:rPr>
  </w:style>
  <w:style w:type="character" w:customStyle="1" w:styleId="132">
    <w:name w:val="Header Char"/>
    <w:qFormat/>
    <w:uiPriority w:val="99"/>
    <w:rPr>
      <w:rFonts w:eastAsia="宋体"/>
      <w:kern w:val="2"/>
      <w:sz w:val="18"/>
      <w:szCs w:val="18"/>
      <w:lang w:val="en-US" w:eastAsia="zh-CN"/>
    </w:rPr>
  </w:style>
  <w:style w:type="character" w:customStyle="1" w:styleId="133">
    <w:name w:val="明显参考1"/>
    <w:qFormat/>
    <w:uiPriority w:val="99"/>
    <w:rPr>
      <w:b/>
      <w:bCs/>
      <w:smallCaps/>
      <w:color w:val="auto"/>
      <w:spacing w:val="5"/>
      <w:u w:val="single"/>
    </w:rPr>
  </w:style>
  <w:style w:type="character" w:customStyle="1" w:styleId="134">
    <w:name w:val="Heading 1 Char"/>
    <w:qFormat/>
    <w:uiPriority w:val="99"/>
    <w:rPr>
      <w:rFonts w:eastAsia="宋体"/>
      <w:b/>
      <w:bCs/>
      <w:kern w:val="44"/>
      <w:sz w:val="44"/>
      <w:szCs w:val="44"/>
      <w:lang w:val="en-US" w:eastAsia="zh-CN"/>
    </w:rPr>
  </w:style>
  <w:style w:type="character" w:customStyle="1" w:styleId="135">
    <w:name w:val="Comment Text Char"/>
    <w:qFormat/>
    <w:uiPriority w:val="99"/>
    <w:rPr>
      <w:sz w:val="24"/>
      <w:szCs w:val="24"/>
    </w:rPr>
  </w:style>
  <w:style w:type="character" w:customStyle="1" w:styleId="136">
    <w:name w:val="Char Char23"/>
    <w:qFormat/>
    <w:uiPriority w:val="99"/>
    <w:rPr>
      <w:rFonts w:eastAsia="宋体"/>
      <w:b/>
      <w:bCs/>
      <w:kern w:val="44"/>
      <w:sz w:val="44"/>
      <w:szCs w:val="44"/>
      <w:lang w:val="en-US" w:eastAsia="zh-CN"/>
    </w:rPr>
  </w:style>
  <w:style w:type="character" w:customStyle="1" w:styleId="137">
    <w:name w:val="Char Char181"/>
    <w:qFormat/>
    <w:uiPriority w:val="99"/>
    <w:rPr>
      <w:b/>
      <w:bCs/>
      <w:kern w:val="44"/>
      <w:sz w:val="44"/>
      <w:szCs w:val="44"/>
    </w:rPr>
  </w:style>
  <w:style w:type="character" w:customStyle="1" w:styleId="138">
    <w:name w:val="Char Char22"/>
    <w:qFormat/>
    <w:uiPriority w:val="99"/>
    <w:rPr>
      <w:rFonts w:ascii="Times New Roman" w:hAnsi="Times New Roman" w:eastAsia="宋体" w:cs="Times New Roman"/>
      <w:b/>
      <w:bCs/>
      <w:kern w:val="44"/>
      <w:sz w:val="44"/>
      <w:szCs w:val="44"/>
    </w:rPr>
  </w:style>
  <w:style w:type="character" w:customStyle="1" w:styleId="139">
    <w:name w:val="引用 Char1"/>
    <w:qFormat/>
    <w:uiPriority w:val="99"/>
    <w:rPr>
      <w:rFonts w:ascii="Times New Roman" w:hAnsi="Times New Roman" w:eastAsia="宋体" w:cs="Times New Roman"/>
      <w:i/>
      <w:iCs/>
      <w:color w:val="000000"/>
      <w:sz w:val="24"/>
      <w:szCs w:val="24"/>
    </w:rPr>
  </w:style>
  <w:style w:type="paragraph" w:styleId="140">
    <w:name w:val="Quote"/>
    <w:basedOn w:val="1"/>
    <w:next w:val="1"/>
    <w:link w:val="141"/>
    <w:qFormat/>
    <w:uiPriority w:val="99"/>
    <w:rPr>
      <w:i/>
      <w:iCs/>
      <w:color w:val="000000"/>
      <w:kern w:val="0"/>
      <w:sz w:val="24"/>
    </w:rPr>
  </w:style>
  <w:style w:type="character" w:customStyle="1" w:styleId="141">
    <w:name w:val="引用 字符"/>
    <w:basedOn w:val="57"/>
    <w:link w:val="140"/>
    <w:qFormat/>
    <w:uiPriority w:val="99"/>
    <w:rPr>
      <w:i/>
      <w:iCs/>
      <w:color w:val="000000"/>
      <w:kern w:val="2"/>
      <w:sz w:val="21"/>
      <w:szCs w:val="24"/>
    </w:rPr>
  </w:style>
  <w:style w:type="character" w:customStyle="1" w:styleId="142">
    <w:name w:val="Heading 3 Char1"/>
    <w:qFormat/>
    <w:uiPriority w:val="99"/>
    <w:rPr>
      <w:rFonts w:eastAsia="宋体"/>
      <w:b/>
      <w:bCs/>
      <w:kern w:val="2"/>
      <w:sz w:val="32"/>
      <w:szCs w:val="32"/>
      <w:lang w:val="en-US" w:eastAsia="zh-CN"/>
    </w:rPr>
  </w:style>
  <w:style w:type="character" w:customStyle="1" w:styleId="143">
    <w:name w:val="明显强调1"/>
    <w:qFormat/>
    <w:uiPriority w:val="99"/>
    <w:rPr>
      <w:b/>
      <w:bCs/>
      <w:i/>
      <w:iCs/>
      <w:color w:val="4F81BD"/>
    </w:rPr>
  </w:style>
  <w:style w:type="character" w:customStyle="1" w:styleId="144">
    <w:name w:val="明显引用 Char1"/>
    <w:qFormat/>
    <w:uiPriority w:val="99"/>
    <w:rPr>
      <w:rFonts w:ascii="Times New Roman" w:hAnsi="Times New Roman" w:eastAsia="宋体" w:cs="Times New Roman"/>
      <w:b/>
      <w:bCs/>
      <w:i/>
      <w:iCs/>
      <w:color w:val="4F81BD"/>
      <w:sz w:val="24"/>
      <w:szCs w:val="24"/>
    </w:rPr>
  </w:style>
  <w:style w:type="paragraph" w:styleId="145">
    <w:name w:val="Intense Quote"/>
    <w:basedOn w:val="1"/>
    <w:next w:val="1"/>
    <w:link w:val="146"/>
    <w:qFormat/>
    <w:uiPriority w:val="99"/>
    <w:pPr>
      <w:pBdr>
        <w:bottom w:val="single" w:color="4F81BD" w:sz="4" w:space="4"/>
      </w:pBdr>
      <w:spacing w:before="200" w:after="280"/>
      <w:ind w:left="936" w:right="936"/>
    </w:pPr>
    <w:rPr>
      <w:b/>
      <w:bCs/>
      <w:i/>
      <w:iCs/>
      <w:color w:val="4F81BD"/>
      <w:kern w:val="0"/>
      <w:sz w:val="24"/>
    </w:rPr>
  </w:style>
  <w:style w:type="character" w:customStyle="1" w:styleId="146">
    <w:name w:val="明显引用 字符"/>
    <w:basedOn w:val="57"/>
    <w:link w:val="145"/>
    <w:qFormat/>
    <w:uiPriority w:val="99"/>
    <w:rPr>
      <w:b/>
      <w:bCs/>
      <w:i/>
      <w:iCs/>
      <w:color w:val="4F81BD"/>
      <w:kern w:val="2"/>
      <w:sz w:val="21"/>
      <w:szCs w:val="24"/>
    </w:rPr>
  </w:style>
  <w:style w:type="character" w:customStyle="1" w:styleId="147">
    <w:name w:val="标题 Char2"/>
    <w:qFormat/>
    <w:uiPriority w:val="99"/>
    <w:rPr>
      <w:rFonts w:ascii="Cambria" w:hAnsi="Cambria" w:eastAsia="宋体" w:cs="Cambria"/>
      <w:b/>
      <w:bCs/>
      <w:sz w:val="32"/>
      <w:szCs w:val="32"/>
    </w:rPr>
  </w:style>
  <w:style w:type="character" w:customStyle="1" w:styleId="148">
    <w:name w:val="标题 Char1"/>
    <w:qFormat/>
    <w:uiPriority w:val="99"/>
    <w:rPr>
      <w:rFonts w:ascii="Cambria" w:hAnsi="Cambria" w:eastAsia="宋体" w:cs="Cambria"/>
      <w:b/>
      <w:bCs/>
      <w:sz w:val="32"/>
      <w:szCs w:val="32"/>
    </w:rPr>
  </w:style>
  <w:style w:type="character" w:customStyle="1" w:styleId="149">
    <w:name w:val="Heading 5 Char"/>
    <w:qFormat/>
    <w:uiPriority w:val="99"/>
    <w:rPr>
      <w:rFonts w:eastAsia="宋体"/>
      <w:b/>
      <w:bCs/>
      <w:kern w:val="2"/>
      <w:sz w:val="28"/>
      <w:szCs w:val="28"/>
      <w:lang w:val="en-US" w:eastAsia="zh-CN"/>
    </w:rPr>
  </w:style>
  <w:style w:type="character" w:customStyle="1" w:styleId="150">
    <w:name w:val="标题 1 字符1"/>
    <w:qFormat/>
    <w:uiPriority w:val="0"/>
    <w:rPr>
      <w:b/>
      <w:bCs/>
      <w:kern w:val="44"/>
      <w:sz w:val="44"/>
      <w:szCs w:val="44"/>
    </w:rPr>
  </w:style>
  <w:style w:type="character" w:customStyle="1" w:styleId="151">
    <w:name w:val="明显引用 Char"/>
    <w:link w:val="152"/>
    <w:qFormat/>
    <w:locked/>
    <w:uiPriority w:val="99"/>
    <w:rPr>
      <w:b/>
      <w:bCs/>
      <w:i/>
      <w:iCs/>
      <w:color w:val="4F81BD"/>
    </w:rPr>
  </w:style>
  <w:style w:type="paragraph" w:customStyle="1" w:styleId="152">
    <w:name w:val="明显引用1"/>
    <w:basedOn w:val="1"/>
    <w:next w:val="1"/>
    <w:link w:val="151"/>
    <w:qFormat/>
    <w:uiPriority w:val="99"/>
    <w:pPr>
      <w:pBdr>
        <w:bottom w:val="single" w:color="4F81BD" w:sz="4" w:space="4"/>
      </w:pBdr>
      <w:spacing w:before="200" w:after="280"/>
      <w:ind w:left="936" w:right="936"/>
    </w:pPr>
    <w:rPr>
      <w:b/>
      <w:bCs/>
      <w:i/>
      <w:iCs/>
      <w:color w:val="4F81BD"/>
      <w:kern w:val="0"/>
      <w:sz w:val="20"/>
      <w:szCs w:val="20"/>
    </w:rPr>
  </w:style>
  <w:style w:type="character" w:customStyle="1" w:styleId="153">
    <w:name w:val="textcontents"/>
    <w:qFormat/>
    <w:uiPriority w:val="99"/>
  </w:style>
  <w:style w:type="character" w:customStyle="1" w:styleId="154">
    <w:name w:val="Char Char19"/>
    <w:qFormat/>
    <w:uiPriority w:val="99"/>
    <w:rPr>
      <w:rFonts w:ascii="Arial" w:hAnsi="Arial" w:eastAsia="宋体" w:cs="Arial"/>
      <w:b/>
      <w:bCs/>
      <w:sz w:val="28"/>
      <w:szCs w:val="28"/>
    </w:rPr>
  </w:style>
  <w:style w:type="character" w:customStyle="1" w:styleId="155">
    <w:name w:val="批注文字 Char"/>
    <w:qFormat/>
    <w:uiPriority w:val="99"/>
    <w:rPr>
      <w:rFonts w:ascii="Times New Roman" w:hAnsi="Times New Roman"/>
      <w:kern w:val="2"/>
      <w:sz w:val="21"/>
      <w:szCs w:val="24"/>
    </w:rPr>
  </w:style>
  <w:style w:type="character" w:customStyle="1" w:styleId="156">
    <w:name w:val="标题5 Char Char"/>
    <w:link w:val="157"/>
    <w:qFormat/>
    <w:locked/>
    <w:uiPriority w:val="99"/>
    <w:rPr>
      <w:rFonts w:ascii="Arial" w:hAnsi="Arial" w:cs="Arial"/>
      <w:b/>
      <w:bCs/>
      <w:sz w:val="32"/>
      <w:szCs w:val="32"/>
    </w:rPr>
  </w:style>
  <w:style w:type="paragraph" w:customStyle="1" w:styleId="157">
    <w:name w:val="标题5"/>
    <w:basedOn w:val="4"/>
    <w:link w:val="156"/>
    <w:qFormat/>
    <w:uiPriority w:val="99"/>
    <w:pPr>
      <w:spacing w:line="413" w:lineRule="auto"/>
    </w:pPr>
    <w:rPr>
      <w:rFonts w:ascii="Arial" w:hAnsi="Arial"/>
      <w:kern w:val="0"/>
    </w:rPr>
  </w:style>
  <w:style w:type="character" w:customStyle="1" w:styleId="158">
    <w:name w:val="纯文本 字符"/>
    <w:qFormat/>
    <w:uiPriority w:val="0"/>
    <w:rPr>
      <w:rFonts w:ascii="宋体" w:hAnsi="Courier New" w:eastAsia="宋体" w:cs="Courier New"/>
      <w:szCs w:val="21"/>
    </w:rPr>
  </w:style>
  <w:style w:type="character" w:customStyle="1" w:styleId="159">
    <w:name w:val="引用 Char"/>
    <w:link w:val="160"/>
    <w:qFormat/>
    <w:locked/>
    <w:uiPriority w:val="99"/>
    <w:rPr>
      <w:i/>
      <w:iCs/>
      <w:color w:val="000000"/>
    </w:rPr>
  </w:style>
  <w:style w:type="paragraph" w:customStyle="1" w:styleId="160">
    <w:name w:val="引用1"/>
    <w:basedOn w:val="1"/>
    <w:next w:val="1"/>
    <w:link w:val="159"/>
    <w:qFormat/>
    <w:uiPriority w:val="99"/>
    <w:rPr>
      <w:i/>
      <w:iCs/>
      <w:color w:val="000000"/>
      <w:kern w:val="0"/>
      <w:sz w:val="20"/>
      <w:szCs w:val="20"/>
    </w:rPr>
  </w:style>
  <w:style w:type="character" w:customStyle="1" w:styleId="161">
    <w:name w:val="纯文本 Char"/>
    <w:qFormat/>
    <w:uiPriority w:val="0"/>
    <w:rPr>
      <w:rFonts w:ascii="宋体" w:hAnsi="Courier New" w:eastAsia="宋体" w:cs="Courier New"/>
      <w:szCs w:val="21"/>
    </w:rPr>
  </w:style>
  <w:style w:type="character" w:customStyle="1" w:styleId="162">
    <w:name w:val="日期 Char1"/>
    <w:qFormat/>
    <w:uiPriority w:val="99"/>
    <w:rPr>
      <w:rFonts w:ascii="Times New Roman" w:hAnsi="Times New Roman" w:eastAsia="宋体" w:cs="Times New Roman"/>
      <w:sz w:val="24"/>
      <w:szCs w:val="24"/>
    </w:rPr>
  </w:style>
  <w:style w:type="character" w:customStyle="1" w:styleId="163">
    <w:name w:val="纯文本 字符2"/>
    <w:qFormat/>
    <w:uiPriority w:val="0"/>
    <w:rPr>
      <w:rFonts w:ascii="宋体" w:hAnsi="Courier New" w:eastAsia="宋体" w:cs="Courier New"/>
      <w:szCs w:val="21"/>
    </w:rPr>
  </w:style>
  <w:style w:type="character" w:customStyle="1" w:styleId="164">
    <w:name w:val="Char Char91"/>
    <w:qFormat/>
    <w:uiPriority w:val="99"/>
    <w:rPr>
      <w:rFonts w:eastAsia="宋体"/>
      <w:b/>
      <w:bCs/>
      <w:kern w:val="44"/>
      <w:sz w:val="44"/>
      <w:szCs w:val="44"/>
      <w:lang w:val="en-US" w:eastAsia="zh-CN"/>
    </w:rPr>
  </w:style>
  <w:style w:type="character" w:customStyle="1" w:styleId="165">
    <w:name w:val="批注文字 字符1"/>
    <w:qFormat/>
    <w:uiPriority w:val="0"/>
    <w:rPr>
      <w:rFonts w:ascii="Times New Roman" w:hAnsi="Times New Roman"/>
      <w:kern w:val="2"/>
      <w:sz w:val="21"/>
      <w:szCs w:val="24"/>
    </w:rPr>
  </w:style>
  <w:style w:type="character" w:customStyle="1" w:styleId="166">
    <w:name w:val="Char Char6"/>
    <w:qFormat/>
    <w:uiPriority w:val="99"/>
    <w:rPr>
      <w:rFonts w:eastAsia="宋体"/>
      <w:b/>
      <w:bCs/>
      <w:kern w:val="44"/>
      <w:sz w:val="44"/>
      <w:szCs w:val="44"/>
      <w:lang w:val="en-US" w:eastAsia="zh-CN"/>
    </w:rPr>
  </w:style>
  <w:style w:type="character" w:customStyle="1" w:styleId="167">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168">
    <w:name w:val="Comment Text Char1"/>
    <w:qFormat/>
    <w:uiPriority w:val="99"/>
    <w:rPr>
      <w:sz w:val="24"/>
      <w:szCs w:val="24"/>
    </w:rPr>
  </w:style>
  <w:style w:type="character" w:customStyle="1" w:styleId="169">
    <w:name w:val="纯文本 字符1"/>
    <w:qFormat/>
    <w:uiPriority w:val="0"/>
    <w:rPr>
      <w:rFonts w:ascii="宋体" w:hAnsi="Courier New"/>
    </w:rPr>
  </w:style>
  <w:style w:type="character" w:customStyle="1" w:styleId="170">
    <w:name w:val="Footer Char"/>
    <w:qFormat/>
    <w:uiPriority w:val="99"/>
    <w:rPr>
      <w:rFonts w:eastAsia="宋体"/>
      <w:kern w:val="2"/>
      <w:sz w:val="18"/>
      <w:szCs w:val="18"/>
      <w:lang w:val="en-US" w:eastAsia="zh-CN"/>
    </w:rPr>
  </w:style>
  <w:style w:type="character" w:customStyle="1" w:styleId="171">
    <w:name w:val="正文文本 Char"/>
    <w:qFormat/>
    <w:uiPriority w:val="99"/>
    <w:rPr>
      <w:rFonts w:ascii="Times New Roman" w:hAnsi="Times New Roman"/>
      <w:kern w:val="2"/>
      <w:sz w:val="21"/>
      <w:szCs w:val="24"/>
    </w:rPr>
  </w:style>
  <w:style w:type="character" w:customStyle="1" w:styleId="172">
    <w:name w:val="Body Text Indent 2 Char"/>
    <w:qFormat/>
    <w:uiPriority w:val="99"/>
    <w:rPr>
      <w:rFonts w:eastAsia="宋体"/>
      <w:kern w:val="2"/>
      <w:sz w:val="24"/>
      <w:szCs w:val="24"/>
      <w:lang w:val="en-US" w:eastAsia="zh-CN"/>
    </w:rPr>
  </w:style>
  <w:style w:type="character" w:customStyle="1" w:styleId="173">
    <w:name w:val="批注文字 字符"/>
    <w:qFormat/>
    <w:uiPriority w:val="0"/>
    <w:rPr>
      <w:rFonts w:ascii="Times New Roman" w:hAnsi="Times New Roman"/>
      <w:kern w:val="2"/>
      <w:sz w:val="21"/>
      <w:szCs w:val="24"/>
    </w:rPr>
  </w:style>
  <w:style w:type="character" w:customStyle="1" w:styleId="174">
    <w:name w:val="标题 2 Char"/>
    <w:qFormat/>
    <w:uiPriority w:val="99"/>
    <w:rPr>
      <w:rFonts w:ascii="Cambria" w:hAnsi="Cambria" w:eastAsia="宋体" w:cs="Times New Roman"/>
      <w:b/>
      <w:bCs/>
      <w:kern w:val="2"/>
      <w:sz w:val="32"/>
      <w:szCs w:val="32"/>
    </w:rPr>
  </w:style>
  <w:style w:type="character" w:customStyle="1" w:styleId="175">
    <w:name w:val="标题 8 Char"/>
    <w:qFormat/>
    <w:uiPriority w:val="9"/>
    <w:rPr>
      <w:rFonts w:ascii="Arial" w:hAnsi="Arial" w:eastAsia="黑体"/>
      <w:kern w:val="2"/>
      <w:sz w:val="24"/>
      <w:szCs w:val="24"/>
    </w:rPr>
  </w:style>
  <w:style w:type="character" w:customStyle="1" w:styleId="176">
    <w:name w:val="apple-style-span"/>
    <w:qFormat/>
    <w:uiPriority w:val="0"/>
  </w:style>
  <w:style w:type="character" w:customStyle="1" w:styleId="177">
    <w:name w:val="正文文本 字符"/>
    <w:qFormat/>
    <w:uiPriority w:val="0"/>
    <w:rPr>
      <w:rFonts w:ascii="Times New Roman" w:hAnsi="Times New Roman"/>
      <w:kern w:val="2"/>
      <w:sz w:val="21"/>
      <w:szCs w:val="24"/>
    </w:rPr>
  </w:style>
  <w:style w:type="character" w:customStyle="1" w:styleId="178">
    <w:name w:val="批注文字 Char2"/>
    <w:qFormat/>
    <w:uiPriority w:val="0"/>
    <w:rPr>
      <w:rFonts w:ascii="Times New Roman" w:hAnsi="Times New Roman"/>
      <w:kern w:val="2"/>
      <w:sz w:val="21"/>
      <w:szCs w:val="24"/>
    </w:rPr>
  </w:style>
  <w:style w:type="character" w:customStyle="1" w:styleId="179">
    <w:name w:val="正文2 Char Char"/>
    <w:link w:val="180"/>
    <w:qFormat/>
    <w:uiPriority w:val="0"/>
    <w:rPr>
      <w:kern w:val="2"/>
      <w:sz w:val="24"/>
    </w:rPr>
  </w:style>
  <w:style w:type="paragraph" w:customStyle="1" w:styleId="180">
    <w:name w:val="正文2"/>
    <w:basedOn w:val="1"/>
    <w:link w:val="179"/>
    <w:qFormat/>
    <w:uiPriority w:val="0"/>
    <w:pPr>
      <w:adjustRightInd w:val="0"/>
      <w:spacing w:before="156" w:line="360" w:lineRule="auto"/>
      <w:ind w:firstLine="510" w:firstLineChars="200"/>
    </w:pPr>
    <w:rPr>
      <w:sz w:val="24"/>
      <w:szCs w:val="20"/>
    </w:rPr>
  </w:style>
  <w:style w:type="character" w:customStyle="1" w:styleId="181">
    <w:name w:val="不明显强调1"/>
    <w:qFormat/>
    <w:uiPriority w:val="99"/>
    <w:rPr>
      <w:i/>
      <w:iCs/>
      <w:color w:val="808080"/>
    </w:rPr>
  </w:style>
  <w:style w:type="character" w:customStyle="1" w:styleId="182">
    <w:name w:val="Body text|6_"/>
    <w:link w:val="183"/>
    <w:qFormat/>
    <w:uiPriority w:val="0"/>
    <w:rPr>
      <w:rFonts w:ascii="Arial" w:hAnsi="Arial" w:eastAsia="Arial" w:cs="Arial"/>
      <w:lang w:val="zh-CN"/>
    </w:rPr>
  </w:style>
  <w:style w:type="paragraph" w:customStyle="1" w:styleId="183">
    <w:name w:val="Body text|6"/>
    <w:basedOn w:val="1"/>
    <w:link w:val="182"/>
    <w:qFormat/>
    <w:uiPriority w:val="0"/>
    <w:pPr>
      <w:ind w:hanging="2220"/>
      <w:jc w:val="left"/>
    </w:pPr>
    <w:rPr>
      <w:rFonts w:ascii="Arial" w:hAnsi="Arial" w:eastAsia="Arial"/>
      <w:kern w:val="0"/>
      <w:sz w:val="20"/>
      <w:szCs w:val="20"/>
      <w:lang w:val="zh-CN"/>
    </w:rPr>
  </w:style>
  <w:style w:type="character" w:customStyle="1" w:styleId="184">
    <w:name w:val="批注文字 Char Char"/>
    <w:qFormat/>
    <w:uiPriority w:val="99"/>
    <w:rPr>
      <w:rFonts w:ascii="宋体" w:hAnsi="Times New Roman" w:eastAsia="宋体" w:cs="宋体"/>
      <w:sz w:val="20"/>
      <w:szCs w:val="20"/>
    </w:rPr>
  </w:style>
  <w:style w:type="character" w:customStyle="1" w:styleId="185">
    <w:name w:val="Heading 3 Char"/>
    <w:qFormat/>
    <w:uiPriority w:val="99"/>
    <w:rPr>
      <w:b/>
      <w:bCs/>
      <w:kern w:val="2"/>
      <w:sz w:val="32"/>
      <w:szCs w:val="32"/>
    </w:rPr>
  </w:style>
  <w:style w:type="character" w:customStyle="1" w:styleId="186">
    <w:name w:val="Heading 2 Char"/>
    <w:qFormat/>
    <w:uiPriority w:val="99"/>
    <w:rPr>
      <w:rFonts w:ascii="Arial" w:hAnsi="Arial" w:eastAsia="黑体" w:cs="Arial"/>
      <w:b/>
      <w:bCs/>
      <w:kern w:val="2"/>
      <w:sz w:val="32"/>
      <w:szCs w:val="32"/>
      <w:lang w:val="en-US" w:eastAsia="zh-CN"/>
    </w:rPr>
  </w:style>
  <w:style w:type="character" w:customStyle="1" w:styleId="187">
    <w:name w:val="Balloon Text Char"/>
    <w:qFormat/>
    <w:uiPriority w:val="99"/>
    <w:rPr>
      <w:sz w:val="18"/>
      <w:szCs w:val="18"/>
    </w:rPr>
  </w:style>
  <w:style w:type="character" w:customStyle="1" w:styleId="188">
    <w:name w:val="文档结构图 Char1"/>
    <w:qFormat/>
    <w:uiPriority w:val="99"/>
    <w:rPr>
      <w:rFonts w:ascii="宋体" w:hAnsi="Times New Roman" w:eastAsia="宋体" w:cs="宋体"/>
      <w:sz w:val="18"/>
      <w:szCs w:val="18"/>
    </w:rPr>
  </w:style>
  <w:style w:type="character" w:customStyle="1" w:styleId="189">
    <w:name w:val="Footnote Text Char"/>
    <w:qFormat/>
    <w:uiPriority w:val="99"/>
    <w:rPr>
      <w:rFonts w:eastAsia="宋体"/>
      <w:sz w:val="18"/>
      <w:szCs w:val="18"/>
      <w:lang w:val="en-US" w:eastAsia="zh-CN"/>
    </w:rPr>
  </w:style>
  <w:style w:type="character" w:customStyle="1" w:styleId="190">
    <w:name w:val="Char Char21"/>
    <w:qFormat/>
    <w:uiPriority w:val="99"/>
    <w:rPr>
      <w:rFonts w:ascii="Arial" w:hAnsi="Arial" w:eastAsia="黑体" w:cs="Arial"/>
      <w:b/>
      <w:bCs/>
      <w:sz w:val="32"/>
      <w:szCs w:val="32"/>
    </w:rPr>
  </w:style>
  <w:style w:type="character" w:customStyle="1" w:styleId="191">
    <w:name w:val="Other|1_"/>
    <w:link w:val="192"/>
    <w:qFormat/>
    <w:uiPriority w:val="0"/>
    <w:rPr>
      <w:rFonts w:ascii="宋体" w:hAnsi="宋体" w:cs="宋体"/>
      <w:lang w:val="zh-CN" w:bidi="zh-CN"/>
    </w:rPr>
  </w:style>
  <w:style w:type="paragraph" w:customStyle="1" w:styleId="192">
    <w:name w:val="Other|1"/>
    <w:basedOn w:val="1"/>
    <w:link w:val="191"/>
    <w:qFormat/>
    <w:uiPriority w:val="0"/>
    <w:pPr>
      <w:spacing w:line="360" w:lineRule="auto"/>
      <w:ind w:firstLine="400"/>
      <w:jc w:val="left"/>
    </w:pPr>
    <w:rPr>
      <w:rFonts w:ascii="宋体" w:hAnsi="宋体" w:cs="宋体"/>
      <w:kern w:val="0"/>
      <w:sz w:val="20"/>
      <w:szCs w:val="20"/>
      <w:lang w:val="zh-CN" w:bidi="zh-CN"/>
    </w:rPr>
  </w:style>
  <w:style w:type="character" w:customStyle="1" w:styleId="193">
    <w:name w:val="Body Text Indent Char"/>
    <w:qFormat/>
    <w:uiPriority w:val="99"/>
    <w:rPr>
      <w:rFonts w:ascii="宋体" w:hAnsi="宋体" w:eastAsia="宋体" w:cs="宋体"/>
      <w:kern w:val="2"/>
      <w:sz w:val="21"/>
      <w:szCs w:val="21"/>
      <w:lang w:val="en-US" w:eastAsia="zh-CN"/>
    </w:rPr>
  </w:style>
  <w:style w:type="character" w:customStyle="1" w:styleId="194">
    <w:name w:val="不明显参考1"/>
    <w:qFormat/>
    <w:uiPriority w:val="99"/>
    <w:rPr>
      <w:smallCaps/>
      <w:color w:val="auto"/>
      <w:u w:val="single"/>
    </w:rPr>
  </w:style>
  <w:style w:type="character" w:customStyle="1" w:styleId="195">
    <w:name w:val="Heading 4 Char"/>
    <w:qFormat/>
    <w:uiPriority w:val="99"/>
    <w:rPr>
      <w:rFonts w:ascii="Arial" w:hAnsi="Arial" w:eastAsia="宋体" w:cs="Arial"/>
      <w:b/>
      <w:bCs/>
      <w:kern w:val="2"/>
      <w:sz w:val="28"/>
      <w:szCs w:val="28"/>
      <w:lang w:val="en-US" w:eastAsia="zh-CN"/>
    </w:rPr>
  </w:style>
  <w:style w:type="character" w:customStyle="1" w:styleId="196">
    <w:name w:val="Body text|7_"/>
    <w:link w:val="197"/>
    <w:qFormat/>
    <w:uiPriority w:val="0"/>
    <w:rPr>
      <w:rFonts w:ascii="Courier New" w:hAnsi="Courier New" w:eastAsia="Courier New" w:cs="Courier New"/>
      <w:b/>
      <w:bCs/>
      <w:sz w:val="8"/>
      <w:szCs w:val="8"/>
      <w:lang w:val="zh-CN"/>
    </w:rPr>
  </w:style>
  <w:style w:type="paragraph" w:customStyle="1" w:styleId="197">
    <w:name w:val="Body text|7"/>
    <w:basedOn w:val="1"/>
    <w:link w:val="196"/>
    <w:qFormat/>
    <w:uiPriority w:val="0"/>
    <w:pPr>
      <w:ind w:hanging="1760"/>
      <w:jc w:val="left"/>
    </w:pPr>
    <w:rPr>
      <w:rFonts w:ascii="Courier New" w:hAnsi="Courier New" w:eastAsia="Courier New"/>
      <w:b/>
      <w:bCs/>
      <w:kern w:val="0"/>
      <w:sz w:val="8"/>
      <w:szCs w:val="8"/>
      <w:lang w:val="zh-CN"/>
    </w:rPr>
  </w:style>
  <w:style w:type="character" w:customStyle="1" w:styleId="198">
    <w:name w:val="Char Char20"/>
    <w:qFormat/>
    <w:uiPriority w:val="99"/>
    <w:rPr>
      <w:rFonts w:ascii="Times New Roman" w:hAnsi="Times New Roman" w:eastAsia="宋体" w:cs="Times New Roman"/>
      <w:b/>
      <w:bCs/>
      <w:sz w:val="32"/>
      <w:szCs w:val="32"/>
    </w:rPr>
  </w:style>
  <w:style w:type="character" w:customStyle="1" w:styleId="199">
    <w:name w:val="Body text|4_"/>
    <w:link w:val="200"/>
    <w:qFormat/>
    <w:uiPriority w:val="0"/>
    <w:rPr>
      <w:rFonts w:ascii="宋体" w:hAnsi="宋体" w:cs="宋体"/>
      <w:b/>
      <w:bCs/>
      <w:sz w:val="17"/>
      <w:szCs w:val="17"/>
      <w:lang w:val="zh-CN" w:bidi="zh-CN"/>
    </w:rPr>
  </w:style>
  <w:style w:type="paragraph" w:customStyle="1" w:styleId="200">
    <w:name w:val="Body text|4"/>
    <w:basedOn w:val="1"/>
    <w:link w:val="199"/>
    <w:qFormat/>
    <w:uiPriority w:val="0"/>
    <w:pPr>
      <w:spacing w:line="281" w:lineRule="exact"/>
      <w:jc w:val="center"/>
    </w:pPr>
    <w:rPr>
      <w:rFonts w:ascii="宋体" w:hAnsi="宋体" w:cs="宋体"/>
      <w:b/>
      <w:bCs/>
      <w:kern w:val="0"/>
      <w:sz w:val="17"/>
      <w:szCs w:val="17"/>
      <w:lang w:val="zh-CN" w:bidi="zh-CN"/>
    </w:rPr>
  </w:style>
  <w:style w:type="character" w:customStyle="1" w:styleId="201">
    <w:name w:val="Comment Subject Char"/>
    <w:qFormat/>
    <w:uiPriority w:val="99"/>
    <w:rPr>
      <w:b/>
      <w:bCs/>
      <w:sz w:val="24"/>
      <w:szCs w:val="24"/>
    </w:rPr>
  </w:style>
  <w:style w:type="character" w:customStyle="1" w:styleId="202">
    <w:name w:val="Heading #2|1_"/>
    <w:link w:val="203"/>
    <w:qFormat/>
    <w:uiPriority w:val="0"/>
    <w:rPr>
      <w:rFonts w:ascii="宋体" w:hAnsi="宋体" w:cs="宋体"/>
      <w:sz w:val="34"/>
      <w:szCs w:val="34"/>
      <w:lang w:val="zh-CN" w:bidi="zh-CN"/>
    </w:rPr>
  </w:style>
  <w:style w:type="paragraph" w:customStyle="1" w:styleId="203">
    <w:name w:val="Heading #2|1"/>
    <w:basedOn w:val="1"/>
    <w:link w:val="202"/>
    <w:qFormat/>
    <w:uiPriority w:val="0"/>
    <w:pPr>
      <w:spacing w:after="900"/>
      <w:jc w:val="center"/>
      <w:outlineLvl w:val="1"/>
    </w:pPr>
    <w:rPr>
      <w:rFonts w:ascii="宋体" w:hAnsi="宋体" w:cs="宋体"/>
      <w:kern w:val="0"/>
      <w:sz w:val="34"/>
      <w:szCs w:val="34"/>
      <w:lang w:val="zh-CN" w:bidi="zh-CN"/>
    </w:rPr>
  </w:style>
  <w:style w:type="character" w:customStyle="1" w:styleId="204">
    <w:name w:val="批注框文本 Char1"/>
    <w:qFormat/>
    <w:uiPriority w:val="99"/>
    <w:rPr>
      <w:rFonts w:ascii="Times New Roman" w:hAnsi="Times New Roman" w:eastAsia="宋体" w:cs="Times New Roman"/>
      <w:sz w:val="18"/>
      <w:szCs w:val="18"/>
    </w:rPr>
  </w:style>
  <w:style w:type="character" w:customStyle="1" w:styleId="205">
    <w:name w:val="Char Char18"/>
    <w:qFormat/>
    <w:uiPriority w:val="99"/>
    <w:rPr>
      <w:rFonts w:ascii="Times New Roman" w:hAnsi="Times New Roman" w:eastAsia="宋体" w:cs="Times New Roman"/>
      <w:b/>
      <w:bCs/>
      <w:sz w:val="28"/>
      <w:szCs w:val="28"/>
    </w:rPr>
  </w:style>
  <w:style w:type="character" w:customStyle="1" w:styleId="206">
    <w:name w:val="批注主题 Char1"/>
    <w:qFormat/>
    <w:uiPriority w:val="99"/>
    <w:rPr>
      <w:rFonts w:ascii="Times New Roman" w:hAnsi="Times New Roman" w:eastAsia="宋体" w:cs="Times New Roman"/>
      <w:b/>
      <w:bCs/>
      <w:sz w:val="24"/>
      <w:szCs w:val="24"/>
    </w:rPr>
  </w:style>
  <w:style w:type="character" w:customStyle="1" w:styleId="207">
    <w:name w:val="Char Char24"/>
    <w:qFormat/>
    <w:uiPriority w:val="99"/>
    <w:rPr>
      <w:rFonts w:eastAsia="宋体"/>
      <w:b/>
      <w:bCs/>
      <w:kern w:val="44"/>
      <w:sz w:val="44"/>
      <w:szCs w:val="44"/>
      <w:lang w:val="en-US" w:eastAsia="zh-CN"/>
    </w:rPr>
  </w:style>
  <w:style w:type="character" w:customStyle="1" w:styleId="208">
    <w:name w:val="标题4 Char Char"/>
    <w:link w:val="209"/>
    <w:qFormat/>
    <w:locked/>
    <w:uiPriority w:val="99"/>
    <w:rPr>
      <w:rFonts w:ascii="Arial" w:hAnsi="Arial" w:cs="Arial"/>
      <w:b/>
      <w:bCs/>
      <w:sz w:val="32"/>
      <w:szCs w:val="32"/>
    </w:rPr>
  </w:style>
  <w:style w:type="paragraph" w:customStyle="1" w:styleId="209">
    <w:name w:val="标题4"/>
    <w:basedOn w:val="3"/>
    <w:next w:val="26"/>
    <w:link w:val="208"/>
    <w:qFormat/>
    <w:uiPriority w:val="99"/>
    <w:pPr>
      <w:spacing w:before="60" w:after="60" w:line="413" w:lineRule="auto"/>
    </w:pPr>
    <w:rPr>
      <w:rFonts w:ascii="Arial" w:hAnsi="Arial"/>
      <w:kern w:val="0"/>
    </w:rPr>
  </w:style>
  <w:style w:type="character" w:customStyle="1" w:styleId="210">
    <w:name w:val="Plain Text Char"/>
    <w:qFormat/>
    <w:uiPriority w:val="99"/>
    <w:rPr>
      <w:rFonts w:ascii="宋体" w:hAnsi="Courier New" w:eastAsia="宋体" w:cs="宋体"/>
      <w:sz w:val="24"/>
      <w:szCs w:val="24"/>
    </w:rPr>
  </w:style>
  <w:style w:type="character" w:customStyle="1" w:styleId="211">
    <w:name w:val="Header or footer|1_"/>
    <w:link w:val="212"/>
    <w:qFormat/>
    <w:uiPriority w:val="0"/>
    <w:rPr>
      <w:sz w:val="17"/>
      <w:szCs w:val="17"/>
      <w:lang w:val="zh-CN" w:bidi="zh-CN"/>
    </w:rPr>
  </w:style>
  <w:style w:type="paragraph" w:customStyle="1" w:styleId="212">
    <w:name w:val="Header or footer|1"/>
    <w:basedOn w:val="1"/>
    <w:link w:val="211"/>
    <w:qFormat/>
    <w:uiPriority w:val="0"/>
    <w:pPr>
      <w:jc w:val="center"/>
    </w:pPr>
    <w:rPr>
      <w:kern w:val="0"/>
      <w:sz w:val="17"/>
      <w:szCs w:val="17"/>
      <w:lang w:val="zh-CN" w:bidi="zh-CN"/>
    </w:rPr>
  </w:style>
  <w:style w:type="character" w:customStyle="1" w:styleId="213">
    <w:name w:val="Heading #3|1_"/>
    <w:link w:val="214"/>
    <w:qFormat/>
    <w:uiPriority w:val="0"/>
    <w:rPr>
      <w:rFonts w:ascii="宋体" w:hAnsi="宋体" w:cs="宋体"/>
      <w:sz w:val="28"/>
      <w:szCs w:val="28"/>
      <w:lang w:val="zh-CN" w:bidi="zh-CN"/>
    </w:rPr>
  </w:style>
  <w:style w:type="paragraph" w:customStyle="1" w:styleId="214">
    <w:name w:val="Heading #3|1"/>
    <w:basedOn w:val="1"/>
    <w:link w:val="213"/>
    <w:qFormat/>
    <w:uiPriority w:val="0"/>
    <w:pPr>
      <w:spacing w:after="570"/>
      <w:jc w:val="center"/>
      <w:outlineLvl w:val="2"/>
    </w:pPr>
    <w:rPr>
      <w:rFonts w:ascii="宋体" w:hAnsi="宋体" w:cs="宋体"/>
      <w:kern w:val="0"/>
      <w:sz w:val="28"/>
      <w:szCs w:val="28"/>
      <w:lang w:val="zh-CN" w:bidi="zh-CN"/>
    </w:rPr>
  </w:style>
  <w:style w:type="character" w:styleId="215">
    <w:name w:val="Placeholder Text"/>
    <w:unhideWhenUsed/>
    <w:qFormat/>
    <w:uiPriority w:val="99"/>
    <w:rPr>
      <w:color w:val="808080"/>
    </w:rPr>
  </w:style>
  <w:style w:type="paragraph" w:customStyle="1" w:styleId="216">
    <w:name w:val="flNote"/>
    <w:basedOn w:val="1"/>
    <w:qFormat/>
    <w:uiPriority w:val="99"/>
    <w:pPr>
      <w:adjustRightInd w:val="0"/>
      <w:spacing w:before="320" w:after="160" w:line="360" w:lineRule="atLeast"/>
      <w:jc w:val="center"/>
      <w:textAlignment w:val="baseline"/>
    </w:pPr>
    <w:rPr>
      <w:rFonts w:ascii="Arial" w:eastAsia="黑体" w:cs="Arial"/>
      <w:kern w:val="0"/>
      <w:sz w:val="30"/>
      <w:szCs w:val="30"/>
    </w:rPr>
  </w:style>
  <w:style w:type="paragraph" w:styleId="217">
    <w:name w:val="List Paragraph"/>
    <w:basedOn w:val="1"/>
    <w:link w:val="218"/>
    <w:qFormat/>
    <w:uiPriority w:val="34"/>
    <w:pPr>
      <w:ind w:firstLine="420" w:firstLineChars="200"/>
    </w:pPr>
  </w:style>
  <w:style w:type="character" w:customStyle="1" w:styleId="218">
    <w:name w:val="列表段落 字符"/>
    <w:link w:val="217"/>
    <w:qFormat/>
    <w:locked/>
    <w:uiPriority w:val="34"/>
    <w:rPr>
      <w:kern w:val="2"/>
      <w:sz w:val="21"/>
      <w:szCs w:val="24"/>
    </w:rPr>
  </w:style>
  <w:style w:type="paragraph" w:customStyle="1" w:styleId="219">
    <w:name w:val="样式 标题 2 + Times New Roman 四号 非加粗 段前: 5 磅 段后: 0 磅 行距: 固定值 20..."/>
    <w:basedOn w:val="3"/>
    <w:qFormat/>
    <w:uiPriority w:val="99"/>
    <w:pPr>
      <w:spacing w:before="100" w:after="0" w:line="400" w:lineRule="exact"/>
    </w:pPr>
    <w:rPr>
      <w:rFonts w:ascii="Times New Roman" w:hAnsi="Times New Roman" w:eastAsia="黑体"/>
      <w:b w:val="0"/>
      <w:bCs w:val="0"/>
      <w:kern w:val="0"/>
      <w:sz w:val="28"/>
      <w:szCs w:val="28"/>
      <w:lang w:val="zh-CN"/>
    </w:rPr>
  </w:style>
  <w:style w:type="paragraph" w:customStyle="1" w:styleId="220">
    <w:name w:val="无间隔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21">
    <w:name w:val="Char Char Char Char Char Char Char"/>
    <w:basedOn w:val="1"/>
    <w:qFormat/>
    <w:uiPriority w:val="99"/>
    <w:pPr>
      <w:widowControl/>
      <w:spacing w:after="160" w:line="240" w:lineRule="exact"/>
      <w:jc w:val="left"/>
    </w:pPr>
    <w:rPr>
      <w:szCs w:val="21"/>
    </w:rPr>
  </w:style>
  <w:style w:type="paragraph" w:customStyle="1" w:styleId="222">
    <w:name w:val="Char"/>
    <w:basedOn w:val="1"/>
    <w:qFormat/>
    <w:uiPriority w:val="99"/>
    <w:pPr>
      <w:widowControl/>
      <w:spacing w:after="160" w:line="240" w:lineRule="exact"/>
      <w:jc w:val="left"/>
    </w:pPr>
    <w:rPr>
      <w:szCs w:val="21"/>
    </w:rPr>
  </w:style>
  <w:style w:type="paragraph" w:customStyle="1" w:styleId="223">
    <w:name w:val="默认段落字体 Para Char Char Char Char Char Char Char Char Char1 Char Char Char Char"/>
    <w:basedOn w:val="1"/>
    <w:qFormat/>
    <w:uiPriority w:val="0"/>
    <w:rPr>
      <w:rFonts w:ascii="Tahoma" w:hAnsi="Tahoma"/>
      <w:sz w:val="24"/>
      <w:szCs w:val="20"/>
    </w:rPr>
  </w:style>
  <w:style w:type="paragraph" w:customStyle="1" w:styleId="224">
    <w:name w:val="Table Paragraph"/>
    <w:basedOn w:val="1"/>
    <w:qFormat/>
    <w:uiPriority w:val="1"/>
    <w:pPr>
      <w:jc w:val="left"/>
    </w:pPr>
    <w:rPr>
      <w:rFonts w:ascii="Calibri" w:hAnsi="Calibri"/>
      <w:kern w:val="0"/>
      <w:sz w:val="22"/>
      <w:szCs w:val="22"/>
      <w:lang w:eastAsia="en-US"/>
    </w:rPr>
  </w:style>
  <w:style w:type="paragraph" w:customStyle="1" w:styleId="225">
    <w:name w:val="表内文字"/>
    <w:basedOn w:val="1"/>
    <w:link w:val="226"/>
    <w:qFormat/>
    <w:uiPriority w:val="0"/>
    <w:pPr>
      <w:snapToGrid w:val="0"/>
      <w:spacing w:before="50" w:after="50"/>
      <w:jc w:val="center"/>
    </w:pPr>
    <w:rPr>
      <w:rFonts w:ascii="仿宋_GB2312" w:hAnsi="宋体" w:eastAsia="仿宋_GB2312"/>
      <w:b/>
      <w:color w:val="000000"/>
      <w:sz w:val="32"/>
      <w:szCs w:val="32"/>
    </w:rPr>
  </w:style>
  <w:style w:type="character" w:customStyle="1" w:styleId="226">
    <w:name w:val="表内文字 Char"/>
    <w:link w:val="225"/>
    <w:qFormat/>
    <w:uiPriority w:val="0"/>
    <w:rPr>
      <w:rFonts w:ascii="仿宋_GB2312" w:hAnsi="宋体" w:eastAsia="仿宋_GB2312"/>
      <w:b/>
      <w:color w:val="000000"/>
      <w:kern w:val="2"/>
      <w:sz w:val="32"/>
      <w:szCs w:val="32"/>
    </w:rPr>
  </w:style>
  <w:style w:type="paragraph" w:customStyle="1" w:styleId="227">
    <w:name w:val="样式1"/>
    <w:basedOn w:val="1"/>
    <w:next w:val="5"/>
    <w:qFormat/>
    <w:uiPriority w:val="99"/>
    <w:pPr>
      <w:spacing w:line="360" w:lineRule="auto"/>
      <w:ind w:firstLine="420" w:firstLineChars="200"/>
    </w:pPr>
    <w:rPr>
      <w:rFonts w:ascii="宋体" w:hAnsi="宋体" w:cs="宋体"/>
      <w:szCs w:val="21"/>
    </w:rPr>
  </w:style>
  <w:style w:type="paragraph" w:customStyle="1" w:styleId="228">
    <w:name w:val="列出段落1"/>
    <w:basedOn w:val="1"/>
    <w:link w:val="229"/>
    <w:qFormat/>
    <w:uiPriority w:val="99"/>
    <w:pPr>
      <w:ind w:firstLine="420" w:firstLineChars="200"/>
    </w:pPr>
    <w:rPr>
      <w:rFonts w:ascii="Calibri" w:hAnsi="Calibri" w:cs="Calibri"/>
      <w:szCs w:val="21"/>
    </w:rPr>
  </w:style>
  <w:style w:type="character" w:customStyle="1" w:styleId="229">
    <w:name w:val="List Paragraph Char"/>
    <w:link w:val="228"/>
    <w:qFormat/>
    <w:locked/>
    <w:uiPriority w:val="99"/>
    <w:rPr>
      <w:rFonts w:ascii="Calibri" w:hAnsi="Calibri" w:cs="Calibri"/>
      <w:kern w:val="2"/>
      <w:sz w:val="21"/>
      <w:szCs w:val="21"/>
    </w:rPr>
  </w:style>
  <w:style w:type="paragraph" w:customStyle="1" w:styleId="230">
    <w:name w:val="Default"/>
    <w:qFormat/>
    <w:uiPriority w:val="99"/>
    <w:pPr>
      <w:widowControl w:val="0"/>
      <w:autoSpaceDE w:val="0"/>
      <w:autoSpaceDN w:val="0"/>
      <w:adjustRightInd w:val="0"/>
    </w:pPr>
    <w:rPr>
      <w:rFonts w:ascii="Times New Roman" w:hAnsi="Times New Roman" w:eastAsia="宋体" w:cs="Times New Roman"/>
      <w:color w:val="000000"/>
      <w:kern w:val="2"/>
      <w:sz w:val="24"/>
      <w:szCs w:val="24"/>
      <w:lang w:val="en-US" w:eastAsia="zh-CN" w:bidi="ar-SA"/>
    </w:rPr>
  </w:style>
  <w:style w:type="paragraph" w:customStyle="1" w:styleId="231">
    <w:name w:val="正文_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32">
    <w:name w:val="TOC 标题1"/>
    <w:basedOn w:val="2"/>
    <w:next w:val="1"/>
    <w:qFormat/>
    <w:uiPriority w:val="99"/>
    <w:pPr>
      <w:spacing w:line="576" w:lineRule="auto"/>
      <w:outlineLvl w:val="9"/>
    </w:pPr>
    <w:rPr>
      <w:rFonts w:ascii="Calibri" w:hAnsi="Calibri" w:eastAsia="黑体" w:cs="Calibri"/>
      <w:lang w:val="zh-CN"/>
    </w:rPr>
  </w:style>
  <w:style w:type="paragraph" w:customStyle="1" w:styleId="233">
    <w:name w:val="空半行"/>
    <w:basedOn w:val="1"/>
    <w:qFormat/>
    <w:uiPriority w:val="99"/>
    <w:pPr>
      <w:adjustRightInd w:val="0"/>
      <w:spacing w:line="120" w:lineRule="exact"/>
      <w:textAlignment w:val="baseline"/>
    </w:pPr>
    <w:rPr>
      <w:rFonts w:eastAsia="仿宋_GB2312"/>
      <w:color w:val="FFFFFF"/>
      <w:kern w:val="0"/>
      <w:sz w:val="30"/>
      <w:szCs w:val="30"/>
    </w:rPr>
  </w:style>
  <w:style w:type="paragraph" w:customStyle="1" w:styleId="234">
    <w:name w:val="p0"/>
    <w:basedOn w:val="1"/>
    <w:qFormat/>
    <w:uiPriority w:val="99"/>
    <w:pPr>
      <w:widowControl/>
    </w:pPr>
    <w:rPr>
      <w:rFonts w:ascii="Calibri" w:hAnsi="Calibri" w:cs="Calibri"/>
      <w:kern w:val="0"/>
      <w:szCs w:val="21"/>
    </w:rPr>
  </w:style>
  <w:style w:type="paragraph" w:customStyle="1" w:styleId="235">
    <w:name w:val="1"/>
    <w:basedOn w:val="1"/>
    <w:next w:val="1"/>
    <w:qFormat/>
    <w:uiPriority w:val="99"/>
    <w:rPr>
      <w:szCs w:val="21"/>
    </w:rPr>
  </w:style>
  <w:style w:type="paragraph" w:customStyle="1" w:styleId="236">
    <w:name w:val="列出段落2"/>
    <w:basedOn w:val="1"/>
    <w:qFormat/>
    <w:uiPriority w:val="99"/>
    <w:pPr>
      <w:ind w:firstLine="420" w:firstLineChars="200"/>
    </w:pPr>
    <w:rPr>
      <w:rFonts w:ascii="Calibri" w:hAnsi="Calibri" w:cs="Calibri"/>
      <w:szCs w:val="21"/>
    </w:rPr>
  </w:style>
  <w:style w:type="paragraph" w:customStyle="1" w:styleId="237">
    <w:name w:val="修订1"/>
    <w:qFormat/>
    <w:uiPriority w:val="99"/>
    <w:rPr>
      <w:rFonts w:ascii="Times New Roman" w:hAnsi="Times New Roman" w:eastAsia="宋体" w:cs="Times New Roman"/>
      <w:kern w:val="2"/>
      <w:sz w:val="21"/>
      <w:szCs w:val="21"/>
      <w:lang w:val="en-US" w:eastAsia="zh-CN" w:bidi="ar-SA"/>
    </w:rPr>
  </w:style>
  <w:style w:type="paragraph" w:customStyle="1" w:styleId="238">
    <w:name w:val="无间隔1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39">
    <w:name w:val="修订11"/>
    <w:qFormat/>
    <w:uiPriority w:val="0"/>
    <w:rPr>
      <w:rFonts w:ascii="Times New Roman" w:hAnsi="Times New Roman" w:eastAsia="宋体" w:cs="Times New Roman"/>
      <w:kern w:val="2"/>
      <w:sz w:val="21"/>
      <w:szCs w:val="21"/>
      <w:lang w:val="en-US" w:eastAsia="zh-CN" w:bidi="ar-SA"/>
    </w:rPr>
  </w:style>
  <w:style w:type="paragraph" w:customStyle="1" w:styleId="240">
    <w:name w:val="2-2ji"/>
    <w:basedOn w:val="3"/>
    <w:qFormat/>
    <w:uiPriority w:val="99"/>
    <w:pPr>
      <w:spacing w:before="0" w:after="0" w:line="360" w:lineRule="auto"/>
      <w:jc w:val="center"/>
    </w:pPr>
    <w:rPr>
      <w:rFonts w:ascii="宋体" w:hAnsi="宋体" w:cs="宋体"/>
      <w:sz w:val="36"/>
      <w:szCs w:val="36"/>
      <w:lang w:val="zh-CN"/>
    </w:rPr>
  </w:style>
  <w:style w:type="paragraph" w:customStyle="1" w:styleId="241">
    <w:name w:val="reader-word-layer"/>
    <w:basedOn w:val="1"/>
    <w:qFormat/>
    <w:uiPriority w:val="99"/>
    <w:pPr>
      <w:widowControl/>
      <w:spacing w:before="100" w:beforeAutospacing="1" w:after="100" w:afterAutospacing="1"/>
      <w:jc w:val="left"/>
    </w:pPr>
    <w:rPr>
      <w:rFonts w:ascii="宋体" w:hAnsi="宋体" w:cs="宋体"/>
      <w:kern w:val="0"/>
      <w:sz w:val="24"/>
    </w:rPr>
  </w:style>
  <w:style w:type="paragraph" w:customStyle="1" w:styleId="242">
    <w:name w:val="Char Char Char Char"/>
    <w:basedOn w:val="1"/>
    <w:qFormat/>
    <w:uiPriority w:val="99"/>
    <w:pPr>
      <w:widowControl/>
      <w:spacing w:line="500" w:lineRule="exact"/>
      <w:outlineLvl w:val="2"/>
    </w:pPr>
    <w:rPr>
      <w:rFonts w:ascii="黑体" w:hAnsi="Verdana" w:eastAsia="黑体" w:cs="黑体"/>
      <w:kern w:val="0"/>
      <w:sz w:val="28"/>
      <w:szCs w:val="28"/>
      <w:lang w:eastAsia="en-US"/>
    </w:rPr>
  </w:style>
  <w:style w:type="paragraph" w:customStyle="1" w:styleId="243">
    <w:name w:val="Char1"/>
    <w:basedOn w:val="1"/>
    <w:qFormat/>
    <w:uiPriority w:val="99"/>
    <w:pPr>
      <w:widowControl/>
      <w:spacing w:after="160" w:line="240" w:lineRule="exact"/>
      <w:jc w:val="left"/>
    </w:pPr>
    <w:rPr>
      <w:szCs w:val="21"/>
    </w:rPr>
  </w:style>
  <w:style w:type="paragraph" w:customStyle="1" w:styleId="244">
    <w:name w:val="_Style 37"/>
    <w:basedOn w:val="1"/>
    <w:next w:val="1"/>
    <w:qFormat/>
    <w:uiPriority w:val="99"/>
    <w:rPr>
      <w:szCs w:val="21"/>
    </w:rPr>
  </w:style>
  <w:style w:type="paragraph" w:customStyle="1" w:styleId="245">
    <w:name w:val="样式 标题 3 + (中文) 黑体 小四 非加粗 段前: 7.8 磅 段后: 0 磅 行距: 固定值 20 磅"/>
    <w:basedOn w:val="4"/>
    <w:qFormat/>
    <w:uiPriority w:val="99"/>
    <w:pPr>
      <w:spacing w:before="0" w:after="0" w:line="400" w:lineRule="exact"/>
    </w:pPr>
    <w:rPr>
      <w:rFonts w:eastAsia="黑体"/>
      <w:b w:val="0"/>
      <w:bCs w:val="0"/>
      <w:lang w:val="zh-CN"/>
    </w:rPr>
  </w:style>
  <w:style w:type="paragraph" w:styleId="246">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7">
    <w:name w:val="正正正正"/>
    <w:basedOn w:val="21"/>
    <w:qFormat/>
    <w:uiPriority w:val="1"/>
    <w:pPr>
      <w:tabs>
        <w:tab w:val="left" w:pos="2812"/>
        <w:tab w:val="left" w:pos="3986"/>
      </w:tabs>
      <w:spacing w:after="0" w:line="360" w:lineRule="exact"/>
      <w:ind w:firstLine="200" w:firstLineChars="200"/>
    </w:pPr>
    <w:rPr>
      <w:rFonts w:ascii="Calibri" w:hAnsi="Calibri"/>
      <w:sz w:val="20"/>
      <w:szCs w:val="21"/>
      <w:lang w:eastAsia="en-US"/>
    </w:rPr>
  </w:style>
  <w:style w:type="paragraph" w:customStyle="1" w:styleId="248">
    <w:name w:val="_Style 1"/>
    <w:basedOn w:val="1"/>
    <w:qFormat/>
    <w:uiPriority w:val="99"/>
    <w:pPr>
      <w:ind w:firstLine="420" w:firstLineChars="200"/>
      <w:jc w:val="left"/>
    </w:pPr>
    <w:rPr>
      <w:rFonts w:ascii="Times New Roman)" w:hAnsi="Times New Roman)" w:eastAsia="宋体正文"/>
      <w:color w:val="000000"/>
      <w:kern w:val="0"/>
      <w:lang w:eastAsia="en-US" w:bidi="en-US"/>
    </w:rPr>
  </w:style>
  <w:style w:type="character" w:customStyle="1" w:styleId="249">
    <w:name w:val="bookmark-item"/>
    <w:qFormat/>
    <w:uiPriority w:val="0"/>
  </w:style>
  <w:style w:type="character" w:customStyle="1" w:styleId="250">
    <w:name w:val="纯文本 Char2"/>
    <w:qFormat/>
    <w:uiPriority w:val="0"/>
    <w:rPr>
      <w:rFonts w:ascii="宋体" w:hAnsi="Courier New" w:eastAsia="宋体" w:cs="Courier New"/>
      <w:szCs w:val="21"/>
    </w:rPr>
  </w:style>
  <w:style w:type="character" w:customStyle="1" w:styleId="251">
    <w:name w:val="页脚 Char1"/>
    <w:qFormat/>
    <w:uiPriority w:val="99"/>
    <w:rPr>
      <w:rFonts w:ascii="Times New Roman" w:hAnsi="Times New Roman" w:eastAsia="宋体" w:cs="Times New Roman"/>
      <w:sz w:val="18"/>
      <w:szCs w:val="18"/>
    </w:rPr>
  </w:style>
  <w:style w:type="paragraph" w:customStyle="1" w:styleId="252">
    <w:name w:val="正文_3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3">
    <w:name w:val="正文_3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4">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5">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6">
    <w:name w:val="标题 4_1"/>
    <w:basedOn w:val="255"/>
    <w:next w:val="255"/>
    <w:qFormat/>
    <w:uiPriority w:val="0"/>
    <w:pPr>
      <w:keepNext/>
      <w:keepLines/>
      <w:spacing w:before="280" w:after="290" w:line="372" w:lineRule="auto"/>
      <w:outlineLvl w:val="3"/>
    </w:pPr>
    <w:rPr>
      <w:rFonts w:ascii="Cambria" w:hAnsi="Cambria"/>
      <w:b/>
      <w:bCs/>
      <w:sz w:val="28"/>
      <w:szCs w:val="28"/>
    </w:rPr>
  </w:style>
  <w:style w:type="paragraph" w:customStyle="1" w:styleId="257">
    <w:name w:val="正文_3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258">
    <w:name w:val="first-child"/>
    <w:basedOn w:val="57"/>
    <w:qFormat/>
    <w:uiPriority w:val="0"/>
  </w:style>
  <w:style w:type="character" w:customStyle="1" w:styleId="259">
    <w:name w:val="NormalCharacter"/>
    <w:qFormat/>
    <w:uiPriority w:val="0"/>
  </w:style>
  <w:style w:type="character" w:customStyle="1" w:styleId="260">
    <w:name w:val="layui-layer-tabnow"/>
    <w:basedOn w:val="57"/>
    <w:qFormat/>
    <w:uiPriority w:val="0"/>
    <w:rPr>
      <w:bdr w:val="single" w:color="CCCCCC" w:sz="6" w:space="0"/>
      <w:shd w:val="clear" w:color="auto" w:fill="FFFFFF"/>
    </w:rPr>
  </w:style>
  <w:style w:type="paragraph" w:customStyle="1" w:styleId="261">
    <w:name w:val="Normal_0"/>
    <w:qFormat/>
    <w:uiPriority w:val="0"/>
    <w:rPr>
      <w:rFonts w:ascii="Times New Roman" w:hAnsi="Times New Roman" w:eastAsia="Times New Roman" w:cs="Times New Roman"/>
      <w:sz w:val="24"/>
      <w:szCs w:val="24"/>
      <w:lang w:val="en-US" w:eastAsia="zh-CN" w:bidi="ar-SA"/>
    </w:rPr>
  </w:style>
  <w:style w:type="paragraph" w:customStyle="1" w:styleId="262">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63">
    <w:name w:val="正文3"/>
    <w:qFormat/>
    <w:uiPriority w:val="0"/>
    <w:rPr>
      <w:rFonts w:ascii="Times New Roman" w:hAnsi="Times New Roman" w:eastAsia="Times New Roman" w:cs="Times New Roman"/>
      <w:sz w:val="24"/>
      <w:szCs w:val="24"/>
      <w:lang w:val="en-US" w:eastAsia="zh-CN" w:bidi="ar-SA"/>
    </w:rPr>
  </w:style>
  <w:style w:type="paragraph" w:customStyle="1" w:styleId="264">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5">
    <w:name w:val="Normal_18"/>
    <w:qFormat/>
    <w:uiPriority w:val="0"/>
    <w:rPr>
      <w:rFonts w:ascii="Times New Roman" w:hAnsi="Times New Roman" w:eastAsia="Times New Roman" w:cs="Times New Roman"/>
      <w:sz w:val="24"/>
      <w:szCs w:val="24"/>
      <w:lang w:val="en-US" w:eastAsia="zh-CN" w:bidi="ar-SA"/>
    </w:rPr>
  </w:style>
  <w:style w:type="character" w:customStyle="1" w:styleId="266">
    <w:name w:val="批注文字 Char1"/>
    <w:qFormat/>
    <w:uiPriority w:val="0"/>
    <w:rPr>
      <w:rFonts w:ascii="Times New Roman" w:hAnsi="Times New Roman"/>
      <w:kern w:val="2"/>
      <w:sz w:val="21"/>
      <w:szCs w:val="24"/>
    </w:rPr>
  </w:style>
  <w:style w:type="character" w:customStyle="1" w:styleId="267">
    <w:name w:val="纯文本 Char1"/>
    <w:qFormat/>
    <w:uiPriority w:val="0"/>
    <w:rPr>
      <w:rFonts w:ascii="宋体" w:hAnsi="Courier New" w:eastAsia="宋体" w:cs="Courier New"/>
      <w:szCs w:val="21"/>
    </w:rPr>
  </w:style>
  <w:style w:type="paragraph" w:customStyle="1" w:styleId="268">
    <w:name w:val="修订2"/>
    <w:unhideWhenUsed/>
    <w:qFormat/>
    <w:uiPriority w:val="99"/>
    <w:rPr>
      <w:rFonts w:ascii="Times New Roman" w:hAnsi="Times New Roman" w:eastAsia="宋体" w:cs="Times New Roman"/>
      <w:kern w:val="2"/>
      <w:sz w:val="21"/>
      <w:szCs w:val="24"/>
      <w:lang w:val="en-US" w:eastAsia="zh-CN" w:bidi="ar-SA"/>
    </w:rPr>
  </w:style>
  <w:style w:type="character" w:customStyle="1" w:styleId="269">
    <w:name w:val="Char Char27"/>
    <w:qFormat/>
    <w:uiPriority w:val="0"/>
    <w:rPr>
      <w:rFonts w:eastAsia="黑体"/>
      <w:b/>
      <w:bCs/>
      <w:kern w:val="2"/>
      <w:sz w:val="21"/>
      <w:szCs w:val="32"/>
      <w:lang w:bidi="ar-SA"/>
    </w:rPr>
  </w:style>
  <w:style w:type="character" w:customStyle="1" w:styleId="270">
    <w:name w:val="unnamed21"/>
    <w:qFormat/>
    <w:uiPriority w:val="0"/>
    <w:rPr>
      <w:rFonts w:ascii="Tahoma" w:hAnsi="Tahoma" w:eastAsia="宋体"/>
      <w:kern w:val="2"/>
      <w:sz w:val="24"/>
      <w:szCs w:val="24"/>
      <w:lang w:val="en-US" w:eastAsia="zh-CN" w:bidi="ar-SA"/>
    </w:rPr>
  </w:style>
  <w:style w:type="character" w:customStyle="1" w:styleId="271">
    <w:name w:val="Char Char28"/>
    <w:qFormat/>
    <w:uiPriority w:val="0"/>
    <w:rPr>
      <w:rFonts w:ascii="Arial" w:hAnsi="Arial" w:eastAsia="黑体"/>
      <w:b/>
      <w:bCs/>
      <w:kern w:val="2"/>
      <w:sz w:val="21"/>
      <w:szCs w:val="32"/>
    </w:rPr>
  </w:style>
  <w:style w:type="character" w:customStyle="1" w:styleId="272">
    <w:name w:val="HTML 预设格式 字符"/>
    <w:qFormat/>
    <w:uiPriority w:val="0"/>
    <w:rPr>
      <w:rFonts w:ascii="宋体" w:hAnsi="宋体"/>
      <w:sz w:val="24"/>
      <w:szCs w:val="24"/>
    </w:rPr>
  </w:style>
  <w:style w:type="character" w:customStyle="1" w:styleId="273">
    <w:name w:val="普通文字 Char Char3"/>
    <w:qFormat/>
    <w:uiPriority w:val="0"/>
    <w:rPr>
      <w:rFonts w:ascii="宋体" w:hAnsi="Courier New" w:eastAsia="宋体" w:cs="Courier New"/>
      <w:szCs w:val="21"/>
    </w:rPr>
  </w:style>
  <w:style w:type="character" w:customStyle="1" w:styleId="274">
    <w:name w:val="style31"/>
    <w:qFormat/>
    <w:uiPriority w:val="0"/>
    <w:rPr>
      <w:rFonts w:ascii="Tahoma" w:hAnsi="Tahoma" w:eastAsia="宋体"/>
      <w:kern w:val="2"/>
      <w:sz w:val="18"/>
      <w:szCs w:val="18"/>
      <w:lang w:val="en-US" w:eastAsia="zh-CN" w:bidi="ar-SA"/>
    </w:rPr>
  </w:style>
  <w:style w:type="character" w:customStyle="1" w:styleId="275">
    <w:name w:val="正文缩进 Char1"/>
    <w:qFormat/>
    <w:uiPriority w:val="0"/>
    <w:rPr>
      <w:rFonts w:eastAsia="宋体"/>
      <w:kern w:val="2"/>
      <w:sz w:val="21"/>
      <w:lang w:val="en-US" w:eastAsia="zh-CN" w:bidi="ar-SA"/>
    </w:rPr>
  </w:style>
  <w:style w:type="character" w:customStyle="1" w:styleId="276">
    <w:name w:val="明显参考11"/>
    <w:qFormat/>
    <w:uiPriority w:val="0"/>
    <w:rPr>
      <w:b/>
      <w:bCs/>
      <w:smallCaps/>
      <w:color w:val="C0504D"/>
      <w:spacing w:val="5"/>
      <w:u w:val="single"/>
    </w:rPr>
  </w:style>
  <w:style w:type="character" w:customStyle="1" w:styleId="277">
    <w:name w:val="ca-6"/>
    <w:qFormat/>
    <w:uiPriority w:val="0"/>
  </w:style>
  <w:style w:type="character" w:customStyle="1" w:styleId="278">
    <w:name w:val="彩色列表 - 着色 1 Char"/>
    <w:link w:val="279"/>
    <w:qFormat/>
    <w:locked/>
    <w:uiPriority w:val="0"/>
    <w:rPr>
      <w:kern w:val="2"/>
      <w:sz w:val="21"/>
    </w:rPr>
  </w:style>
  <w:style w:type="paragraph" w:customStyle="1" w:styleId="279">
    <w:name w:val="彩色列表 - 着色 11"/>
    <w:basedOn w:val="1"/>
    <w:link w:val="278"/>
    <w:qFormat/>
    <w:uiPriority w:val="0"/>
    <w:pPr>
      <w:ind w:firstLine="420" w:firstLineChars="200"/>
    </w:pPr>
    <w:rPr>
      <w:szCs w:val="20"/>
    </w:rPr>
  </w:style>
  <w:style w:type="character" w:customStyle="1" w:styleId="280">
    <w:name w:val="bsharetext"/>
    <w:basedOn w:val="57"/>
    <w:qFormat/>
    <w:uiPriority w:val="0"/>
  </w:style>
  <w:style w:type="character" w:customStyle="1" w:styleId="281">
    <w:name w:val="标题 3 Char1"/>
    <w:qFormat/>
    <w:uiPriority w:val="99"/>
    <w:rPr>
      <w:rFonts w:ascii="Times New Roman" w:hAnsi="Times New Roman" w:eastAsia="宋体" w:cs="Times New Roman"/>
      <w:b/>
      <w:bCs/>
      <w:sz w:val="32"/>
      <w:szCs w:val="32"/>
    </w:rPr>
  </w:style>
  <w:style w:type="character" w:customStyle="1" w:styleId="282">
    <w:name w:val="批注框文本 字符"/>
    <w:qFormat/>
    <w:uiPriority w:val="99"/>
    <w:rPr>
      <w:rFonts w:ascii="Times New Roman" w:hAnsi="Times New Roman" w:eastAsia="宋体" w:cs="Times New Roman"/>
      <w:sz w:val="18"/>
      <w:szCs w:val="18"/>
    </w:rPr>
  </w:style>
  <w:style w:type="character" w:customStyle="1" w:styleId="283">
    <w:name w:val="标题 6 Char1"/>
    <w:qFormat/>
    <w:uiPriority w:val="0"/>
    <w:rPr>
      <w:rFonts w:ascii="Arial" w:hAnsi="Arial" w:eastAsia="黑体"/>
      <w:b/>
      <w:kern w:val="2"/>
      <w:sz w:val="24"/>
      <w:szCs w:val="24"/>
    </w:rPr>
  </w:style>
  <w:style w:type="character" w:customStyle="1" w:styleId="284">
    <w:name w:val="脚注文本 Char2"/>
    <w:qFormat/>
    <w:uiPriority w:val="99"/>
    <w:rPr>
      <w:sz w:val="18"/>
      <w:szCs w:val="18"/>
    </w:rPr>
  </w:style>
  <w:style w:type="character" w:customStyle="1" w:styleId="285">
    <w:name w:val="标题 5 字符"/>
    <w:qFormat/>
    <w:uiPriority w:val="0"/>
    <w:rPr>
      <w:rFonts w:ascii="Times New Roman" w:hAnsi="Times New Roman" w:eastAsia="宋体" w:cs="Times New Roman"/>
      <w:b/>
      <w:bCs/>
      <w:sz w:val="28"/>
      <w:szCs w:val="28"/>
    </w:rPr>
  </w:style>
  <w:style w:type="character" w:customStyle="1" w:styleId="286">
    <w:name w:val="1ji Char"/>
    <w:link w:val="287"/>
    <w:qFormat/>
    <w:uiPriority w:val="0"/>
    <w:rPr>
      <w:rFonts w:ascii="宋体" w:hAnsi="宋体"/>
      <w:b/>
      <w:bCs/>
      <w:sz w:val="36"/>
    </w:rPr>
  </w:style>
  <w:style w:type="paragraph" w:customStyle="1" w:styleId="287">
    <w:name w:val="1ji"/>
    <w:basedOn w:val="2"/>
    <w:link w:val="286"/>
    <w:qFormat/>
    <w:uiPriority w:val="0"/>
    <w:pPr>
      <w:keepLines w:val="0"/>
      <w:widowControl/>
      <w:spacing w:before="0" w:after="0" w:line="240" w:lineRule="auto"/>
      <w:jc w:val="center"/>
    </w:pPr>
    <w:rPr>
      <w:rFonts w:ascii="宋体" w:hAnsi="宋体"/>
      <w:kern w:val="0"/>
      <w:sz w:val="36"/>
      <w:szCs w:val="20"/>
    </w:rPr>
  </w:style>
  <w:style w:type="character" w:customStyle="1" w:styleId="288">
    <w:name w:val="标题 字符"/>
    <w:qFormat/>
    <w:uiPriority w:val="10"/>
    <w:rPr>
      <w:rFonts w:ascii="Cambria" w:hAnsi="Cambria" w:eastAsia="宋体" w:cs="Times New Roman"/>
      <w:b/>
      <w:bCs/>
      <w:sz w:val="32"/>
      <w:szCs w:val="32"/>
    </w:rPr>
  </w:style>
  <w:style w:type="character" w:customStyle="1" w:styleId="289">
    <w:name w:val="Para head"/>
    <w:qFormat/>
    <w:uiPriority w:val="0"/>
    <w:rPr>
      <w:rFonts w:ascii="Arial" w:hAnsi="Arial" w:eastAsia="Times New Roman"/>
      <w:sz w:val="20"/>
    </w:rPr>
  </w:style>
  <w:style w:type="character" w:customStyle="1" w:styleId="290">
    <w:name w:val="标题 1 字符"/>
    <w:qFormat/>
    <w:uiPriority w:val="0"/>
    <w:rPr>
      <w:rFonts w:ascii="Times New Roman" w:hAnsi="Times New Roman" w:eastAsia="黑体" w:cs="Times New Roman"/>
      <w:b/>
      <w:bCs/>
      <w:kern w:val="44"/>
      <w:sz w:val="32"/>
      <w:szCs w:val="44"/>
    </w:rPr>
  </w:style>
  <w:style w:type="character" w:customStyle="1" w:styleId="291">
    <w:name w:val="bds_more4"/>
    <w:qFormat/>
    <w:uiPriority w:val="0"/>
    <w:rPr>
      <w:rFonts w:hint="eastAsia" w:ascii="宋体" w:hAnsi="宋体" w:eastAsia="宋体" w:cs="宋体"/>
      <w:color w:val="454545"/>
      <w:sz w:val="21"/>
      <w:szCs w:val="21"/>
    </w:rPr>
  </w:style>
  <w:style w:type="character" w:customStyle="1" w:styleId="292">
    <w:name w:val="cjn1"/>
    <w:qFormat/>
    <w:uiPriority w:val="0"/>
    <w:rPr>
      <w:rFonts w:hint="eastAsia" w:ascii="宋体" w:hAnsi="宋体" w:eastAsia="宋体"/>
      <w:kern w:val="2"/>
      <w:sz w:val="22"/>
      <w:szCs w:val="22"/>
      <w:u w:val="none"/>
      <w:lang w:val="en-US" w:eastAsia="zh-CN" w:bidi="ar-SA"/>
    </w:rPr>
  </w:style>
  <w:style w:type="character" w:customStyle="1" w:styleId="293">
    <w:name w:val="Char Char3"/>
    <w:qFormat/>
    <w:locked/>
    <w:uiPriority w:val="0"/>
    <w:rPr>
      <w:rFonts w:ascii="宋体" w:hAnsi="Courier New" w:eastAsia="宋体"/>
      <w:szCs w:val="21"/>
      <w:lang w:bidi="ar-SA"/>
    </w:rPr>
  </w:style>
  <w:style w:type="character" w:customStyle="1" w:styleId="294">
    <w:name w:val="Char Char29"/>
    <w:qFormat/>
    <w:uiPriority w:val="0"/>
    <w:rPr>
      <w:rFonts w:eastAsia="黑体"/>
      <w:b/>
      <w:bCs/>
      <w:kern w:val="44"/>
      <w:sz w:val="32"/>
      <w:szCs w:val="44"/>
      <w:lang w:bidi="ar-SA"/>
    </w:rPr>
  </w:style>
  <w:style w:type="character" w:customStyle="1" w:styleId="295">
    <w:name w:val="普通文字 Char Char1"/>
    <w:qFormat/>
    <w:uiPriority w:val="0"/>
    <w:rPr>
      <w:rFonts w:ascii="宋体" w:hAnsi="Courier New" w:eastAsia="宋体" w:cs="Courier New"/>
      <w:szCs w:val="21"/>
    </w:rPr>
  </w:style>
  <w:style w:type="character" w:customStyle="1" w:styleId="296">
    <w:name w:val="checked1"/>
    <w:qFormat/>
    <w:uiPriority w:val="0"/>
    <w:rPr>
      <w:vanish/>
    </w:rPr>
  </w:style>
  <w:style w:type="character" w:customStyle="1" w:styleId="297">
    <w:name w:val="正文文本缩进 2 Char1"/>
    <w:qFormat/>
    <w:uiPriority w:val="99"/>
    <w:rPr>
      <w:rFonts w:ascii="Times New Roman" w:hAnsi="Times New Roman" w:eastAsia="宋体" w:cs="Times New Roman"/>
      <w:sz w:val="32"/>
      <w:szCs w:val="20"/>
    </w:rPr>
  </w:style>
  <w:style w:type="character" w:customStyle="1" w:styleId="298">
    <w:name w:val="ca-7"/>
    <w:qFormat/>
    <w:uiPriority w:val="0"/>
  </w:style>
  <w:style w:type="character" w:customStyle="1" w:styleId="299">
    <w:name w:val="标题 3 Char_0"/>
    <w:link w:val="300"/>
    <w:qFormat/>
    <w:locked/>
    <w:uiPriority w:val="0"/>
    <w:rPr>
      <w:b/>
      <w:bCs/>
      <w:sz w:val="32"/>
      <w:szCs w:val="32"/>
    </w:rPr>
  </w:style>
  <w:style w:type="paragraph" w:customStyle="1" w:styleId="300">
    <w:name w:val="标题 3_0"/>
    <w:basedOn w:val="301"/>
    <w:next w:val="255"/>
    <w:link w:val="299"/>
    <w:qFormat/>
    <w:uiPriority w:val="0"/>
    <w:pPr>
      <w:keepNext/>
      <w:keepLines/>
      <w:spacing w:before="260" w:after="260" w:line="412" w:lineRule="auto"/>
      <w:outlineLvl w:val="2"/>
    </w:pPr>
    <w:rPr>
      <w:rFonts w:ascii="Times New Roman" w:hAnsi="Times New Roman"/>
      <w:b/>
      <w:bCs/>
      <w:kern w:val="0"/>
      <w:sz w:val="32"/>
      <w:szCs w:val="32"/>
    </w:rPr>
  </w:style>
  <w:style w:type="paragraph" w:customStyle="1" w:styleId="301">
    <w:name w:val="正文_0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302">
    <w:name w:val="font01"/>
    <w:qFormat/>
    <w:uiPriority w:val="0"/>
    <w:rPr>
      <w:rFonts w:hint="eastAsia" w:ascii="宋体" w:hAnsi="宋体" w:eastAsia="宋体" w:cs="宋体"/>
      <w:color w:val="000000"/>
      <w:sz w:val="24"/>
      <w:szCs w:val="24"/>
      <w:u w:val="none"/>
    </w:rPr>
  </w:style>
  <w:style w:type="character" w:customStyle="1" w:styleId="303">
    <w:name w:val="普通文字 Char Char2"/>
    <w:qFormat/>
    <w:uiPriority w:val="0"/>
    <w:rPr>
      <w:rFonts w:ascii="宋体" w:hAnsi="Courier New" w:eastAsia="宋体"/>
      <w:szCs w:val="21"/>
      <w:lang w:bidi="ar-SA"/>
    </w:rPr>
  </w:style>
  <w:style w:type="character" w:customStyle="1" w:styleId="304">
    <w:name w:val="paramname3"/>
    <w:qFormat/>
    <w:uiPriority w:val="0"/>
    <w:rPr>
      <w:color w:val="999999"/>
    </w:rPr>
  </w:style>
  <w:style w:type="character" w:customStyle="1" w:styleId="305">
    <w:name w:val="标题 2 Char_1"/>
    <w:link w:val="306"/>
    <w:qFormat/>
    <w:uiPriority w:val="0"/>
    <w:rPr>
      <w:rFonts w:ascii="Cambria" w:hAnsi="Cambria"/>
      <w:b/>
      <w:bCs/>
      <w:sz w:val="32"/>
      <w:szCs w:val="32"/>
    </w:rPr>
  </w:style>
  <w:style w:type="paragraph" w:customStyle="1" w:styleId="306">
    <w:name w:val="标题 2_1"/>
    <w:basedOn w:val="255"/>
    <w:next w:val="255"/>
    <w:link w:val="305"/>
    <w:qFormat/>
    <w:uiPriority w:val="0"/>
    <w:pPr>
      <w:keepNext/>
      <w:keepLines/>
      <w:spacing w:before="260" w:after="260" w:line="416" w:lineRule="auto"/>
      <w:outlineLvl w:val="1"/>
    </w:pPr>
    <w:rPr>
      <w:rFonts w:ascii="Cambria" w:hAnsi="Cambria"/>
      <w:b/>
      <w:bCs/>
      <w:kern w:val="0"/>
      <w:sz w:val="32"/>
      <w:szCs w:val="32"/>
    </w:rPr>
  </w:style>
  <w:style w:type="character" w:customStyle="1" w:styleId="307">
    <w:name w:val="case31"/>
    <w:qFormat/>
    <w:uiPriority w:val="0"/>
    <w:rPr>
      <w:rFonts w:hint="default"/>
      <w:spacing w:val="390"/>
      <w:sz w:val="21"/>
      <w:szCs w:val="21"/>
    </w:rPr>
  </w:style>
  <w:style w:type="character" w:customStyle="1" w:styleId="308">
    <w:name w:val="脚注文本 Char1"/>
    <w:qFormat/>
    <w:locked/>
    <w:uiPriority w:val="99"/>
    <w:rPr>
      <w:rFonts w:ascii="Times New Roman" w:hAnsi="Times New Roman"/>
      <w:kern w:val="2"/>
      <w:sz w:val="18"/>
      <w:szCs w:val="18"/>
    </w:rPr>
  </w:style>
  <w:style w:type="character" w:customStyle="1" w:styleId="309">
    <w:name w:val="标题 7 字符"/>
    <w:qFormat/>
    <w:uiPriority w:val="0"/>
    <w:rPr>
      <w:rFonts w:ascii="Calibri" w:hAnsi="Calibri" w:eastAsia="宋体" w:cs="Times New Roman"/>
      <w:b/>
      <w:bCs/>
      <w:sz w:val="24"/>
      <w:szCs w:val="24"/>
    </w:rPr>
  </w:style>
  <w:style w:type="character" w:customStyle="1" w:styleId="310">
    <w:name w:val="style51"/>
    <w:qFormat/>
    <w:uiPriority w:val="0"/>
    <w:rPr>
      <w:rFonts w:ascii="Tahoma" w:hAnsi="Tahoma" w:eastAsia="宋体"/>
      <w:kern w:val="2"/>
      <w:sz w:val="24"/>
      <w:szCs w:val="24"/>
      <w:lang w:val="en-US" w:eastAsia="zh-CN" w:bidi="ar-SA"/>
    </w:rPr>
  </w:style>
  <w:style w:type="character" w:customStyle="1" w:styleId="311">
    <w:name w:val="明显引用 字符1"/>
    <w:qFormat/>
    <w:uiPriority w:val="99"/>
    <w:rPr>
      <w:i/>
      <w:iCs/>
      <w:color w:val="4472C4"/>
      <w:kern w:val="2"/>
      <w:sz w:val="21"/>
      <w:szCs w:val="24"/>
    </w:rPr>
  </w:style>
  <w:style w:type="character" w:customStyle="1" w:styleId="312">
    <w:name w:val="Char Char271"/>
    <w:qFormat/>
    <w:uiPriority w:val="0"/>
    <w:rPr>
      <w:rFonts w:eastAsia="黑体"/>
      <w:b/>
      <w:bCs/>
      <w:kern w:val="2"/>
      <w:sz w:val="21"/>
      <w:szCs w:val="32"/>
      <w:lang w:bidi="ar-SA"/>
    </w:rPr>
  </w:style>
  <w:style w:type="character" w:customStyle="1" w:styleId="313">
    <w:name w:val="超级链接"/>
    <w:qFormat/>
    <w:uiPriority w:val="0"/>
    <w:rPr>
      <w:rFonts w:ascii="Times New Roman" w:eastAsia="宋体"/>
      <w:color w:val="0000FF"/>
      <w:sz w:val="21"/>
      <w:u w:val="single" w:color="0000FF"/>
      <w:vertAlign w:val="baseline"/>
      <w:lang w:val="en-US" w:eastAsia="zh-CN"/>
    </w:rPr>
  </w:style>
  <w:style w:type="character" w:customStyle="1" w:styleId="314">
    <w:name w:val="引用 字符1"/>
    <w:qFormat/>
    <w:uiPriority w:val="99"/>
    <w:rPr>
      <w:i/>
      <w:iCs/>
      <w:color w:val="404040"/>
      <w:kern w:val="2"/>
      <w:sz w:val="21"/>
      <w:szCs w:val="24"/>
    </w:rPr>
  </w:style>
  <w:style w:type="character" w:customStyle="1" w:styleId="315">
    <w:name w:val="btn-lnk-alignl2"/>
    <w:qFormat/>
    <w:uiPriority w:val="0"/>
  </w:style>
  <w:style w:type="character" w:customStyle="1" w:styleId="316">
    <w:name w:val="unnamed3"/>
    <w:qFormat/>
    <w:uiPriority w:val="0"/>
    <w:rPr>
      <w:rFonts w:ascii="Tahoma" w:hAnsi="Tahoma" w:eastAsia="宋体"/>
      <w:kern w:val="2"/>
      <w:sz w:val="24"/>
      <w:szCs w:val="24"/>
      <w:lang w:val="en-US" w:eastAsia="zh-CN" w:bidi="ar-SA"/>
    </w:rPr>
  </w:style>
  <w:style w:type="character" w:customStyle="1" w:styleId="317">
    <w:name w:val="bds_more3"/>
    <w:qFormat/>
    <w:uiPriority w:val="0"/>
    <w:rPr>
      <w:rFonts w:hint="eastAsia" w:ascii="宋体" w:hAnsi="宋体" w:eastAsia="宋体" w:cs="宋体"/>
    </w:rPr>
  </w:style>
  <w:style w:type="character" w:customStyle="1" w:styleId="318">
    <w:name w:val="h121"/>
    <w:qFormat/>
    <w:uiPriority w:val="0"/>
    <w:rPr>
      <w:rFonts w:ascii="Tahoma" w:hAnsi="Tahoma" w:eastAsia="宋体"/>
      <w:color w:val="333333"/>
      <w:kern w:val="2"/>
      <w:sz w:val="24"/>
      <w:szCs w:val="24"/>
      <w:lang w:val="en-US" w:eastAsia="zh-CN" w:bidi="ar-SA"/>
    </w:rPr>
  </w:style>
  <w:style w:type="character" w:customStyle="1" w:styleId="319">
    <w:name w:val="disabled"/>
    <w:qFormat/>
    <w:uiPriority w:val="0"/>
    <w:rPr>
      <w:vanish/>
    </w:rPr>
  </w:style>
  <w:style w:type="character" w:customStyle="1" w:styleId="320">
    <w:name w:val="ca-8"/>
    <w:qFormat/>
    <w:uiPriority w:val="0"/>
  </w:style>
  <w:style w:type="character" w:customStyle="1" w:styleId="321">
    <w:name w:val="Char Char231"/>
    <w:qFormat/>
    <w:uiPriority w:val="0"/>
    <w:rPr>
      <w:rFonts w:hint="eastAsia" w:ascii="宋体" w:hAnsi="宋体" w:eastAsia="宋体"/>
      <w:b/>
      <w:bCs/>
      <w:kern w:val="44"/>
      <w:sz w:val="32"/>
      <w:szCs w:val="44"/>
      <w:lang w:val="en-US" w:eastAsia="zh-CN" w:bidi="ar-SA"/>
    </w:rPr>
  </w:style>
  <w:style w:type="character" w:customStyle="1" w:styleId="322">
    <w:name w:val="小标1级 Char"/>
    <w:link w:val="323"/>
    <w:qFormat/>
    <w:uiPriority w:val="0"/>
    <w:rPr>
      <w:rFonts w:ascii="仿宋_GB2312" w:hAnsi="宋体" w:eastAsia="仿宋_GB2312"/>
      <w:b/>
      <w:kern w:val="2"/>
      <w:sz w:val="28"/>
      <w:szCs w:val="28"/>
    </w:rPr>
  </w:style>
  <w:style w:type="paragraph" w:customStyle="1" w:styleId="323">
    <w:name w:val="小标1级"/>
    <w:basedOn w:val="1"/>
    <w:link w:val="322"/>
    <w:qFormat/>
    <w:uiPriority w:val="0"/>
    <w:pPr>
      <w:tabs>
        <w:tab w:val="left" w:pos="720"/>
      </w:tabs>
      <w:spacing w:line="360" w:lineRule="auto"/>
    </w:pPr>
    <w:rPr>
      <w:rFonts w:ascii="仿宋_GB2312" w:hAnsi="宋体" w:eastAsia="仿宋_GB2312"/>
      <w:b/>
      <w:sz w:val="28"/>
      <w:szCs w:val="28"/>
    </w:rPr>
  </w:style>
  <w:style w:type="character" w:customStyle="1" w:styleId="324">
    <w:name w:val="副标题 Char1"/>
    <w:qFormat/>
    <w:uiPriority w:val="11"/>
    <w:rPr>
      <w:rFonts w:hint="default" w:ascii="Cambria" w:hAnsi="Cambria" w:cs="Times New Roman"/>
      <w:b/>
      <w:bCs/>
      <w:kern w:val="28"/>
      <w:sz w:val="32"/>
      <w:szCs w:val="32"/>
    </w:rPr>
  </w:style>
  <w:style w:type="character" w:customStyle="1" w:styleId="325">
    <w:name w:val="明显强调2"/>
    <w:qFormat/>
    <w:uiPriority w:val="99"/>
    <w:rPr>
      <w:b/>
      <w:bCs/>
      <w:i/>
      <w:iCs/>
      <w:color w:val="4F81BD"/>
    </w:rPr>
  </w:style>
  <w:style w:type="character" w:customStyle="1" w:styleId="326">
    <w:name w:val="批注主题 字符"/>
    <w:qFormat/>
    <w:uiPriority w:val="99"/>
    <w:rPr>
      <w:rFonts w:ascii="Times New Roman" w:hAnsi="Times New Roman" w:eastAsia="宋体" w:cs="Times New Roman"/>
      <w:b/>
      <w:bCs/>
      <w:szCs w:val="24"/>
    </w:rPr>
  </w:style>
  <w:style w:type="character" w:customStyle="1" w:styleId="327">
    <w:name w:val="不明显参考2"/>
    <w:qFormat/>
    <w:uiPriority w:val="0"/>
    <w:rPr>
      <w:smallCaps/>
      <w:color w:val="C0504D"/>
      <w:u w:val="single"/>
    </w:rPr>
  </w:style>
  <w:style w:type="character" w:customStyle="1" w:styleId="328">
    <w:name w:val="style54"/>
    <w:qFormat/>
    <w:uiPriority w:val="0"/>
    <w:rPr>
      <w:rFonts w:ascii="Tahoma" w:hAnsi="Tahoma" w:eastAsia="宋体"/>
      <w:kern w:val="2"/>
      <w:sz w:val="24"/>
      <w:szCs w:val="24"/>
      <w:lang w:val="en-US" w:eastAsia="zh-CN" w:bidi="ar-SA"/>
    </w:rPr>
  </w:style>
  <w:style w:type="character" w:customStyle="1" w:styleId="329">
    <w:name w:val="文档结构图 字符"/>
    <w:qFormat/>
    <w:uiPriority w:val="99"/>
    <w:rPr>
      <w:rFonts w:ascii="宋体" w:hAnsi="Times New Roman" w:eastAsia="宋体" w:cs="Times New Roman"/>
      <w:sz w:val="18"/>
      <w:szCs w:val="18"/>
    </w:rPr>
  </w:style>
  <w:style w:type="character" w:customStyle="1" w:styleId="330">
    <w:name w:val="标题 4 Char1"/>
    <w:qFormat/>
    <w:uiPriority w:val="0"/>
    <w:rPr>
      <w:rFonts w:ascii="Arial" w:hAnsi="Arial" w:eastAsia="黑体" w:cs="Times New Roman"/>
      <w:kern w:val="0"/>
      <w:sz w:val="28"/>
      <w:szCs w:val="20"/>
    </w:rPr>
  </w:style>
  <w:style w:type="character" w:customStyle="1" w:styleId="331">
    <w:name w:val="Char Char12"/>
    <w:qFormat/>
    <w:uiPriority w:val="0"/>
    <w:rPr>
      <w:rFonts w:ascii="Arial" w:hAnsi="Arial" w:eastAsia="宋体"/>
      <w:b/>
      <w:bCs/>
      <w:kern w:val="2"/>
      <w:sz w:val="21"/>
      <w:szCs w:val="21"/>
      <w:lang w:bidi="ar-SA"/>
    </w:rPr>
  </w:style>
  <w:style w:type="character" w:customStyle="1" w:styleId="332">
    <w:name w:val="f16b1"/>
    <w:qFormat/>
    <w:uiPriority w:val="0"/>
    <w:rPr>
      <w:rFonts w:ascii="Tahoma" w:hAnsi="Tahoma" w:eastAsia="宋体"/>
      <w:b/>
      <w:bCs/>
      <w:color w:val="333333"/>
      <w:kern w:val="2"/>
      <w:sz w:val="24"/>
      <w:szCs w:val="24"/>
      <w:lang w:val="en-US" w:eastAsia="zh-CN" w:bidi="ar-SA"/>
    </w:rPr>
  </w:style>
  <w:style w:type="character" w:customStyle="1" w:styleId="333">
    <w:name w:val="062"/>
    <w:qFormat/>
    <w:uiPriority w:val="0"/>
    <w:rPr>
      <w:rFonts w:ascii="宋体" w:hAnsi="宋体"/>
      <w:b/>
      <w:bCs/>
      <w:sz w:val="32"/>
    </w:rPr>
  </w:style>
  <w:style w:type="character" w:customStyle="1" w:styleId="334">
    <w:name w:val="正文文本缩进 Char1"/>
    <w:qFormat/>
    <w:uiPriority w:val="99"/>
    <w:rPr>
      <w:rFonts w:ascii="仿宋_GB2312" w:hAnsi="Times New Roman" w:eastAsia="仿宋_GB2312" w:cs="Times New Roman"/>
      <w:sz w:val="32"/>
      <w:szCs w:val="20"/>
    </w:rPr>
  </w:style>
  <w:style w:type="character" w:customStyle="1" w:styleId="335">
    <w:name w:val="font21"/>
    <w:qFormat/>
    <w:uiPriority w:val="0"/>
    <w:rPr>
      <w:rFonts w:hint="default" w:ascii="Times New Roman" w:hAnsi="Times New Roman" w:cs="Times New Roman"/>
      <w:color w:val="000000"/>
      <w:sz w:val="22"/>
      <w:szCs w:val="22"/>
      <w:u w:val="none"/>
    </w:rPr>
  </w:style>
  <w:style w:type="character" w:customStyle="1" w:styleId="336">
    <w:name w:val="正文文本 Char2"/>
    <w:qFormat/>
    <w:uiPriority w:val="99"/>
    <w:rPr>
      <w:kern w:val="2"/>
      <w:sz w:val="21"/>
      <w:szCs w:val="24"/>
    </w:rPr>
  </w:style>
  <w:style w:type="character" w:customStyle="1" w:styleId="337">
    <w:name w:val="unnamed11"/>
    <w:qFormat/>
    <w:uiPriority w:val="0"/>
    <w:rPr>
      <w:color w:val="000000"/>
      <w:sz w:val="20"/>
    </w:rPr>
  </w:style>
  <w:style w:type="character" w:customStyle="1" w:styleId="338">
    <w:name w:val="页眉 Char1"/>
    <w:qFormat/>
    <w:uiPriority w:val="99"/>
    <w:rPr>
      <w:rFonts w:ascii="Times New Roman" w:hAnsi="Times New Roman" w:eastAsia="宋体" w:cs="Times New Roman"/>
      <w:sz w:val="18"/>
      <w:szCs w:val="18"/>
    </w:rPr>
  </w:style>
  <w:style w:type="character" w:customStyle="1" w:styleId="339">
    <w:name w:val="font41"/>
    <w:qFormat/>
    <w:uiPriority w:val="0"/>
    <w:rPr>
      <w:rFonts w:hint="default" w:ascii="Times New Roman" w:hAnsi="Times New Roman" w:cs="Times New Roman"/>
      <w:color w:val="000000"/>
      <w:sz w:val="22"/>
      <w:szCs w:val="22"/>
      <w:u w:val="none"/>
    </w:rPr>
  </w:style>
  <w:style w:type="character" w:customStyle="1" w:styleId="340">
    <w:name w:val="标题 2 Char_0"/>
    <w:link w:val="341"/>
    <w:qFormat/>
    <w:uiPriority w:val="9"/>
    <w:rPr>
      <w:rFonts w:ascii="Cambria" w:hAnsi="Cambria"/>
      <w:b/>
      <w:bCs/>
      <w:sz w:val="32"/>
      <w:szCs w:val="32"/>
    </w:rPr>
  </w:style>
  <w:style w:type="paragraph" w:customStyle="1" w:styleId="341">
    <w:name w:val="标题 2_0"/>
    <w:basedOn w:val="342"/>
    <w:next w:val="342"/>
    <w:link w:val="340"/>
    <w:unhideWhenUsed/>
    <w:qFormat/>
    <w:uiPriority w:val="9"/>
    <w:rPr>
      <w:rFonts w:ascii="Cambria" w:hAnsi="Cambria"/>
      <w:b/>
      <w:bCs/>
      <w:kern w:val="0"/>
      <w:sz w:val="32"/>
      <w:szCs w:val="32"/>
    </w:rPr>
  </w:style>
  <w:style w:type="paragraph" w:customStyle="1" w:styleId="342">
    <w:name w:val="正文_2"/>
    <w:qFormat/>
    <w:uiPriority w:val="99"/>
    <w:pPr>
      <w:widowControl w:val="0"/>
      <w:jc w:val="both"/>
    </w:pPr>
    <w:rPr>
      <w:rFonts w:ascii="Calibri" w:hAnsi="Calibri" w:eastAsia="宋体" w:cs="Times New Roman"/>
      <w:kern w:val="2"/>
      <w:sz w:val="21"/>
      <w:szCs w:val="22"/>
      <w:lang w:val="en-US" w:eastAsia="zh-CN" w:bidi="ar-SA"/>
    </w:rPr>
  </w:style>
  <w:style w:type="character" w:customStyle="1" w:styleId="343">
    <w:name w:val="apple-converted-space"/>
    <w:qFormat/>
    <w:uiPriority w:val="0"/>
  </w:style>
  <w:style w:type="character" w:customStyle="1" w:styleId="344">
    <w:name w:val="标题 2 字符"/>
    <w:qFormat/>
    <w:uiPriority w:val="0"/>
    <w:rPr>
      <w:rFonts w:ascii="Arial" w:hAnsi="Arial" w:eastAsia="黑体" w:cs="Times New Roman"/>
      <w:b/>
      <w:bCs/>
      <w:szCs w:val="32"/>
    </w:rPr>
  </w:style>
  <w:style w:type="character" w:customStyle="1" w:styleId="345">
    <w:name w:val="标题 5 Char1"/>
    <w:qFormat/>
    <w:uiPriority w:val="0"/>
    <w:rPr>
      <w:rFonts w:ascii="Calibri" w:hAnsi="Calibri"/>
      <w:b/>
      <w:kern w:val="2"/>
      <w:sz w:val="28"/>
      <w:szCs w:val="24"/>
    </w:rPr>
  </w:style>
  <w:style w:type="character" w:customStyle="1" w:styleId="346">
    <w:name w:val="标题 7 Char1"/>
    <w:qFormat/>
    <w:uiPriority w:val="0"/>
    <w:rPr>
      <w:rFonts w:ascii="Calibri" w:hAnsi="Calibri"/>
      <w:b/>
      <w:kern w:val="2"/>
      <w:sz w:val="24"/>
      <w:szCs w:val="24"/>
    </w:rPr>
  </w:style>
  <w:style w:type="character" w:customStyle="1" w:styleId="347">
    <w:name w:val="标题 6 字符"/>
    <w:qFormat/>
    <w:uiPriority w:val="0"/>
    <w:rPr>
      <w:rFonts w:ascii="Cambria" w:hAnsi="Cambria" w:eastAsia="宋体" w:cs="Times New Roman"/>
      <w:b/>
      <w:bCs/>
      <w:sz w:val="24"/>
      <w:szCs w:val="24"/>
    </w:rPr>
  </w:style>
  <w:style w:type="character" w:customStyle="1" w:styleId="348">
    <w:name w:val="不明显强调11"/>
    <w:qFormat/>
    <w:uiPriority w:val="0"/>
    <w:rPr>
      <w:i/>
      <w:iCs/>
      <w:color w:val="808080"/>
    </w:rPr>
  </w:style>
  <w:style w:type="character" w:customStyle="1" w:styleId="349">
    <w:name w:val="font-25"/>
    <w:qFormat/>
    <w:uiPriority w:val="0"/>
  </w:style>
  <w:style w:type="character" w:customStyle="1" w:styleId="350">
    <w:name w:val="日期 Char2"/>
    <w:qFormat/>
    <w:uiPriority w:val="99"/>
    <w:rPr>
      <w:kern w:val="2"/>
      <w:sz w:val="21"/>
      <w:szCs w:val="24"/>
    </w:rPr>
  </w:style>
  <w:style w:type="character" w:customStyle="1" w:styleId="351">
    <w:name w:val="正文（绿盟科技） Char"/>
    <w:link w:val="352"/>
    <w:qFormat/>
    <w:locked/>
    <w:uiPriority w:val="0"/>
    <w:rPr>
      <w:rFonts w:eastAsia="Times New Roman"/>
      <w:szCs w:val="21"/>
    </w:rPr>
  </w:style>
  <w:style w:type="paragraph" w:customStyle="1" w:styleId="352">
    <w:name w:val="正文（绿盟科技）"/>
    <w:link w:val="351"/>
    <w:qFormat/>
    <w:uiPriority w:val="0"/>
    <w:pPr>
      <w:spacing w:line="300" w:lineRule="auto"/>
    </w:pPr>
    <w:rPr>
      <w:rFonts w:ascii="Times New Roman" w:hAnsi="Times New Roman" w:eastAsia="Times New Roman" w:cs="Times New Roman"/>
      <w:szCs w:val="21"/>
      <w:lang w:val="en-US" w:eastAsia="zh-CN" w:bidi="ar-SA"/>
    </w:rPr>
  </w:style>
  <w:style w:type="character" w:customStyle="1" w:styleId="353">
    <w:name w:val="标题6 Char"/>
    <w:link w:val="354"/>
    <w:qFormat/>
    <w:uiPriority w:val="0"/>
    <w:rPr>
      <w:rFonts w:ascii="宋体" w:hAnsi="宋体" w:eastAsia="黑体"/>
      <w:kern w:val="2"/>
      <w:sz w:val="32"/>
      <w:szCs w:val="32"/>
    </w:rPr>
  </w:style>
  <w:style w:type="paragraph" w:customStyle="1" w:styleId="354">
    <w:name w:val="标题6"/>
    <w:basedOn w:val="1"/>
    <w:link w:val="353"/>
    <w:qFormat/>
    <w:uiPriority w:val="0"/>
    <w:pPr>
      <w:keepNext/>
      <w:keepLines/>
      <w:spacing w:line="400" w:lineRule="exact"/>
      <w:jc w:val="center"/>
      <w:outlineLvl w:val="2"/>
    </w:pPr>
    <w:rPr>
      <w:rFonts w:ascii="宋体" w:hAnsi="宋体" w:eastAsia="黑体"/>
      <w:sz w:val="32"/>
      <w:szCs w:val="32"/>
    </w:rPr>
  </w:style>
  <w:style w:type="character" w:customStyle="1" w:styleId="355">
    <w:name w:val="标题 8 字符"/>
    <w:qFormat/>
    <w:uiPriority w:val="0"/>
    <w:rPr>
      <w:rFonts w:ascii="Cambria" w:hAnsi="Cambria" w:eastAsia="宋体" w:cs="Times New Roman"/>
      <w:sz w:val="24"/>
      <w:szCs w:val="24"/>
    </w:rPr>
  </w:style>
  <w:style w:type="character" w:customStyle="1" w:styleId="356">
    <w:name w:val="paramname"/>
    <w:qFormat/>
    <w:uiPriority w:val="0"/>
  </w:style>
  <w:style w:type="character" w:customStyle="1" w:styleId="357">
    <w:name w:val="标题 3 字符"/>
    <w:qFormat/>
    <w:uiPriority w:val="0"/>
    <w:rPr>
      <w:rFonts w:ascii="Times New Roman" w:hAnsi="Times New Roman" w:eastAsia="黑体" w:cs="Times New Roman"/>
      <w:b/>
      <w:bCs/>
      <w:szCs w:val="32"/>
    </w:rPr>
  </w:style>
  <w:style w:type="character" w:customStyle="1" w:styleId="358">
    <w:name w:val="标题 1 Char_0"/>
    <w:link w:val="359"/>
    <w:qFormat/>
    <w:uiPriority w:val="0"/>
    <w:rPr>
      <w:rFonts w:ascii="Calibri" w:hAnsi="Calibri"/>
      <w:b/>
      <w:bCs/>
      <w:kern w:val="44"/>
      <w:sz w:val="44"/>
      <w:szCs w:val="44"/>
    </w:rPr>
  </w:style>
  <w:style w:type="paragraph" w:customStyle="1" w:styleId="359">
    <w:name w:val="标题 1_0"/>
    <w:basedOn w:val="262"/>
    <w:next w:val="262"/>
    <w:link w:val="358"/>
    <w:qFormat/>
    <w:uiPriority w:val="0"/>
    <w:pPr>
      <w:keepNext/>
      <w:keepLines/>
      <w:spacing w:before="340" w:after="330" w:line="578" w:lineRule="auto"/>
      <w:outlineLvl w:val="0"/>
    </w:pPr>
    <w:rPr>
      <w:rFonts w:ascii="Calibri" w:hAnsi="Calibri"/>
      <w:b/>
      <w:bCs/>
      <w:kern w:val="44"/>
      <w:sz w:val="44"/>
      <w:szCs w:val="44"/>
    </w:rPr>
  </w:style>
  <w:style w:type="character" w:customStyle="1" w:styleId="360">
    <w:name w:val="hui141"/>
    <w:qFormat/>
    <w:uiPriority w:val="0"/>
    <w:rPr>
      <w:sz w:val="21"/>
      <w:szCs w:val="21"/>
    </w:rPr>
  </w:style>
  <w:style w:type="character" w:customStyle="1" w:styleId="361">
    <w:name w:val="18h1"/>
    <w:qFormat/>
    <w:uiPriority w:val="0"/>
    <w:rPr>
      <w:color w:val="3B3B3B"/>
    </w:rPr>
  </w:style>
  <w:style w:type="character" w:customStyle="1" w:styleId="362">
    <w:name w:val="15_0"/>
    <w:qFormat/>
    <w:uiPriority w:val="0"/>
    <w:rPr>
      <w:rFonts w:hint="default" w:ascii="Times New Roman" w:hAnsi="Times New Roman" w:cs="Times New Roman"/>
    </w:rPr>
  </w:style>
  <w:style w:type="character" w:customStyle="1" w:styleId="363">
    <w:name w:val="日期 字符"/>
    <w:qFormat/>
    <w:uiPriority w:val="99"/>
    <w:rPr>
      <w:rFonts w:ascii="Times New Roman" w:hAnsi="Times New Roman" w:eastAsia="宋体" w:cs="Times New Roman"/>
      <w:szCs w:val="24"/>
    </w:rPr>
  </w:style>
  <w:style w:type="character" w:customStyle="1" w:styleId="364">
    <w:name w:val="font31"/>
    <w:qFormat/>
    <w:uiPriority w:val="0"/>
    <w:rPr>
      <w:rFonts w:hint="eastAsia" w:ascii="宋体" w:hAnsi="宋体" w:eastAsia="宋体" w:cs="宋体"/>
      <w:color w:val="FF0000"/>
      <w:sz w:val="22"/>
      <w:szCs w:val="22"/>
      <w:u w:val="none"/>
    </w:rPr>
  </w:style>
  <w:style w:type="character" w:customStyle="1" w:styleId="365">
    <w:name w:val="checked"/>
    <w:qFormat/>
    <w:uiPriority w:val="0"/>
  </w:style>
  <w:style w:type="character" w:customStyle="1" w:styleId="366">
    <w:name w:val="标题 4 字符"/>
    <w:qFormat/>
    <w:uiPriority w:val="0"/>
    <w:rPr>
      <w:rFonts w:ascii="Arial" w:hAnsi="Arial" w:eastAsia="宋体" w:cs="Times New Roman"/>
      <w:b/>
      <w:bCs/>
      <w:szCs w:val="28"/>
    </w:rPr>
  </w:style>
  <w:style w:type="character" w:customStyle="1" w:styleId="367">
    <w:name w:val="style91"/>
    <w:qFormat/>
    <w:uiPriority w:val="0"/>
    <w:rPr>
      <w:rFonts w:hint="eastAsia" w:ascii="宋体" w:hAnsi="宋体" w:eastAsia="宋体"/>
      <w:kern w:val="2"/>
      <w:sz w:val="18"/>
      <w:szCs w:val="18"/>
      <w:lang w:val="en-US" w:eastAsia="zh-CN" w:bidi="ar-SA"/>
    </w:rPr>
  </w:style>
  <w:style w:type="character" w:customStyle="1" w:styleId="368">
    <w:name w:val="current"/>
    <w:qFormat/>
    <w:uiPriority w:val="0"/>
    <w:rPr>
      <w:color w:val="FFFFFF"/>
      <w:bdr w:val="single" w:color="028BD3" w:sz="6" w:space="0"/>
      <w:shd w:val="clear" w:color="auto" w:fill="028BD3"/>
    </w:rPr>
  </w:style>
  <w:style w:type="character" w:customStyle="1" w:styleId="369">
    <w:name w:val="hover15"/>
    <w:qFormat/>
    <w:uiPriority w:val="0"/>
  </w:style>
  <w:style w:type="character" w:customStyle="1" w:styleId="370">
    <w:name w:val="彩色列表 - 强调文字颜色 1 Char"/>
    <w:qFormat/>
    <w:locked/>
    <w:uiPriority w:val="0"/>
    <w:rPr>
      <w:rFonts w:eastAsia="宋体"/>
      <w:kern w:val="2"/>
      <w:sz w:val="21"/>
      <w:lang w:val="en-US" w:eastAsia="zh-CN" w:bidi="ar-SA"/>
    </w:rPr>
  </w:style>
  <w:style w:type="character" w:customStyle="1" w:styleId="371">
    <w:name w:val="纯文本 Char_0"/>
    <w:link w:val="372"/>
    <w:qFormat/>
    <w:uiPriority w:val="0"/>
    <w:rPr>
      <w:rFonts w:ascii="宋体" w:hAnsi="Courier New"/>
      <w:kern w:val="2"/>
      <w:sz w:val="21"/>
      <w:szCs w:val="24"/>
    </w:rPr>
  </w:style>
  <w:style w:type="paragraph" w:customStyle="1" w:styleId="372">
    <w:name w:val="纯文本_0"/>
    <w:basedOn w:val="255"/>
    <w:link w:val="371"/>
    <w:unhideWhenUsed/>
    <w:qFormat/>
    <w:uiPriority w:val="0"/>
    <w:rPr>
      <w:rFonts w:ascii="宋体" w:hAnsi="Courier New"/>
      <w:szCs w:val="24"/>
    </w:rPr>
  </w:style>
  <w:style w:type="character" w:customStyle="1" w:styleId="373">
    <w:name w:val="链接"/>
    <w:qFormat/>
    <w:uiPriority w:val="0"/>
    <w:rPr>
      <w:rFonts w:ascii="Times New Roman" w:eastAsia="宋体"/>
      <w:color w:val="0000FF"/>
      <w:sz w:val="21"/>
      <w:u w:val="single" w:color="0000FF"/>
      <w:vertAlign w:val="baseline"/>
      <w:lang w:val="en-US" w:eastAsia="zh-CN"/>
    </w:rPr>
  </w:style>
  <w:style w:type="character" w:customStyle="1" w:styleId="374">
    <w:name w:val="font11"/>
    <w:qFormat/>
    <w:uiPriority w:val="0"/>
    <w:rPr>
      <w:rFonts w:hint="eastAsia" w:ascii="宋体" w:hAnsi="宋体" w:eastAsia="宋体" w:cs="宋体"/>
      <w:color w:val="000000"/>
      <w:sz w:val="22"/>
      <w:szCs w:val="22"/>
      <w:u w:val="none"/>
    </w:rPr>
  </w:style>
  <w:style w:type="character" w:customStyle="1" w:styleId="375">
    <w:name w:val="Char Char291"/>
    <w:qFormat/>
    <w:uiPriority w:val="0"/>
    <w:rPr>
      <w:rFonts w:eastAsia="黑体"/>
      <w:b/>
      <w:bCs/>
      <w:kern w:val="44"/>
      <w:sz w:val="32"/>
      <w:szCs w:val="44"/>
      <w:lang w:bidi="ar-SA"/>
    </w:rPr>
  </w:style>
  <w:style w:type="character" w:customStyle="1" w:styleId="376">
    <w:name w:val="1051"/>
    <w:qFormat/>
    <w:uiPriority w:val="0"/>
    <w:rPr>
      <w:rFonts w:ascii="Tahoma" w:hAnsi="Tahoma" w:eastAsia="宋体"/>
      <w:kern w:val="2"/>
      <w:sz w:val="21"/>
      <w:szCs w:val="21"/>
      <w:lang w:val="en-US" w:eastAsia="zh-CN" w:bidi="ar-SA"/>
    </w:rPr>
  </w:style>
  <w:style w:type="character" w:customStyle="1" w:styleId="377">
    <w:name w:val="style23"/>
    <w:qFormat/>
    <w:uiPriority w:val="0"/>
  </w:style>
  <w:style w:type="character" w:customStyle="1" w:styleId="378">
    <w:name w:val="Char Char4"/>
    <w:qFormat/>
    <w:uiPriority w:val="0"/>
    <w:rPr>
      <w:rFonts w:eastAsia="宋体"/>
      <w:b/>
      <w:bCs/>
      <w:kern w:val="2"/>
      <w:sz w:val="32"/>
      <w:szCs w:val="32"/>
      <w:lang w:val="en-US" w:eastAsia="zh-CN" w:bidi="ar-SA"/>
    </w:rPr>
  </w:style>
  <w:style w:type="character" w:customStyle="1" w:styleId="379">
    <w:name w:val="书籍标题11"/>
    <w:qFormat/>
    <w:uiPriority w:val="0"/>
    <w:rPr>
      <w:b/>
      <w:bCs/>
      <w:smallCaps/>
      <w:spacing w:val="5"/>
    </w:rPr>
  </w:style>
  <w:style w:type="character" w:customStyle="1" w:styleId="380">
    <w:name w:val="标题 1 Char_1"/>
    <w:link w:val="381"/>
    <w:qFormat/>
    <w:uiPriority w:val="0"/>
    <w:rPr>
      <w:b/>
      <w:bCs/>
      <w:kern w:val="44"/>
      <w:sz w:val="44"/>
      <w:szCs w:val="44"/>
    </w:rPr>
  </w:style>
  <w:style w:type="paragraph" w:customStyle="1" w:styleId="381">
    <w:name w:val="标题 1_1"/>
    <w:basedOn w:val="255"/>
    <w:next w:val="255"/>
    <w:link w:val="380"/>
    <w:qFormat/>
    <w:uiPriority w:val="0"/>
    <w:pPr>
      <w:keepNext/>
      <w:keepLines/>
      <w:spacing w:before="340" w:after="330" w:line="578" w:lineRule="auto"/>
      <w:outlineLvl w:val="0"/>
    </w:pPr>
    <w:rPr>
      <w:rFonts w:ascii="Times New Roman" w:hAnsi="Times New Roman"/>
      <w:b/>
      <w:bCs/>
      <w:kern w:val="44"/>
      <w:sz w:val="44"/>
      <w:szCs w:val="44"/>
    </w:rPr>
  </w:style>
  <w:style w:type="character" w:customStyle="1" w:styleId="382">
    <w:name w:val="标题 1 Char1"/>
    <w:qFormat/>
    <w:uiPriority w:val="99"/>
    <w:rPr>
      <w:rFonts w:ascii="Times New Roman" w:hAnsi="Times New Roman" w:eastAsia="宋体" w:cs="Times New Roman"/>
      <w:b/>
      <w:bCs/>
      <w:kern w:val="44"/>
      <w:sz w:val="44"/>
      <w:szCs w:val="44"/>
    </w:rPr>
  </w:style>
  <w:style w:type="character" w:customStyle="1" w:styleId="383">
    <w:name w:val="Char Char281"/>
    <w:qFormat/>
    <w:uiPriority w:val="0"/>
    <w:rPr>
      <w:rFonts w:ascii="Arial" w:hAnsi="Arial" w:eastAsia="黑体"/>
      <w:b/>
      <w:bCs/>
      <w:kern w:val="2"/>
      <w:sz w:val="21"/>
      <w:szCs w:val="32"/>
    </w:rPr>
  </w:style>
  <w:style w:type="character" w:customStyle="1" w:styleId="384">
    <w:name w:val="textstyle1"/>
    <w:qFormat/>
    <w:uiPriority w:val="0"/>
    <w:rPr>
      <w:rFonts w:hint="eastAsia" w:ascii="宋体" w:hAnsi="宋体" w:eastAsia="宋体"/>
      <w:sz w:val="18"/>
      <w:szCs w:val="18"/>
    </w:rPr>
  </w:style>
  <w:style w:type="character" w:customStyle="1" w:styleId="385">
    <w:name w:val="正文文本 Char_0"/>
    <w:link w:val="386"/>
    <w:qFormat/>
    <w:uiPriority w:val="0"/>
    <w:rPr>
      <w:kern w:val="2"/>
      <w:sz w:val="21"/>
      <w:szCs w:val="22"/>
    </w:rPr>
  </w:style>
  <w:style w:type="paragraph" w:customStyle="1" w:styleId="386">
    <w:name w:val="正文文本_0"/>
    <w:basedOn w:val="255"/>
    <w:link w:val="385"/>
    <w:unhideWhenUsed/>
    <w:qFormat/>
    <w:uiPriority w:val="0"/>
    <w:pPr>
      <w:adjustRightInd w:val="0"/>
      <w:spacing w:after="60" w:line="360" w:lineRule="atLeast"/>
      <w:ind w:left="72" w:leftChars="30" w:right="30" w:rightChars="30"/>
      <w:jc w:val="center"/>
    </w:pPr>
    <w:rPr>
      <w:rFonts w:ascii="Times New Roman" w:hAnsi="Times New Roman"/>
    </w:rPr>
  </w:style>
  <w:style w:type="character" w:customStyle="1" w:styleId="387">
    <w:name w:val="Char Char161"/>
    <w:qFormat/>
    <w:uiPriority w:val="0"/>
    <w:rPr>
      <w:rFonts w:ascii="Arial" w:hAnsi="Arial" w:eastAsia="黑体"/>
      <w:b/>
      <w:bCs/>
      <w:kern w:val="2"/>
      <w:sz w:val="21"/>
      <w:szCs w:val="32"/>
    </w:rPr>
  </w:style>
  <w:style w:type="character" w:customStyle="1" w:styleId="388">
    <w:name w:val="标题 9 字符"/>
    <w:qFormat/>
    <w:uiPriority w:val="0"/>
    <w:rPr>
      <w:rFonts w:ascii="Cambria" w:hAnsi="Cambria" w:eastAsia="宋体" w:cs="Times New Roman"/>
      <w:szCs w:val="21"/>
    </w:rPr>
  </w:style>
  <w:style w:type="character" w:customStyle="1" w:styleId="389">
    <w:name w:val="标题 Char3"/>
    <w:qFormat/>
    <w:uiPriority w:val="10"/>
    <w:rPr>
      <w:rFonts w:hint="default" w:ascii="Cambria" w:hAnsi="Cambria" w:cs="Times New Roman"/>
      <w:b/>
      <w:bCs/>
      <w:kern w:val="2"/>
      <w:sz w:val="32"/>
      <w:szCs w:val="32"/>
    </w:rPr>
  </w:style>
  <w:style w:type="character" w:customStyle="1" w:styleId="390">
    <w:name w:val="ca-nav-next"/>
    <w:qFormat/>
    <w:uiPriority w:val="0"/>
  </w:style>
  <w:style w:type="character" w:customStyle="1" w:styleId="391">
    <w:name w:val="标题 9 Char1"/>
    <w:qFormat/>
    <w:uiPriority w:val="0"/>
    <w:rPr>
      <w:rFonts w:ascii="Arial" w:hAnsi="Arial" w:eastAsia="黑体"/>
      <w:kern w:val="2"/>
      <w:sz w:val="21"/>
      <w:szCs w:val="24"/>
    </w:rPr>
  </w:style>
  <w:style w:type="character" w:customStyle="1" w:styleId="392">
    <w:name w:val="Plain Text Char Char Char"/>
    <w:qFormat/>
    <w:uiPriority w:val="0"/>
    <w:rPr>
      <w:rFonts w:ascii="宋体" w:hAnsi="Courier New" w:eastAsia="宋体"/>
      <w:kern w:val="2"/>
      <w:sz w:val="21"/>
      <w:szCs w:val="24"/>
      <w:lang w:val="en-US" w:eastAsia="zh-CN" w:bidi="ar-SA"/>
    </w:rPr>
  </w:style>
  <w:style w:type="character" w:customStyle="1" w:styleId="393">
    <w:name w:val="标题 Char_0"/>
    <w:link w:val="394"/>
    <w:qFormat/>
    <w:uiPriority w:val="99"/>
    <w:rPr>
      <w:rFonts w:ascii="Cambria" w:hAnsi="Cambria"/>
      <w:b/>
      <w:bCs/>
      <w:sz w:val="32"/>
      <w:szCs w:val="32"/>
    </w:rPr>
  </w:style>
  <w:style w:type="paragraph" w:customStyle="1" w:styleId="394">
    <w:name w:val="标题_0"/>
    <w:basedOn w:val="301"/>
    <w:next w:val="301"/>
    <w:link w:val="393"/>
    <w:qFormat/>
    <w:uiPriority w:val="99"/>
    <w:pPr>
      <w:spacing w:before="240" w:after="60"/>
      <w:jc w:val="center"/>
      <w:outlineLvl w:val="0"/>
    </w:pPr>
    <w:rPr>
      <w:rFonts w:ascii="Cambria" w:hAnsi="Cambria"/>
      <w:b/>
      <w:bCs/>
      <w:kern w:val="0"/>
      <w:sz w:val="32"/>
      <w:szCs w:val="32"/>
    </w:rPr>
  </w:style>
  <w:style w:type="character" w:customStyle="1" w:styleId="395">
    <w:name w:val="small"/>
    <w:qFormat/>
    <w:uiPriority w:val="0"/>
    <w:rPr>
      <w:rFonts w:ascii="Tahoma" w:hAnsi="Tahoma" w:eastAsia="宋体"/>
      <w:kern w:val="2"/>
      <w:sz w:val="24"/>
      <w:szCs w:val="24"/>
      <w:lang w:val="en-US" w:eastAsia="zh-CN" w:bidi="ar-SA"/>
    </w:rPr>
  </w:style>
  <w:style w:type="character" w:customStyle="1" w:styleId="396">
    <w:name w:val="Char Char16"/>
    <w:qFormat/>
    <w:uiPriority w:val="0"/>
    <w:rPr>
      <w:rFonts w:ascii="Arial" w:hAnsi="Arial" w:eastAsia="黑体"/>
      <w:b/>
      <w:bCs/>
      <w:kern w:val="2"/>
      <w:sz w:val="21"/>
      <w:szCs w:val="32"/>
    </w:rPr>
  </w:style>
  <w:style w:type="character" w:customStyle="1" w:styleId="397">
    <w:name w:val="ca-0"/>
    <w:qFormat/>
    <w:uiPriority w:val="0"/>
  </w:style>
  <w:style w:type="character" w:customStyle="1" w:styleId="398">
    <w:name w:val="bds_nopic"/>
    <w:qFormat/>
    <w:uiPriority w:val="0"/>
  </w:style>
  <w:style w:type="character" w:customStyle="1" w:styleId="399">
    <w:name w:val="bds_more2"/>
    <w:qFormat/>
    <w:uiPriority w:val="0"/>
  </w:style>
  <w:style w:type="character" w:customStyle="1" w:styleId="400">
    <w:name w:val="H2 Char"/>
    <w:qFormat/>
    <w:uiPriority w:val="0"/>
    <w:rPr>
      <w:rFonts w:ascii="Arial" w:hAnsi="Arial" w:eastAsia="黑体"/>
      <w:b/>
      <w:bCs/>
      <w:kern w:val="2"/>
      <w:sz w:val="32"/>
      <w:szCs w:val="32"/>
      <w:lang w:val="en-US" w:eastAsia="zh-CN" w:bidi="ar-SA"/>
    </w:rPr>
  </w:style>
  <w:style w:type="character" w:customStyle="1" w:styleId="401">
    <w:name w:val="正文文本 3 Char1"/>
    <w:qFormat/>
    <w:uiPriority w:val="0"/>
    <w:rPr>
      <w:rFonts w:ascii="Times New Roman" w:hAnsi="Times New Roman" w:eastAsia="宋体" w:cs="Times New Roman"/>
      <w:b/>
      <w:bCs/>
      <w:sz w:val="24"/>
      <w:szCs w:val="24"/>
    </w:rPr>
  </w:style>
  <w:style w:type="character" w:customStyle="1" w:styleId="402">
    <w:name w:val="标题 #4_"/>
    <w:link w:val="403"/>
    <w:qFormat/>
    <w:locked/>
    <w:uiPriority w:val="0"/>
    <w:rPr>
      <w:rFonts w:ascii="MingLiU" w:eastAsia="MingLiU"/>
      <w:b/>
      <w:bCs/>
      <w:sz w:val="23"/>
      <w:szCs w:val="23"/>
      <w:shd w:val="clear" w:color="auto" w:fill="FFFFFF"/>
    </w:rPr>
  </w:style>
  <w:style w:type="paragraph" w:customStyle="1" w:styleId="403">
    <w:name w:val="标题 #4"/>
    <w:basedOn w:val="1"/>
    <w:link w:val="402"/>
    <w:qFormat/>
    <w:uiPriority w:val="0"/>
    <w:pPr>
      <w:shd w:val="clear" w:color="auto" w:fill="FFFFFF"/>
      <w:spacing w:before="60" w:after="240" w:line="240" w:lineRule="atLeast"/>
      <w:jc w:val="distribute"/>
      <w:outlineLvl w:val="3"/>
    </w:pPr>
    <w:rPr>
      <w:rFonts w:ascii="MingLiU" w:eastAsia="MingLiU"/>
      <w:b/>
      <w:bCs/>
      <w:kern w:val="0"/>
      <w:sz w:val="23"/>
      <w:szCs w:val="23"/>
      <w:shd w:val="clear" w:color="auto" w:fill="FFFFFF"/>
    </w:rPr>
  </w:style>
  <w:style w:type="character" w:customStyle="1" w:styleId="404">
    <w:name w:val="graytext1"/>
    <w:qFormat/>
    <w:uiPriority w:val="0"/>
    <w:rPr>
      <w:rFonts w:ascii="Tahoma" w:hAnsi="Tahoma" w:eastAsia="宋体"/>
      <w:color w:val="666666"/>
      <w:kern w:val="2"/>
      <w:sz w:val="24"/>
      <w:szCs w:val="24"/>
      <w:lang w:val="en-US" w:eastAsia="zh-CN" w:bidi="ar-SA"/>
    </w:rPr>
  </w:style>
  <w:style w:type="paragraph" w:customStyle="1" w:styleId="405">
    <w:name w:val="文章总标题"/>
    <w:basedOn w:val="1"/>
    <w:next w:val="406"/>
    <w:qFormat/>
    <w:uiPriority w:val="0"/>
    <w:pPr>
      <w:widowControl/>
      <w:spacing w:before="566" w:after="544" w:line="566" w:lineRule="atLeast"/>
      <w:jc w:val="center"/>
      <w:textAlignment w:val="baseline"/>
    </w:pPr>
    <w:rPr>
      <w:rFonts w:ascii="Arial" w:eastAsia="黑体"/>
      <w:color w:val="000000"/>
      <w:kern w:val="0"/>
      <w:sz w:val="54"/>
      <w:szCs w:val="20"/>
    </w:rPr>
  </w:style>
  <w:style w:type="paragraph" w:customStyle="1" w:styleId="406">
    <w:name w:val="文章附标题"/>
    <w:basedOn w:val="1"/>
    <w:next w:val="2"/>
    <w:qFormat/>
    <w:uiPriority w:val="0"/>
    <w:pPr>
      <w:widowControl/>
      <w:spacing w:before="187" w:after="175" w:line="374" w:lineRule="atLeast"/>
      <w:jc w:val="center"/>
      <w:textAlignment w:val="baseline"/>
    </w:pPr>
    <w:rPr>
      <w:color w:val="000000"/>
      <w:kern w:val="0"/>
      <w:sz w:val="36"/>
      <w:szCs w:val="20"/>
    </w:rPr>
  </w:style>
  <w:style w:type="paragraph" w:customStyle="1" w:styleId="407">
    <w:name w:val="Char Char Char Char1"/>
    <w:basedOn w:val="17"/>
    <w:qFormat/>
    <w:uiPriority w:val="0"/>
    <w:pPr>
      <w:adjustRightInd w:val="0"/>
      <w:snapToGrid w:val="0"/>
      <w:spacing w:line="360" w:lineRule="auto"/>
    </w:pPr>
    <w:rPr>
      <w:rFonts w:ascii="Tahoma" w:hAnsi="Tahoma"/>
      <w:shd w:val="clear" w:color="auto" w:fill="auto"/>
    </w:rPr>
  </w:style>
  <w:style w:type="paragraph" w:customStyle="1" w:styleId="408">
    <w:name w:val="List Paragraph1"/>
    <w:basedOn w:val="1"/>
    <w:qFormat/>
    <w:uiPriority w:val="0"/>
    <w:pPr>
      <w:ind w:firstLine="420" w:firstLineChars="200"/>
    </w:pPr>
    <w:rPr>
      <w:rFonts w:ascii="Calibri" w:hAnsi="Calibri"/>
      <w:szCs w:val="22"/>
    </w:rPr>
  </w:style>
  <w:style w:type="paragraph" w:customStyle="1" w:styleId="409">
    <w:name w:val="p15"/>
    <w:basedOn w:val="1"/>
    <w:qFormat/>
    <w:uiPriority w:val="0"/>
    <w:pPr>
      <w:widowControl/>
    </w:pPr>
    <w:rPr>
      <w:rFonts w:ascii="宋体" w:hAnsi="宋体" w:cs="宋体"/>
      <w:kern w:val="0"/>
      <w:szCs w:val="21"/>
    </w:rPr>
  </w:style>
  <w:style w:type="paragraph" w:customStyle="1" w:styleId="41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411">
    <w:name w:val="xl8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kern w:val="0"/>
      <w:sz w:val="24"/>
    </w:rPr>
  </w:style>
  <w:style w:type="paragraph" w:customStyle="1" w:styleId="412">
    <w:name w:val="xl77"/>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b/>
      <w:bCs/>
      <w:kern w:val="0"/>
      <w:sz w:val="24"/>
    </w:rPr>
  </w:style>
  <w:style w:type="paragraph" w:customStyle="1" w:styleId="413">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414">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415">
    <w:name w:val="Char Char Char Char Char Char Char Char Char Char"/>
    <w:basedOn w:val="17"/>
    <w:qFormat/>
    <w:uiPriority w:val="0"/>
    <w:pPr>
      <w:keepNext/>
      <w:spacing w:beforeLines="100"/>
    </w:pPr>
    <w:rPr>
      <w:rFonts w:ascii="Tahoma" w:hAnsi="Tahoma"/>
      <w:shd w:val="clear" w:color="auto" w:fill="auto"/>
    </w:rPr>
  </w:style>
  <w:style w:type="paragraph" w:customStyle="1" w:styleId="41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417">
    <w:name w:val="xl8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418">
    <w:name w:val="纯文本1"/>
    <w:basedOn w:val="1"/>
    <w:qFormat/>
    <w:uiPriority w:val="0"/>
    <w:pPr>
      <w:suppressAutoHyphens/>
    </w:pPr>
    <w:rPr>
      <w:rFonts w:ascii="宋体" w:hAnsi="宋体" w:cs="Calibri"/>
      <w:kern w:val="1"/>
      <w:sz w:val="20"/>
      <w:szCs w:val="21"/>
      <w:lang w:eastAsia="ar-SA"/>
    </w:rPr>
  </w:style>
  <w:style w:type="paragraph" w:customStyle="1" w:styleId="419">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420">
    <w:name w:val="正文_1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21">
    <w:name w:val="font7"/>
    <w:basedOn w:val="1"/>
    <w:qFormat/>
    <w:uiPriority w:val="0"/>
    <w:pPr>
      <w:widowControl/>
      <w:spacing w:before="100" w:beforeAutospacing="1" w:after="100" w:afterAutospacing="1"/>
      <w:jc w:val="left"/>
    </w:pPr>
    <w:rPr>
      <w:kern w:val="0"/>
      <w:sz w:val="20"/>
      <w:szCs w:val="20"/>
    </w:rPr>
  </w:style>
  <w:style w:type="paragraph" w:customStyle="1" w:styleId="422">
    <w:name w:val="Char Char Char Char Char Char1 Char1"/>
    <w:basedOn w:val="1"/>
    <w:qFormat/>
    <w:uiPriority w:val="0"/>
    <w:pPr>
      <w:widowControl/>
      <w:spacing w:after="160" w:line="240" w:lineRule="exact"/>
      <w:jc w:val="left"/>
    </w:pPr>
    <w:rPr>
      <w:rFonts w:ascii="Arial" w:hAnsi="Arial" w:eastAsia="楷体_GB2312" w:cs="Verdana"/>
      <w:b/>
      <w:kern w:val="0"/>
      <w:sz w:val="24"/>
      <w:lang w:eastAsia="en-US"/>
    </w:rPr>
  </w:style>
  <w:style w:type="paragraph" w:customStyle="1" w:styleId="423">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424">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425">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426">
    <w:name w:val="标题_0_0"/>
    <w:basedOn w:val="420"/>
    <w:next w:val="420"/>
    <w:qFormat/>
    <w:uiPriority w:val="0"/>
    <w:pPr>
      <w:spacing w:before="240" w:after="60"/>
      <w:jc w:val="center"/>
      <w:outlineLvl w:val="0"/>
    </w:pPr>
    <w:rPr>
      <w:rFonts w:ascii="Cambria" w:hAnsi="Cambria"/>
      <w:b/>
      <w:bCs/>
      <w:sz w:val="32"/>
      <w:szCs w:val="32"/>
    </w:rPr>
  </w:style>
  <w:style w:type="paragraph" w:customStyle="1" w:styleId="427">
    <w:name w:val="无间隔_0_0"/>
    <w:basedOn w:val="253"/>
    <w:qFormat/>
    <w:uiPriority w:val="0"/>
    <w:rPr>
      <w:rFonts w:ascii="Times New Roman" w:hAnsi="Times New Roman"/>
      <w:szCs w:val="21"/>
    </w:rPr>
  </w:style>
  <w:style w:type="paragraph" w:customStyle="1" w:styleId="42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429">
    <w:name w:val="Char1 Char Char Char Char Char Char"/>
    <w:basedOn w:val="1"/>
    <w:qFormat/>
    <w:uiPriority w:val="0"/>
    <w:rPr>
      <w:rFonts w:ascii="Tahoma" w:hAnsi="Tahoma"/>
      <w:sz w:val="24"/>
      <w:szCs w:val="20"/>
    </w:rPr>
  </w:style>
  <w:style w:type="paragraph" w:customStyle="1" w:styleId="430">
    <w:name w:val="Char Char Char Char Char Char Char Char Char Char Char Char Char Char Char Char1"/>
    <w:basedOn w:val="1"/>
    <w:qFormat/>
    <w:uiPriority w:val="0"/>
    <w:pPr>
      <w:tabs>
        <w:tab w:val="left" w:pos="360"/>
      </w:tabs>
      <w:spacing w:line="360" w:lineRule="auto"/>
      <w:ind w:left="482" w:firstLine="200" w:firstLineChars="200"/>
    </w:pPr>
    <w:rPr>
      <w:rFonts w:ascii="宋体"/>
      <w:sz w:val="24"/>
    </w:rPr>
  </w:style>
  <w:style w:type="paragraph" w:customStyle="1" w:styleId="431">
    <w:name w:val="正文段"/>
    <w:basedOn w:val="1"/>
    <w:qFormat/>
    <w:uiPriority w:val="0"/>
    <w:pPr>
      <w:widowControl/>
      <w:snapToGrid w:val="0"/>
      <w:spacing w:afterLines="50"/>
      <w:ind w:firstLine="200" w:firstLineChars="200"/>
    </w:pPr>
    <w:rPr>
      <w:kern w:val="0"/>
      <w:sz w:val="24"/>
      <w:szCs w:val="20"/>
    </w:rPr>
  </w:style>
  <w:style w:type="paragraph" w:customStyle="1" w:styleId="432">
    <w:name w:val="样式 样式 首行缩进: 2 字符"/>
    <w:basedOn w:val="1"/>
    <w:qFormat/>
    <w:uiPriority w:val="0"/>
    <w:pPr>
      <w:widowControl/>
      <w:ind w:firstLine="480" w:firstLineChars="200"/>
      <w:jc w:val="left"/>
    </w:pPr>
    <w:rPr>
      <w:rFonts w:cs="宋体"/>
      <w:kern w:val="0"/>
      <w:sz w:val="24"/>
      <w:szCs w:val="20"/>
    </w:rPr>
  </w:style>
  <w:style w:type="paragraph" w:customStyle="1" w:styleId="433">
    <w:name w:val="F2"/>
    <w:basedOn w:val="1"/>
    <w:qFormat/>
    <w:uiPriority w:val="0"/>
    <w:pPr>
      <w:autoSpaceDE w:val="0"/>
      <w:autoSpaceDN w:val="0"/>
      <w:adjustRightInd w:val="0"/>
      <w:ind w:firstLine="601"/>
      <w:textAlignment w:val="baseline"/>
    </w:pPr>
    <w:rPr>
      <w:kern w:val="0"/>
      <w:sz w:val="24"/>
      <w:szCs w:val="20"/>
    </w:rPr>
  </w:style>
  <w:style w:type="paragraph" w:customStyle="1" w:styleId="434">
    <w:name w:val="P_MsoNormal"/>
    <w:basedOn w:val="1"/>
    <w:qFormat/>
    <w:uiPriority w:val="0"/>
    <w:pPr>
      <w:widowControl/>
    </w:pPr>
    <w:rPr>
      <w:rFonts w:eastAsia="Times New Roman"/>
      <w:kern w:val="0"/>
    </w:rPr>
  </w:style>
  <w:style w:type="paragraph" w:customStyle="1" w:styleId="435">
    <w:name w:val="样式 小四 段前: 5 磅 段后: 5 磅 首行缩进:  2 字符"/>
    <w:basedOn w:val="1"/>
    <w:qFormat/>
    <w:uiPriority w:val="0"/>
    <w:pPr>
      <w:spacing w:before="100" w:afterLines="50"/>
      <w:ind w:firstLine="480" w:firstLineChars="200"/>
    </w:pPr>
    <w:rPr>
      <w:rFonts w:hAnsi="宋体"/>
      <w:kern w:val="0"/>
      <w:sz w:val="24"/>
      <w:szCs w:val="21"/>
    </w:rPr>
  </w:style>
  <w:style w:type="paragraph" w:customStyle="1" w:styleId="436">
    <w:name w:val="节标题"/>
    <w:basedOn w:val="1"/>
    <w:next w:val="437"/>
    <w:qFormat/>
    <w:uiPriority w:val="0"/>
    <w:pPr>
      <w:widowControl/>
      <w:spacing w:line="289" w:lineRule="atLeast"/>
      <w:jc w:val="center"/>
      <w:textAlignment w:val="baseline"/>
    </w:pPr>
    <w:rPr>
      <w:color w:val="000000"/>
      <w:kern w:val="0"/>
      <w:sz w:val="28"/>
      <w:szCs w:val="20"/>
    </w:rPr>
  </w:style>
  <w:style w:type="paragraph" w:customStyle="1" w:styleId="437">
    <w:name w:val="小节标题"/>
    <w:basedOn w:val="1"/>
    <w:next w:val="1"/>
    <w:qFormat/>
    <w:uiPriority w:val="0"/>
    <w:pPr>
      <w:widowControl/>
      <w:spacing w:before="175" w:after="102" w:line="351" w:lineRule="atLeast"/>
      <w:textAlignment w:val="baseline"/>
    </w:pPr>
    <w:rPr>
      <w:rFonts w:eastAsia="黑体"/>
      <w:color w:val="000000"/>
      <w:kern w:val="0"/>
      <w:szCs w:val="20"/>
    </w:rPr>
  </w:style>
  <w:style w:type="paragraph" w:customStyle="1" w:styleId="438">
    <w:name w:val="_Style 2"/>
    <w:basedOn w:val="1"/>
    <w:qFormat/>
    <w:uiPriority w:val="0"/>
  </w:style>
  <w:style w:type="paragraph" w:customStyle="1" w:styleId="43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440">
    <w:name w:val="菲页(卷)"/>
    <w:basedOn w:val="2"/>
    <w:next w:val="75"/>
    <w:qFormat/>
    <w:uiPriority w:val="0"/>
    <w:pPr>
      <w:keepLines w:val="0"/>
      <w:widowControl/>
      <w:tabs>
        <w:tab w:val="left" w:pos="900"/>
      </w:tabs>
      <w:spacing w:before="0" w:after="0" w:line="240" w:lineRule="auto"/>
      <w:ind w:left="900" w:hanging="360"/>
      <w:jc w:val="center"/>
      <w:outlineLvl w:val="1"/>
    </w:pPr>
    <w:rPr>
      <w:rFonts w:ascii="黑体" w:eastAsia="黑体"/>
      <w:b w:val="0"/>
      <w:bCs w:val="0"/>
      <w:kern w:val="0"/>
      <w:sz w:val="52"/>
      <w:szCs w:val="20"/>
    </w:rPr>
  </w:style>
  <w:style w:type="paragraph" w:customStyle="1" w:styleId="441">
    <w:name w:val="BodyTextIndent"/>
    <w:basedOn w:val="1"/>
    <w:qFormat/>
    <w:uiPriority w:val="0"/>
    <w:pPr>
      <w:spacing w:line="200" w:lineRule="exact"/>
      <w:ind w:firstLine="301"/>
      <w:textAlignment w:val="baseline"/>
    </w:pPr>
    <w:rPr>
      <w:rFonts w:ascii="宋体" w:hAnsi="Courier New"/>
      <w:spacing w:val="-4"/>
      <w:sz w:val="18"/>
      <w:szCs w:val="20"/>
    </w:rPr>
  </w:style>
  <w:style w:type="paragraph" w:customStyle="1" w:styleId="442">
    <w:name w:val="缺省文本"/>
    <w:basedOn w:val="1"/>
    <w:qFormat/>
    <w:uiPriority w:val="0"/>
    <w:pPr>
      <w:autoSpaceDE w:val="0"/>
      <w:autoSpaceDN w:val="0"/>
      <w:adjustRightInd w:val="0"/>
      <w:spacing w:line="360" w:lineRule="auto"/>
      <w:jc w:val="left"/>
    </w:pPr>
    <w:rPr>
      <w:kern w:val="0"/>
      <w:sz w:val="24"/>
      <w:szCs w:val="20"/>
    </w:rPr>
  </w:style>
  <w:style w:type="paragraph" w:customStyle="1" w:styleId="443">
    <w:name w:val="TOC 标题11"/>
    <w:basedOn w:val="2"/>
    <w:next w:val="1"/>
    <w:qFormat/>
    <w:uiPriority w:val="0"/>
    <w:pPr>
      <w:spacing w:line="576" w:lineRule="auto"/>
      <w:outlineLvl w:val="9"/>
    </w:pPr>
    <w:rPr>
      <w:rFonts w:ascii="Calibri" w:hAnsi="Calibri" w:eastAsia="黑体"/>
    </w:rPr>
  </w:style>
  <w:style w:type="paragraph" w:customStyle="1" w:styleId="444">
    <w:name w:val="xl79"/>
    <w:basedOn w:val="1"/>
    <w:qFormat/>
    <w:uiPriority w:val="0"/>
    <w:pPr>
      <w:widowControl/>
      <w:spacing w:before="100" w:beforeAutospacing="1" w:after="100" w:afterAutospacing="1"/>
      <w:jc w:val="left"/>
      <w:textAlignment w:val="bottom"/>
    </w:pPr>
    <w:rPr>
      <w:rFonts w:ascii="Helv" w:hAnsi="Helv" w:cs="宋体"/>
      <w:kern w:val="0"/>
      <w:sz w:val="20"/>
      <w:szCs w:val="20"/>
    </w:rPr>
  </w:style>
  <w:style w:type="paragraph" w:customStyle="1" w:styleId="445">
    <w:name w:val="目录2"/>
    <w:basedOn w:val="1"/>
    <w:next w:val="1"/>
    <w:qFormat/>
    <w:uiPriority w:val="0"/>
    <w:pPr>
      <w:widowControl/>
      <w:tabs>
        <w:tab w:val="left" w:leader="dot" w:pos="8503"/>
      </w:tabs>
      <w:spacing w:line="317" w:lineRule="atLeast"/>
      <w:ind w:firstLine="209"/>
      <w:textAlignment w:val="baseline"/>
    </w:pPr>
    <w:rPr>
      <w:color w:val="000000"/>
      <w:kern w:val="0"/>
      <w:szCs w:val="20"/>
    </w:rPr>
  </w:style>
  <w:style w:type="paragraph" w:customStyle="1" w:styleId="446">
    <w:name w:val="Char11"/>
    <w:basedOn w:val="1"/>
    <w:qFormat/>
    <w:uiPriority w:val="0"/>
    <w:rPr>
      <w:szCs w:val="21"/>
    </w:rPr>
  </w:style>
  <w:style w:type="paragraph" w:customStyle="1" w:styleId="447">
    <w:name w:val="正文_5"/>
    <w:qFormat/>
    <w:uiPriority w:val="0"/>
    <w:pPr>
      <w:widowControl w:val="0"/>
      <w:jc w:val="both"/>
    </w:pPr>
    <w:rPr>
      <w:rFonts w:ascii="Calibri" w:hAnsi="Calibri" w:eastAsia="宋体" w:cs="Times New Roman"/>
      <w:kern w:val="2"/>
      <w:sz w:val="21"/>
      <w:szCs w:val="22"/>
      <w:lang w:val="en-US" w:eastAsia="zh-CN" w:bidi="ar-SA"/>
    </w:rPr>
  </w:style>
  <w:style w:type="paragraph" w:customStyle="1" w:styleId="448">
    <w:name w:val="444"/>
    <w:basedOn w:val="1"/>
    <w:qFormat/>
    <w:uiPriority w:val="0"/>
    <w:pPr>
      <w:adjustRightInd w:val="0"/>
      <w:spacing w:line="312" w:lineRule="atLeast"/>
      <w:jc w:val="center"/>
      <w:textAlignment w:val="baseline"/>
    </w:pPr>
    <w:rPr>
      <w:b/>
      <w:kern w:val="0"/>
      <w:sz w:val="36"/>
      <w:szCs w:val="36"/>
    </w:rPr>
  </w:style>
  <w:style w:type="paragraph" w:customStyle="1" w:styleId="449">
    <w:name w:val="xl4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50">
    <w:name w:val="正文 A"/>
    <w:qFormat/>
    <w:uiPriority w:val="0"/>
    <w:pPr>
      <w:widowControl w:val="0"/>
      <w:pBdr>
        <w:top w:val="none" w:color="FFFFFF" w:sz="0" w:space="31"/>
        <w:left w:val="none" w:color="FFFFFF" w:sz="0" w:space="31"/>
        <w:bottom w:val="none" w:color="FFFFFF" w:sz="0" w:space="31"/>
        <w:right w:val="none" w:color="FFFFFF" w:sz="0" w:space="31"/>
      </w:pBdr>
      <w:jc w:val="both"/>
    </w:pPr>
    <w:rPr>
      <w:rFonts w:ascii="Times New Roman" w:hAnsi="Arial Unicode MS" w:eastAsia="Times New Roman" w:cs="Arial Unicode MS"/>
      <w:color w:val="000000"/>
      <w:kern w:val="2"/>
      <w:sz w:val="21"/>
      <w:szCs w:val="21"/>
      <w:lang w:val="en-US" w:eastAsia="zh-CN" w:bidi="ar-SA"/>
    </w:rPr>
  </w:style>
  <w:style w:type="paragraph" w:customStyle="1" w:styleId="451">
    <w:name w:val="pa-0"/>
    <w:basedOn w:val="1"/>
    <w:qFormat/>
    <w:uiPriority w:val="0"/>
    <w:pPr>
      <w:widowControl/>
      <w:spacing w:before="125" w:after="125"/>
      <w:jc w:val="left"/>
    </w:pPr>
    <w:rPr>
      <w:rFonts w:ascii="宋体" w:hAnsi="宋体" w:cs="宋体"/>
      <w:kern w:val="0"/>
      <w:sz w:val="24"/>
    </w:rPr>
  </w:style>
  <w:style w:type="paragraph" w:customStyle="1" w:styleId="452">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453">
    <w:name w:val="样式 标题 2 + 宋体 黑色"/>
    <w:basedOn w:val="3"/>
    <w:qFormat/>
    <w:uiPriority w:val="0"/>
    <w:pPr>
      <w:adjustRightInd w:val="0"/>
      <w:snapToGrid w:val="0"/>
      <w:spacing w:before="0" w:after="0" w:line="360" w:lineRule="auto"/>
      <w:ind w:left="50" w:leftChars="50" w:right="50" w:rightChars="50"/>
    </w:pPr>
    <w:rPr>
      <w:rFonts w:ascii="宋体" w:hAnsi="宋体"/>
      <w:color w:val="000000"/>
    </w:rPr>
  </w:style>
  <w:style w:type="paragraph" w:customStyle="1" w:styleId="454">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kern w:val="0"/>
      <w:sz w:val="20"/>
      <w:szCs w:val="20"/>
    </w:rPr>
  </w:style>
  <w:style w:type="paragraph" w:customStyle="1" w:styleId="455">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kern w:val="0"/>
      <w:sz w:val="20"/>
      <w:szCs w:val="20"/>
    </w:rPr>
  </w:style>
  <w:style w:type="paragraph" w:customStyle="1" w:styleId="456">
    <w:name w:val="样式 标题 2 + (西文) 宋体 非加粗 居中"/>
    <w:basedOn w:val="3"/>
    <w:qFormat/>
    <w:uiPriority w:val="0"/>
    <w:pPr>
      <w:jc w:val="center"/>
    </w:pPr>
    <w:rPr>
      <w:rFonts w:ascii="宋体" w:hAnsi="宋体" w:eastAsia="黑体" w:cs="宋体"/>
      <w:b w:val="0"/>
      <w:bCs w:val="0"/>
      <w:spacing w:val="2"/>
      <w:kern w:val="0"/>
      <w:sz w:val="28"/>
      <w:szCs w:val="20"/>
    </w:rPr>
  </w:style>
  <w:style w:type="paragraph" w:customStyle="1" w:styleId="457">
    <w:name w:val="style24"/>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458">
    <w:name w:val="正文首行缩进两字符"/>
    <w:basedOn w:val="1"/>
    <w:qFormat/>
    <w:uiPriority w:val="0"/>
    <w:pPr>
      <w:spacing w:line="360" w:lineRule="auto"/>
      <w:ind w:firstLine="200" w:firstLineChars="200"/>
    </w:pPr>
  </w:style>
  <w:style w:type="paragraph" w:customStyle="1" w:styleId="459">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460">
    <w:name w:val="表格正文"/>
    <w:basedOn w:val="1"/>
    <w:qFormat/>
    <w:uiPriority w:val="0"/>
    <w:pPr>
      <w:spacing w:before="62" w:after="62" w:line="300" w:lineRule="auto"/>
      <w:jc w:val="left"/>
    </w:pPr>
    <w:rPr>
      <w:rFonts w:ascii="Verdana" w:hAnsi="Verdana" w:cs="宋体"/>
      <w:szCs w:val="21"/>
    </w:rPr>
  </w:style>
  <w:style w:type="paragraph" w:customStyle="1" w:styleId="461">
    <w:name w:val="正文_5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62">
    <w:name w:val="Char Char Char Char Char Char Char Char Char Char Char Char Char Char Char Char"/>
    <w:basedOn w:val="1"/>
    <w:qFormat/>
    <w:uiPriority w:val="0"/>
    <w:pPr>
      <w:tabs>
        <w:tab w:val="left" w:pos="360"/>
      </w:tabs>
      <w:spacing w:line="360" w:lineRule="auto"/>
      <w:ind w:left="482" w:firstLine="200" w:firstLineChars="200"/>
    </w:pPr>
    <w:rPr>
      <w:rFonts w:ascii="宋体"/>
      <w:sz w:val="24"/>
    </w:rPr>
  </w:style>
  <w:style w:type="paragraph" w:customStyle="1" w:styleId="463">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64">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465">
    <w:name w:val="xl84"/>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kern w:val="0"/>
      <w:sz w:val="24"/>
    </w:rPr>
  </w:style>
  <w:style w:type="paragraph" w:customStyle="1" w:styleId="466">
    <w:name w:val="正文_1_0_0"/>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467">
    <w:name w:val="Normal1"/>
    <w:qFormat/>
    <w:uiPriority w:val="99"/>
    <w:rPr>
      <w:rFonts w:ascii="Times New Roman" w:hAnsi="Times New Roman" w:eastAsia="宋体" w:cs="Times New Roman"/>
      <w:sz w:val="24"/>
      <w:szCs w:val="24"/>
      <w:lang w:val="en-US" w:eastAsia="zh-CN" w:bidi="ar-SA"/>
    </w:rPr>
  </w:style>
  <w:style w:type="paragraph" w:customStyle="1" w:styleId="468">
    <w:name w:val="Normal_0_0"/>
    <w:basedOn w:val="420"/>
    <w:qFormat/>
    <w:uiPriority w:val="0"/>
    <w:pPr>
      <w:widowControl/>
    </w:pPr>
    <w:rPr>
      <w:rFonts w:ascii="Calibri" w:hAnsi="Calibri"/>
      <w:szCs w:val="21"/>
    </w:rPr>
  </w:style>
  <w:style w:type="paragraph" w:customStyle="1" w:styleId="469">
    <w:name w:val="reader-word-layer_0"/>
    <w:basedOn w:val="254"/>
    <w:qFormat/>
    <w:uiPriority w:val="99"/>
    <w:pPr>
      <w:widowControl/>
      <w:spacing w:before="100" w:beforeAutospacing="1" w:after="100" w:afterAutospacing="1"/>
      <w:jc w:val="left"/>
    </w:pPr>
    <w:rPr>
      <w:rFonts w:ascii="宋体" w:hAnsi="宋体" w:cs="宋体"/>
      <w:kern w:val="0"/>
      <w:sz w:val="24"/>
      <w:szCs w:val="24"/>
    </w:rPr>
  </w:style>
  <w:style w:type="paragraph" w:customStyle="1" w:styleId="470">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471">
    <w:name w:val="xl88"/>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24"/>
    </w:rPr>
  </w:style>
  <w:style w:type="paragraph" w:customStyle="1" w:styleId="472">
    <w:name w:val="MsoNormal"/>
    <w:basedOn w:val="75"/>
    <w:qFormat/>
    <w:uiPriority w:val="0"/>
    <w:pPr>
      <w:widowControl/>
      <w:spacing w:line="240" w:lineRule="auto"/>
      <w:ind w:firstLine="0" w:firstLineChars="0"/>
    </w:pPr>
    <w:rPr>
      <w:rFonts w:ascii="Calibri" w:hAnsi="Calibri" w:eastAsia="Calibri"/>
      <w:color w:val="auto"/>
      <w:sz w:val="21"/>
      <w:lang w:eastAsia="zh-CN" w:bidi="ar-SA"/>
    </w:rPr>
  </w:style>
  <w:style w:type="paragraph" w:customStyle="1" w:styleId="473">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474">
    <w:name w:val="正文 A A"/>
    <w:qFormat/>
    <w:uiPriority w:val="0"/>
    <w:pPr>
      <w:widowControl w:val="0"/>
      <w:pBdr>
        <w:top w:val="none" w:color="FFFFFF" w:sz="0" w:space="31"/>
        <w:left w:val="none" w:color="FFFFFF" w:sz="0" w:space="31"/>
        <w:bottom w:val="none" w:color="FFFFFF" w:sz="0" w:space="31"/>
        <w:right w:val="none" w:color="FFFFFF" w:sz="0" w:space="31"/>
      </w:pBdr>
      <w:jc w:val="both"/>
    </w:pPr>
    <w:rPr>
      <w:rFonts w:ascii="宋体" w:hAnsi="宋体" w:eastAsia="宋体" w:cs="宋体"/>
      <w:color w:val="000000"/>
      <w:kern w:val="2"/>
      <w:sz w:val="21"/>
      <w:szCs w:val="21"/>
      <w:lang w:val="en-US" w:eastAsia="zh-CN" w:bidi="ar-SA"/>
    </w:rPr>
  </w:style>
  <w:style w:type="paragraph" w:customStyle="1" w:styleId="475">
    <w:name w:val="4"/>
    <w:basedOn w:val="1"/>
    <w:next w:val="32"/>
    <w:qFormat/>
    <w:uiPriority w:val="0"/>
    <w:pPr>
      <w:spacing w:line="420" w:lineRule="exact"/>
      <w:ind w:firstLine="409" w:firstLineChars="195"/>
    </w:pPr>
  </w:style>
  <w:style w:type="paragraph" w:customStyle="1" w:styleId="476">
    <w:name w:val="2ji"/>
    <w:basedOn w:val="3"/>
    <w:qFormat/>
    <w:uiPriority w:val="0"/>
    <w:pPr>
      <w:adjustRightInd w:val="0"/>
      <w:spacing w:before="0" w:after="0" w:line="360" w:lineRule="auto"/>
      <w:textAlignment w:val="baseline"/>
    </w:pPr>
    <w:rPr>
      <w:rFonts w:ascii="宋体" w:hAnsi="宋体"/>
      <w:kern w:val="0"/>
      <w:sz w:val="21"/>
      <w:szCs w:val="21"/>
    </w:rPr>
  </w:style>
  <w:style w:type="paragraph" w:customStyle="1" w:styleId="477">
    <w:name w:val="正文_4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78">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479">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480">
    <w:name w:val="Char3"/>
    <w:basedOn w:val="1"/>
    <w:qFormat/>
    <w:uiPriority w:val="0"/>
    <w:rPr>
      <w:szCs w:val="20"/>
    </w:rPr>
  </w:style>
  <w:style w:type="paragraph" w:customStyle="1" w:styleId="481">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kern w:val="0"/>
      <w:sz w:val="20"/>
      <w:szCs w:val="20"/>
    </w:rPr>
  </w:style>
  <w:style w:type="paragraph" w:customStyle="1" w:styleId="482">
    <w:name w:val="样式 正文文本缩进 + 左侧:  2 字符"/>
    <w:basedOn w:val="1"/>
    <w:next w:val="1"/>
    <w:qFormat/>
    <w:uiPriority w:val="0"/>
    <w:pPr>
      <w:adjustRightInd w:val="0"/>
      <w:spacing w:line="360" w:lineRule="auto"/>
      <w:ind w:firstLine="200" w:firstLineChars="200"/>
      <w:jc w:val="left"/>
    </w:pPr>
    <w:rPr>
      <w:rFonts w:ascii="宋体" w:cs="宋体"/>
      <w:sz w:val="24"/>
      <w:szCs w:val="20"/>
    </w:rPr>
  </w:style>
  <w:style w:type="paragraph" w:customStyle="1" w:styleId="483">
    <w:name w:val="默认段落字体 Para Char Char Char Char Char Char Char Char Char Char"/>
    <w:basedOn w:val="1"/>
    <w:qFormat/>
    <w:uiPriority w:val="0"/>
    <w:rPr>
      <w:rFonts w:ascii="Tahoma" w:hAnsi="Tahoma"/>
      <w:sz w:val="24"/>
      <w:u w:val="single"/>
    </w:rPr>
  </w:style>
  <w:style w:type="paragraph" w:customStyle="1" w:styleId="484">
    <w:name w:val="正文缩进1"/>
    <w:basedOn w:val="1"/>
    <w:qFormat/>
    <w:uiPriority w:val="0"/>
    <w:pPr>
      <w:tabs>
        <w:tab w:val="left" w:pos="0"/>
      </w:tabs>
      <w:snapToGrid w:val="0"/>
      <w:spacing w:line="360" w:lineRule="auto"/>
      <w:ind w:firstLine="502"/>
    </w:pPr>
    <w:rPr>
      <w:rFonts w:ascii="宋体" w:hAnsi="宋体"/>
      <w:szCs w:val="21"/>
    </w:rPr>
  </w:style>
  <w:style w:type="paragraph" w:customStyle="1" w:styleId="485">
    <w:name w:val="样式 首行缩进:  2 字符"/>
    <w:basedOn w:val="1"/>
    <w:qFormat/>
    <w:uiPriority w:val="0"/>
    <w:pPr>
      <w:spacing w:line="400" w:lineRule="exact"/>
      <w:ind w:firstLine="200" w:firstLineChars="200"/>
    </w:pPr>
    <w:rPr>
      <w:rFonts w:cs="宋体"/>
      <w:sz w:val="24"/>
    </w:rPr>
  </w:style>
  <w:style w:type="paragraph" w:customStyle="1" w:styleId="486">
    <w:name w:val="Default Paragraph Font Para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487">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488">
    <w:name w:val="默认"/>
    <w:qFormat/>
    <w:uiPriority w:val="0"/>
    <w:pPr>
      <w:pBdr>
        <w:top w:val="none" w:color="FFFFFF" w:sz="0" w:space="31"/>
        <w:left w:val="none" w:color="FFFFFF" w:sz="0" w:space="31"/>
        <w:bottom w:val="none" w:color="FFFFFF" w:sz="0" w:space="31"/>
        <w:right w:val="none" w:color="FFFFFF" w:sz="0" w:space="31"/>
      </w:pBdr>
    </w:pPr>
    <w:rPr>
      <w:rFonts w:ascii="Helvetica" w:hAnsi="Arial Unicode MS" w:eastAsia="Times New Roman" w:cs="Arial Unicode MS"/>
      <w:color w:val="000000"/>
      <w:sz w:val="22"/>
      <w:szCs w:val="22"/>
      <w:lang w:val="zh-TW" w:eastAsia="zh-TW" w:bidi="ar-SA"/>
    </w:rPr>
  </w:style>
  <w:style w:type="paragraph" w:customStyle="1" w:styleId="489">
    <w:name w:val="无间隔2"/>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490">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20"/>
      <w:szCs w:val="20"/>
    </w:rPr>
  </w:style>
  <w:style w:type="paragraph" w:customStyle="1" w:styleId="491">
    <w:name w:val="正文_1_0"/>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492">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kern w:val="0"/>
      <w:sz w:val="20"/>
      <w:szCs w:val="20"/>
    </w:rPr>
  </w:style>
  <w:style w:type="paragraph" w:customStyle="1" w:styleId="493">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94">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495">
    <w:name w:val="Char1 Char Char Char"/>
    <w:basedOn w:val="1"/>
    <w:qFormat/>
    <w:uiPriority w:val="0"/>
    <w:rPr>
      <w:rFonts w:ascii="Tahoma" w:hAnsi="Tahoma"/>
      <w:sz w:val="24"/>
      <w:szCs w:val="20"/>
    </w:rPr>
  </w:style>
  <w:style w:type="paragraph" w:customStyle="1" w:styleId="496">
    <w:name w:val="正文_2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97">
    <w:name w:val="t11"/>
    <w:basedOn w:val="2"/>
    <w:qFormat/>
    <w:uiPriority w:val="0"/>
    <w:pPr>
      <w:spacing w:line="400" w:lineRule="exact"/>
      <w:jc w:val="center"/>
    </w:pPr>
    <w:rPr>
      <w:rFonts w:hAnsi="宋体"/>
      <w:bCs w:val="0"/>
      <w:sz w:val="32"/>
      <w:szCs w:val="32"/>
    </w:rPr>
  </w:style>
  <w:style w:type="paragraph" w:customStyle="1" w:styleId="498">
    <w:name w:val="菲页2"/>
    <w:basedOn w:val="4"/>
    <w:qFormat/>
    <w:uiPriority w:val="0"/>
    <w:pPr>
      <w:widowControl/>
      <w:tabs>
        <w:tab w:val="left" w:pos="1800"/>
      </w:tabs>
      <w:spacing w:before="120" w:after="120" w:line="360" w:lineRule="auto"/>
      <w:ind w:left="1800" w:hanging="420"/>
      <w:jc w:val="center"/>
    </w:pPr>
    <w:rPr>
      <w:rFonts w:ascii="黑体" w:hAnsi="宋体" w:eastAsia="黑体"/>
      <w:b w:val="0"/>
      <w:bCs w:val="0"/>
      <w:kern w:val="0"/>
      <w:sz w:val="44"/>
      <w:szCs w:val="20"/>
    </w:rPr>
  </w:style>
  <w:style w:type="paragraph" w:customStyle="1" w:styleId="499">
    <w:name w:val="style110"/>
    <w:basedOn w:val="1"/>
    <w:qFormat/>
    <w:uiPriority w:val="0"/>
    <w:pPr>
      <w:widowControl/>
      <w:spacing w:before="100" w:beforeAutospacing="1" w:after="100" w:afterAutospacing="1"/>
      <w:jc w:val="left"/>
    </w:pPr>
    <w:rPr>
      <w:rFonts w:ascii="宋体" w:hAnsi="宋体" w:cs="宋体"/>
      <w:kern w:val="0"/>
      <w:sz w:val="24"/>
    </w:rPr>
  </w:style>
  <w:style w:type="paragraph" w:customStyle="1" w:styleId="500">
    <w:name w:val="目录标题"/>
    <w:basedOn w:val="1"/>
    <w:next w:val="1"/>
    <w:qFormat/>
    <w:uiPriority w:val="0"/>
    <w:pPr>
      <w:widowControl/>
      <w:spacing w:before="566" w:after="544" w:line="566" w:lineRule="atLeast"/>
      <w:ind w:firstLine="419"/>
      <w:jc w:val="center"/>
      <w:textAlignment w:val="baseline"/>
    </w:pPr>
    <w:rPr>
      <w:rFonts w:ascii="Arial" w:eastAsia="黑体"/>
      <w:color w:val="000000"/>
      <w:spacing w:val="566"/>
      <w:kern w:val="0"/>
      <w:sz w:val="54"/>
      <w:szCs w:val="20"/>
    </w:rPr>
  </w:style>
  <w:style w:type="paragraph" w:customStyle="1" w:styleId="501">
    <w:name w:val="菲页1"/>
    <w:basedOn w:val="3"/>
    <w:qFormat/>
    <w:uiPriority w:val="0"/>
    <w:pPr>
      <w:widowControl/>
      <w:jc w:val="center"/>
    </w:pPr>
    <w:rPr>
      <w:rFonts w:ascii="黑体" w:hAnsi="宋体"/>
      <w:b w:val="0"/>
      <w:bCs w:val="0"/>
      <w:kern w:val="0"/>
      <w:sz w:val="52"/>
      <w:szCs w:val="20"/>
    </w:rPr>
  </w:style>
  <w:style w:type="paragraph" w:customStyle="1" w:styleId="502">
    <w:name w:val="Char Char3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503">
    <w:name w:val="标题 1_2"/>
    <w:basedOn w:val="254"/>
    <w:next w:val="254"/>
    <w:qFormat/>
    <w:uiPriority w:val="99"/>
    <w:pPr>
      <w:keepNext/>
      <w:keepLines/>
      <w:spacing w:line="360" w:lineRule="auto"/>
      <w:outlineLvl w:val="0"/>
    </w:pPr>
    <w:rPr>
      <w:rFonts w:ascii="Times New Roman" w:hAnsi="Times New Roman"/>
      <w:b/>
      <w:bCs/>
      <w:kern w:val="44"/>
      <w:sz w:val="32"/>
      <w:szCs w:val="44"/>
    </w:rPr>
  </w:style>
  <w:style w:type="paragraph" w:customStyle="1" w:styleId="5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05">
    <w:name w:val="正文_4_0_0"/>
    <w:basedOn w:val="1"/>
    <w:qFormat/>
    <w:uiPriority w:val="0"/>
    <w:rPr>
      <w:rFonts w:ascii="Calibri" w:hAnsi="Calibri"/>
      <w:szCs w:val="21"/>
    </w:rPr>
  </w:style>
  <w:style w:type="paragraph" w:customStyle="1" w:styleId="506">
    <w:name w:val="3级"/>
    <w:basedOn w:val="1"/>
    <w:qFormat/>
    <w:uiPriority w:val="0"/>
    <w:pPr>
      <w:spacing w:line="360" w:lineRule="auto"/>
      <w:outlineLvl w:val="2"/>
    </w:pPr>
    <w:rPr>
      <w:rFonts w:eastAsia="华文仿宋"/>
      <w:sz w:val="30"/>
    </w:rPr>
  </w:style>
  <w:style w:type="paragraph" w:customStyle="1" w:styleId="507">
    <w:name w:val="目录文字"/>
    <w:basedOn w:val="1"/>
    <w:qFormat/>
    <w:uiPriority w:val="0"/>
    <w:pPr>
      <w:widowControl/>
      <w:spacing w:line="480" w:lineRule="auto"/>
      <w:jc w:val="left"/>
    </w:pPr>
    <w:rPr>
      <w:rFonts w:ascii="宋体" w:hAnsi="宋体"/>
      <w:kern w:val="0"/>
      <w:sz w:val="24"/>
      <w:szCs w:val="20"/>
    </w:rPr>
  </w:style>
  <w:style w:type="paragraph" w:customStyle="1" w:styleId="508">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509">
    <w:name w:val="默认段落字体 Para Char Char Char Char"/>
    <w:basedOn w:val="1"/>
    <w:qFormat/>
    <w:uiPriority w:val="0"/>
  </w:style>
  <w:style w:type="paragraph" w:customStyle="1" w:styleId="510">
    <w:name w:val="2级"/>
    <w:basedOn w:val="1"/>
    <w:qFormat/>
    <w:uiPriority w:val="0"/>
    <w:pPr>
      <w:spacing w:beforeLines="50" w:line="360" w:lineRule="auto"/>
      <w:outlineLvl w:val="1"/>
    </w:pPr>
    <w:rPr>
      <w:rFonts w:eastAsia="黑体"/>
      <w:sz w:val="32"/>
    </w:rPr>
  </w:style>
  <w:style w:type="paragraph" w:customStyle="1" w:styleId="511">
    <w:name w:val="修订12"/>
    <w:qFormat/>
    <w:uiPriority w:val="99"/>
    <w:rPr>
      <w:rFonts w:ascii="Calibri" w:hAnsi="Calibri" w:eastAsia="宋体" w:cs="Times New Roman"/>
      <w:kern w:val="2"/>
      <w:sz w:val="21"/>
      <w:szCs w:val="24"/>
      <w:lang w:val="en-US" w:eastAsia="zh-CN" w:bidi="ar-SA"/>
    </w:rPr>
  </w:style>
  <w:style w:type="paragraph" w:customStyle="1" w:styleId="512">
    <w:name w:val="xl82"/>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cs="宋体"/>
      <w:kern w:val="0"/>
      <w:sz w:val="24"/>
    </w:rPr>
  </w:style>
  <w:style w:type="paragraph" w:customStyle="1" w:styleId="513">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514">
    <w:name w:val="1级"/>
    <w:basedOn w:val="2"/>
    <w:qFormat/>
    <w:uiPriority w:val="0"/>
    <w:pPr>
      <w:keepNext w:val="0"/>
      <w:spacing w:line="520" w:lineRule="exact"/>
      <w:jc w:val="center"/>
    </w:pPr>
    <w:rPr>
      <w:rFonts w:ascii="黑体" w:eastAsia="黑体"/>
      <w:b w:val="0"/>
    </w:rPr>
  </w:style>
  <w:style w:type="paragraph" w:customStyle="1" w:styleId="515">
    <w:name w:val="页眉与页脚"/>
    <w:qFormat/>
    <w:uiPriority w:val="0"/>
    <w:pPr>
      <w:tabs>
        <w:tab w:val="right" w:pos="9020"/>
      </w:tabs>
    </w:pPr>
    <w:rPr>
      <w:rFonts w:ascii="Helvetica" w:hAnsi="Arial Unicode MS" w:eastAsia="Arial Unicode MS" w:cs="Arial Unicode MS"/>
      <w:color w:val="000000"/>
      <w:sz w:val="24"/>
      <w:szCs w:val="24"/>
      <w:lang w:val="en-US" w:eastAsia="zh-CN" w:bidi="ar-SA"/>
    </w:rPr>
  </w:style>
  <w:style w:type="paragraph" w:customStyle="1" w:styleId="51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517">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518">
    <w:name w:val="TOC 标题2"/>
    <w:basedOn w:val="2"/>
    <w:next w:val="1"/>
    <w:unhideWhenUsed/>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519">
    <w:name w:val="Char Char Char Char Char Char Char Char Char Char Char Char Char"/>
    <w:basedOn w:val="17"/>
    <w:qFormat/>
    <w:uiPriority w:val="0"/>
    <w:rPr>
      <w:rFonts w:ascii="Tahoma" w:hAnsi="Tahoma"/>
      <w:shd w:val="clear" w:color="auto" w:fill="auto"/>
    </w:rPr>
  </w:style>
  <w:style w:type="paragraph" w:customStyle="1" w:styleId="520">
    <w:name w:val="目录3"/>
    <w:basedOn w:val="1"/>
    <w:next w:val="1"/>
    <w:qFormat/>
    <w:uiPriority w:val="0"/>
    <w:pPr>
      <w:widowControl/>
      <w:tabs>
        <w:tab w:val="left" w:leader="dot" w:pos="8503"/>
      </w:tabs>
      <w:spacing w:line="317" w:lineRule="atLeast"/>
      <w:ind w:firstLine="419"/>
      <w:textAlignment w:val="baseline"/>
    </w:pPr>
    <w:rPr>
      <w:color w:val="000000"/>
      <w:kern w:val="0"/>
      <w:szCs w:val="20"/>
    </w:rPr>
  </w:style>
  <w:style w:type="paragraph" w:customStyle="1" w:styleId="521">
    <w:name w:val="目录1"/>
    <w:basedOn w:val="1"/>
    <w:next w:val="1"/>
    <w:qFormat/>
    <w:uiPriority w:val="0"/>
    <w:pPr>
      <w:widowControl/>
      <w:tabs>
        <w:tab w:val="left" w:leader="dot" w:pos="8503"/>
      </w:tabs>
      <w:spacing w:after="136" w:line="289" w:lineRule="atLeast"/>
      <w:jc w:val="left"/>
      <w:textAlignment w:val="baseline"/>
    </w:pPr>
    <w:rPr>
      <w:rFonts w:ascii="Arial" w:eastAsia="黑体"/>
      <w:color w:val="000000"/>
      <w:kern w:val="0"/>
      <w:sz w:val="28"/>
      <w:szCs w:val="20"/>
    </w:rPr>
  </w:style>
  <w:style w:type="paragraph" w:customStyle="1" w:styleId="522">
    <w:name w:val="无间隔_0"/>
    <w:basedOn w:val="420"/>
    <w:qFormat/>
    <w:uiPriority w:val="0"/>
    <w:rPr>
      <w:rFonts w:ascii="Calibri" w:hAnsi="Calibri"/>
      <w:szCs w:val="21"/>
    </w:rPr>
  </w:style>
  <w:style w:type="paragraph" w:customStyle="1" w:styleId="523">
    <w:name w:val="Copyright"/>
    <w:basedOn w:val="1"/>
    <w:qFormat/>
    <w:uiPriority w:val="99"/>
    <w:pPr>
      <w:widowControl/>
      <w:spacing w:before="480" w:after="60" w:line="300" w:lineRule="auto"/>
      <w:ind w:firstLine="200" w:firstLineChars="200"/>
      <w:jc w:val="center"/>
    </w:pPr>
    <w:rPr>
      <w:rFonts w:ascii="Trebuchet MS" w:hAnsi="Trebuchet MS" w:cs="Trebuchet MS"/>
      <w:b/>
      <w:color w:val="042D56"/>
      <w:kern w:val="0"/>
      <w:sz w:val="20"/>
      <w:lang w:val="en-AU" w:eastAsia="en-AU"/>
    </w:rPr>
  </w:style>
  <w:style w:type="paragraph" w:customStyle="1" w:styleId="524">
    <w:name w:val="正文缩进2"/>
    <w:basedOn w:val="1"/>
    <w:qFormat/>
    <w:uiPriority w:val="0"/>
    <w:pPr>
      <w:tabs>
        <w:tab w:val="left" w:pos="0"/>
      </w:tabs>
      <w:snapToGrid w:val="0"/>
      <w:spacing w:line="360" w:lineRule="auto"/>
      <w:ind w:firstLine="502"/>
    </w:pPr>
    <w:rPr>
      <w:rFonts w:ascii="宋体" w:hAnsi="宋体"/>
      <w:szCs w:val="21"/>
    </w:rPr>
  </w:style>
  <w:style w:type="paragraph" w:customStyle="1" w:styleId="525">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526">
    <w:name w:val="paragraph1"/>
    <w:basedOn w:val="1"/>
    <w:qFormat/>
    <w:uiPriority w:val="0"/>
    <w:pPr>
      <w:spacing w:afterLines="20" w:line="300" w:lineRule="auto"/>
      <w:ind w:firstLine="200" w:firstLineChars="200"/>
    </w:pPr>
    <w:rPr>
      <w:sz w:val="24"/>
    </w:rPr>
  </w:style>
  <w:style w:type="paragraph" w:customStyle="1" w:styleId="527">
    <w:name w:val="Char Char Char Char Char Char Char Char Char Char Char Char Char Char"/>
    <w:basedOn w:val="1"/>
    <w:qFormat/>
    <w:uiPriority w:val="0"/>
  </w:style>
  <w:style w:type="paragraph" w:customStyle="1" w:styleId="528">
    <w:name w:val="font0"/>
    <w:basedOn w:val="1"/>
    <w:qFormat/>
    <w:uiPriority w:val="0"/>
    <w:pPr>
      <w:widowControl/>
      <w:spacing w:before="100" w:beforeAutospacing="1" w:after="100" w:afterAutospacing="1"/>
      <w:jc w:val="left"/>
    </w:pPr>
    <w:rPr>
      <w:rFonts w:ascii="宋体" w:hAnsi="宋体" w:cs="宋体"/>
      <w:kern w:val="0"/>
      <w:sz w:val="24"/>
    </w:rPr>
  </w:style>
  <w:style w:type="paragraph" w:customStyle="1" w:styleId="529">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530">
    <w:name w:val="表格"/>
    <w:basedOn w:val="1"/>
    <w:qFormat/>
    <w:uiPriority w:val="0"/>
    <w:pPr>
      <w:spacing w:line="400" w:lineRule="exact"/>
    </w:pPr>
    <w:rPr>
      <w:sz w:val="24"/>
    </w:rPr>
  </w:style>
  <w:style w:type="paragraph" w:customStyle="1" w:styleId="531">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20"/>
      <w:szCs w:val="20"/>
    </w:rPr>
  </w:style>
  <w:style w:type="paragraph" w:customStyle="1" w:styleId="532">
    <w:name w:val="样式3"/>
    <w:basedOn w:val="21"/>
    <w:qFormat/>
    <w:uiPriority w:val="0"/>
    <w:pPr>
      <w:spacing w:line="360" w:lineRule="auto"/>
    </w:pPr>
    <w:rPr>
      <w:rFonts w:ascii="宋体"/>
    </w:rPr>
  </w:style>
  <w:style w:type="paragraph" w:customStyle="1" w:styleId="533">
    <w:name w:val="xl87"/>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b/>
      <w:bCs/>
      <w:kern w:val="0"/>
      <w:sz w:val="24"/>
    </w:rPr>
  </w:style>
  <w:style w:type="paragraph" w:customStyle="1" w:styleId="534">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535">
    <w:name w:val="font8"/>
    <w:basedOn w:val="1"/>
    <w:qFormat/>
    <w:uiPriority w:val="0"/>
    <w:pPr>
      <w:widowControl/>
      <w:spacing w:before="100" w:beforeAutospacing="1" w:after="100" w:afterAutospacing="1"/>
      <w:jc w:val="left"/>
    </w:pPr>
    <w:rPr>
      <w:rFonts w:ascii="宋体" w:hAnsi="宋体" w:cs="宋体"/>
      <w:b/>
      <w:bCs/>
      <w:kern w:val="0"/>
      <w:sz w:val="20"/>
      <w:szCs w:val="20"/>
    </w:rPr>
  </w:style>
  <w:style w:type="paragraph" w:customStyle="1" w:styleId="536">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537">
    <w:name w:val="正文_0_0_0"/>
    <w:basedOn w:val="420"/>
    <w:qFormat/>
    <w:uiPriority w:val="0"/>
    <w:rPr>
      <w:rFonts w:ascii="Calibri" w:hAnsi="Calibri"/>
      <w:szCs w:val="21"/>
    </w:rPr>
  </w:style>
  <w:style w:type="paragraph" w:customStyle="1" w:styleId="538">
    <w:name w:val="无间隔2_0"/>
    <w:basedOn w:val="420"/>
    <w:qFormat/>
    <w:uiPriority w:val="0"/>
    <w:rPr>
      <w:rFonts w:ascii="Calibri" w:hAnsi="Calibri"/>
      <w:szCs w:val="21"/>
    </w:rPr>
  </w:style>
  <w:style w:type="paragraph" w:customStyle="1" w:styleId="539">
    <w:name w:val="表格样式 2"/>
    <w:qFormat/>
    <w:uiPriority w:val="0"/>
    <w:pPr>
      <w:pBdr>
        <w:top w:val="none" w:color="FFFFFF" w:sz="0" w:space="31"/>
        <w:left w:val="none" w:color="FFFFFF" w:sz="0" w:space="31"/>
        <w:bottom w:val="none" w:color="FFFFFF" w:sz="0" w:space="31"/>
        <w:right w:val="none" w:color="FFFFFF" w:sz="0" w:space="31"/>
      </w:pBdr>
    </w:pPr>
    <w:rPr>
      <w:rFonts w:ascii="Helvetica" w:hAnsi="Helvetica" w:eastAsia="Times New Roman" w:cs="Helvetica"/>
      <w:color w:val="000000"/>
      <w:lang w:val="en-US" w:eastAsia="zh-CN" w:bidi="ar-SA"/>
    </w:rPr>
  </w:style>
  <w:style w:type="paragraph" w:customStyle="1" w:styleId="540">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541">
    <w:name w:val="font10"/>
    <w:basedOn w:val="1"/>
    <w:qFormat/>
    <w:uiPriority w:val="0"/>
    <w:pPr>
      <w:widowControl/>
      <w:spacing w:before="100" w:beforeAutospacing="1" w:after="100" w:afterAutospacing="1"/>
      <w:jc w:val="left"/>
    </w:pPr>
    <w:rPr>
      <w:rFonts w:ascii="宋体" w:hAnsi="宋体" w:cs="宋体"/>
      <w:b/>
      <w:bCs/>
      <w:szCs w:val="21"/>
    </w:rPr>
  </w:style>
  <w:style w:type="paragraph" w:customStyle="1" w:styleId="542">
    <w:name w:val="slStyle10"/>
    <w:basedOn w:val="1"/>
    <w:next w:val="1"/>
    <w:qFormat/>
    <w:uiPriority w:val="0"/>
    <w:pPr>
      <w:suppressAutoHyphens/>
      <w:kinsoku w:val="0"/>
      <w:overflowPunct w:val="0"/>
      <w:autoSpaceDE w:val="0"/>
      <w:autoSpaceDN w:val="0"/>
      <w:adjustRightInd w:val="0"/>
      <w:spacing w:line="440" w:lineRule="exact"/>
      <w:jc w:val="center"/>
    </w:pPr>
    <w:rPr>
      <w:rFonts w:ascii="宋体" w:hAnsi="宋体"/>
      <w:color w:val="000000"/>
      <w:sz w:val="24"/>
    </w:rPr>
  </w:style>
  <w:style w:type="paragraph" w:customStyle="1" w:styleId="543">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544">
    <w:name w:val="Char Char Char Char Char Char1 Char"/>
    <w:basedOn w:val="1"/>
    <w:qFormat/>
    <w:uiPriority w:val="0"/>
    <w:pPr>
      <w:widowControl/>
      <w:spacing w:after="160" w:line="240" w:lineRule="exact"/>
      <w:jc w:val="left"/>
    </w:pPr>
    <w:rPr>
      <w:rFonts w:eastAsia="仿宋_GB2312" w:cs="宋体"/>
      <w:kern w:val="0"/>
      <w:szCs w:val="20"/>
      <w:lang w:eastAsia="en-US"/>
    </w:rPr>
  </w:style>
  <w:style w:type="paragraph" w:customStyle="1" w:styleId="545">
    <w:name w:val="Char1 Char Char Char Char Char Char1"/>
    <w:basedOn w:val="1"/>
    <w:qFormat/>
    <w:uiPriority w:val="0"/>
    <w:pPr>
      <w:widowControl/>
      <w:spacing w:after="160" w:line="240" w:lineRule="exact"/>
      <w:jc w:val="left"/>
    </w:pPr>
  </w:style>
  <w:style w:type="paragraph" w:customStyle="1" w:styleId="546">
    <w:name w:val="Char Char Char Char Char Char Char Char Char Char1"/>
    <w:basedOn w:val="17"/>
    <w:qFormat/>
    <w:uiPriority w:val="0"/>
    <w:pPr>
      <w:keepNext/>
      <w:spacing w:beforeLines="100"/>
    </w:pPr>
    <w:rPr>
      <w:rFonts w:ascii="Tahoma" w:hAnsi="Tahoma"/>
      <w:shd w:val="clear" w:color="auto" w:fill="auto"/>
    </w:rPr>
  </w:style>
  <w:style w:type="paragraph" w:customStyle="1" w:styleId="547">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548">
    <w:name w:val="_Style 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4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550">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51">
    <w:name w:val="Char Char Char1 Char"/>
    <w:basedOn w:val="1"/>
    <w:qFormat/>
    <w:uiPriority w:val="0"/>
    <w:rPr>
      <w:szCs w:val="21"/>
    </w:rPr>
  </w:style>
  <w:style w:type="paragraph" w:customStyle="1" w:styleId="552">
    <w:name w:val="_Style 35"/>
    <w:basedOn w:val="17"/>
    <w:qFormat/>
    <w:uiPriority w:val="0"/>
    <w:pPr>
      <w:widowControl/>
      <w:ind w:firstLine="454"/>
      <w:jc w:val="left"/>
    </w:pPr>
    <w:rPr>
      <w:sz w:val="21"/>
      <w:shd w:val="clear" w:color="auto" w:fill="auto"/>
    </w:rPr>
  </w:style>
  <w:style w:type="paragraph" w:customStyle="1" w:styleId="553">
    <w:name w:val="Char Char Char"/>
    <w:basedOn w:val="1"/>
    <w:qFormat/>
    <w:uiPriority w:val="0"/>
  </w:style>
  <w:style w:type="paragraph" w:customStyle="1" w:styleId="554">
    <w:name w:val="目录4"/>
    <w:basedOn w:val="1"/>
    <w:next w:val="1"/>
    <w:qFormat/>
    <w:uiPriority w:val="0"/>
    <w:pPr>
      <w:widowControl/>
      <w:tabs>
        <w:tab w:val="left" w:leader="dot" w:pos="8503"/>
      </w:tabs>
      <w:spacing w:line="317" w:lineRule="atLeast"/>
      <w:ind w:firstLine="629"/>
      <w:textAlignment w:val="baseline"/>
    </w:pPr>
    <w:rPr>
      <w:color w:val="000000"/>
      <w:kern w:val="0"/>
      <w:szCs w:val="20"/>
    </w:rPr>
  </w:style>
  <w:style w:type="paragraph" w:customStyle="1" w:styleId="555">
    <w:name w:val="xl2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kern w:val="0"/>
      <w:sz w:val="20"/>
      <w:szCs w:val="20"/>
    </w:rPr>
  </w:style>
  <w:style w:type="paragraph" w:customStyle="1" w:styleId="556">
    <w:name w:val="msolistparagraph"/>
    <w:basedOn w:val="1"/>
    <w:qFormat/>
    <w:uiPriority w:val="0"/>
    <w:pPr>
      <w:widowControl/>
      <w:ind w:firstLine="420"/>
      <w:jc w:val="left"/>
    </w:pPr>
    <w:rPr>
      <w:rFonts w:ascii="宋体" w:hAnsi="宋体" w:cs="宋体"/>
      <w:kern w:val="0"/>
      <w:sz w:val="24"/>
    </w:rPr>
  </w:style>
  <w:style w:type="paragraph" w:customStyle="1" w:styleId="557">
    <w:name w:val="目录"/>
    <w:basedOn w:val="1"/>
    <w:qFormat/>
    <w:uiPriority w:val="0"/>
    <w:pPr>
      <w:widowControl/>
      <w:jc w:val="center"/>
    </w:pPr>
    <w:rPr>
      <w:rFonts w:ascii="宋体"/>
      <w:b/>
      <w:kern w:val="0"/>
      <w:sz w:val="36"/>
      <w:szCs w:val="20"/>
    </w:rPr>
  </w:style>
  <w:style w:type="paragraph" w:customStyle="1" w:styleId="558">
    <w:name w:val="bb"/>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559">
    <w:name w:val="列出段落11"/>
    <w:basedOn w:val="1"/>
    <w:qFormat/>
    <w:uiPriority w:val="34"/>
    <w:pPr>
      <w:ind w:firstLine="420" w:firstLineChars="200"/>
    </w:pPr>
    <w:rPr>
      <w:sz w:val="24"/>
    </w:rPr>
  </w:style>
  <w:style w:type="character" w:customStyle="1" w:styleId="560">
    <w:name w:val="访问过的超链接2"/>
    <w:qFormat/>
    <w:uiPriority w:val="99"/>
    <w:rPr>
      <w:color w:val="800080"/>
      <w:u w:val="single"/>
    </w:rPr>
  </w:style>
  <w:style w:type="character" w:customStyle="1" w:styleId="561">
    <w:name w:val="书籍标题2"/>
    <w:basedOn w:val="57"/>
    <w:qFormat/>
    <w:uiPriority w:val="99"/>
    <w:rPr>
      <w:b/>
      <w:bCs/>
      <w:smallCaps/>
      <w:spacing w:val="5"/>
    </w:rPr>
  </w:style>
  <w:style w:type="character" w:customStyle="1" w:styleId="562">
    <w:name w:val="不明显参考11"/>
    <w:qFormat/>
    <w:uiPriority w:val="99"/>
    <w:rPr>
      <w:smallCaps/>
      <w:color w:val="auto"/>
      <w:u w:val="single"/>
    </w:rPr>
  </w:style>
  <w:style w:type="character" w:customStyle="1" w:styleId="563">
    <w:name w:val="不明显强调2"/>
    <w:basedOn w:val="57"/>
    <w:qFormat/>
    <w:uiPriority w:val="99"/>
    <w:rPr>
      <w:i/>
      <w:iCs/>
      <w:color w:val="808080"/>
    </w:rPr>
  </w:style>
  <w:style w:type="character" w:customStyle="1" w:styleId="564">
    <w:name w:val="明显参考2"/>
    <w:basedOn w:val="57"/>
    <w:qFormat/>
    <w:uiPriority w:val="99"/>
    <w:rPr>
      <w:b/>
      <w:bCs/>
      <w:smallCaps/>
      <w:color w:val="auto"/>
      <w:spacing w:val="5"/>
      <w:u w:val="single"/>
    </w:rPr>
  </w:style>
  <w:style w:type="paragraph" w:customStyle="1" w:styleId="565">
    <w:name w:val="TOC 标题21"/>
    <w:basedOn w:val="2"/>
    <w:next w:val="1"/>
    <w:qFormat/>
    <w:uiPriority w:val="99"/>
    <w:pPr>
      <w:spacing w:line="576" w:lineRule="auto"/>
      <w:outlineLvl w:val="9"/>
    </w:pPr>
    <w:rPr>
      <w:rFonts w:ascii="Calibri" w:hAnsi="Calibri" w:eastAsia="黑体" w:cs="Calibri"/>
    </w:rPr>
  </w:style>
  <w:style w:type="paragraph" w:customStyle="1" w:styleId="566">
    <w:name w:val="标题 3_0_0"/>
    <w:basedOn w:val="1"/>
    <w:next w:val="1"/>
    <w:qFormat/>
    <w:uiPriority w:val="99"/>
    <w:pPr>
      <w:keepNext/>
      <w:keepLines/>
      <w:spacing w:before="260" w:after="260" w:line="416" w:lineRule="auto"/>
      <w:outlineLvl w:val="2"/>
    </w:pPr>
    <w:rPr>
      <w:b/>
      <w:bCs/>
      <w:sz w:val="32"/>
      <w:szCs w:val="32"/>
    </w:rPr>
  </w:style>
  <w:style w:type="paragraph" w:customStyle="1" w:styleId="567">
    <w:name w:val="标题 11"/>
    <w:basedOn w:val="1"/>
    <w:qFormat/>
    <w:uiPriority w:val="1"/>
    <w:pPr>
      <w:autoSpaceDE w:val="0"/>
      <w:autoSpaceDN w:val="0"/>
      <w:adjustRightInd w:val="0"/>
      <w:ind w:left="359"/>
      <w:jc w:val="left"/>
      <w:outlineLvl w:val="0"/>
    </w:pPr>
    <w:rPr>
      <w:rFonts w:ascii="宋体" w:cs="宋体"/>
      <w:kern w:val="0"/>
      <w:sz w:val="52"/>
      <w:szCs w:val="52"/>
    </w:rPr>
  </w:style>
  <w:style w:type="paragraph" w:customStyle="1" w:styleId="568">
    <w:name w:val="标题 21"/>
    <w:basedOn w:val="1"/>
    <w:qFormat/>
    <w:uiPriority w:val="1"/>
    <w:pPr>
      <w:autoSpaceDE w:val="0"/>
      <w:autoSpaceDN w:val="0"/>
      <w:adjustRightInd w:val="0"/>
      <w:ind w:left="2687"/>
      <w:jc w:val="left"/>
      <w:outlineLvl w:val="1"/>
    </w:pPr>
    <w:rPr>
      <w:rFonts w:ascii="黑体" w:eastAsia="黑体" w:cs="黑体"/>
      <w:b/>
      <w:bCs/>
      <w:kern w:val="0"/>
      <w:sz w:val="32"/>
      <w:szCs w:val="32"/>
    </w:rPr>
  </w:style>
  <w:style w:type="paragraph" w:customStyle="1" w:styleId="569">
    <w:name w:val="标题 31"/>
    <w:basedOn w:val="1"/>
    <w:qFormat/>
    <w:uiPriority w:val="1"/>
    <w:pPr>
      <w:autoSpaceDE w:val="0"/>
      <w:autoSpaceDN w:val="0"/>
      <w:adjustRightInd w:val="0"/>
      <w:ind w:left="1516" w:firstLine="1932"/>
      <w:jc w:val="left"/>
      <w:outlineLvl w:val="2"/>
    </w:pPr>
    <w:rPr>
      <w:rFonts w:ascii="宋体" w:cs="宋体"/>
      <w:kern w:val="0"/>
      <w:sz w:val="32"/>
      <w:szCs w:val="32"/>
    </w:rPr>
  </w:style>
  <w:style w:type="paragraph" w:customStyle="1" w:styleId="570">
    <w:name w:val="标题 41"/>
    <w:basedOn w:val="1"/>
    <w:qFormat/>
    <w:uiPriority w:val="1"/>
    <w:pPr>
      <w:autoSpaceDE w:val="0"/>
      <w:autoSpaceDN w:val="0"/>
      <w:adjustRightInd w:val="0"/>
      <w:ind w:left="117"/>
      <w:jc w:val="left"/>
      <w:outlineLvl w:val="3"/>
    </w:pPr>
    <w:rPr>
      <w:rFonts w:ascii="宋体" w:cs="宋体"/>
      <w:kern w:val="0"/>
      <w:sz w:val="30"/>
      <w:szCs w:val="30"/>
    </w:rPr>
  </w:style>
  <w:style w:type="paragraph" w:customStyle="1" w:styleId="571">
    <w:name w:val="标题 51"/>
    <w:basedOn w:val="1"/>
    <w:qFormat/>
    <w:uiPriority w:val="1"/>
    <w:pPr>
      <w:autoSpaceDE w:val="0"/>
      <w:autoSpaceDN w:val="0"/>
      <w:adjustRightInd w:val="0"/>
      <w:ind w:left="117"/>
      <w:jc w:val="left"/>
      <w:outlineLvl w:val="4"/>
    </w:pPr>
    <w:rPr>
      <w:rFonts w:ascii="宋体" w:cs="宋体"/>
      <w:b/>
      <w:bCs/>
      <w:kern w:val="0"/>
      <w:sz w:val="28"/>
      <w:szCs w:val="28"/>
    </w:rPr>
  </w:style>
  <w:style w:type="paragraph" w:customStyle="1" w:styleId="572">
    <w:name w:val="标题 61"/>
    <w:basedOn w:val="1"/>
    <w:qFormat/>
    <w:uiPriority w:val="1"/>
    <w:pPr>
      <w:autoSpaceDE w:val="0"/>
      <w:autoSpaceDN w:val="0"/>
      <w:adjustRightInd w:val="0"/>
      <w:ind w:left="597"/>
      <w:jc w:val="left"/>
      <w:outlineLvl w:val="5"/>
    </w:pPr>
    <w:rPr>
      <w:rFonts w:ascii="宋体" w:cs="宋体"/>
      <w:b/>
      <w:bCs/>
      <w:kern w:val="0"/>
      <w:sz w:val="24"/>
    </w:rPr>
  </w:style>
  <w:style w:type="paragraph" w:customStyle="1" w:styleId="573">
    <w:name w:val="标题 71"/>
    <w:basedOn w:val="1"/>
    <w:qFormat/>
    <w:uiPriority w:val="1"/>
    <w:pPr>
      <w:autoSpaceDE w:val="0"/>
      <w:autoSpaceDN w:val="0"/>
      <w:adjustRightInd w:val="0"/>
      <w:spacing w:before="55"/>
      <w:ind w:left="117" w:firstLine="480"/>
      <w:jc w:val="left"/>
      <w:outlineLvl w:val="6"/>
    </w:pPr>
    <w:rPr>
      <w:rFonts w:ascii="宋体" w:cs="宋体"/>
      <w:kern w:val="0"/>
      <w:sz w:val="24"/>
    </w:rPr>
  </w:style>
  <w:style w:type="paragraph" w:customStyle="1" w:styleId="574">
    <w:name w:val="标题 81"/>
    <w:basedOn w:val="1"/>
    <w:qFormat/>
    <w:uiPriority w:val="1"/>
    <w:pPr>
      <w:autoSpaceDE w:val="0"/>
      <w:autoSpaceDN w:val="0"/>
      <w:adjustRightInd w:val="0"/>
      <w:ind w:left="118"/>
      <w:jc w:val="left"/>
      <w:outlineLvl w:val="7"/>
    </w:pPr>
    <w:rPr>
      <w:rFonts w:ascii="宋体" w:cs="宋体"/>
      <w:b/>
      <w:bCs/>
      <w:kern w:val="0"/>
      <w:szCs w:val="21"/>
    </w:rPr>
  </w:style>
  <w:style w:type="character" w:customStyle="1" w:styleId="575">
    <w:name w:val="超链接_0"/>
    <w:qFormat/>
    <w:uiPriority w:val="99"/>
    <w:rPr>
      <w:rFonts w:hint="default" w:ascii="Calibri" w:hAnsi="Calibri"/>
      <w:color w:val="0000FF"/>
      <w:u w:val="single"/>
    </w:rPr>
  </w:style>
  <w:style w:type="paragraph" w:customStyle="1" w:styleId="576">
    <w:name w:val="正文_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77">
    <w:name w:val="正文_2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78">
    <w:name w:val="标题 1_1_0"/>
    <w:basedOn w:val="254"/>
    <w:next w:val="254"/>
    <w:qFormat/>
    <w:uiPriority w:val="0"/>
    <w:pPr>
      <w:keepNext/>
      <w:keepLines/>
      <w:spacing w:line="360" w:lineRule="auto"/>
      <w:outlineLvl w:val="0"/>
    </w:pPr>
    <w:rPr>
      <w:b/>
      <w:bCs/>
      <w:kern w:val="44"/>
      <w:sz w:val="32"/>
      <w:szCs w:val="44"/>
    </w:rPr>
  </w:style>
  <w:style w:type="paragraph" w:customStyle="1" w:styleId="579">
    <w:name w:val="正文_7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80">
    <w:name w:val="无间隔1_0"/>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581">
    <w:name w:val="Div_MsoNormal ParagraphIndent"/>
    <w:basedOn w:val="75"/>
    <w:qFormat/>
    <w:uiPriority w:val="0"/>
    <w:pPr>
      <w:widowControl/>
      <w:spacing w:line="240" w:lineRule="auto"/>
      <w:ind w:firstLine="0" w:firstLineChars="0"/>
    </w:pPr>
    <w:rPr>
      <w:rFonts w:ascii="宋体" w:hAnsi="宋体" w:eastAsia="宋体"/>
      <w:color w:val="auto"/>
      <w:sz w:val="21"/>
      <w:lang w:eastAsia="zh-CN" w:bidi="ar-SA"/>
    </w:rPr>
  </w:style>
  <w:style w:type="paragraph" w:customStyle="1" w:styleId="582">
    <w:name w:val="Div_MsoNormal  ParagraphIndent"/>
    <w:basedOn w:val="75"/>
    <w:qFormat/>
    <w:uiPriority w:val="0"/>
    <w:pPr>
      <w:widowControl/>
      <w:spacing w:line="240" w:lineRule="auto"/>
      <w:ind w:firstLine="0" w:firstLineChars="0"/>
    </w:pPr>
    <w:rPr>
      <w:rFonts w:ascii="宋体" w:hAnsi="宋体" w:eastAsia="宋体"/>
      <w:color w:val="auto"/>
      <w:sz w:val="21"/>
      <w:lang w:eastAsia="zh-CN" w:bidi="ar-SA"/>
    </w:rPr>
  </w:style>
  <w:style w:type="paragraph" w:customStyle="1" w:styleId="583">
    <w:name w:val="标题 1_1_1"/>
    <w:basedOn w:val="253"/>
    <w:next w:val="253"/>
    <w:qFormat/>
    <w:uiPriority w:val="0"/>
    <w:pPr>
      <w:keepNext/>
      <w:keepLines/>
      <w:spacing w:before="340" w:after="330" w:line="578" w:lineRule="auto"/>
      <w:outlineLvl w:val="0"/>
    </w:pPr>
    <w:rPr>
      <w:rFonts w:ascii="Times New Roman" w:hAnsi="Times New Roman"/>
      <w:b/>
      <w:bCs/>
      <w:kern w:val="44"/>
      <w:sz w:val="44"/>
      <w:szCs w:val="44"/>
    </w:rPr>
  </w:style>
  <w:style w:type="paragraph" w:customStyle="1" w:styleId="584">
    <w:name w:val="无间隔11_0"/>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585">
    <w:name w:val="Div_MsoNormal ParagraphIndent_0"/>
    <w:basedOn w:val="342"/>
    <w:qFormat/>
    <w:uiPriority w:val="0"/>
    <w:pPr>
      <w:widowControl/>
      <w:jc w:val="left"/>
    </w:pPr>
    <w:rPr>
      <w:rFonts w:ascii="宋体" w:hAnsi="宋体"/>
      <w:kern w:val="0"/>
      <w:szCs w:val="24"/>
    </w:rPr>
  </w:style>
  <w:style w:type="paragraph" w:customStyle="1" w:styleId="586">
    <w:name w:val="Normal_1"/>
    <w:qFormat/>
    <w:uiPriority w:val="0"/>
    <w:pPr>
      <w:widowControl w:val="0"/>
      <w:jc w:val="both"/>
    </w:pPr>
    <w:rPr>
      <w:rFonts w:ascii="Calibri" w:hAnsi="Calibri" w:eastAsia="宋体" w:cs="Times New Roman"/>
      <w:lang w:val="en-US" w:eastAsia="zh-CN" w:bidi="ar-SA"/>
    </w:rPr>
  </w:style>
  <w:style w:type="paragraph" w:customStyle="1" w:styleId="587">
    <w:name w:val="Normal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588">
    <w:name w:val="Normal_2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89">
    <w:name w:val="修订4"/>
    <w:unhideWhenUsed/>
    <w:qFormat/>
    <w:uiPriority w:val="99"/>
    <w:rPr>
      <w:rFonts w:ascii="Calibri" w:hAnsi="Calibri" w:eastAsia="宋体" w:cs="Times New Roman"/>
      <w:kern w:val="2"/>
      <w:sz w:val="21"/>
      <w:szCs w:val="22"/>
      <w:lang w:val="en-US" w:eastAsia="zh-CN" w:bidi="ar-SA"/>
    </w:rPr>
  </w:style>
  <w:style w:type="character" w:customStyle="1" w:styleId="590">
    <w:name w:val="访问过的超链接21"/>
    <w:qFormat/>
    <w:uiPriority w:val="99"/>
    <w:rPr>
      <w:color w:val="800080"/>
      <w:u w:val="single"/>
    </w:rPr>
  </w:style>
  <w:style w:type="paragraph" w:customStyle="1" w:styleId="591">
    <w:name w:val="标题 111"/>
    <w:basedOn w:val="1"/>
    <w:qFormat/>
    <w:uiPriority w:val="1"/>
    <w:pPr>
      <w:autoSpaceDE w:val="0"/>
      <w:autoSpaceDN w:val="0"/>
      <w:adjustRightInd w:val="0"/>
      <w:ind w:left="359"/>
      <w:jc w:val="left"/>
      <w:outlineLvl w:val="0"/>
    </w:pPr>
    <w:rPr>
      <w:rFonts w:ascii="宋体" w:cs="宋体"/>
      <w:kern w:val="0"/>
      <w:sz w:val="52"/>
      <w:szCs w:val="52"/>
    </w:rPr>
  </w:style>
  <w:style w:type="paragraph" w:customStyle="1" w:styleId="592">
    <w:name w:val="标题 211"/>
    <w:basedOn w:val="1"/>
    <w:qFormat/>
    <w:uiPriority w:val="1"/>
    <w:pPr>
      <w:autoSpaceDE w:val="0"/>
      <w:autoSpaceDN w:val="0"/>
      <w:adjustRightInd w:val="0"/>
      <w:ind w:left="2687"/>
      <w:jc w:val="left"/>
      <w:outlineLvl w:val="1"/>
    </w:pPr>
    <w:rPr>
      <w:rFonts w:ascii="黑体" w:eastAsia="黑体" w:cs="黑体"/>
      <w:b/>
      <w:bCs/>
      <w:kern w:val="0"/>
      <w:sz w:val="32"/>
      <w:szCs w:val="32"/>
    </w:rPr>
  </w:style>
  <w:style w:type="paragraph" w:customStyle="1" w:styleId="593">
    <w:name w:val="标题 311"/>
    <w:basedOn w:val="1"/>
    <w:qFormat/>
    <w:uiPriority w:val="1"/>
    <w:pPr>
      <w:autoSpaceDE w:val="0"/>
      <w:autoSpaceDN w:val="0"/>
      <w:adjustRightInd w:val="0"/>
      <w:ind w:left="1516" w:firstLine="1932"/>
      <w:jc w:val="left"/>
      <w:outlineLvl w:val="2"/>
    </w:pPr>
    <w:rPr>
      <w:rFonts w:ascii="宋体" w:cs="宋体"/>
      <w:kern w:val="0"/>
      <w:sz w:val="32"/>
      <w:szCs w:val="32"/>
    </w:rPr>
  </w:style>
  <w:style w:type="paragraph" w:customStyle="1" w:styleId="594">
    <w:name w:val="标题 411"/>
    <w:basedOn w:val="1"/>
    <w:qFormat/>
    <w:uiPriority w:val="1"/>
    <w:pPr>
      <w:autoSpaceDE w:val="0"/>
      <w:autoSpaceDN w:val="0"/>
      <w:adjustRightInd w:val="0"/>
      <w:ind w:left="117"/>
      <w:jc w:val="left"/>
      <w:outlineLvl w:val="3"/>
    </w:pPr>
    <w:rPr>
      <w:rFonts w:ascii="宋体" w:cs="宋体"/>
      <w:kern w:val="0"/>
      <w:sz w:val="30"/>
      <w:szCs w:val="30"/>
    </w:rPr>
  </w:style>
  <w:style w:type="paragraph" w:customStyle="1" w:styleId="595">
    <w:name w:val="标题 511"/>
    <w:basedOn w:val="1"/>
    <w:qFormat/>
    <w:uiPriority w:val="1"/>
    <w:pPr>
      <w:autoSpaceDE w:val="0"/>
      <w:autoSpaceDN w:val="0"/>
      <w:adjustRightInd w:val="0"/>
      <w:ind w:left="117"/>
      <w:jc w:val="left"/>
      <w:outlineLvl w:val="4"/>
    </w:pPr>
    <w:rPr>
      <w:rFonts w:ascii="宋体" w:cs="宋体"/>
      <w:b/>
      <w:bCs/>
      <w:kern w:val="0"/>
      <w:sz w:val="28"/>
      <w:szCs w:val="28"/>
    </w:rPr>
  </w:style>
  <w:style w:type="paragraph" w:customStyle="1" w:styleId="596">
    <w:name w:val="标题 611"/>
    <w:basedOn w:val="1"/>
    <w:qFormat/>
    <w:uiPriority w:val="1"/>
    <w:pPr>
      <w:autoSpaceDE w:val="0"/>
      <w:autoSpaceDN w:val="0"/>
      <w:adjustRightInd w:val="0"/>
      <w:ind w:left="597"/>
      <w:jc w:val="left"/>
      <w:outlineLvl w:val="5"/>
    </w:pPr>
    <w:rPr>
      <w:rFonts w:ascii="宋体" w:cs="宋体"/>
      <w:b/>
      <w:bCs/>
      <w:kern w:val="0"/>
      <w:sz w:val="24"/>
    </w:rPr>
  </w:style>
  <w:style w:type="paragraph" w:customStyle="1" w:styleId="597">
    <w:name w:val="标题 711"/>
    <w:basedOn w:val="1"/>
    <w:qFormat/>
    <w:uiPriority w:val="1"/>
    <w:pPr>
      <w:autoSpaceDE w:val="0"/>
      <w:autoSpaceDN w:val="0"/>
      <w:adjustRightInd w:val="0"/>
      <w:spacing w:before="55"/>
      <w:ind w:left="117" w:firstLine="480"/>
      <w:jc w:val="left"/>
      <w:outlineLvl w:val="6"/>
    </w:pPr>
    <w:rPr>
      <w:rFonts w:ascii="宋体" w:cs="宋体"/>
      <w:kern w:val="0"/>
      <w:sz w:val="24"/>
    </w:rPr>
  </w:style>
  <w:style w:type="paragraph" w:customStyle="1" w:styleId="598">
    <w:name w:val="标题 811"/>
    <w:basedOn w:val="1"/>
    <w:qFormat/>
    <w:uiPriority w:val="1"/>
    <w:pPr>
      <w:autoSpaceDE w:val="0"/>
      <w:autoSpaceDN w:val="0"/>
      <w:adjustRightInd w:val="0"/>
      <w:ind w:left="118"/>
      <w:jc w:val="left"/>
      <w:outlineLvl w:val="7"/>
    </w:pPr>
    <w:rPr>
      <w:rFonts w:ascii="宋体" w:cs="宋体"/>
      <w:b/>
      <w:bCs/>
      <w:kern w:val="0"/>
      <w:szCs w:val="21"/>
    </w:rPr>
  </w:style>
  <w:style w:type="paragraph" w:customStyle="1" w:styleId="599">
    <w:name w:val="修订41"/>
    <w:unhideWhenUsed/>
    <w:qFormat/>
    <w:uiPriority w:val="99"/>
    <w:rPr>
      <w:rFonts w:ascii="Times New Roman" w:hAnsi="Times New Roman" w:eastAsia="宋体" w:cs="Times New Roman"/>
      <w:kern w:val="2"/>
      <w:sz w:val="21"/>
      <w:szCs w:val="24"/>
      <w:lang w:val="en-US" w:eastAsia="zh-CN" w:bidi="ar-SA"/>
    </w:rPr>
  </w:style>
  <w:style w:type="table" w:customStyle="1" w:styleId="600">
    <w:name w:val="网格型12"/>
    <w:basedOn w:val="55"/>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601">
    <w:name w:val="批注文字_1"/>
    <w:basedOn w:val="255"/>
    <w:unhideWhenUsed/>
    <w:qFormat/>
    <w:uiPriority w:val="0"/>
    <w:pPr>
      <w:jc w:val="left"/>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cfcc13c9-44d4-4eee-990b-3fa149876a3d</errorID>
      <errorWord>/）</errorWord>
      <group>L1_Punc</group>
      <groupName>标点问题</groupName>
      <ability>L2_Punc</ability>
      <abilityName>标点符号检查</abilityName>
      <candidateList>
        <item>）</item>
      </candidateList>
      <explain/>
      <paraID>429FAA00</paraID>
      <start>80</start>
      <end>82</end>
      <status>ignored</status>
      <modifiedWord/>
      <trackRevisions>false</trackRevisions>
    </reviewItem>
    <reviewItem>
      <errorID>04d0cca9-f582-4eff-82ea-81eaf1372b32</errorID>
      <errorWord>[2026]</errorWord>
      <group>L1_Punc</group>
      <groupName>标点问题</groupName>
      <ability>L2_Punc</ability>
      <abilityName>标点符号检查</abilityName>
      <candidateList>
        <item>〔2026〕</item>
      </candidateList>
      <explain/>
      <paraID>1AAEB0ED</paraID>
      <start>42</start>
      <end>48</end>
      <status>modified</status>
      <modifiedWord>〔2026〕</modifiedWord>
      <trackRevisions>false</trackRevisions>
    </reviewItem>
    <reviewItem>
      <errorID>ab3ef422-a3eb-4a87-b124-79465e8eb1a6</errorID>
      <errorWord>标的的</errorWord>
      <group>L1_Word</group>
      <groupName>字词问题</groupName>
      <ability>L2_Typo</ability>
      <abilityName>字词错误</abilityName>
      <candidateList>
        <item>标的</item>
      </candidateList>
      <explain/>
      <paraID>18A11AEB</paraID>
      <start>0</start>
      <end>2</end>
      <status>modified</status>
      <modifiedWord>标的</modifiedWord>
      <trackRevisions>false</trackRevisions>
    </reviewItem>
    <reviewItem>
      <errorID>320953a5-48bf-4a64-8ac2-3b8f6c451244</errorID>
      <errorWord>)</errorWord>
      <group>L1_Format</group>
      <groupName>格式问题</groupName>
      <ability>L2_HalfPunc</ability>
      <abilityName>全半角检查</abilityName>
      <candidateList>
        <item>）</item>
      </candidateList>
      <explain>文本全半角错误。</explain>
      <paraID>7D93A7AA</paraID>
      <start>39</start>
      <end>40</end>
      <status>modified</status>
      <modifiedWord>）</modifiedWord>
      <trackRevisions>false</trackRevisions>
    </reviewItem>
    <reviewItem>
      <errorID>dd089129-8def-4f6e-ad5a-7e09cda2a59b</errorID>
      <errorWord>，</errorWord>
      <group>L1_Word</group>
      <groupName>字词问题</groupName>
      <ability>L2_Typo</ability>
      <abilityName>字词错误</abilityName>
      <candidateList>
        <item>，在</item>
      </candidateList>
      <explain/>
      <paraID>72BB37A8</paraID>
      <start>98</start>
      <end>100</end>
      <status>modified</status>
      <modifiedWord>，在</modifiedWord>
      <trackRevisions>false</trackRevisions>
    </reviewItem>
    <reviewItem>
      <errorID>56c8b49b-845a-4d0c-adf2-5dcd3de26a63</errorID>
      <errorWord>，</errorWord>
      <group>L1_Word</group>
      <groupName>字词问题</groupName>
      <ability>L2_Typo</ability>
      <abilityName>字词错误</abilityName>
      <candidateList>
        <item>，在</item>
      </candidateList>
      <explain/>
      <paraID>72BB37A8</paraID>
      <start>123</start>
      <end>125</end>
      <status>modified</status>
      <modifiedWord>，在</modifiedWord>
      <trackRevisions>false</trackRevisions>
    </reviewItem>
    <reviewItem>
      <errorID>4eea93e2-e8e2-4c28-9e3f-15a8f04a0522</errorID>
      <errorWord>（2016）70号</errorWord>
      <group>L1_Knowledge</group>
      <groupName>知识性问题</groupName>
      <ability>L2_Knowledge</ability>
      <abilityName>其他知识</abilityName>
      <candidateList>
        <item>〔2016〕70号</item>
      </candidateList>
      <explain>发文字号格式错误。</explain>
      <paraID>72BB37A8</paraID>
      <start>215</start>
      <end>224</end>
      <status>modified</status>
      <modifiedWord>〔2016〕70号</modifiedWord>
      <trackRevisions>false</trackRevisions>
    </reviewItem>
    <reviewItem>
      <errorID>0d6b2a0b-d534-4110-9540-f10ddbd54e77</errorID>
      <errorWord>(</errorWord>
      <group>L1_Format</group>
      <groupName>格式问题</groupName>
      <ability>L2_HalfPunc</ability>
      <abilityName>全半角检查</abilityName>
      <candidateList>
        <item>（</item>
      </candidateList>
      <explain>文本全半角错误。</explain>
      <paraID>739A86AE</paraID>
      <start>12</start>
      <end>13</end>
      <status>modified</status>
      <modifiedWord>（</modifiedWord>
      <trackRevisions>false</trackRevisions>
    </reviewItem>
    <reviewItem>
      <errorID>7a1feed8-9cd8-41de-9c44-c7656915b6b8</errorID>
      <errorWord>)</errorWord>
      <group>L1_Format</group>
      <groupName>格式问题</groupName>
      <ability>L2_HalfPunc</ability>
      <abilityName>全半角检查</abilityName>
      <candidateList>
        <item>）</item>
      </candidateList>
      <explain>文本全半角错误。</explain>
      <paraID>739A86AE</paraID>
      <start>35</start>
      <end>36</end>
      <status>modified</status>
      <modifiedWord>）</modifiedWord>
      <trackRevisions>false</trackRevisions>
    </reviewItem>
    <reviewItem>
      <errorID>0d0d4ff0-0e00-48cc-9562-91786d188350</errorID>
      <errorWord>(</errorWord>
      <group>L1_Format</group>
      <groupName>格式问题</groupName>
      <ability>L2_HalfPunc</ability>
      <abilityName>全半角检查</abilityName>
      <candidateList>
        <item>（</item>
      </candidateList>
      <explain>文本全半角错误。</explain>
      <paraID>739A86AE</paraID>
      <start>45</start>
      <end>46</end>
      <status>modified</status>
      <modifiedWord>（</modifiedWord>
      <trackRevisions>false</trackRevisions>
    </reviewItem>
    <reviewItem>
      <errorID>f13ffc36-b540-4564-8f94-f111a150beb7</errorID>
      <errorWord>)</errorWord>
      <group>L1_Format</group>
      <groupName>格式问题</groupName>
      <ability>L2_HalfPunc</ability>
      <abilityName>全半角检查</abilityName>
      <candidateList>
        <item>）</item>
      </candidateList>
      <explain>文本全半角错误。</explain>
      <paraID>739A86AE</paraID>
      <start>61</start>
      <end>62</end>
      <status>modified</status>
      <modifiedWord>）</modifiedWord>
      <trackRevisions>false</trackRevisions>
    </reviewItem>
    <reviewItem>
      <errorID>09267b8f-9154-44a5-a77c-283353e3ee9d</errorID>
      <errorWord>上午0时00分</errorWord>
      <group>L1_Knowledge</group>
      <groupName>知识性问题</groupName>
      <ability>L2_Time</ability>
      <abilityName>日期时间</abilityName>
      <candidateList/>
      <explain>时间与前缀不匹配，可能的时间前缀有“下午、晚上、凌晨、午夜”。</explain>
      <paraID>4FFF6BC8</paraID>
      <start>25</start>
      <end>32</end>
      <status>ignored</status>
      <modifiedWord/>
      <trackRevisions>false</trackRevisions>
    </reviewItem>
    <reviewItem>
      <errorID>4985018a-cc41-42e8-9780-4914451b7891</errorID>
      <errorWord>/）</errorWord>
      <group>L1_Punc</group>
      <groupName>标点问题</groupName>
      <ability>L2_Punc</ability>
      <abilityName>标点符号检查</abilityName>
      <candidateList>
        <item>）</item>
      </candidateList>
      <explain/>
      <paraID>777A26B6</paraID>
      <start>45</start>
      <end>47</end>
      <status>ignored</status>
      <modifiedWord/>
      <trackRevisions>false</trackRevisions>
    </reviewItem>
    <reviewItem>
      <errorID>38645e1d-93ff-44a5-b6bf-96d63c8d5862</errorID>
      <errorWord>/）</errorWord>
      <group>L1_Punc</group>
      <groupName>标点问题</groupName>
      <ability>L2_Punc</ability>
      <abilityName>标点符号检查</abilityName>
      <candidateList>
        <item>）</item>
      </candidateList>
      <explain/>
      <paraID>56174FFA</paraID>
      <start>81</start>
      <end>83</end>
      <status>ignored</status>
      <modifiedWord/>
      <trackRevisions>false</trackRevisions>
    </reviewItem>
    <reviewItem>
      <errorID>d5c3f37a-4cc0-4c71-905d-c9307ded2199</errorID>
      <errorWord>-</errorWord>
      <group>L1_Format</group>
      <groupName>格式问题</groupName>
      <ability>L2_HalfPunc</ability>
      <abilityName>全半角检查</abilityName>
      <candidateList>
        <item>－</item>
      </candidateList>
      <explain>文本全半角错误。</explain>
      <paraID>56174FFA</paraID>
      <start>85</start>
      <end>86</end>
      <status>modified</status>
      <modifiedWord>－</modifiedWord>
      <trackRevisions>false</trackRevisions>
    </reviewItem>
    <reviewItem>
      <errorID>7531eef2-9ec6-4f31-9c46-34ac964be3c7</errorID>
      <errorWord>/）</errorWord>
      <group>L1_Punc</group>
      <groupName>标点问题</groupName>
      <ability>L2_Punc</ability>
      <abilityName>标点符号检查</abilityName>
      <candidateList>
        <item>）</item>
      </candidateList>
      <explain/>
      <paraID>192D4912</paraID>
      <start>45</start>
      <end>47</end>
      <status>ignored</status>
      <modifiedWord/>
      <trackRevisions>false</trackRevisions>
    </reviewItem>
    <reviewItem>
      <errorID>63a2331c-107c-4d2d-80ef-07c98c8b141b</errorID>
      <errorWord>/）</errorWord>
      <group>L1_Punc</group>
      <groupName>标点问题</groupName>
      <ability>L2_Punc</ability>
      <abilityName>标点符号检查</abilityName>
      <candidateList>
        <item>）</item>
      </candidateList>
      <explain/>
      <paraID>5EF0795E</paraID>
      <start>47</start>
      <end>49</end>
      <status>ignored</status>
      <modifiedWord/>
      <trackRevisions>false</trackRevisions>
    </reviewItem>
    <reviewItem>
      <errorID>c75484e1-1f3e-4f39-bea7-0413b80c5e23</errorID>
      <errorWord>：</errorWord>
      <group>L1_Format</group>
      <groupName>格式问题</groupName>
      <ability>L2_HalfPunc</ability>
      <abilityName>全半角检查</abilityName>
      <candidateList>
        <item>:</item>
      </candidateList>
      <explain>文本全半角错误。</explain>
      <paraID>436A76C5</paraID>
      <start>4</start>
      <end>5</end>
      <status>modified</status>
      <modifiedWord>:</modifiedWord>
      <trackRevisions>false</trackRevisions>
    </reviewItem>
    <reviewItem>
      <errorID>1cc86adf-1cfd-47a7-8320-69f973fa60e3</errorID>
      <errorWord>：</errorWord>
      <group>L1_Format</group>
      <groupName>格式问题</groupName>
      <ability>L2_HalfPunc</ability>
      <abilityName>全半角检查</abilityName>
      <candidateList>
        <item>:</item>
      </candidateList>
      <explain>文本全半角错误。</explain>
      <paraID>436A76C5</paraID>
      <start>36</start>
      <end>37</end>
      <status>modified</status>
      <modifiedWord>:</modifiedWord>
      <trackRevisions>false</trackRevisions>
    </reviewItem>
    <reviewItem>
      <errorID>6e10713a-09d3-4ead-aa29-e24a83e5d893</errorID>
      <errorWord>/）</errorWord>
      <group>L1_Punc</group>
      <groupName>标点问题</groupName>
      <ability>L2_Punc</ability>
      <abilityName>标点符号检查</abilityName>
      <candidateList>
        <item>）</item>
      </candidateList>
      <explain/>
      <paraID> FB5AA45</paraID>
      <start>62</start>
      <end>64</end>
      <status>ignored</status>
      <modifiedWord/>
      <trackRevisions>false</trackRevisions>
    </reviewItem>
    <reviewItem>
      <errorID>690c614d-a2f7-4828-845f-f0c770583a09</errorID>
      <errorWord>-</errorWord>
      <group>L1_Format</group>
      <groupName>格式问题</groupName>
      <ability>L2_HalfPunc</ability>
      <abilityName>全半角检查</abilityName>
      <candidateList>
        <item>－</item>
      </candidateList>
      <explain>文本全半角错误。</explain>
      <paraID> FB5AA45</paraID>
      <start>273</start>
      <end>274</end>
      <status>modified</status>
      <modifiedWord>－</modifiedWord>
      <trackRevisions>false</trackRevisions>
    </reviewItem>
    <reviewItem>
      <errorID>431fc88b-695e-4200-86d0-9d9d0513145b</errorID>
      <errorWord>-</errorWord>
      <group>L1_Format</group>
      <groupName>格式问题</groupName>
      <ability>L2_HalfPunc</ability>
      <abilityName>全半角检查</abilityName>
      <candidateList>
        <item>－</item>
      </candidateList>
      <explain>文本全半角错误。</explain>
      <paraID> FB5AA45</paraID>
      <start>278</start>
      <end>279</end>
      <status>modified</status>
      <modifiedWord>－</modifiedWord>
      <trackRevisions>false</trackRevisions>
    </reviewItem>
    <reviewItem>
      <errorID>1f242978-3558-4780-8b7d-63be289ed12d</errorID>
      <errorWord>-</errorWord>
      <group>L1_Format</group>
      <groupName>格式问题</groupName>
      <ability>L2_HalfPunc</ability>
      <abilityName>全半角检查</abilityName>
      <candidateList>
        <item>－</item>
      </candidateList>
      <explain>文本全半角错误。</explain>
      <paraID> FB5AA45</paraID>
      <start>283</start>
      <end>284</end>
      <status>modified</status>
      <modifiedWord>－</modifiedWord>
      <trackRevisions>false</trackRevisions>
    </reviewItem>
    <reviewItem>
      <errorID>4448e520-c3a3-469d-8df6-903993edf824</errorID>
      <errorWord>-</errorWord>
      <group>L1_Format</group>
      <groupName>格式问题</groupName>
      <ability>L2_HalfPunc</ability>
      <abilityName>全半角检查</abilityName>
      <candidateList>
        <item>－</item>
      </candidateList>
      <explain>文本全半角错误。</explain>
      <paraID> FB5AA45</paraID>
      <start>289</start>
      <end>290</end>
      <status>modified</status>
      <modifiedWord>－</modifiedWord>
      <trackRevisions>false</trackRevisions>
    </reviewItem>
    <reviewItem>
      <errorID>00817763-b6ec-47fb-a30f-1ca3495804ad</errorID>
      <errorWord>-</errorWord>
      <group>L1_Format</group>
      <groupName>格式问题</groupName>
      <ability>L2_HalfPunc</ability>
      <abilityName>全半角检查</abilityName>
      <candidateList>
        <item>－</item>
      </candidateList>
      <explain>文本全半角错误。</explain>
      <paraID> FB5AA45</paraID>
      <start>306</start>
      <end>307</end>
      <status>modified</status>
      <modifiedWord>－</modifiedWord>
      <trackRevisions>false</trackRevisions>
    </reviewItem>
    <reviewItem>
      <errorID>e8ee856a-69e7-42d3-a205-f28ebc7b9cf6</errorID>
      <errorWord>-</errorWord>
      <group>L1_Format</group>
      <groupName>格式问题</groupName>
      <ability>L2_HalfPunc</ability>
      <abilityName>全半角检查</abilityName>
      <candidateList>
        <item>－</item>
      </candidateList>
      <explain>文本全半角错误。</explain>
      <paraID>265A1145</paraID>
      <start>112</start>
      <end>113</end>
      <status>modified</status>
      <modifiedWord>－</modifiedWord>
      <trackRevisions>false</trackRevisions>
    </reviewItem>
    <reviewItem>
      <errorID>d4178c1d-7fcc-48ab-8df6-651a710e31fe</errorID>
      <errorWord>-</errorWord>
      <group>L1_Format</group>
      <groupName>格式问题</groupName>
      <ability>L2_HalfPunc</ability>
      <abilityName>全半角检查</abilityName>
      <candidateList>
        <item>－</item>
      </candidateList>
      <explain>文本全半角错误。</explain>
      <paraID>265A1145</paraID>
      <start>141</start>
      <end>142</end>
      <status>modified</status>
      <modifiedWord>－</modifiedWord>
      <trackRevisions>false</trackRevisions>
    </reviewItem>
    <reviewItem>
      <errorID>7e6c5497-c29c-4c00-a41c-22729d269a83</errorID>
      <errorWord>操作合</errorWord>
      <group>L1_Word</group>
      <groupName>字词问题</groupName>
      <ability>L2_Typo</ability>
      <abilityName>字词错误</abilityName>
      <candidateList>
        <item>操作台</item>
      </candidateList>
      <explain/>
      <paraID>6CA16977</paraID>
      <start>9</start>
      <end>12</end>
      <status>ignored</status>
      <modifiedWord/>
      <trackRevisions>false</trackRevisions>
    </reviewItem>
    <reviewItem>
      <errorID>2934a5eb-96cd-4af1-965c-85f08ad00528</errorID>
      <errorWord>具备有</errorWord>
      <group>L1_Word</group>
      <groupName>字词问题</groupName>
      <ability>L2_Typo</ability>
      <abilityName>字词错误</abilityName>
      <candidateList>
        <item>具备</item>
      </candidateList>
      <explain/>
      <paraID>3B0C6AEC</paraID>
      <start>9</start>
      <end>12</end>
      <status>ignored</status>
      <modifiedWord/>
      <trackRevisions>false</trackRevisions>
    </reviewItem>
    <reviewItem>
      <errorID>4f31ff58-64e9-47a8-8d1e-553a28670952</errorID>
      <errorWord>：/。</errorWord>
      <group>L1_Punc</group>
      <groupName>标点问题</groupName>
      <ability>L2_Punc</ability>
      <abilityName>标点符号检查</abilityName>
      <candidateList>
        <item>：</item>
      </candidateList>
      <explain/>
      <paraID>5E92CD79</paraID>
      <start>4</start>
      <end>7</end>
      <status>ignored</status>
      <modifiedWord/>
      <trackRevisions>false</trackRevisions>
    </reviewItem>
    <reviewItem>
      <errorID>92856c4c-0c18-4957-ac1e-1976d5487e2d</errorID>
      <errorWord>：/。</errorWord>
      <group>L1_Punc</group>
      <groupName>标点问题</groupName>
      <ability>L2_Punc</ability>
      <abilityName>标点符号检查</abilityName>
      <candidateList>
        <item>：</item>
      </candidateList>
      <explain/>
      <paraID>1D0E397F</paraID>
      <start>8</start>
      <end>11</end>
      <status>ignored</status>
      <modifiedWord/>
      <trackRevisions>false</trackRevisions>
    </reviewItem>
    <reviewItem>
      <errorID>070ed121-836f-4496-aeb3-9de4271b5886</errorID>
      <errorWord>：/。</errorWord>
      <group>L1_Punc</group>
      <groupName>标点问题</groupName>
      <ability>L2_Punc</ability>
      <abilityName>标点符号检查</abilityName>
      <candidateList>
        <item>：</item>
      </candidateList>
      <explain/>
      <paraID>55CAF1C9</paraID>
      <start>12</start>
      <end>15</end>
      <status>ignored</status>
      <modifiedWord/>
      <trackRevisions>false</trackRevisions>
    </reviewItem>
    <reviewItem>
      <errorID>71cd9aaf-7631-471a-9e7e-956e7b7dd1e7</errorID>
      <errorWord>之日起的</errorWord>
      <group>L1_Word</group>
      <groupName>字词问题</groupName>
      <ability>L2_Typo</ability>
      <abilityName>字词错误</abilityName>
      <candidateList>
        <item>之日起</item>
      </candidateList>
      <explain/>
      <paraID>39644065</paraID>
      <start>148</start>
      <end>152</end>
      <status>ignored</status>
      <modifiedWord/>
      <trackRevisions>false</trackRevisions>
    </reviewItem>
    <reviewItem>
      <errorID>a824ad7c-3df5-43a2-9916-0958d03f33b1</errorID>
      <errorWord>，</errorWord>
      <group>L1_Word</group>
      <groupName>字词问题</groupName>
      <ability>L2_Typo</ability>
      <abilityName>字词错误</abilityName>
      <candidateList>
        <item>，在</item>
      </candidateList>
      <explain/>
      <paraID>75F4878E</paraID>
      <start>98</start>
      <end>100</end>
      <status>modified</status>
      <modifiedWord>，在</modifiedWord>
      <trackRevisions>false</trackRevisions>
    </reviewItem>
    <reviewItem>
      <errorID>9d89adc5-397f-44ca-9723-ec124c665cb7</errorID>
      <errorWord>，</errorWord>
      <group>L1_Word</group>
      <groupName>字词问题</groupName>
      <ability>L2_Typo</ability>
      <abilityName>字词错误</abilityName>
      <candidateList>
        <item>，在</item>
      </candidateList>
      <explain/>
      <paraID>75F4878E</paraID>
      <start>123</start>
      <end>125</end>
      <status>modified</status>
      <modifiedWord>，在</modifiedWord>
      <trackRevisions>false</trackRevisions>
    </reviewItem>
    <reviewItem>
      <errorID>3d7c2ed6-ec11-4184-a5b0-d64e6549f9b4</errorID>
      <errorWord>（2016）70号</errorWord>
      <group>L1_Knowledge</group>
      <groupName>知识性问题</groupName>
      <ability>L2_Knowledge</ability>
      <abilityName>其他知识</abilityName>
      <candidateList>
        <item>〔2016〕70号</item>
      </candidateList>
      <explain>发文字号格式错误。</explain>
      <paraID>75F4878E</paraID>
      <start>215</start>
      <end>224</end>
      <status>modified</status>
      <modifiedWord>〔2016〕70号</modifiedWord>
      <trackRevisions>false</trackRevisions>
    </reviewItem>
    <reviewItem>
      <errorID>6c9b2818-0fbb-4766-8a6e-66528bf99191</errorID>
      <errorWord>响应</errorWord>
      <group>L1_Word</group>
      <groupName>字词问题</groupName>
      <ability>L2_Typo</ability>
      <abilityName>字词错误</abilityName>
      <candidateList>
        <item>相应</item>
      </candidateList>
      <explain>〈动〉互相呼应或照应；相适应：这篇文章前后不～｜环境改变了，工作方法也要～地改变。</explain>
      <paraID>25E7E086</paraID>
      <start>44</start>
      <end>46</end>
      <status>ignored</status>
      <modifiedWord/>
      <trackRevisions>false</trackRevisions>
    </reviewItem>
    <reviewItem>
      <errorID>a3e5cb09-4f07-4436-9ed9-6a2015d2c7e4</errorID>
      <errorWord>响应</errorWord>
      <group>L1_Word</group>
      <groupName>字词问题</groupName>
      <ability>L2_Typo</ability>
      <abilityName>字词错误</abilityName>
      <candidateList>
        <item>相应</item>
      </candidateList>
      <explain>〈动〉互相呼应或照应；相适应：这篇文章前后不～｜环境改变了，工作方法也要～地改变。</explain>
      <paraID>2F5B1A78</paraID>
      <start>42</start>
      <end>44</end>
      <status>ignored</status>
      <modifiedWord/>
      <trackRevisions>false</trackRevisions>
    </reviewItem>
    <reviewItem>
      <errorID>91a25470-c376-492c-947e-7581ef9fb18f</errorID>
      <errorWord>，</errorWord>
      <group>L1_Word</group>
      <groupName>字词问题</groupName>
      <ability>L2_Typo</ability>
      <abilityName>字词错误</abilityName>
      <candidateList>
        <item>，使</item>
      </candidateList>
      <explain/>
      <paraID>7AAA30FE</paraID>
      <start>32</start>
      <end>34</end>
      <status>modified</status>
      <modifiedWord>，使</modifiedWord>
      <trackRevisions>false</trackRevisions>
    </reviewItem>
    <reviewItem>
      <errorID>cff11cd4-dfa2-4825-b1e2-880b80314279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7A55F12F</paraID>
      <start>15</start>
      <end>17</end>
      <status>modified</status>
      <modifiedWord>”“</modifiedWord>
      <trackRevisions>false</trackRevisions>
    </reviewItem>
    <reviewItem>
      <errorID>1587330a-d383-4df0-86b9-66307930af85</errorID>
      <errorWord>法律、法规</errorWord>
      <group>L1_Word</group>
      <groupName>字词问题</groupName>
      <ability>L2_Typo</ability>
      <abilityName>字词错误</abilityName>
      <candidateList>
        <item>法律法规</item>
      </candidateList>
      <explain/>
      <paraID>2E5306A7</paraID>
      <start>38</start>
      <end>42</end>
      <status>modified</status>
      <modifiedWord>法律法规</modifiedWord>
      <trackRevisions>false</trackRevisions>
    </reviewItem>
    <reviewItem>
      <errorID>1399be1e-af3c-4a83-a60e-43d7531ab340</errorID>
      <errorWord>1%-2%</errorWord>
      <group>L1_Knowledge</group>
      <groupName>知识性问题</groupName>
      <ability>L2_Knowledge</ability>
      <abilityName>其他知识</abilityName>
      <candidateList>
        <item>1%—2%</item>
      </candidateList>
      <explain>1. “1%-2%”中的单位“%”仅出现在后一个数字上，容易引起歧义；根据《现代汉语标点符号数字用法规范手册》，数字表示范围两边需要使用统一的格式。2. 根据标点国标 4.13 中的规则，数字、时间或地域连接符应使用（视觉上更长的）“—”或“～”。</explain>
      <paraID>4177FE57</paraID>
      <start>209</start>
      <end>214</end>
      <status>modified</status>
      <modifiedWord>1%—2%</modifiedWord>
      <trackRevisions>false</trackRevisions>
    </reviewItem>
    <reviewItem>
      <errorID>cc1f2f2c-efe9-4bc6-a378-8fdc67b6596a</errorID>
      <errorWord>理</errorWord>
      <group>L1_Word</group>
      <groupName>字词问题</groupName>
      <ability>L2_Typo</ability>
      <abilityName>字词错误</abilityName>
      <candidateList>
        <item>理人</item>
      </candidateList>
      <explain/>
      <paraID>7188BD2F</paraID>
      <start>20</start>
      <end>21</end>
      <status>ignored</status>
      <modifiedWord/>
      <trackRevisions>false</trackRevisions>
    </reviewItem>
    <reviewItem>
      <errorID>e67a30fc-c518-4b54-8c19-f44ea5725975</errorID>
      <errorWord>标价</errorWord>
      <group>L1_Word</group>
      <groupName>字词问题</groupName>
      <ability>L2_Typo</ability>
      <abilityName>字词错误</abilityName>
      <candidateList>
        <item>报价</item>
      </candidateList>
      <explain/>
      <paraID>3743612F</paraID>
      <start>45</start>
      <end>47</end>
      <status>ignored</status>
      <modifiedWord/>
      <trackRevisions>false</trackRevisions>
    </reviewItem>
    <reviewItem>
      <errorID>0b48e60f-3a56-45d8-bcfd-e729f331263a</errorID>
      <errorWord>操作合</errorWord>
      <group>L1_Word</group>
      <groupName>字词问题</groupName>
      <ability>L2_Typo</ability>
      <abilityName>字词错误</abilityName>
      <candidateList>
        <item>操作台</item>
      </candidateList>
      <explain/>
      <paraID> 99874DB</paraID>
      <start>9</start>
      <end>12</end>
      <status>ignored</status>
      <modifiedWord/>
      <trackRevisions>false</trackRevisions>
    </reviewItem>
    <reviewItem>
      <errorID>62a34c65-e73d-48f3-b34b-63bc2cc57b58</errorID>
      <errorWord>详见在</errorWord>
      <group>L1_Word</group>
      <groupName>字词问题</groupName>
      <ability>L2_Typo</ability>
      <abilityName>字词错误</abilityName>
      <candidateList>
        <item>详见</item>
      </candidateList>
      <explain/>
      <paraID>32CF7F01</paraID>
      <start>61</start>
      <end>63</end>
      <status>modified</status>
      <modifiedWord>详见</modifiedWord>
      <trackRevisions>false</trackRevisions>
    </reviewItem>
    <reviewItem>
      <errorID>d23bab9f-f901-4162-b9dd-ab21c3f2ceb9</errorID>
      <errorWord>务</errorWord>
      <group>L1_Word</group>
      <groupName>字词问题</groupName>
      <ability>L2_Typo</ability>
      <abilityName>字词错误</abilityName>
      <candidateList>
        <item>务费</item>
      </candidateList>
      <explain/>
      <paraID>3F7B8AC6</paraID>
      <start>7</start>
      <end>9</end>
      <status>modified</status>
      <modifiedWord>务费</modifiedWord>
      <trackRevisions>false</trackRevisions>
    </reviewItem>
    <reviewItem>
      <errorID>7295fc52-70f8-4db2-85d4-6f9c5ad39d27</errorID>
      <errorWord>100～500万</errorWord>
      <group>L1_Knowledge</group>
      <groupName>知识性问题</groupName>
      <ability>L2_Knowledge</ability>
      <abilityName>其他知识</abilityName>
      <candidateList>
        <item>100万～500万</item>
      </candidateList>
      <explain>1. “100～500万”中的单位“万”仅出现在后一个数字上，容易引起歧义；根据《现代汉语标点符号数字用法规范手册》，数字表示范围两边需要使用统一的格式。2.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70BC0272</paraID>
      <start>0</start>
      <end>8</end>
      <status>ignored</status>
      <modifiedWord/>
      <trackRevisions>false</trackRevisions>
    </reviewItem>
    <reviewItem>
      <errorID>d352ddaa-60df-4e8e-a0fa-7d8ca962f171</errorID>
      <errorWord>500～1000万</errorWord>
      <group>L1_Knowledge</group>
      <groupName>知识性问题</groupName>
      <ability>L2_Knowledge</ability>
      <abilityName>其他知识</abilityName>
      <candidateList>
        <item>500万～1000万</item>
      </candidateList>
      <explain>1. “500～1000万”中的单位“万”仅出现在后一个数字上，容易引起歧义；根据《现代汉语标点符号数字用法规范手册》，数字表示范围两边需要使用统一的格式。2.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52554120</paraID>
      <start>0</start>
      <end>9</end>
      <status>ignored</status>
      <modifiedWord/>
      <trackRevisions>false</trackRevisions>
    </reviewItem>
    <reviewItem>
      <errorID>419fadc9-df7e-4903-bcd5-351b57b5f506</errorID>
      <errorWord>1000～5000万</errorWord>
      <group>L1_Knowledge</group>
      <groupName>知识性问题</groupName>
      <ability>L2_Knowledge</ability>
      <abilityName>其他知识</abilityName>
      <candidateList>
        <item>1000万～5000万</item>
      </candidateList>
      <explain>1. “1000～5000万”中的单位“万”仅出现在后一个数字上，容易引起歧义；根据《现代汉语标点符号数字用法规范手册》，数字表示范围两边需要使用统一的格式。2.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24A7D3AA</paraID>
      <start>0</start>
      <end>10</end>
      <status>ignored</status>
      <modifiedWord/>
      <trackRevisions>false</trackRevisions>
    </reviewItem>
    <reviewItem>
      <errorID>53251146-f2ac-4074-9ccd-30193196d17b</errorID>
      <errorWord>1～5亿</errorWord>
      <group>L1_Knowledge</group>
      <groupName>知识性问题</groupName>
      <ability>L2_Knowledge</ability>
      <abilityName>其他知识</abilityName>
      <candidateList>
        <item>1亿～5亿</item>
      </candidateList>
      <explain>1. “1～5亿”中的单位“亿”仅出现在后一个数字上，容易引起歧义；根据《现代汉语标点符号数字用法规范手册》，数字表示范围两边需要使用统一的格式。2.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4B13E03E</paraID>
      <start>0</start>
      <end>4</end>
      <status>ignored</status>
      <modifiedWord/>
      <trackRevisions>false</trackRevisions>
    </reviewItem>
    <reviewItem>
      <errorID>f69b6d3b-3c7c-4bca-bddd-47847c5e8e6b</errorID>
      <errorWord>5～10亿</errorWord>
      <group>L1_Knowledge</group>
      <groupName>知识性问题</groupName>
      <ability>L2_Knowledge</ability>
      <abilityName>其他知识</abilityName>
      <candidateList>
        <item>5亿～10亿</item>
      </candidateList>
      <explain>1. “5～10亿”中的单位“亿”仅出现在后一个数字上，容易引起歧义；根据《现代汉语标点符号数字用法规范手册》，数字表示范围两边需要使用统一的格式。2.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1814165A</paraID>
      <start>0</start>
      <end>5</end>
      <status>ignored</status>
      <modifiedWord/>
      <trackRevisions>false</trackRevisions>
    </reviewItem>
    <reviewItem>
      <errorID>ac0b8b4a-56f6-43f8-bfa3-0e89aa04fbe7</errorID>
      <errorWord>10～50亿</errorWord>
      <group>L1_Knowledge</group>
      <groupName>知识性问题</groupName>
      <ability>L2_Knowledge</ability>
      <abilityName>其他知识</abilityName>
      <candidateList>
        <item>10亿～50亿</item>
      </candidateList>
      <explain>1. “10～50亿”中的单位“亿”仅出现在后一个数字上，容易引起歧义；根据《现代汉语标点符号数字用法规范手册》，数字表示范围两边需要使用统一的格式。2.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72AF1957</paraID>
      <start>0</start>
      <end>6</end>
      <status>ignored</status>
      <modifiedWord/>
      <trackRevisions>false</trackRevisions>
    </reviewItem>
    <reviewItem>
      <errorID>e9b1d045-06ac-4f8b-9cec-ecdacfcd4fd8</errorID>
      <errorWord>50～100亿</errorWord>
      <group>L1_Knowledge</group>
      <groupName>知识性问题</groupName>
      <ability>L2_Knowledge</ability>
      <abilityName>其他知识</abilityName>
      <candidateList>
        <item>50亿～100亿</item>
      </candidateList>
      <explain>1. “50～100亿”中的单位“亿”仅出现在后一个数字上，容易引起歧义；根据《现代汉语标点符号数字用法规范手册》，数字表示范围两边需要使用统一的格式。2.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241845E5</paraID>
      <start>0</start>
      <end>7</end>
      <status>ignored</status>
      <modifiedWord/>
      <trackRevisions>false</trackRevisions>
    </reviewItem>
    <reviewItem>
      <errorID>b14c6a94-60d3-4761-88d7-ca98d496c3e4</errorID>
      <errorWord>亿</errorWord>
      <group>L1_Word</group>
      <groupName>字词问题</groupName>
      <ability>L2_Typo</ability>
      <abilityName>字词错误</abilityName>
      <candidateList>
        <item>亿元</item>
      </candidateList>
      <explain/>
      <paraID> 42C2BB6</paraID>
      <start>3</start>
      <end>4</end>
      <status>ignored</status>
      <modifiedWord/>
      <trackRevisions>false</trackRevisions>
    </reviewItem>
    <reviewItem>
      <errorID>8c309b08-c27a-41e2-91b9-70cb2242578d</errorID>
      <errorWord>不能负</errorWord>
      <group>L1_Word</group>
      <groupName>字词问题</groupName>
      <ability>L2_Typo</ability>
      <abilityName>字词错误</abilityName>
      <candidateList>
        <item>不能</item>
      </candidateList>
      <explain/>
      <paraID>1DE90B6C</paraID>
      <start>26</start>
      <end>29</end>
      <status>ignored</status>
      <modifiedWord/>
      <trackRevisions>false</trackRevisions>
    </reviewItem>
    <reviewItem>
      <errorID>8cf358a2-d665-4b1d-847b-48817a6d5e51</errorID>
      <errorWord>标的的</errorWord>
      <group>L1_Word</group>
      <groupName>字词问题</groupName>
      <ability>L2_Typo</ability>
      <abilityName>字词错误</abilityName>
      <candidateList>
        <item>标的</item>
      </candidateList>
      <explain/>
      <paraID>2EE29FAC</paraID>
      <start>0</start>
      <end>2</end>
      <status>modified</status>
      <modifiedWord>标的</modifiedWord>
      <trackRevisions>false</trackRevisions>
    </reviewItem>
    <reviewItem>
      <errorID>aa2fceee-155c-49a0-bd9c-c3dcb7f7e895</errorID>
      <errorWord>,</errorWord>
      <group>L1_Format</group>
      <groupName>格式问题</groupName>
      <ability>L2_HalfPunc</ability>
      <abilityName>全半角检查</abilityName>
      <candidateList>
        <item>，</item>
      </candidateList>
      <explain>文本全半角错误。</explain>
      <paraID> 9241341</paraID>
      <start>98</start>
      <end>99</end>
      <status>modified</status>
      <modifiedWord>，</modifiedWord>
      <trackRevisions>false</trackRevisions>
    </reviewItem>
    <reviewItem>
      <errorID>ca063cdf-cfbe-4c75-b4b5-1126c78cfb35</errorID>
      <errorWord>须</errorWord>
      <group>L1_Word</group>
      <groupName>字词问题</groupName>
      <ability>L2_Typo</ability>
      <abilityName>字词错误</abilityName>
      <candidateList>
        <item>需</item>
      </candidateList>
      <explain>存在发音相同字词的误用。</explain>
      <paraID> 18C24EC</paraID>
      <start>82</start>
      <end>83</end>
      <status>ignored</status>
      <modifiedWord/>
      <trackRevisions>false</trackRevisions>
    </reviewItem>
    <reviewItem>
      <errorID>36c5ba27-b418-4953-815f-b73744340fba</errorID>
      <errorWord>已</errorWord>
      <group>L1_Word</group>
      <groupName>字词问题</groupName>
      <ability>L2_Typo</ability>
      <abilityName>字词错误</abilityName>
      <candidateList>
        <item>以</item>
      </candidateList>
      <explain>用在单纯的方位词前，组成合成的方位词或方位结构，表示时间、方位、数量的界限：～前｜～上｜三日～后｜县级～上｜长江～南｜五千～内｜二十岁～下。</explain>
      <paraID>7F917FDC</paraID>
      <start>53</start>
      <end>54</end>
      <status>modified</status>
      <modifiedWord>以</modifiedWord>
      <trackRevisions>false</trackRevisions>
    </reviewItem>
    <reviewItem>
      <errorID>0be1b5a2-3042-452f-8c6e-0b5fc606fa75</errorID>
      <errorWord>-</errorWord>
      <group>L1_Format</group>
      <groupName>格式问题</groupName>
      <ability>L2_HalfPunc</ability>
      <abilityName>全半角检查</abilityName>
      <candidateList>
        <item>－</item>
      </candidateList>
      <explain>文本全半角错误。</explain>
      <paraID>412CA079</paraID>
      <start>20</start>
      <end>21</end>
      <status>modified</status>
      <modifiedWord>－</modifiedWord>
      <trackRevisions>false</trackRevisions>
    </reviewItem>
    <reviewItem>
      <errorID>b1b7704d-90eb-461e-9e16-4995c000692e</errorID>
      <errorWord>法律、法规</errorWord>
      <group>L1_Word</group>
      <groupName>字词问题</groupName>
      <ability>L2_Typo</ability>
      <abilityName>字词错误</abilityName>
      <candidateList>
        <item>法律法规</item>
      </candidateList>
      <explain/>
      <paraID>3A68314D</paraID>
      <start>3</start>
      <end>7</end>
      <status>modified</status>
      <modifiedWord>法律法规</modifiedWord>
      <trackRevisions>false</trackRevisions>
    </reviewItem>
    <reviewItem>
      <errorID>b74cf519-fd1a-4af3-9224-7733ea102ebc</errorID>
      <errorWord>标价工程量</errorWord>
      <group>L1_Word</group>
      <groupName>字词问题</groupName>
      <ability>L2_Typo</ability>
      <abilityName>字词错误</abilityName>
      <candidateList>
        <item>标记工程量</item>
      </candidateList>
      <explain/>
      <paraID>4C57D67C</paraID>
      <start>6</start>
      <end>11</end>
      <status>ignored</status>
      <modifiedWord/>
      <trackRevisions>false</trackRevisions>
    </reviewItem>
    <reviewItem>
      <errorID>9f0ea37d-8893-4250-9272-c7f885928f63</errorID>
      <errorWord>做</errorWord>
      <group>L1_Word</group>
      <groupName>字词问题</groupName>
      <ability>L2_Typo</ability>
      <abilityName>字词错误</abilityName>
      <candidateList>
        <item>作</item>
      </candidateList>
      <explain>存在发音相同字词的误用。</explain>
      <paraID> 5E81595</paraID>
      <start>175</start>
      <end>176</end>
      <status>modified</status>
      <modifiedWord>作</modifiedWord>
      <trackRevisions>false</trackRevisions>
    </reviewItem>
    <reviewItem>
      <errorID>ecefe492-e6e4-4c72-8dc7-c8788355da2e</errorID>
      <errorWord>只是</errorWord>
      <group>L1_Word</group>
      <groupName>字词问题</groupName>
      <ability>L2_Typo</ability>
      <abilityName>字词错误</abilityName>
      <candidateList>
        <item>只</item>
      </candidateList>
      <explain>（衹、祇）zhǐ〈副〉❶表示仅限于某个范围：～知其一，不知其二｜在几种棋类中，他～会下象棋。❷只有；仅有：家里～我一个人。</explain>
      <paraID>357BF37E</paraID>
      <start>32</start>
      <end>33</end>
      <status>modified</status>
      <modifiedWord>只</modifiedWord>
      <trackRevisions>false</trackRevisions>
    </reviewItem>
    <reviewItem>
      <errorID>3c26f4e3-0fd2-42c5-bcb5-bc3eab67d9f1</errorID>
      <errorWord>[2024]55号</errorWord>
      <group>L1_Knowledge</group>
      <groupName>知识性问题</groupName>
      <ability>L2_Knowledge</ability>
      <abilityName>其他知识</abilityName>
      <candidateList>
        <item>〔2024〕55号</item>
      </candidateList>
      <explain>发文字号格式错误。</explain>
      <paraID>3838A5A5</paraID>
      <start>75</start>
      <end>84</end>
      <status>modified</status>
      <modifiedWord>〔2024〕55号</modifiedWord>
      <trackRevisions>false</trackRevisions>
    </reviewItem>
    <reviewItem>
      <errorID>6fd0139a-4e94-47df-b182-76c209ed34e2</errorID>
      <errorWord>，</errorWord>
      <group>L1_Word</group>
      <groupName>字词问题</groupName>
      <ability>L2_Typo</ability>
      <abilityName>字词错误</abilityName>
      <candidateList>
        <item>，具</item>
      </candidateList>
      <explain/>
      <paraID>74218EDC</paraID>
      <start>83</start>
      <end>85</end>
      <status>modified</status>
      <modifiedWord>，具</modifiedWord>
      <trackRevisions>false</trackRevisions>
    </reviewItem>
    <reviewItem>
      <errorID>697e5e8a-4909-48d0-a74a-d74661cfe0bf</errorID>
      <errorWord>中却</errorWord>
      <group>L1_Word</group>
      <groupName>字词问题</groupName>
      <ability>L2_Typo</ability>
      <abilityName>字词错误</abilityName>
      <candidateList>
        <item>中</item>
      </candidateList>
      <explain>〈动〉❶正对上；恰好合上：～选｜猜～了｜三枪都打～了目标。❷受到；遭受：～毒｜～暑｜胳膊上～了一枪。</explain>
      <paraID> 7EB67C3</paraID>
      <start>153</start>
      <end>155</end>
      <status>ignored</status>
      <modifiedWord/>
      <trackRevisions>false</trackRevisions>
    </reviewItem>
    <reviewItem>
      <errorID>75ada596-fbe1-4995-91a7-c5afb2b95062</errorID>
      <errorWord>噪音</errorWord>
      <group>L1_Word</group>
      <groupName>字词问题</groupName>
      <ability>L2_Alias</ability>
      <abilityName>也作/曾用词</abilityName>
      <candidateList>
        <item>噪声</item>
      </candidateList>
      <explain>词汇[噪音]为不规范表述或旧称，其规范书面表述为[噪声]。</explain>
      <paraID>3366907A</paraID>
      <start>54</start>
      <end>56</end>
      <status>ignored</status>
      <modifiedWord/>
      <trackRevisions>false</trackRevisions>
    </reviewItem>
    <reviewItem>
      <errorID>70e84a80-0d09-4ca0-94fc-f70fb93d6d9b</errorID>
      <errorWord>影响处理</errorWord>
      <group>L1_Knowledge</group>
      <groupName>知识性问题</groupName>
      <ability>L2_Term</ability>
      <abilityName>专业术语</abilityName>
      <candidateList>
        <item>影像处理</item>
      </candidateList>
      <explain/>
      <paraID>3366907A</paraID>
      <start>69</start>
      <end>73</end>
      <status>ignored</status>
      <modifiedWord/>
      <trackRevisions>false</trackRevisions>
    </reviewItem>
    <reviewItem>
      <errorID>3f2008f8-9052-4494-b7bc-1f95a9b761a7</errorID>
      <errorWord>，</errorWord>
      <group>L1_Word</group>
      <groupName>字词问题</groupName>
      <ability>L2_Typo</ability>
      <abilityName>字词错误</abilityName>
      <candidateList>
        <item>，具</item>
      </candidateList>
      <explain/>
      <paraID>3366907A</paraID>
      <start>85</start>
      <end>87</end>
      <status>modified</status>
      <modifiedWord>，具</modifiedWord>
      <trackRevisions>false</trackRevisions>
    </reviewItem>
    <reviewItem>
      <errorID>d3c1cf99-b3e9-4744-865e-988f55345ae8</errorID>
      <errorWord>，</errorWord>
      <group>L1_Word</group>
      <groupName>字词问题</groupName>
      <ability>L2_Typo</ability>
      <abilityName>字词错误</abilityName>
      <candidateList>
        <item>，与</item>
      </candidateList>
      <explain/>
      <paraID>3366907A</paraID>
      <start>186</start>
      <end>188</end>
      <status>modified</status>
      <modifiedWord>，与</modifiedWord>
      <trackRevisions>false</trackRevisions>
    </reviewItem>
    <reviewItem>
      <errorID>0c256340-bac4-443b-971c-294c2dd63051</errorID>
      <errorWord>（</errorWord>
      <group>L1_Punc</group>
      <groupName>标点问题</groupName>
      <ability>L2_Punc</ability>
      <abilityName>标点符号检查</abilityName>
      <candidateList>
        <item/>
      </candidateList>
      <explain>同一形式括号套用。</explain>
      <paraID> E26D28D</paraID>
      <start>85</start>
      <end>86</end>
      <status>ignored</status>
      <modifiedWord/>
      <trackRevisions>false</trackRevisions>
    </reviewItem>
    <reviewItem>
      <errorID>f63fbc59-961e-4950-ac87-bbb5e20927c1</errorID>
      <errorWord>(</errorWord>
      <group>L1_Punc</group>
      <groupName>标点问题</groupName>
      <ability>L2_Punc</ability>
      <abilityName>标点符号检查</abilityName>
      <candidateList/>
      <explain>同一形式括号套用。</explain>
      <paraID> E26D28D</paraID>
      <start>117</start>
      <end>118</end>
      <status>ignored</status>
      <modifiedWord/>
      <trackRevisions>false</trackRevisions>
    </reviewItem>
    <reviewItem>
      <errorID>43175060-b03b-42ea-a07c-404c1593df89</errorID>
      <errorWord>)</errorWord>
      <group>L1_Punc</group>
      <groupName>标点问题</groupName>
      <ability>L2_Punc</ability>
      <abilityName>标点符号检查</abilityName>
      <candidateList/>
      <explain>同一形式括号套用。</explain>
      <paraID> E26D28D</paraID>
      <start>135</start>
      <end>136</end>
      <status>ignored</status>
      <modifiedWord/>
      <trackRevisions>false</trackRevisions>
    </reviewItem>
    <reviewItem>
      <errorID>bbc7329b-18d5-477d-9f00-29faa4b4420d</errorID>
      <errorWord>）</errorWord>
      <group>L1_Punc</group>
      <groupName>标点问题</groupName>
      <ability>L2_Punc</ability>
      <abilityName>标点符号检查</abilityName>
      <candidateList/>
      <explain>同一形式括号套用。</explain>
      <paraID> E26D28D</paraID>
      <start>171</start>
      <end>172</end>
      <status>ignored</status>
      <modifiedWord/>
      <trackRevisions>false</trackRevisions>
    </reviewItem>
    <reviewItem>
      <errorID>3435f2cb-9cfa-469d-a20d-d93db6e33467</errorID>
      <errorWord>称</errorWord>
      <group>L1_Word</group>
      <groupName>字词问题</groupName>
      <ability>L2_Typo</ability>
      <abilityName>字词错误</abilityName>
      <candidateList>
        <item>称和</item>
      </candidateList>
      <explain/>
      <paraID>44D0212D</paraID>
      <start>122</start>
      <end>123</end>
      <status>ignored</status>
      <modifiedWord/>
      <trackRevisions>false</trackRevisions>
    </reviewItem>
    <reviewItem>
      <errorID>7c215a53-8495-4d66-bd01-767665007389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1D8309EF</paraID>
      <start>15</start>
      <end>17</end>
      <status>modified</status>
      <modifiedWord>》《</modifiedWord>
      <trackRevisions>false</trackRevisions>
    </reviewItem>
    <reviewItem>
      <errorID>fe1da962-ddc9-4ba9-8af2-47462da80220</errorID>
      <errorWord>房</errorWord>
      <group>L1_Word</group>
      <groupName>字词问题</groupName>
      <ability>L2_Typo</ability>
      <abilityName>字词错误</abilityName>
      <candidateList>
        <item>房和</item>
      </candidateList>
      <explain/>
      <paraID>2550A119</paraID>
      <start>7</start>
      <end>9</end>
      <status>modified</status>
      <modifiedWord>房和</modifiedWord>
      <trackRevisions>false</trackRevisions>
    </reviewItem>
    <reviewItem>
      <errorID>dc4c61fd-c1ad-43a2-9738-66994a361318</errorID>
      <errorWord>房</errorWord>
      <group>L1_Word</group>
      <groupName>字词问题</groupName>
      <ability>L2_Typo</ability>
      <abilityName>字词错误</abilityName>
      <candidateList>
        <item>房和</item>
      </candidateList>
      <explain/>
      <paraID>2CCD6F61</paraID>
      <start>31</start>
      <end>33</end>
      <status>modified</status>
      <modifiedWord>房和</modifiedWord>
      <trackRevisions>false</trackRevisions>
    </reviewItem>
    <reviewItem>
      <errorID>b72c1ca6-a105-4a01-a2c5-9442e34eb0ad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42C39DE3</paraID>
      <start>27</start>
      <end>29</end>
      <status>modified</status>
      <modifiedWord>》《</modifiedWord>
      <trackRevisions>false</trackRevisions>
    </reviewItem>
    <reviewItem>
      <errorID>bcbcd036-bd75-4d79-8b2c-2a784ba6cdc8</errorID>
      <errorWord>(</errorWord>
      <group>L1_Format</group>
      <groupName>格式问题</groupName>
      <ability>L2_HalfPunc</ability>
      <abilityName>全半角检查</abilityName>
      <candidateList>
        <item>（</item>
      </candidateList>
      <explain>文本全半角错误。</explain>
      <paraID>67417F9D</paraID>
      <start>27</start>
      <end>28</end>
      <status>modified</status>
      <modifiedWord>（</modifiedWord>
      <trackRevisions>false</trackRevisions>
    </reviewItem>
    <reviewItem>
      <errorID>00f17bf4-4e4a-4e93-b15d-5cc745a51677</errorID>
      <errorWord>)</errorWord>
      <group>L1_Format</group>
      <groupName>格式问题</groupName>
      <ability>L2_HalfPunc</ability>
      <abilityName>全半角检查</abilityName>
      <candidateList>
        <item>）</item>
      </candidateList>
      <explain>文本全半角错误。</explain>
      <paraID>67417F9D</paraID>
      <start>39</start>
      <end>40</end>
      <status>modified</status>
      <modifiedWord>）</modifiedWord>
      <trackRevisions>false</trackRevisions>
    </reviewItem>
    <reviewItem>
      <errorID>5c25e540-b0b9-4239-9c8a-e9daa9152125</errorID>
      <errorWord>股东大会</errorWord>
      <group>L1_Word</group>
      <groupName>字词问题</groupName>
      <ability>L2_Typo</ability>
      <abilityName>字词错误</abilityName>
      <candidateList>
        <item>股东会</item>
      </candidateList>
      <explain/>
      <paraID>1EF01216</paraID>
      <start>113</start>
      <end>117</end>
      <status>ignored</status>
      <modifiedWord/>
      <trackRevisions>false</trackRevisions>
    </reviewItem>
    <reviewItem>
      <errorID>4aaf25b9-752d-4802-ac61-74a85ba41971</errorID>
      <errorWord>者</errorWord>
      <group>L1_Word</group>
      <groupName>字词问题</groupName>
      <ability>L2_Typo</ability>
      <abilityName>字词错误</abilityName>
      <candidateList>
        <item>者加</item>
      </candidateList>
      <explain/>
      <paraID>7F28AA6B</paraID>
      <start>29</start>
      <end>31</end>
      <status>modified</status>
      <modifiedWord>者加</modifiedWord>
      <trackRevisions>false</trackRevisions>
    </reviewItem>
    <reviewItem>
      <errorID>e932edd2-5264-450a-85fd-ace76afde7f8</errorID>
      <errorWord>位</errorWord>
      <group>L1_Word</group>
      <groupName>字词问题</groupName>
      <ability>L2_Typo</ability>
      <abilityName>字词错误</abilityName>
      <candidateList>
        <item>位公</item>
      </candidateList>
      <explain/>
      <paraID>7F28AA6B</paraID>
      <start>33</start>
      <end>35</end>
      <status>modified</status>
      <modifiedWord>位公</modifiedWord>
      <trackRevisions>false</trackRevisions>
    </reviewItem>
    <reviewItem>
      <errorID>6fad20a0-4b02-4fc4-b794-3222ed2d6bcc</errorID>
      <errorWord>（</errorWord>
      <group>L1_Word</group>
      <groupName>字词问题</groupName>
      <ability>L2_Typo</ability>
      <abilityName>字词错误</abilityName>
      <candidateList>
        <item>（加</item>
      </candidateList>
      <explain/>
      <paraID>77717D4B</paraID>
      <start>7</start>
      <end>8</end>
      <status>ignored</status>
      <modifiedWord/>
      <trackRevisions>false</trackRevisions>
    </reviewItem>
    <reviewItem>
      <errorID>dc587afe-d961-447c-b64b-717828f10d17</errorID>
      <errorWord>（</errorWord>
      <group>L1_Word</group>
      <groupName>字词问题</groupName>
      <ability>L2_Typo</ability>
      <abilityName>字词错误</abilityName>
      <candidateList>
        <item>（加</item>
      </candidateList>
      <explain/>
      <paraID>70474269</paraID>
      <start>7</start>
      <end>8</end>
      <status>ignored</status>
      <modifiedWord/>
      <trackRevisions>false</trackRevisions>
    </reviewItem>
    <reviewItem>
      <errorID>c836a022-b857-413c-b6af-5e77cd7b135e</errorID>
      <errorWord>响应</errorWord>
      <group>L1_Word</group>
      <groupName>字词问题</groupName>
      <ability>L2_Typo</ability>
      <abilityName>字词错误</abilityName>
      <candidateList>
        <item>相应</item>
      </candidateList>
      <explain>〈动〉互相呼应或照应；相适应：这篇文章前后不～｜环境改变了，工作方法也要～地改变。</explain>
      <paraID>6FCAEE4A</paraID>
      <start>47</start>
      <end>49</end>
      <status>ignored</status>
      <modifiedWord/>
      <trackRevisions>false</trackRevisions>
    </reviewItem>
    <reviewItem>
      <errorID>909e06ca-d330-4903-9a06-7cd02ab80181</errorID>
      <errorWord>税</errorWord>
      <group>L1_Word</group>
      <groupName>字词问题</groupName>
      <ability>L2_Typo</ability>
      <abilityName>字词错误</abilityName>
      <candidateList>
        <item>税方</item>
      </candidateList>
      <explain/>
      <paraID>4E23155A</paraID>
      <start>6</start>
      <end>7</end>
      <status>ignored</status>
      <modifiedWord/>
      <trackRevisions>false</trackRevisions>
    </reviewItem>
    <reviewItem>
      <errorID>5a67a20a-00d0-4bf7-a8a6-7889e8aa74e2</errorID>
      <errorWord>理</errorWord>
      <group>L1_Word</group>
      <groupName>字词问题</groupName>
      <ability>L2_Typo</ability>
      <abilityName>字词错误</abilityName>
      <candidateList>
        <item>理人</item>
      </candidateList>
      <explain/>
      <paraID>4A28BCEC</paraID>
      <start>18</start>
      <end>19</end>
      <status>ignored</status>
      <modifiedWord/>
      <trackRevisions>false</trackRevisions>
    </reviewItem>
    <reviewItem>
      <errorID>01e21068-05bd-42e1-b7c6-782ecc9ca02a</errorID>
      <errorWord>应</errorWord>
      <group>L1_Word</group>
      <groupName>字词问题</groupName>
      <ability>L2_Typo</ability>
      <abilityName>字词错误</abilityName>
      <candidateList>
        <item>应按</item>
      </candidateList>
      <explain/>
      <paraID>36E888B2</paraID>
      <start>8</start>
      <end>10</end>
      <status>modified</status>
      <modifiedWord>应按</modifiedWord>
      <trackRevisions>false</trackRevisions>
    </reviewItem>
    <reviewItem>
      <errorID>a45a58c9-2d96-4c5c-b798-6c0a3de254b0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4D2B2A45</paraID>
      <start>13</start>
      <end>15</end>
      <status>modified</status>
      <modifiedWord>》《</modifiedWord>
      <trackRevisions>false</trackRevisions>
    </reviewItem>
    <reviewItem>
      <errorID>5f91b6f7-1052-4e11-b282-ad3ecc8051f5</errorID>
      <errorWord>国标</errorWord>
      <group>L1_Word</group>
      <groupName>字词问题</groupName>
      <ability>L2_Typo</ability>
      <abilityName>字词错误</abilityName>
      <candidateList>
        <item>国家</item>
      </candidateList>
      <explain/>
      <paraID>37E92B28</paraID>
      <start>32</start>
      <end>34</end>
      <status>modified</status>
      <modifiedWord>国家</modifiedWord>
      <trackRevisions>false</trackRevisions>
    </reviewItem>
    <reviewItem>
      <errorID>6756344f-8dce-4005-bf57-f5f1bc25782f</errorID>
      <errorWord>算数平均</errorWord>
      <group>L1_Word</group>
      <groupName>字词问题</groupName>
      <ability>L2_Typo</ability>
      <abilityName>字词错误</abilityName>
      <candidateList>
        <item>算术平均</item>
      </candidateList>
      <explain/>
      <paraID> F541048</paraID>
      <start>157</start>
      <end>161</end>
      <status>modified</status>
      <modifiedWord>算术平均</modifiedWord>
      <trackRevisions>false</trackRevisions>
    </reviewItem>
    <reviewItem>
      <errorID>0ba50970-e650-4d7c-b616-6f64fa7991f5</errorID>
      <errorWord>限</errorWord>
      <group>L1_Word</group>
      <groupName>字词问题</groupName>
      <ability>L2_Typo</ability>
      <abilityName>字词错误</abilityName>
      <candidateList>
        <item>限内</item>
      </candidateList>
      <explain/>
      <paraID>1030556C</paraID>
      <start>324</start>
      <end>326</end>
      <status>modified</status>
      <modifiedWord>限内</modifiedWord>
      <trackRevisions>false</trackRevisions>
    </reviewItem>
    <reviewItem>
      <errorID>6a263261-df40-4d9a-af69-d092b6ce65f3</errorID>
      <errorWord>座标</errorWord>
      <group>L1_Word</group>
      <groupName>字词问题</groupName>
      <ability>L2_Typo</ability>
      <abilityName>字词错误</abilityName>
      <candidateList>
        <item>坐标</item>
      </candidateList>
      <explain>存在发音相同字词的误用。</explain>
      <paraID>286D82BB</paraID>
      <start>4</start>
      <end>6</end>
      <status>ignored</status>
      <modifiedWord/>
      <trackRevisions>false</trackRevisions>
    </reviewItem>
    <reviewItem>
      <errorID>8324fff3-981d-46ed-a2e3-9020169f1d0a</errorID>
      <errorWord>：/。</errorWord>
      <group>L1_Punc</group>
      <groupName>标点问题</groupName>
      <ability>L2_Punc</ability>
      <abilityName>标点符号检查</abilityName>
      <candidateList>
        <item>：</item>
      </candidateList>
      <explain/>
      <paraID> B691D1B</paraID>
      <start>16</start>
      <end>19</end>
      <status>ignored</status>
      <modifiedWord/>
      <trackRevisions>false</trackRevisions>
    </reviewItem>
    <reviewItem>
      <errorID>0d31be49-6f96-4b85-a17c-1b4c6417771c</errorID>
      <errorWord>。】</errorWord>
      <group>L1_Punc</group>
      <groupName>标点问题</groupName>
      <ability>L2_Punc</ability>
      <abilityName>标点符号检查</abilityName>
      <candidateList>
        <item>】</item>
      </candidateList>
      <explain/>
      <paraID>637317B1</paraID>
      <start>186</start>
      <end>187</end>
      <status>modified</status>
      <modifiedWord>】</modifiedWord>
      <trackRevisions>false</trackRevisions>
    </reviewItem>
    <reviewItem>
      <errorID>9e201e1b-f1d9-4679-ba3f-186920db5b1c</errorID>
      <errorWord>共同协商</errorWord>
      <group>L1_Word</group>
      <groupName>字词问题</groupName>
      <ability>L2_Typo</ability>
      <abilityName>字词错误</abilityName>
      <candidateList>
        <item>协商</item>
      </candidateList>
      <explain/>
      <paraID>779FE878</paraID>
      <start>58</start>
      <end>62</end>
      <status>ignored</status>
      <modifiedWord/>
      <trackRevisions>false</trackRevisions>
    </reviewItem>
    <reviewItem>
      <errorID>a507b3dd-0873-4f93-976a-985a7f65dfa7</errorID>
      <errorWord>作好</errorWord>
      <group>L1_Word</group>
      <groupName>字词问题</groupName>
      <ability>L2_Typo</ability>
      <abilityName>字词错误</abilityName>
      <candidateList>
        <item>做好</item>
      </candidateList>
      <explain/>
      <paraID>18ED7AA7</paraID>
      <start>8</start>
      <end>10</end>
      <status>modified</status>
      <modifiedWord>做好</modifiedWord>
      <trackRevisions>false</trackRevisions>
    </reviewItem>
    <reviewItem>
      <errorID>c8bf3f7a-f27c-4429-9db7-40d2f15001db</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27804C91</paraID>
      <start>0</start>
      <end>3</end>
      <status>modified</status>
      <modifiedWord>19）</modifiedWord>
      <trackRevisions>false</trackRevisions>
    </reviewItem>
    <reviewItem>
      <errorID>7afeea8a-7a5b-44f0-842e-d645b8f64c7e</errorID>
      <errorWord>协助与</errorWord>
      <group>L1_Word</group>
      <groupName>字词问题</groupName>
      <ability>L2_Typo</ability>
      <abilityName>字词错误</abilityName>
      <candidateList>
        <item>协助</item>
      </candidateList>
      <explain/>
      <paraID>27804C91</paraID>
      <start>6</start>
      <end>9</end>
      <status>ignored</status>
      <modifiedWord/>
      <trackRevisions>false</trackRevisions>
    </reviewItem>
    <reviewItem>
      <errorID>c7207509-ee83-4fb0-8ec1-f630a140d0ff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7D865068</paraID>
      <start>16</start>
      <end>18</end>
      <status>modified</status>
      <modifiedWord>》《</modifiedWord>
      <trackRevisions>false</trackRevisions>
    </reviewItem>
    <reviewItem>
      <errorID>3ac70584-142f-45fe-a5d6-6f2c483c7482</errorID>
      <errorWord>&lt;</errorWord>
      <group>L1_Format</group>
      <groupName>格式问题</groupName>
      <ability>L2_HalfPunc</ability>
      <abilityName>全半角检查</abilityName>
      <candidateList>
        <item>〈</item>
      </candidateList>
      <explain>文本全半角错误。</explain>
      <paraID>7D865068</paraID>
      <start>70</start>
      <end>71</end>
      <status>modified</status>
      <modifiedWord>〈</modifiedWord>
      <trackRevisions>false</trackRevisions>
    </reviewItem>
    <reviewItem>
      <errorID>b07e9d01-a226-47a6-b0fe-76ef221e5847</errorID>
      <errorWord>&gt;</errorWord>
      <group>L1_Format</group>
      <groupName>格式问题</groupName>
      <ability>L2_HalfPunc</ability>
      <abilityName>全半角检查</abilityName>
      <candidateList>
        <item>〉</item>
      </candidateList>
      <explain>文本全半角错误。</explain>
      <paraID>7D865068</paraID>
      <start>92</start>
      <end>93</end>
      <status>modified</status>
      <modifiedWord>〉</modifiedWord>
      <trackRevisions>false</trackRevisions>
    </reviewItem>
    <reviewItem>
      <errorID>b20ec840-bd5b-4810-beee-3f3377bc031b</errorID>
      <errorWord>(</errorWord>
      <group>L1_Format</group>
      <groupName>格式问题</groupName>
      <ability>L2_HalfPunc</ability>
      <abilityName>全半角检查</abilityName>
      <candidateList>
        <item>（</item>
      </candidateList>
      <explain>文本全半角错误。</explain>
      <paraID>357A0855</paraID>
      <start>92</start>
      <end>93</end>
      <status>modified</status>
      <modifiedWord>（</modifiedWord>
      <trackRevisions>false</trackRevisions>
    </reviewItem>
    <reviewItem>
      <errorID>93a0876c-a1bd-4b33-8fb6-ff744f0a066e</errorID>
      <errorWord>)</errorWord>
      <group>L1_Format</group>
      <groupName>格式问题</groupName>
      <ability>L2_HalfPunc</ability>
      <abilityName>全半角检查</abilityName>
      <candidateList>
        <item>）</item>
      </candidateList>
      <explain>文本全半角错误。</explain>
      <paraID>357A0855</paraID>
      <start>96</start>
      <end>97</end>
      <status>modified</status>
      <modifiedWord>）</modifiedWord>
      <trackRevisions>false</trackRevisions>
    </reviewItem>
    <reviewItem>
      <errorID>d0a89316-be4e-4eb2-b422-835827a8b537</errorID>
      <errorWord>超过工期一半以上</errorWord>
      <group>L1_Word</group>
      <groupName>字词问题</groupName>
      <ability>L2_Typo</ability>
      <abilityName>字词错误</abilityName>
      <candidateList>
        <item>超过工期一半</item>
      </candidateList>
      <explain/>
      <paraID>69E15B1B</paraID>
      <start>264</start>
      <end>272</end>
      <status>ignored</status>
      <modifiedWord/>
      <trackRevisions>false</trackRevisions>
    </reviewItem>
    <reviewItem>
      <errorID>744466d1-f01a-4a46-8950-caff222cc4d1</errorID>
      <errorWord>交纳</errorWord>
      <group>L1_Word</group>
      <groupName>字词问题</groupName>
      <ability>L2_Typo</ability>
      <abilityName>字词错误</abilityName>
      <candidateList>
        <item>缴纳</item>
      </candidateList>
      <explain>〈动〉交纳：～税款。</explain>
      <paraID>1916AAB5</paraID>
      <start>69</start>
      <end>71</end>
      <status>ignored</status>
      <modifiedWord/>
      <trackRevisions>false</trackRevisions>
    </reviewItem>
    <reviewItem>
      <errorID>c6763b06-91df-47b9-9b37-6de6778d3e09</errorID>
      <errorWord>交纳</errorWord>
      <group>L1_Word</group>
      <groupName>字词问题</groupName>
      <ability>L2_Typo</ability>
      <abilityName>字词错误</abilityName>
      <candidateList>
        <item>缴纳</item>
      </candidateList>
      <explain>〈动〉交纳：～税款。</explain>
      <paraID>6603F2BB</paraID>
      <start>87</start>
      <end>89</end>
      <status>ignored</status>
      <modifiedWord/>
      <trackRevisions>false</trackRevisions>
    </reviewItem>
    <reviewItem>
      <errorID>ec26b142-380b-4941-afb9-9274206ef91c</errorID>
      <errorWord>：：</errorWord>
      <group>L1_Punc</group>
      <groupName>标点问题</groupName>
      <ability>L2_Punc</ability>
      <abilityName>标点符号检查</abilityName>
      <candidateList>
        <item>：</item>
      </candidateList>
      <explain/>
      <paraID> EFFCDAE</paraID>
      <start>28</start>
      <end>29</end>
      <status>modified</status>
      <modifiedWord>：</modifiedWord>
      <trackRevisions>false</trackRevisions>
    </reviewItem>
    <reviewItem>
      <errorID>e70f766e-c12a-40fb-b765-dc8184185d63</errorID>
      <errorWord>项项</errorWord>
      <group>L1_Word</group>
      <groupName>字词问题</groupName>
      <ability>L2_Typo</ability>
      <abilityName>字词错误</abilityName>
      <candidateList>
        <item>项</item>
      </candidateList>
      <explain/>
      <paraID>133BF345</paraID>
      <start>27</start>
      <end>28</end>
      <status>modified</status>
      <modifiedWord>项</modifiedWord>
      <trackRevisions>false</trackRevisions>
    </reviewItem>
    <reviewItem>
      <errorID>f4ac26e9-34b1-4a6a-be08-e1509a9876ae</errorID>
      <errorWord>其它</errorWord>
      <group>L1_Word</group>
      <groupName>字词问题</groupName>
      <ability>L2_Alias</ability>
      <abilityName>也作/曾用词</abilityName>
      <candidateList>
        <item>其他</item>
      </candidateList>
      <explain>词汇[其它]为不规范表述或旧称，其规范书面表述为[其他]。</explain>
      <paraID>133BF345</paraID>
      <start>45</start>
      <end>47</end>
      <status>modified</status>
      <modifiedWord>其他</modifiedWord>
      <trackRevisions>false</trackRevisions>
    </reviewItem>
    <reviewItem>
      <errorID>79d28b65-13b9-4606-91e9-70dcb58dee10</errorID>
      <errorWord>其它</errorWord>
      <group>L1_Word</group>
      <groupName>字词问题</groupName>
      <ability>L2_Alias</ability>
      <abilityName>也作/曾用词</abilityName>
      <candidateList>
        <item>其他</item>
      </candidateList>
      <explain>词汇[其它]为不规范表述或旧称，其规范书面表述为[其他]。</explain>
      <paraID>133BF345</paraID>
      <start>129</start>
      <end>131</end>
      <status>modified</status>
      <modifiedWord>其他</modifiedWord>
      <trackRevisions>false</trackRevisions>
    </reviewItem>
    <reviewItem>
      <errorID>1a26be35-6b01-4de9-9b85-1a953a69ae74</errorID>
      <errorWord>其它</errorWord>
      <group>L1_Word</group>
      <groupName>字词问题</groupName>
      <ability>L2_Alias</ability>
      <abilityName>也作/曾用词</abilityName>
      <candidateList>
        <item>其他</item>
      </candidateList>
      <explain>词汇[其它]为不规范表述或旧称，其规范书面表述为[其他]。</explain>
      <paraID>10B1D1F7</paraID>
      <start>173</start>
      <end>175</end>
      <status>modified</status>
      <modifiedWord>其他</modifiedWord>
      <trackRevisions>false</trackRevisions>
    </reviewItem>
    <reviewItem>
      <errorID>cd301209-7b30-42d0-af80-1c45f6facc69</errorID>
      <errorWord>,</errorWord>
      <group>L1_Format</group>
      <groupName>格式问题</groupName>
      <ability>L2_HalfPunc</ability>
      <abilityName>全半角检查</abilityName>
      <candidateList>
        <item>，</item>
      </candidateList>
      <explain>文本全半角错误。</explain>
      <paraID>3DE3A2B1</paraID>
      <start>134</start>
      <end>135</end>
      <status>modified</status>
      <modifiedWord>，</modifiedWord>
      <trackRevisions>false</trackRevisions>
    </reviewItem>
    <reviewItem>
      <errorID>9a3f9b3f-04e5-4311-953b-653aeebd3578</errorID>
      <errorWord>(</errorWord>
      <group>L1_Format</group>
      <groupName>格式问题</groupName>
      <ability>L2_HalfPunc</ability>
      <abilityName>全半角检查</abilityName>
      <candidateList>
        <item>（</item>
      </candidateList>
      <explain>文本全半角错误。</explain>
      <paraID> 4FE7337</paraID>
      <start>60</start>
      <end>61</end>
      <status>modified</status>
      <modifiedWord>（</modifiedWord>
      <trackRevisions>false</trackRevisions>
    </reviewItem>
    <reviewItem>
      <errorID>d2f24ff6-466b-4c42-ae49-e9309bf23011</errorID>
      <errorWord>)</errorWord>
      <group>L1_Format</group>
      <groupName>格式问题</groupName>
      <ability>L2_HalfPunc</ability>
      <abilityName>全半角检查</abilityName>
      <candidateList>
        <item>）</item>
      </candidateList>
      <explain>文本全半角错误。</explain>
      <paraID> 4FE7337</paraID>
      <start>62</start>
      <end>63</end>
      <status>modified</status>
      <modifiedWord>）</modifiedWord>
      <trackRevisions>false</trackRevisions>
    </reviewItem>
    <reviewItem>
      <errorID>52837888-28bb-4a30-900c-d54f6896d3ba</errorID>
      <errorWord>挂勾</errorWord>
      <group>L1_Word</group>
      <groupName>字词问题</groupName>
      <ability>L2_Typo</ability>
      <abilityName>字词错误</abilityName>
      <candidateList>
        <item>挂钩</item>
      </candidateList>
      <explain>❶（－∥－）〈动〉用钩把两节车厢连接起来。❷（－∥－）〈动〉比喻建立某种联系：企业直接跟原料产地～｜这两个单位早就挂起钩来了。❸〈名〉用来吊起重物或把车厢等连接起来的钩：吊车～｜火车～。</explain>
      <paraID>22440445</paraID>
      <start>26</start>
      <end>28</end>
      <status>modified</status>
      <modifiedWord>挂钩</modifiedWord>
      <trackRevisions>false</trackRevisions>
    </reviewItem>
    <reviewItem>
      <errorID>cb017528-c1e6-4727-b2ef-a4a1e21b2e3d</errorID>
      <errorWord>期限的</errorWord>
      <group>L1_Word</group>
      <groupName>字词问题</groupName>
      <ability>L2_Typo</ability>
      <abilityName>字词错误</abilityName>
      <candidateList>
        <item>期限</item>
      </candidateList>
      <explain/>
      <paraID>598A2983</paraID>
      <start>16</start>
      <end>19</end>
      <status>ignored</status>
      <modifiedWord/>
      <trackRevisions>false</trackRevisions>
    </reviewItem>
    <reviewItem>
      <errorID>558c59f5-a1df-4d24-a65d-2a7a6e5d0d53</errorID>
      <errorWord>,</errorWord>
      <group>L1_Format</group>
      <groupName>格式问题</groupName>
      <ability>L2_HalfPunc</ability>
      <abilityName>全半角检查</abilityName>
      <candidateList>
        <item>，</item>
      </candidateList>
      <explain>文本全半角错误。</explain>
      <paraID>4D80E40E</paraID>
      <start>124</start>
      <end>125</end>
      <status>modified</status>
      <modifiedWord>，</modifiedWord>
      <trackRevisions>false</trackRevisions>
    </reviewItem>
    <reviewItem>
      <errorID>80f35772-c4c2-465f-acbd-e847dcecf8ad</errorID>
      <errorWord>（</errorWord>
      <group>L1_Format</group>
      <groupName>格式问题</groupName>
      <ability>L2_HalfPunc</ability>
      <abilityName>全半角检查</abilityName>
      <candidateList>
        <item>(</item>
      </candidateList>
      <explain>文本全半角错误。</explain>
      <paraID>7DEA28D8</paraID>
      <start>0</start>
      <end>1</end>
      <status>modified</status>
      <modifiedWord>(</modifiedWord>
      <trackRevisions>false</trackRevisions>
    </reviewItem>
    <reviewItem>
      <errorID>9f1dae84-c618-4ba6-9934-93f35c422b1e</errorID>
      <errorWord>）</errorWord>
      <group>L1_Format</group>
      <groupName>格式问题</groupName>
      <ability>L2_HalfPunc</ability>
      <abilityName>全半角检查</abilityName>
      <candidateList>
        <item>)</item>
      </candidateList>
      <explain>文本全半角错误。</explain>
      <paraID>7DEA28D8</paraID>
      <start>2</start>
      <end>3</end>
      <status>modified</status>
      <modifiedWord>)</modifiedWord>
      <trackRevisions>false</trackRevisions>
    </reviewItem>
    <reviewItem>
      <errorID>53fe8945-8c6a-4f7e-9d12-7745bbdffba8</errorID>
      <errorWord>/；</errorWord>
      <group>L1_Punc</group>
      <groupName>标点问题</groupName>
      <ability>L2_Punc</ability>
      <abilityName>标点符号检查</abilityName>
      <candidateList>
        <item>/</item>
      </candidateList>
      <explain/>
      <paraID>7DEA28D8</paraID>
      <start>3</start>
      <end>5</end>
      <status>ignored</status>
      <modifiedWord/>
      <trackRevisions>false</trackRevisions>
    </reviewItem>
    <reviewItem>
      <errorID>6c2bda6a-eba1-4e61-913c-7143d0179085</errorID>
      <errorWord>（</errorWord>
      <group>L1_Format</group>
      <groupName>格式问题</groupName>
      <ability>L2_HalfPunc</ability>
      <abilityName>全半角检查</abilityName>
      <candidateList>
        <item>(</item>
      </candidateList>
      <explain>文本全半角错误。</explain>
      <paraID> 72D495C</paraID>
      <start>0</start>
      <end>1</end>
      <status>modified</status>
      <modifiedWord>(</modifiedWord>
      <trackRevisions>false</trackRevisions>
    </reviewItem>
    <reviewItem>
      <errorID>a247970e-6269-4a11-be7f-7733859f33d0</errorID>
      <errorWord>）</errorWord>
      <group>L1_Format</group>
      <groupName>格式问题</groupName>
      <ability>L2_HalfPunc</ability>
      <abilityName>全半角检查</abilityName>
      <candidateList>
        <item>)</item>
      </candidateList>
      <explain>文本全半角错误。</explain>
      <paraID> 72D495C</paraID>
      <start>2</start>
      <end>3</end>
      <status>modified</status>
      <modifiedWord>)</modifiedWord>
      <trackRevisions>false</trackRevisions>
    </reviewItem>
    <reviewItem>
      <errorID>6bf8f601-1d4c-48df-a5fc-1dbbdaba2668</errorID>
      <errorWord>/。</errorWord>
      <group>L1_Punc</group>
      <groupName>标点问题</groupName>
      <ability>L2_Punc</ability>
      <abilityName>标点符号检查</abilityName>
      <candidateList>
        <item>/</item>
      </candidateList>
      <explain/>
      <paraID> 72D495C</paraID>
      <start>3</start>
      <end>5</end>
      <status>ignored</status>
      <modifiedWord/>
      <trackRevisions>false</trackRevisions>
    </reviewItem>
    <reviewItem>
      <errorID>10897b54-583f-4a48-a900-46b38dd80a6c</errorID>
      <errorWord>(</errorWord>
      <group>L1_Format</group>
      <groupName>格式问题</groupName>
      <ability>L2_HalfPunc</ability>
      <abilityName>全半角检查</abilityName>
      <candidateList>
        <item>（</item>
      </candidateList>
      <explain>文本全半角错误。</explain>
      <paraID>7B2F6200</paraID>
      <start>89</start>
      <end>90</end>
      <status>modified</status>
      <modifiedWord>（</modifiedWord>
      <trackRevisions>false</trackRevisions>
    </reviewItem>
    <reviewItem>
      <errorID>f9f3edd1-f03c-4115-9fb7-897688dabd17</errorID>
      <errorWord>[2014]96号</errorWord>
      <group>L1_Knowledge</group>
      <groupName>知识性问题</groupName>
      <ability>L2_Knowledge</ability>
      <abilityName>其他知识</abilityName>
      <candidateList>
        <item>〔2014〕96号</item>
      </candidateList>
      <explain>发文字号格式错误。</explain>
      <paraID>7B2F6200</paraID>
      <start>93</start>
      <end>102</end>
      <status>modified</status>
      <modifiedWord>〔2014〕96号</modifiedWord>
      <trackRevisions>false</trackRevisions>
    </reviewItem>
    <reviewItem>
      <errorID>87a28038-1aca-4b7f-a4af-01d09e25cc1d</errorID>
      <errorWord>)</errorWord>
      <group>L1_Format</group>
      <groupName>格式问题</groupName>
      <ability>L2_HalfPunc</ability>
      <abilityName>全半角检查</abilityName>
      <candidateList>
        <item>）</item>
      </candidateList>
      <explain>文本全半角错误。</explain>
      <paraID>7B2F6200</paraID>
      <start>102</start>
      <end>103</end>
      <status>modified</status>
      <modifiedWord>）</modifiedWord>
      <trackRevisions>false</trackRevisions>
    </reviewItem>
    <reviewItem>
      <errorID>97461290-e6cc-46b5-ae2d-7d04b996298a</errorID>
      <errorWord>商订</errorWord>
      <group>L1_Word</group>
      <groupName>字词问题</groupName>
      <ability>L2_Typo</ability>
      <abilityName>字词错误</abilityName>
      <candidateList>
        <item>商定</item>
      </candidateList>
      <explain/>
      <paraID> F6CCAD0</paraID>
      <start>123</start>
      <end>125</end>
      <status>modified</status>
      <modifiedWord>商定</modifiedWord>
      <trackRevisions>false</trackRevisions>
    </reviewItem>
    <reviewItem>
      <errorID>fcf3fd45-17e4-4d46-96e0-70f764bce330</errorID>
      <errorWord>，</errorWord>
      <group>L1_Word</group>
      <groupName>字词问题</groupName>
      <ability>L2_Typo</ability>
      <abilityName>字词错误</abilityName>
      <candidateList>
        <item>，在</item>
      </candidateList>
      <explain/>
      <paraID>1512F169</paraID>
      <start>84</start>
      <end>86</end>
      <status>modified</status>
      <modifiedWord>，在</modifiedWord>
      <trackRevisions>false</trackRevisions>
    </reviewItem>
    <reviewItem>
      <errorID>0c5fc5e9-ee36-4f3a-82fc-d20ecf6c8bdb</errorID>
      <errorWord>[2015]16号</errorWord>
      <group>L1_Knowledge</group>
      <groupName>知识性问题</groupName>
      <ability>L2_Knowledge</ability>
      <abilityName>其他知识</abilityName>
      <candidateList>
        <item>〔2015〕16号</item>
      </candidateList>
      <explain>发文字号格式错误。</explain>
      <paraID>1512F169</paraID>
      <start>198</start>
      <end>207</end>
      <status>modified</status>
      <modifiedWord>〔2015〕16号</modifiedWord>
      <trackRevisions>false</trackRevisions>
    </reviewItem>
    <reviewItem>
      <errorID>8c65b95b-fef8-4477-9253-e97694e64949</errorID>
      <errorWord>.。</errorWord>
      <group>L1_Punc</group>
      <groupName>标点问题</groupName>
      <ability>L2_Punc</ability>
      <abilityName>标点符号检查</abilityName>
      <candidateList>
        <item>.</item>
      </candidateList>
      <explain/>
      <paraID>232C1D7A</paraID>
      <start>35</start>
      <end>36</end>
      <status>modified</status>
      <modifiedWord>.</modifiedWord>
      <trackRevisions>false</trackRevisions>
    </reviewItem>
    <reviewItem>
      <errorID>1bf59a19-711f-4cb6-a15c-571f29e5f33b</errorID>
      <errorWord>大气污染防治法</errorWord>
      <group>L1_Knowledge</group>
      <groupName>知识性问题</groupName>
      <ability>L2_Knowledge</ability>
      <abilityName>其他知识</abilityName>
      <candidateList>
        <item>中华人民共和国大气污染防治法</item>
      </candidateList>
      <explain>当前法律法规名称使用简称，请注意是否应当使用全称。</explain>
      <paraID>430BCC90</paraID>
      <start>19</start>
      <end>33</end>
      <status>modified</status>
      <modifiedWord>中华人民共和国大气污染防治法</modifiedWord>
      <trackRevisions>false</trackRevisions>
    </reviewItem>
    <reviewItem>
      <errorID>5f2dda23-5e39-4a94-a643-d412cb45b871</errorID>
      <errorWord>必盖</errorWord>
      <group>L1_Word</group>
      <groupName>字词问题</groupName>
      <ability>L2_Typo</ability>
      <abilityName>字词错误</abilityName>
      <candidateList>
        <item>覆盖</item>
      </candidateList>
      <explain>❶〈动〉遮盖：积雪～着地面。❷〈名〉指地面上的植物，对于土壤有保护作用：没有～，水土容易流失。</explain>
      <paraID>430BCC90</paraID>
      <start>226</start>
      <end>228</end>
      <status>ignored</status>
      <modifiedWord/>
      <trackRevisions>false</trackRevisions>
    </reviewItem>
    <reviewItem>
      <errorID>c78ceb8d-40f9-4f88-87cf-d1a15e55a7f9</errorID>
      <errorWord>施工总</errorWord>
      <group>L1_Word</group>
      <groupName>字词问题</groupName>
      <ability>L2_Typo</ability>
      <abilityName>字词错误</abilityName>
      <candidateList>
        <item>施工</item>
      </candidateList>
      <explain>〈动〉按照设计的规格和要求建筑房屋、桥梁、道路、水利工程等。</explain>
      <paraID>446B25F9</paraID>
      <start>291</start>
      <end>294</end>
      <status>ignored</status>
      <modifiedWord/>
      <trackRevisions>false</trackRevisions>
    </reviewItem>
    <reviewItem>
      <errorID>d6d89a79-9a8d-4162-a1f8-e2258ddb9097</errorID>
      <errorWord>影响到</errorWord>
      <group>L1_Word</group>
      <groupName>字词问题</groupName>
      <ability>L2_Typo</ability>
      <abilityName>字词错误</abilityName>
      <candidateList>
        <item>影响</item>
      </candidateList>
      <explain>❶〈动〉对别人的思想或行动起作用（如影之随形，响之应声）：父母应该用自己的模范行动去～孩子。❷〈名〉对人或事物所起的作用：这件事造成很大的～。❸〈书〉〈形〉传闻的；无根据的：模糊～之谈。</explain>
      <paraID>7BB07D11</paraID>
      <start>128</start>
      <end>131</end>
      <status>ignored</status>
      <modifiedWord/>
      <trackRevisions>false</trackRevisions>
    </reviewItem>
    <reviewItem>
      <errorID>66123c9a-2ad1-43f6-bc9a-16da2896723e</errorID>
      <errorWord>依次类推</errorWord>
      <group>L1_Word</group>
      <groupName>字词问题</groupName>
      <ability>L2_Typo</ability>
      <abilityName>字词错误</abilityName>
      <candidateList>
        <item>依此类推</item>
      </candidateList>
      <explain/>
      <paraID>7BB07D11</paraID>
      <start>143</start>
      <end>147</end>
      <status>modified</status>
      <modifiedWord>依此类推</modifiedWord>
      <trackRevisions>false</trackRevisions>
    </reviewItem>
    <reviewItem>
      <errorID>e946ac86-ef6c-4176-87ee-980b7e991e6c</errorID>
      <errorWord>影响到</errorWord>
      <group>L1_Word</group>
      <groupName>字词问题</groupName>
      <ability>L2_Typo</ability>
      <abilityName>字词错误</abilityName>
      <candidateList>
        <item>影响</item>
      </candidateList>
      <explain>❶〈动〉对别人的思想或行动起作用（如影之随形，响之应声）：父母应该用自己的模范行动去～孩子。❷〈名〉对人或事物所起的作用：这件事造成很大的～。❸〈书〉〈形〉传闻的；无根据的：模糊～之谈。</explain>
      <paraID>7BB07D11</paraID>
      <start>258</start>
      <end>261</end>
      <status>ignored</status>
      <modifiedWord/>
      <trackRevisions>false</trackRevisions>
    </reviewItem>
    <reviewItem>
      <errorID>9c5e5774-e20c-4358-b155-9db6f10d4f47</errorID>
      <errorWord>东</errorWord>
      <group>L1_Word</group>
      <groupName>字词问题</groupName>
      <ability>L2_Typo</ability>
      <abilityName>字词错误</abilityName>
      <candidateList>
        <item>冬</item>
      </candidateList>
      <explain/>
      <paraID>7BB07D11</paraID>
      <start>436</start>
      <end>437</end>
      <status>ignored</status>
      <modifiedWord/>
      <trackRevisions>false</trackRevisions>
    </reviewItem>
    <reviewItem>
      <errorID>11b742bd-e9a1-49f5-95a9-27b4f321ac81</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7BB07D11</paraID>
      <start>446</start>
      <end>447</end>
      <status>modified</status>
      <modifiedWord>或</modifiedWord>
      <trackRevisions>false</trackRevisions>
    </reviewItem>
    <reviewItem>
      <errorID>33673877-cc44-4882-acb3-bb3972119740</errorID>
      <errorWord>赔款</errorWord>
      <group>L1_Word</group>
      <groupName>字词问题</groupName>
      <ability>L2_Typo</ability>
      <abilityName>字词错误</abilityName>
      <candidateList>
        <item>赔偿</item>
      </candidateList>
      <explain/>
      <paraID> E65EF0C</paraID>
      <start>168</start>
      <end>170</end>
      <status>ignored</status>
      <modifiedWord/>
      <trackRevisions>false</trackRevisions>
    </reviewItem>
    <reviewItem>
      <errorID>b857d27c-3b90-464c-a6f7-6872c7ec45e9</errorID>
      <errorWord>暂列金额</errorWord>
      <group>L1_Knowledge</group>
      <groupName>知识性问题</groupName>
      <ability>L2_Term</ability>
      <abilityName>专业术语</abilityName>
      <candidateList>
        <item>暂定金额</item>
      </candidateList>
      <explain/>
      <paraID>5001809E</paraID>
      <start>46</start>
      <end>50</end>
      <status>ignored</status>
      <modifiedWord/>
      <trackRevisions>false</trackRevisions>
    </reviewItem>
    <reviewItem>
      <errorID>2e32ec8d-8b91-45f2-9352-dbd267e9f7dc</errorID>
      <errorWord>人</errorWord>
      <group>L1_Word</group>
      <groupName>字词问题</groupName>
      <ability>L2_Typo</ability>
      <abilityName>字词错误</abilityName>
      <candidateList>
        <item>人在</item>
      </candidateList>
      <explain/>
      <paraID>40A661D9</paraID>
      <start>35</start>
      <end>36</end>
      <status>ignored</status>
      <modifiedWord/>
      <trackRevisions>false</trackRevisions>
    </reviewItem>
    <reviewItem>
      <errorID>bc3fc137-8044-4c60-9a44-e5bc3f88b5e0</errorID>
      <errorWord>定</errorWord>
      <group>L1_Word</group>
      <groupName>字词问题</groupName>
      <ability>L2_Typo</ability>
      <abilityName>字词错误</abilityName>
      <candidateList>
        <item>定的</item>
      </candidateList>
      <explain/>
      <paraID>40A661D9</paraID>
      <start>50</start>
      <end>51</end>
      <status>ignored</status>
      <modifiedWord/>
      <trackRevisions>false</trackRevisions>
    </reviewItem>
    <reviewItem>
      <errorID>3f0d5994-9b3d-4b3f-8c01-aab8fb0b2cfb</errorID>
      <errorWord>响应</errorWord>
      <group>L1_Word</group>
      <groupName>字词问题</groupName>
      <ability>L2_Typo</ability>
      <abilityName>字词错误</abilityName>
      <candidateList>
        <item>相应</item>
      </candidateList>
      <explain>〈动〉互相呼应或照应；相适应：这篇文章前后不～｜环境改变了，工作方法也要～地改变。</explain>
      <paraID>40A661D9</paraID>
      <start>154</start>
      <end>156</end>
      <status>ignored</status>
      <modifiedWord/>
      <trackRevisions>false</trackRevisions>
    </reviewItem>
    <reviewItem>
      <errorID>47d53e7c-8dc3-40c7-b340-de285e18354b</errorID>
      <errorWord>响应</errorWord>
      <group>L1_Word</group>
      <groupName>字词问题</groupName>
      <ability>L2_Typo</ability>
      <abilityName>字词错误</abilityName>
      <candidateList>
        <item>相应</item>
      </candidateList>
      <explain>〈动〉互相呼应或照应；相适应：这篇文章前后不～｜环境改变了，工作方法也要～地改变。</explain>
      <paraID>422CBCCE</paraID>
      <start>89</start>
      <end>91</end>
      <status>ignored</status>
      <modifiedWord/>
      <trackRevisions>false</trackRevisions>
    </reviewItem>
    <reviewItem>
      <errorID>0758c2ce-5326-4ed5-9054-9c52b141d0f3</errorID>
      <errorWord>运入</errorWord>
      <group>L1_Word</group>
      <groupName>字词问题</groupName>
      <ability>L2_Typo</ability>
      <abilityName>字词错误</abilityName>
      <candidateList>
        <item>进入</item>
      </candidateList>
      <explain>〈动〉支进到某个范围或某个时期里：～学校｜～新阶段◇～角色。</explain>
      <paraID>56107DD5</paraID>
      <start>37</start>
      <end>39</end>
      <status>ignored</status>
      <modifiedWord/>
      <trackRevisions>false</trackRevisions>
    </reviewItem>
    <reviewItem>
      <errorID>68972c1b-6d9f-4c0d-b09b-bb05082f6661</errorID>
      <errorWord>用</errorWord>
      <group>L1_Word</group>
      <groupName>字词问题</groupName>
      <ability>L2_Typo</ability>
      <abilityName>字词错误</abilityName>
      <candidateList>
        <item>用于</item>
      </candidateList>
      <explain/>
      <paraID>59464F36</paraID>
      <start>83</start>
      <end>85</end>
      <status>modified</status>
      <modifiedWord>用于</modifiedWord>
      <trackRevisions>false</trackRevisions>
    </reviewItem>
    <reviewItem>
      <errorID>45eab692-290e-42b0-9c6b-2ba505e0d60a</errorID>
      <errorWord>广西壮族自治区建设工程质量检测管理规定</errorWord>
      <group>L1_Knowledge</group>
      <groupName>知识性问题</groupName>
      <ability>L2_Knowledge</ability>
      <abilityName>其他知识</abilityName>
      <candidateList/>
      <explain>当前法律法规未收录或尚未生效，注意核查是否正确。</explain>
      <paraID>1EF58046</paraID>
      <start>30</start>
      <end>49</end>
      <status>ignored</status>
      <modifiedWord/>
      <trackRevisions>false</trackRevisions>
    </reviewItem>
    <reviewItem>
      <errorID>c219e77b-741d-49ce-ae7a-6e99b80d1b1e</errorID>
      <errorWord>变更的</errorWord>
      <group>L1_Word</group>
      <groupName>字词问题</groupName>
      <ability>L2_Typo</ability>
      <abilityName>字词错误</abilityName>
      <candidateList>
        <item>变更</item>
      </candidateList>
      <explain>〈动〉改变；变动：～原定赛程｜修订版的内容有些～。</explain>
      <paraID>25E3805C</paraID>
      <start>2</start>
      <end>5</end>
      <status>ignored</status>
      <modifiedWord/>
      <trackRevisions>false</trackRevisions>
    </reviewItem>
    <reviewItem>
      <errorID>5dd5c33a-3ab3-44d4-bb09-e05c6d0c2b44</errorID>
      <errorWord>:</errorWord>
      <group>L1_Format</group>
      <groupName>格式问题</groupName>
      <ability>L2_HalfPunc</ability>
      <abilityName>全半角检查</abilityName>
      <candidateList>
        <item>：</item>
      </candidateList>
      <explain>文本全半角错误。</explain>
      <paraID>61C7EE53</paraID>
      <start>9</start>
      <end>10</end>
      <status>modified</status>
      <modifiedWord>：</modifiedWord>
      <trackRevisions>false</trackRevisions>
    </reviewItem>
    <reviewItem>
      <errorID>894c8417-68c0-4fb1-ab9f-6030ee212f1a</errorID>
      <errorWord>只有</errorWord>
      <group>L1_Word</group>
      <groupName>字词问题</groupName>
      <ability>L2_Typo</ability>
      <abilityName>字词错误</abilityName>
      <candidateList>
        <item>有</item>
      </candidateList>
      <explain>〈书〉同“又”▲：三十～八年。</explain>
      <paraID>61C7EE53</paraID>
      <start>64</start>
      <end>66</end>
      <status>ignored</status>
      <modifiedWord/>
      <trackRevisions>false</trackRevisions>
    </reviewItem>
    <reviewItem>
      <errorID>bcb0ff0d-f60e-4719-8e4b-6632d872bfc0</errorID>
      <errorWord>日</errorWord>
      <group>L1_Word</group>
      <groupName>字词问题</groupName>
      <ability>L2_Typo</ability>
      <abilityName>字词错误</abilityName>
      <candidateList>
        <item>日内</item>
      </candidateList>
      <explain/>
      <paraID>10316B5C</paraID>
      <start>38</start>
      <end>39</end>
      <status>ignored</status>
      <modifiedWord/>
      <trackRevisions>false</trackRevisions>
    </reviewItem>
    <reviewItem>
      <errorID>52617315-cd15-4e1a-beac-6abfbaca314a</errorID>
      <errorWord>,</errorWord>
      <group>L1_Format</group>
      <groupName>格式问题</groupName>
      <ability>L2_HalfPunc</ability>
      <abilityName>全半角检查</abilityName>
      <candidateList>
        <item>，</item>
      </candidateList>
      <explain>文本全半角错误。</explain>
      <paraID>295D39CD</paraID>
      <start>57</start>
      <end>58</end>
      <status>modified</status>
      <modifiedWord>，</modifiedWord>
      <trackRevisions>false</trackRevisions>
    </reviewItem>
    <reviewItem>
      <errorID>a75f3ddb-6a1e-43ed-ac54-61a9ed577282</errorID>
      <errorWord>《</errorWord>
      <group>L1_Word</group>
      <groupName>字词问题</groupName>
      <ability>L2_Typo</ability>
      <abilityName>字词错误</abilityName>
      <candidateList>
        <item>《城</item>
      </candidateList>
      <explain/>
      <paraID>1DDD80BA</paraID>
      <start>5</start>
      <end>6</end>
      <status>ignored</status>
      <modifiedWord/>
      <trackRevisions>false</trackRevisions>
    </reviewItem>
    <reviewItem>
      <errorID>4946ae38-c5d0-4008-beea-e88882acd548</errorID>
      <errorWord>算数平均</errorWord>
      <group>L1_Word</group>
      <groupName>字词问题</groupName>
      <ability>L2_Typo</ability>
      <abilityName>字词错误</abilityName>
      <candidateList>
        <item>算术平均</item>
      </candidateList>
      <explain>存在发音相同字词的误用。</explain>
      <paraID>3A2E1020</paraID>
      <start>218</start>
      <end>222</end>
      <status>modified</status>
      <modifiedWord>算术平均</modifiedWord>
      <trackRevisions>false</trackRevisions>
    </reviewItem>
    <reviewItem>
      <errorID>f9cab539-802d-4c3f-aee2-9cf682bea533</errorID>
      <errorWord>算数平均</errorWord>
      <group>L1_Word</group>
      <groupName>字词问题</groupName>
      <ability>L2_Typo</ability>
      <abilityName>字词错误</abilityName>
      <candidateList>
        <item>算术平均</item>
      </candidateList>
      <explain/>
      <paraID>1995B4E4</paraID>
      <start>156</start>
      <end>160</end>
      <status>modified</status>
      <modifiedWord>算术平均</modifiedWord>
      <trackRevisions>false</trackRevisions>
    </reviewItem>
    <reviewItem>
      <errorID>76f86723-1a63-4a52-9ad5-5e0e837cd396</errorID>
      <errorWord>住房城乡建设厅</errorWord>
      <group>L1_Political</group>
      <groupName>政治性问题</groupName>
      <ability>L2_Keyword</ability>
      <abilityName>固定表述</abilityName>
      <candidateList>
        <item>住房和城乡建设厅</item>
      </candidateList>
      <explain>词汇“住房和城乡建设厅”在特定场景下为固定表述形式，请确认此处的“住房城乡建设厅”是否存在不当。</explain>
      <paraID>51E3FE0F</paraID>
      <start>11</start>
      <end>19</end>
      <status>modified</status>
      <modifiedWord>住房和城乡建设厅</modifiedWord>
      <trackRevisions>false</trackRevisions>
    </reviewItem>
    <reviewItem>
      <errorID>32f104a8-e0a3-4353-84c1-fd2ab396c301</errorID>
      <errorWord>其它</errorWord>
      <group>L1_Word</group>
      <groupName>字词问题</groupName>
      <ability>L2_Alias</ability>
      <abilityName>也作/曾用词</abilityName>
      <candidateList>
        <item>其他</item>
      </candidateList>
      <explain>词汇[其它]为不规范表述或旧称，其规范书面表述为[其他]。</explain>
      <paraID>5735C40A</paraID>
      <start>1</start>
      <end>3</end>
      <status>modified</status>
      <modifiedWord>其他</modifiedWord>
      <trackRevisions>false</trackRevisions>
    </reviewItem>
    <reviewItem>
      <errorID>a53722f4-a4da-4e2d-b204-9000b034e0a0</errorID>
      <errorWord>(</errorWord>
      <group>L1_Format</group>
      <groupName>格式问题</groupName>
      <ability>L2_HalfPunc</ability>
      <abilityName>全半角检查</abilityName>
      <candidateList>
        <item>（</item>
      </candidateList>
      <explain>文本全半角错误。</explain>
      <paraID>5735C40A</paraID>
      <start>15</start>
      <end>16</end>
      <status>modified</status>
      <modifiedWord>（</modifiedWord>
      <trackRevisions>false</trackRevisions>
    </reviewItem>
    <reviewItem>
      <errorID>959192ee-543e-4d64-9a48-2b94112af632</errorID>
      <errorWord>)</errorWord>
      <group>L1_Format</group>
      <groupName>格式问题</groupName>
      <ability>L2_HalfPunc</ability>
      <abilityName>全半角检查</abilityName>
      <candidateList>
        <item>）</item>
      </candidateList>
      <explain>文本全半角错误。</explain>
      <paraID>5735C40A</paraID>
      <start>28</start>
      <end>29</end>
      <status>modified</status>
      <modifiedWord>）</modifiedWord>
      <trackRevisions>false</trackRevisions>
    </reviewItem>
    <reviewItem>
      <errorID>09a708a9-7297-4dc4-9458-9f1c302044f2</errorID>
      <errorWord>-</errorWord>
      <group>L1_Format</group>
      <groupName>格式问题</groupName>
      <ability>L2_HalfPunc</ability>
      <abilityName>全半角检查</abilityName>
      <candidateList>
        <item>－</item>
      </candidateList>
      <explain>文本全半角错误。</explain>
      <paraID>5735C40A</paraID>
      <start>42</start>
      <end>43</end>
      <status>modified</status>
      <modifiedWord>－</modifiedWord>
      <trackRevisions>false</trackRevisions>
    </reviewItem>
    <reviewItem>
      <errorID>f85a3efa-7448-40e5-aee6-71b8e163e7a8</errorID>
      <errorWord>》</errorWord>
      <group>L1_Word</group>
      <groupName>字词问题</groupName>
      <ability>L2_Typo</ability>
      <abilityName>字词错误</abilityName>
      <candidateList>
        <item>》等</item>
      </candidateList>
      <explain/>
      <paraID>5735C40A</paraID>
      <start>89</start>
      <end>91</end>
      <status>modified</status>
      <modifiedWord>》等</modifiedWord>
      <trackRevisions>false</trackRevisions>
    </reviewItem>
    <reviewItem>
      <errorID>087e9094-c7ec-4d36-bd20-0353f72b2c1a</errorID>
      <errorWord>住房城乡建设厅</errorWord>
      <group>L1_Political</group>
      <groupName>政治性问题</groupName>
      <ability>L2_Keyword</ability>
      <abilityName>固定表述</abilityName>
      <candidateList>
        <item>住房和城乡建设厅</item>
      </candidateList>
      <explain>词汇“住房和城乡建设厅”在特定场景下为固定表述形式，请确认此处的“住房城乡建设厅”是否存在不当。</explain>
      <paraID>20D93603</paraID>
      <start>14</start>
      <end>22</end>
      <status>modified</status>
      <modifiedWord>住房和城乡建设厅</modifiedWord>
      <trackRevisions>false</trackRevisions>
    </reviewItem>
    <reviewItem>
      <errorID>4d9e3c29-a757-4e72-a35e-adc7e870fd77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71A6459D</paraID>
      <start>0</start>
      <end>3</end>
      <status>modified</status>
      <modifiedWord>（1）</modifiedWord>
      <trackRevisions>false</trackRevisions>
    </reviewItem>
    <reviewItem>
      <errorID>8defc92c-aca5-4284-a774-dfdb1bb05597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742CE3A9</paraID>
      <start>0</start>
      <end>3</end>
      <status>modified</status>
      <modifiedWord>（2）</modifiedWord>
      <trackRevisions>false</trackRevisions>
    </reviewItem>
    <reviewItem>
      <errorID>24061689-d108-45e2-9c84-a19443f9e200</errorID>
      <errorWord>,</errorWord>
      <group>L1_Format</group>
      <groupName>格式问题</groupName>
      <ability>L2_HalfPunc</ability>
      <abilityName>全半角检查</abilityName>
      <candidateList>
        <item>，</item>
      </candidateList>
      <explain>文本全半角错误。</explain>
      <paraID>22B269D4</paraID>
      <start>52</start>
      <end>53</end>
      <status>modified</status>
      <modifiedWord>，</modifiedWord>
      <trackRevisions>false</trackRevisions>
    </reviewItem>
    <reviewItem>
      <errorID>5cc6899b-5d02-48a1-b686-2bc41847ac36</errorID>
      <errorWord>应应</errorWord>
      <group>L1_Word</group>
      <groupName>字词问题</groupName>
      <ability>L2_Typo</ability>
      <abilityName>字词错误</abilityName>
      <candidateList>
        <item>应</item>
      </candidateList>
      <explain/>
      <paraID>64DD1589</paraID>
      <start>5</start>
      <end>6</end>
      <status>modified</status>
      <modifiedWord>应</modifiedWord>
      <trackRevisions>false</trackRevisions>
    </reviewItem>
    <reviewItem>
      <errorID>99bdffd2-d9b5-42eb-9859-bd481a93d978</errorID>
      <errorWord>分帐管理</errorWord>
      <group>L1_Word</group>
      <groupName>字词问题</groupName>
      <ability>L2_Alias</ability>
      <abilityName>也作/曾用词</abilityName>
      <candidateList>
        <item>分账管理</item>
      </candidateList>
      <explain>词汇[分帐管理]为不规范表述或旧称，其规范书面表述为[分账管理]。</explain>
      <paraID>64DD1589</paraID>
      <start>12</start>
      <end>16</end>
      <status>modified</status>
      <modifiedWord>分账管理</modifiedWord>
      <trackRevisions>false</trackRevisions>
    </reviewItem>
    <reviewItem>
      <errorID>9ad530f8-be06-4724-8850-6debf44b2eba</errorID>
      <errorWord>，</errorWord>
      <group>L1_Word</group>
      <groupName>字词问题</groupName>
      <ability>L2_Typo</ability>
      <abilityName>字词错误</abilityName>
      <candidateList>
        <item>，由</item>
      </candidateList>
      <explain/>
      <paraID>64DD1589</paraID>
      <start>59</start>
      <end>61</end>
      <status>modified</status>
      <modifiedWord>，由</modifiedWord>
      <trackRevisions>false</trackRevisions>
    </reviewItem>
    <reviewItem>
      <errorID>9c5b3b8e-3f17-422c-a180-ebd4df0753f9</errorID>
      <errorWord>分帐</errorWord>
      <group>L1_Word</group>
      <groupName>字词问题</groupName>
      <ability>L2_Alias</ability>
      <abilityName>也作/曾用词</abilityName>
      <candidateList>
        <item>分账</item>
      </candidateList>
      <explain>词汇[分帐]为不规范表述或旧称，其规范书面表述为[分账]。</explain>
      <paraID>64DD1589</paraID>
      <start>212</start>
      <end>214</end>
      <status>modified</status>
      <modifiedWord>分账</modifiedWord>
      <trackRevisions>false</trackRevisions>
    </reviewItem>
    <reviewItem>
      <errorID>1340afd4-ae73-44d1-b2d4-13b7a7505186</errorID>
      <errorWord>施行</errorWord>
      <group>L1_Word</group>
      <groupName>字词问题</groupName>
      <ability>L2_Typo</ability>
      <abilityName>字词错误</abilityName>
      <candidateList>
        <item>实行</item>
      </candidateList>
      <explain>存在发音相同字词的误用。</explain>
      <paraID>6A7CA0F5</paraID>
      <start>64</start>
      <end>66</end>
      <status>modified</status>
      <modifiedWord>实行</modifiedWord>
      <trackRevisions>false</trackRevisions>
    </reviewItem>
    <reviewItem>
      <errorID>c5c7b8a7-34ff-4238-a2d5-2e032037b158</errorID>
      <errorWord>分分</errorWord>
      <group>L1_Word</group>
      <groupName>字词问题</groupName>
      <ability>L2_Typo</ability>
      <abilityName>字词错误</abilityName>
      <candidateList>
        <item>分</item>
      </candidateList>
      <explain/>
      <paraID> 96B6C22</paraID>
      <start>28</start>
      <end>29</end>
      <status>modified</status>
      <modifiedWord>分</modifiedWord>
      <trackRevisions>false</trackRevisions>
    </reviewItem>
    <reviewItem>
      <errorID>fd415c94-6572-49de-93de-49c57df8ff65</errorID>
      <errorWord>，</errorWord>
      <group>L1_Word</group>
      <groupName>字词问题</groupName>
      <ability>L2_Typo</ability>
      <abilityName>字词错误</abilityName>
      <candidateList>
        <item>，由</item>
      </candidateList>
      <explain/>
      <paraID> 96B6C22</paraID>
      <start>49</start>
      <end>51</end>
      <status>modified</status>
      <modifiedWord>，由</modifiedWord>
      <trackRevisions>false</trackRevisions>
    </reviewItem>
    <reviewItem>
      <errorID>6807da07-3994-466d-a599-2ce37fd435fb</errorID>
      <errorWord>(</errorWord>
      <group>L1_Format</group>
      <groupName>格式问题</groupName>
      <ability>L2_HalfPunc</ability>
      <abilityName>全半角检查</abilityName>
      <candidateList>
        <item>（</item>
      </candidateList>
      <explain>文本全半角错误。</explain>
      <paraID>593EE949</paraID>
      <start>38</start>
      <end>39</end>
      <status>modified</status>
      <modifiedWord>（</modifiedWord>
      <trackRevisions>false</trackRevisions>
    </reviewItem>
    <reviewItem>
      <errorID>a899555e-d966-42fc-ae11-532766e61ddf</errorID>
      <errorWord>)</errorWord>
      <group>L1_Format</group>
      <groupName>格式问题</groupName>
      <ability>L2_HalfPunc</ability>
      <abilityName>全半角检查</abilityName>
      <candidateList>
        <item>）</item>
      </candidateList>
      <explain>文本全半角错误。</explain>
      <paraID>593EE949</paraID>
      <start>40</start>
      <end>41</end>
      <status>modified</status>
      <modifiedWord>）</modifiedWord>
      <trackRevisions>false</trackRevisions>
    </reviewItem>
    <reviewItem>
      <errorID>3bcf3a02-08a3-4898-8b00-f62da3db8fbd</errorID>
      <errorWord>款</errorWord>
      <group>L1_Word</group>
      <groupName>字词问题</groupName>
      <ability>L2_Typo</ability>
      <abilityName>字词错误</abilityName>
      <candidateList>
        <item>款和</item>
      </candidateList>
      <explain/>
      <paraID>7D87E56D</paraID>
      <start>43</start>
      <end>44</end>
      <status>ignored</status>
      <modifiedWord/>
      <trackRevisions>false</trackRevisions>
    </reviewItem>
    <reviewItem>
      <errorID>605443a2-ef72-4046-8cfa-474df2040839</errorID>
      <errorWord>档案</errorWord>
      <group>L1_Word</group>
      <groupName>字词问题</groupName>
      <ability>L2_Typo</ability>
      <abilityName>字词错误</abilityName>
      <candidateList>
        <item>档</item>
      </candidateList>
      <explain/>
      <paraID>7035A84A</paraID>
      <start>79</start>
      <end>81</end>
      <status>ignored</status>
      <modifiedWord/>
      <trackRevisions>false</trackRevisions>
    </reviewItem>
    <reviewItem>
      <errorID>7a3bcdb4-811b-4aed-86e7-0f8a7a44d2c4</errorID>
      <errorWord>(</errorWord>
      <group>L1_Format</group>
      <groupName>格式问题</groupName>
      <ability>L2_HalfPunc</ability>
      <abilityName>全半角检查</abilityName>
      <candidateList>
        <item>（</item>
      </candidateList>
      <explain>文本全半角错误。</explain>
      <paraID>232239A2</paraID>
      <start>14</start>
      <end>15</end>
      <status>modified</status>
      <modifiedWord>（</modifiedWord>
      <trackRevisions>false</trackRevisions>
    </reviewItem>
    <reviewItem>
      <errorID>241435b6-68b2-4ce7-9c31-929f9b864d51</errorID>
      <errorWord>)</errorWord>
      <group>L1_Format</group>
      <groupName>格式问题</groupName>
      <ability>L2_HalfPunc</ability>
      <abilityName>全半角检查</abilityName>
      <candidateList>
        <item>）</item>
      </candidateList>
      <explain>文本全半角错误。</explain>
      <paraID>232239A2</paraID>
      <start>24</start>
      <end>25</end>
      <status>modified</status>
      <modifiedWord>）</modifiedWord>
      <trackRevisions>false</trackRevisions>
    </reviewItem>
    <reviewItem>
      <errorID>b7fe131d-b11b-4371-ba7c-622f2e02d0f1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17CAEFC</paraID>
      <start>0</start>
      <end>2</end>
      <status>modified</status>
      <modifiedWord>1.</modifiedWord>
      <trackRevisions>false</trackRevisions>
    </reviewItem>
    <reviewItem>
      <errorID>92f121d8-35d6-4334-8d85-527114ad5c71</errorID>
      <errorWord>竣工结算</errorWord>
      <group>L1_Knowledge</group>
      <groupName>知识性问题</groupName>
      <ability>L2_Term</ability>
      <abilityName>专业术语</abilityName>
      <candidateList>
        <item>竣工决算</item>
      </candidateList>
      <explain/>
      <paraID> 17CAEFC</paraID>
      <start>183</start>
      <end>187</end>
      <status>modified</status>
      <modifiedWord>竣工决算</modifiedWord>
      <trackRevisions>false</trackRevisions>
    </reviewItem>
    <reviewItem>
      <errorID>5cd1ffd5-aeae-4d8a-8da9-3079f879409d</errorID>
      <errorWord>（</errorWord>
      <group>L1_Punc</group>
      <groupName>标点问题</groupName>
      <ability>L2_Punc</ability>
      <abilityName>标点符号检查</abilityName>
      <candidateList/>
      <explain>同一形式括号套用。</explain>
      <paraID>21AF1459</paraID>
      <start>68</start>
      <end>69</end>
      <status>ignored</status>
      <modifiedWord/>
      <trackRevisions>false</trackRevisions>
    </reviewItem>
    <reviewItem>
      <errorID>44500d18-a10c-42e3-b7b0-12f8bb669984</errorID>
      <errorWord>）</errorWord>
      <group>L1_Punc</group>
      <groupName>标点问题</groupName>
      <ability>L2_Punc</ability>
      <abilityName>标点符号检查</abilityName>
      <candidateList/>
      <explain>同一形式括号套用。</explain>
      <paraID>21AF1459</paraID>
      <start>96</start>
      <end>97</end>
      <status>ignored</status>
      <modifiedWord/>
      <trackRevisions>false</trackRevisions>
    </reviewItem>
    <reviewItem>
      <errorID>42b73f47-85a6-41c9-8d2a-e394a8458907</errorID>
      <errorWord>履</errorWord>
      <group>L1_Word</group>
      <groupName>字词问题</groupName>
      <ability>L2_Typo</ability>
      <abilityName>字词错误</abilityName>
      <candidateList>
        <item>履约</item>
      </candidateList>
      <explain/>
      <paraID>502E8EF5</paraID>
      <start>7</start>
      <end>9</end>
      <status>modified</status>
      <modifiedWord>履约</modifiedWord>
      <trackRevisions>false</trackRevisions>
    </reviewItem>
    <reviewItem>
      <errorID>a454865b-0dcf-4044-9096-4ff84866c916</errorID>
      <errorWord>:</errorWord>
      <group>L1_Format</group>
      <groupName>格式问题</groupName>
      <ability>L2_HalfPunc</ability>
      <abilityName>全半角检查</abilityName>
      <candidateList>
        <item>：</item>
      </candidateList>
      <explain>文本全半角错误。</explain>
      <paraID>476D7913</paraID>
      <start>9</start>
      <end>10</end>
      <status>modified</status>
      <modifiedWord>：</modifiedWord>
      <trackRevisions>false</trackRevisions>
    </reviewItem>
    <reviewItem>
      <errorID>ae68c086-4904-46e9-a32e-bd847e1991cf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1219B184</paraID>
      <start>0</start>
      <end>3</end>
      <status>modified</status>
      <modifiedWord>（1）</modifiedWord>
      <trackRevisions>false</trackRevisions>
    </reviewItem>
    <reviewItem>
      <errorID>120245b6-74eb-4897-9ff8-2a154b94bb89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7ADB3A12</paraID>
      <start>0</start>
      <end>3</end>
      <status>modified</status>
      <modifiedWord>（2）</modifiedWord>
      <trackRevisions>false</trackRevisions>
    </reviewItem>
    <reviewItem>
      <errorID>c32d8c8e-d6b3-4cbe-938a-f3f76b2f3790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28E89BC2</paraID>
      <start>0</start>
      <end>3</end>
      <status>modified</status>
      <modifiedWord>（3）</modifiedWord>
      <trackRevisions>false</trackRevisions>
    </reviewItem>
    <reviewItem>
      <errorID>55a319d5-071f-4626-bb79-11291f9766ad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C019705</paraID>
      <start>0</start>
      <end>3</end>
      <status>modified</status>
      <modifiedWord>（4）</modifiedWord>
      <trackRevisions>false</trackRevisions>
    </reviewItem>
    <reviewItem>
      <errorID>6db01bd8-e25e-4e69-b31f-b003a4f589a5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2B78A1A4</paraID>
      <start>0</start>
      <end>3</end>
      <status>modified</status>
      <modifiedWord>（5）</modifiedWord>
      <trackRevisions>false</trackRevisions>
    </reviewItem>
    <reviewItem>
      <errorID>0f6061c7-9a93-4b33-97e8-61e129b699d2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6D06E34F</paraID>
      <start>0</start>
      <end>3</end>
      <status>modified</status>
      <modifiedWord>（6）</modifiedWord>
      <trackRevisions>false</trackRevisions>
    </reviewItem>
    <reviewItem>
      <errorID>fe18d436-8104-49c8-bd96-3786580aa822</errorID>
      <errorWord>条件后</errorWord>
      <group>L1_Word</group>
      <groupName>字词问题</groupName>
      <ability>L2_Typo</ability>
      <abilityName>字词错误</abilityName>
      <candidateList>
        <item>条件</item>
      </candidateList>
      <explain/>
      <paraID>6D06E34F</paraID>
      <start>14</start>
      <end>17</end>
      <status>ignored</status>
      <modifiedWord/>
      <trackRevisions>false</trackRevisions>
    </reviewItem>
    <reviewItem>
      <errorID>5e954a5f-79ec-4795-b530-800903bd618d</errorID>
      <errorWord>其它</errorWord>
      <group>L1_Word</group>
      <groupName>字词问题</groupName>
      <ability>L2_Alias</ability>
      <abilityName>也作/曾用词</abilityName>
      <candidateList>
        <item>其他</item>
      </candidateList>
      <explain>词汇[其它]为不规范表述或旧称，其规范书面表述为[其他]。</explain>
      <paraID> 75A6831</paraID>
      <start>142</start>
      <end>144</end>
      <status>modified</status>
      <modifiedWord>其他</modifiedWord>
      <trackRevisions>false</trackRevisions>
    </reviewItem>
    <reviewItem>
      <errorID>11039233-edb6-4598-ad30-be933acd0d33</errorID>
      <errorWord>办理办理</errorWord>
      <group>L1_Word</group>
      <groupName>字词问题</groupName>
      <ability>L2_Typo</ability>
      <abilityName>字词错误</abilityName>
      <candidateList>
        <item>办理</item>
      </candidateList>
      <explain/>
      <paraID> 2AC2E32</paraID>
      <start>36</start>
      <end>38</end>
      <status>modified</status>
      <modifiedWord>办理</modifiedWord>
      <trackRevisions>false</trackRevisions>
    </reviewItem>
    <reviewItem>
      <errorID>eb557a35-866b-4cc6-acdd-100d1c4fb870</errorID>
      <errorWord>》</errorWord>
      <group>L1_Punc</group>
      <groupName>标点问题</groupName>
      <ability>L2_Punc</ability>
      <abilityName>标点符号检查</abilityName>
      <candidateList/>
      <explain/>
      <paraID> 2AC2E32</paraID>
      <start>82</start>
      <end>83</end>
      <status>ignored</status>
      <modifiedWord/>
      <trackRevisions>false</trackRevisions>
    </reviewItem>
    <reviewItem>
      <errorID>f809ba44-3b00-4734-bc36-b017ce1d8875</errorID>
      <errorWord>(</errorWord>
      <group>L1_Format</group>
      <groupName>格式问题</groupName>
      <ability>L2_HalfPunc</ability>
      <abilityName>全半角检查</abilityName>
      <candidateList>
        <item>（</item>
      </candidateList>
      <explain>文本全半角错误。</explain>
      <paraID> 2AC2E32</paraID>
      <start>120</start>
      <end>121</end>
      <status>modified</status>
      <modifiedWord>（</modifiedWord>
      <trackRevisions>false</trackRevisions>
    </reviewItem>
    <reviewItem>
      <errorID>bd362906-3658-46df-a9d0-2f512083dbea</errorID>
      <errorWord>)</errorWord>
      <group>L1_Format</group>
      <groupName>格式问题</groupName>
      <ability>L2_HalfPunc</ability>
      <abilityName>全半角检查</abilityName>
      <candidateList>
        <item>）</item>
      </candidateList>
      <explain>文本全半角错误。</explain>
      <paraID> 2AC2E32</paraID>
      <start>132</start>
      <end>133</end>
      <status>modified</status>
      <modifiedWord>）</modifiedWord>
      <trackRevisions>false</trackRevisions>
    </reviewItem>
    <reviewItem>
      <errorID>5c1e6934-18f5-44ea-806a-af82f40ce614</errorID>
      <errorWord>(</errorWord>
      <group>L1_Format</group>
      <groupName>格式问题</groupName>
      <ability>L2_HalfPunc</ability>
      <abilityName>全半角检查</abilityName>
      <candidateList>
        <item>（</item>
      </candidateList>
      <explain>文本全半角错误。</explain>
      <paraID>1CE1D069</paraID>
      <start>4</start>
      <end>5</end>
      <status>modified</status>
      <modifiedWord>（</modifiedWord>
      <trackRevisions>false</trackRevisions>
    </reviewItem>
    <reviewItem>
      <errorID>5788f129-2861-4d05-bb49-760a328bdbe4</errorID>
      <errorWord>)</errorWord>
      <group>L1_Format</group>
      <groupName>格式问题</groupName>
      <ability>L2_HalfPunc</ability>
      <abilityName>全半角检查</abilityName>
      <candidateList>
        <item>）</item>
      </candidateList>
      <explain>文本全半角错误。</explain>
      <paraID>1CE1D069</paraID>
      <start>8</start>
      <end>9</end>
      <status>modified</status>
      <modifiedWord>）</modifiedWord>
      <trackRevisions>false</trackRevisions>
    </reviewItem>
    <reviewItem>
      <errorID>a9cfbc65-da18-4fda-a369-1fc195133cf4</errorID>
      <errorWord>(</errorWord>
      <group>L1_Format</group>
      <groupName>格式问题</groupName>
      <ability>L2_HalfPunc</ability>
      <abilityName>全半角检查</abilityName>
      <candidateList>
        <item>（</item>
      </candidateList>
      <explain>文本全半角错误。</explain>
      <paraID>6447F160</paraID>
      <start>20</start>
      <end>21</end>
      <status>modified</status>
      <modifiedWord>（</modifiedWord>
      <trackRevisions>false</trackRevisions>
    </reviewItem>
    <reviewItem>
      <errorID>2ae7183f-434c-4db2-8ecc-ccf0c79a8468</errorID>
      <errorWord>)</errorWord>
      <group>L1_Format</group>
      <groupName>格式问题</groupName>
      <ability>L2_HalfPunc</ability>
      <abilityName>全半角检查</abilityName>
      <candidateList>
        <item>）</item>
      </candidateList>
      <explain>文本全半角错误。</explain>
      <paraID>6447F160</paraID>
      <start>31</start>
      <end>32</end>
      <status>modified</status>
      <modifiedWord>）</modifiedWord>
      <trackRevisions>false</trackRevisions>
    </reviewItem>
    <reviewItem>
      <errorID>88dbdba8-50ee-4856-8518-61d829d4aaaa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62460782</paraID>
      <start>0</start>
      <end>2</end>
      <status>modified</status>
      <modifiedWord>1.</modifiedWord>
      <trackRevisions>false</trackRevisions>
    </reviewItem>
    <reviewItem>
      <errorID>fce84eda-a8f5-4022-9e81-c06e45bb101c</errorID>
      <errorWord>保修</errorWord>
      <group>L1_Word</group>
      <groupName>字词问题</groupName>
      <ability>L2_Typo</ability>
      <abilityName>字词错误</abilityName>
      <candidateList>
        <item>报修</item>
      </candidateList>
      <explain/>
      <paraID>62460782</paraID>
      <start>50</start>
      <end>52</end>
      <status>ignored</status>
      <modifiedWord/>
      <trackRevisions>false</trackRevisions>
    </reviewItem>
    <reviewItem>
      <errorID>d51a3533-8bac-47c9-9eb0-570403b11276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2E829F9A</paraID>
      <start>0</start>
      <end>2</end>
      <status>modified</status>
      <modifiedWord>2.</modifiedWord>
      <trackRevisions>false</trackRevisions>
    </reviewItem>
    <reviewItem>
      <errorID>72204fb2-dee3-46db-82f6-d67ed4622705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34020345</paraID>
      <start>0</start>
      <end>2</end>
      <status>modified</status>
      <modifiedWord>3.</modifiedWord>
      <trackRevisions>false</trackRevisions>
    </reviewItem>
    <reviewItem>
      <errorID>9e07dcb6-0b0b-4a55-a3f5-a52b6e59ef86</errorID>
      <errorWord>，</errorWord>
      <group>L1_Word</group>
      <groupName>字词问题</groupName>
      <ability>L2_Typo</ability>
      <abilityName>字词错误</abilityName>
      <candidateList>
        <item>，由</item>
      </candidateList>
      <explain/>
      <paraID>34020345</paraID>
      <start>92</start>
      <end>94</end>
      <status>modified</status>
      <modifiedWord>，由</modifiedWord>
      <trackRevisions>false</trackRevisions>
    </reviewItem>
    <reviewItem>
      <errorID>62d9a534-0b6c-4450-aed0-64ac700b792c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ABDFFA3</paraID>
      <start>0</start>
      <end>2</end>
      <status>modified</status>
      <modifiedWord>4.</modifiedWord>
      <trackRevisions>false</trackRevisions>
    </reviewItem>
    <reviewItem>
      <errorID>52d4499a-4932-4832-80b4-66a476118465</errorID>
      <errorWord>承担的</errorWord>
      <group>L1_Word</group>
      <groupName>字词问题</groupName>
      <ability>L2_Typo</ability>
      <abilityName>字词错误</abilityName>
      <candidateList>
        <item>承担</item>
      </candidateList>
      <explain>〈动〉担负；担当：～义务｜～责任。</explain>
      <paraID>5D458DFD</paraID>
      <start>33</start>
      <end>35</end>
      <status>modified</status>
      <modifiedWord>承担</modifiedWord>
      <trackRevisions>false</trackRevisions>
    </reviewItem>
    <reviewItem>
      <errorID>afddb26c-ccdd-488c-b428-aad831021047</errorID>
      <errorWord>但是</errorWord>
      <group>L1_Word</group>
      <groupName>字词问题</groupName>
      <ability>L2_Typo</ability>
      <abilityName>字词错误</abilityName>
      <candidateList>
        <item>但</item>
      </candidateList>
      <explain>❶〈副〉只；仅仅：～愿如此｜不求有功，～求无过｜辽阔的原野上，～见麦浪随风起伏。❷〈连〉但是：屋子小，～挺干净｜工作虽然忙，～一点也没放松学习。❸（Dàn）〈名〉姓。</explain>
      <paraID>149BB1FC</paraID>
      <start>29</start>
      <end>31</end>
      <status>ignored</status>
      <modifiedWord/>
      <trackRevisions>false</trackRevisions>
    </reviewItem>
    <reviewItem>
      <errorID>581257f4-b110-45f6-9fe8-6063551b7cb6</errorID>
      <errorWord>承担的</errorWord>
      <group>L1_Word</group>
      <groupName>字词问题</groupName>
      <ability>L2_Typo</ability>
      <abilityName>字词错误</abilityName>
      <candidateList>
        <item>承担</item>
      </candidateList>
      <explain>〈动〉担负；担当：～义务｜～责任。</explain>
      <paraID> 52DFBCE</paraID>
      <start>31</start>
      <end>33</end>
      <status>modified</status>
      <modifiedWord>承担</modifiedWord>
      <trackRevisions>false</trackRevisions>
    </reviewItem>
    <reviewItem>
      <errorID>aca40778-03b1-44ab-9916-70e4dc43eb49</errorID>
      <errorWord>的帐号</errorWord>
      <group>L1_Word</group>
      <groupName>字词问题</groupName>
      <ability>L2_Alias</ability>
      <abilityName>也作/曾用词</abilityName>
      <candidateList>
        <item>的账号</item>
      </candidateList>
      <explain>词汇[的帐号]为不规范表述或旧称，其规范书面表述为[的账号]。</explain>
      <paraID>45484926</paraID>
      <start>70</start>
      <end>73</end>
      <status>modified</status>
      <modifiedWord>的账号</modifiedWord>
      <trackRevisions>false</trackRevisions>
    </reviewItem>
    <reviewItem>
      <errorID>db74cfa4-0c0e-499e-8c7d-81e387ba83f9</errorID>
      <errorWord>其它情形的</errorWord>
      <group>L1_Word</group>
      <groupName>字词问题</groupName>
      <ability>L2_Alias</ability>
      <abilityName>也作/曾用词</abilityName>
      <candidateList>
        <item>其他情形的</item>
      </candidateList>
      <explain>词汇[其它情形的]为不规范表述或旧称，其规范书面表述为[其他情形的]。</explain>
      <paraID>4BA21BCA</paraID>
      <start>23</start>
      <end>28</end>
      <status>modified</status>
      <modifiedWord>其他情形的</modifiedWord>
      <trackRevisions>false</trackRevisions>
    </reviewItem>
    <reviewItem>
      <errorID>e54d7188-431a-45e2-b359-032b6da1104c</errorID>
      <errorWord>表</errorWord>
      <group>L1_Word</group>
      <groupName>字词问题</groupName>
      <ability>L2_Typo</ability>
      <abilityName>字词错误</abilityName>
      <candidateList>
        <item>表人</item>
      </candidateList>
      <explain/>
      <paraID>71195CA7</paraID>
      <start>19</start>
      <end>21</end>
      <status>modified</status>
      <modifiedWord>表人</modifiedWord>
      <trackRevisions>false</trackRevisions>
    </reviewItem>
    <reviewItem>
      <errorID>676cb139-ae14-4888-a4fc-98439786a2a3</errorID>
      <errorWord>承担的</errorWord>
      <group>L1_Word</group>
      <groupName>字词问题</groupName>
      <ability>L2_Typo</ability>
      <abilityName>字词错误</abilityName>
      <candidateList>
        <item>承担</item>
      </candidateList>
      <explain>〈动〉担负；担当：～义务｜～责任。</explain>
      <paraID>6D478FAD</paraID>
      <start>42</start>
      <end>44</end>
      <status>modified</status>
      <modifiedWord>承担</modifiedWord>
      <trackRevisions>false</trackRevisions>
    </reviewItem>
    <reviewItem>
      <errorID>3bc6384b-03e8-40a0-bc37-274fc0e0051e</errorID>
      <errorWord>但是</errorWord>
      <group>L1_Word</group>
      <groupName>字词问题</groupName>
      <ability>L2_Typo</ability>
      <abilityName>字词错误</abilityName>
      <candidateList>
        <item>但</item>
      </candidateList>
      <explain>❶〈副〉只；仅仅：～愿如此｜不求有功，～求无过｜辽阔的原野上，～见麦浪随风起伏。❷〈连〉但是：屋子小，～挺干净｜工作虽然忙，～一点也没放松学习。❸（Dàn）〈名〉姓。</explain>
      <paraID>51AD60BE</paraID>
      <start>29</start>
      <end>31</end>
      <status>ignored</status>
      <modifiedWord/>
      <trackRevisions>false</trackRevisions>
    </reviewItem>
    <reviewItem>
      <errorID>09d76836-227e-4028-9905-cfe74744c095</errorID>
      <errorWord>承担的</errorWord>
      <group>L1_Word</group>
      <groupName>字词问题</groupName>
      <ability>L2_Typo</ability>
      <abilityName>字词错误</abilityName>
      <candidateList>
        <item>承担</item>
      </candidateList>
      <explain>〈动〉担负；担当：～义务｜～责任。</explain>
      <paraID>4AC3FF7E</paraID>
      <start>41</start>
      <end>43</end>
      <status>modified</status>
      <modifiedWord>承担</modifiedWord>
      <trackRevisions>false</trackRevisions>
    </reviewItem>
    <reviewItem>
      <errorID>004717a7-8cd7-4685-bb79-dd7be5c84aff</errorID>
      <errorWord>的帐号</errorWord>
      <group>L1_Word</group>
      <groupName>字词问题</groupName>
      <ability>L2_Alias</ability>
      <abilityName>也作/曾用词</abilityName>
      <candidateList>
        <item>的账号</item>
      </candidateList>
      <explain>词汇[的帐号]为不规范表述或旧称，其规范书面表述为[的账号]。</explain>
      <paraID>36C0B6EB</paraID>
      <start>70</start>
      <end>73</end>
      <status>modified</status>
      <modifiedWord>的账号</modifiedWord>
      <trackRevisions>false</trackRevisions>
    </reviewItem>
    <reviewItem>
      <errorID>7acdf7fd-0eb1-47c8-9dc5-93f47dca2762</errorID>
      <errorWord>其它情形的</errorWord>
      <group>L1_Word</group>
      <groupName>字词问题</groupName>
      <ability>L2_Alias</ability>
      <abilityName>也作/曾用词</abilityName>
      <candidateList>
        <item>其他情形的</item>
      </candidateList>
      <explain>词汇[其它情形的]为不规范表述或旧称，其规范书面表述为[其他情形的]。</explain>
      <paraID>709EB3C5</paraID>
      <start>23</start>
      <end>28</end>
      <status>modified</status>
      <modifiedWord>其他情形的</modifiedWord>
      <trackRevisions>false</trackRevisions>
    </reviewItem>
    <reviewItem>
      <errorID>feed083b-903b-43dc-9163-58873263b3bd</errorID>
      <errorWord>表</errorWord>
      <group>L1_Word</group>
      <groupName>字词问题</groupName>
      <ability>L2_Typo</ability>
      <abilityName>字词错误</abilityName>
      <candidateList>
        <item>表人</item>
      </candidateList>
      <explain/>
      <paraID>359CFAD7</paraID>
      <start>19</start>
      <end>20</end>
      <status>ignored</status>
      <modifiedWord/>
      <trackRevisions>false</trackRevisions>
    </reviewItem>
    <reviewItem>
      <errorID>80d05740-5fc2-4248-ab5c-5cf65e2eb1b6</errorID>
      <errorWord>”</errorWord>
      <group>L1_Punc</group>
      <groupName>标点问题</groupName>
      <ability>L2_Punc</ability>
      <abilityName>标点符号检查</abilityName>
      <candidateList/>
      <explain/>
      <paraID>347D33CD</paraID>
      <start>114</start>
      <end>115</end>
      <status>ignored</status>
      <modifiedWord/>
      <trackRevisions>false</trackRevisions>
    </reviewItem>
    <reviewItem>
      <errorID>9f7d5ac0-7ab6-41e7-9bca-79aabb90a68b</errorID>
      <errorWord>承担的</errorWord>
      <group>L1_Word</group>
      <groupName>字词问题</groupName>
      <ability>L2_Typo</ability>
      <abilityName>字词错误</abilityName>
      <candidateList>
        <item>承担</item>
      </candidateList>
      <explain>〈动〉担负；担当：～义务｜～责任。</explain>
      <paraID>70FB8864</paraID>
      <start>36</start>
      <end>38</end>
      <status>modified</status>
      <modifiedWord>承担</modifiedWord>
      <trackRevisions>false</trackRevisions>
    </reviewItem>
    <reviewItem>
      <errorID>b51b2499-7351-42af-8fb4-a788f13f80d7</errorID>
      <errorWord>日后</errorWord>
      <group>L1_Word</group>
      <groupName>字词问题</groupName>
      <ability>L2_Typo</ability>
      <abilityName>字词错误</abilityName>
      <candidateList>
        <item>日</item>
      </candidateList>
      <explain/>
      <paraID>7D4DF397</paraID>
      <start>44</start>
      <end>46</end>
      <status>ignored</status>
      <modifiedWord/>
      <trackRevisions>false</trackRevisions>
    </reviewItem>
    <reviewItem>
      <errorID>c66e5c01-70a0-4e33-a166-497876af5362</errorID>
      <errorWord>但是</errorWord>
      <group>L1_Word</group>
      <groupName>字词问题</groupName>
      <ability>L2_Typo</ability>
      <abilityName>字词错误</abilityName>
      <candidateList>
        <item>但</item>
      </candidateList>
      <explain>❶〈副〉只；仅仅：～愿如此｜不求有功，～求无过｜辽阔的原野上，～见麦浪随风起伏。❷〈连〉但是：屋子小，～挺干净｜工作虽然忙，～一点也没放松学习。❸（Dàn）〈名〉姓。</explain>
      <paraID>7FCBBB4C</paraID>
      <start>29</start>
      <end>31</end>
      <status>ignored</status>
      <modifiedWord/>
      <trackRevisions>false</trackRevisions>
    </reviewItem>
    <reviewItem>
      <errorID>2913e1ab-830b-4a39-a327-6a5e9f2f5176</errorID>
      <errorWord>承担的</errorWord>
      <group>L1_Word</group>
      <groupName>字词问题</groupName>
      <ability>L2_Typo</ability>
      <abilityName>字词错误</abilityName>
      <candidateList>
        <item>承担</item>
      </candidateList>
      <explain>〈动〉担负；担当：～义务｜～责任。</explain>
      <paraID>129A0F33</paraID>
      <start>34</start>
      <end>36</end>
      <status>modified</status>
      <modifiedWord>承担</modifiedWord>
      <trackRevisions>false</trackRevisions>
    </reviewItem>
    <reviewItem>
      <errorID>1e988650-a62e-40e5-9193-bba6842cd674</errorID>
      <errorWord>日后</errorWord>
      <group>L1_Word</group>
      <groupName>字词问题</groupName>
      <ability>L2_Typo</ability>
      <abilityName>字词错误</abilityName>
      <candidateList>
        <item>日</item>
      </candidateList>
      <explain/>
      <paraID>3F12A94D</paraID>
      <start>37</start>
      <end>39</end>
      <status>ignored</status>
      <modifiedWord/>
      <trackRevisions>false</trackRevisions>
    </reviewItem>
    <reviewItem>
      <errorID>aed8cd45-3201-4c04-9774-eff5cdc11082</errorID>
      <errorWord>的帐号</errorWord>
      <group>L1_Word</group>
      <groupName>字词问题</groupName>
      <ability>L2_Alias</ability>
      <abilityName>也作/曾用词</abilityName>
      <candidateList>
        <item>的账号</item>
      </candidateList>
      <explain>词汇[的帐号]为不规范表述或旧称，其规范书面表述为[的账号]。</explain>
      <paraID>57055387</paraID>
      <start>71</start>
      <end>74</end>
      <status>modified</status>
      <modifiedWord>的账号</modifiedWord>
      <trackRevisions>false</trackRevisions>
    </reviewItem>
    <reviewItem>
      <errorID>11a666cb-4f89-439a-8b8f-5ff2c367958b</errorID>
      <errorWord>其它情形的</errorWord>
      <group>L1_Word</group>
      <groupName>字词问题</groupName>
      <ability>L2_Alias</ability>
      <abilityName>也作/曾用词</abilityName>
      <candidateList>
        <item>其他情形的</item>
      </candidateList>
      <explain>词汇[其它情形的]为不规范表述或旧称，其规范书面表述为[其他情形的]。</explain>
      <paraID>6721FC93</paraID>
      <start>23</start>
      <end>28</end>
      <status>modified</status>
      <modifiedWord>其他情形的</modifiedWord>
      <trackRevisions>false</trackRevisions>
    </reviewItem>
    <reviewItem>
      <errorID>8c1983e0-7641-45dd-ab38-69e4593c9440</errorID>
      <errorWord>(</errorWord>
      <group>L1_Format</group>
      <groupName>格式问题</groupName>
      <ability>L2_HalfPunc</ability>
      <abilityName>全半角检查</abilityName>
      <candidateList>
        <item>（</item>
      </candidateList>
      <explain>文本全半角错误。</explain>
      <paraID>5179B535</paraID>
      <start>24</start>
      <end>25</end>
      <status>modified</status>
      <modifiedWord>（</modifiedWord>
      <trackRevisions>false</trackRevisions>
    </reviewItem>
    <reviewItem>
      <errorID>1c53991f-3665-4353-8961-cbe12a49fc4f</errorID>
      <errorWord>)</errorWord>
      <group>L1_Format</group>
      <groupName>格式问题</groupName>
      <ability>L2_HalfPunc</ability>
      <abilityName>全半角检查</abilityName>
      <candidateList>
        <item>）</item>
      </candidateList>
      <explain>文本全半角错误。</explain>
      <paraID>5179B535</paraID>
      <start>27</start>
      <end>28</end>
      <status>modified</status>
      <modifiedWord>）</modifiedWord>
      <trackRevisions>false</trackRevisions>
    </reviewItem>
    <reviewItem>
      <errorID>6cb5188c-c368-49a7-9fa4-6ab0f98c1a6d</errorID>
      <errorWord>(</errorWord>
      <group>L1_Format</group>
      <groupName>格式问题</groupName>
      <ability>L2_HalfPunc</ability>
      <abilityName>全半角检查</abilityName>
      <candidateList>
        <item>（</item>
      </candidateList>
      <explain>文本全半角错误。</explain>
      <paraID>5179B535</paraID>
      <start>42</start>
      <end>43</end>
      <status>modified</status>
      <modifiedWord>（</modifiedWord>
      <trackRevisions>false</trackRevisions>
    </reviewItem>
    <reviewItem>
      <errorID>a9fa46ce-bf3e-4d83-b062-a57ddd829f92</errorID>
      <errorWord>)</errorWord>
      <group>L1_Format</group>
      <groupName>格式问题</groupName>
      <ability>L2_HalfPunc</ability>
      <abilityName>全半角检查</abilityName>
      <candidateList>
        <item>）</item>
      </candidateList>
      <explain>文本全半角错误。</explain>
      <paraID>5179B535</paraID>
      <start>45</start>
      <end>46</end>
      <status>modified</status>
      <modifiedWord>）</modifiedWord>
      <trackRevisions>false</trackRevisions>
    </reviewItem>
    <reviewItem>
      <errorID>a79d3add-d929-4c9f-a99b-308546bde18a</errorID>
      <errorWord>(</errorWord>
      <group>L1_Format</group>
      <groupName>格式问题</groupName>
      <ability>L2_HalfPunc</ability>
      <abilityName>全半角检查</abilityName>
      <candidateList>
        <item>（</item>
      </candidateList>
      <explain>文本全半角错误。</explain>
      <paraID> 17135E8</paraID>
      <start>22</start>
      <end>23</end>
      <status>modified</status>
      <modifiedWord>（</modifiedWord>
      <trackRevisions>false</trackRevisions>
    </reviewItem>
    <reviewItem>
      <errorID>bdc419cf-d641-40a0-8420-09e3c1740d74</errorID>
      <errorWord>)</errorWord>
      <group>L1_Format</group>
      <groupName>格式问题</groupName>
      <ability>L2_HalfPunc</ability>
      <abilityName>全半角检查</abilityName>
      <candidateList>
        <item>）</item>
      </candidateList>
      <explain>文本全半角错误。</explain>
      <paraID> 17135E8</paraID>
      <start>25</start>
      <end>26</end>
      <status>modified</status>
      <modifiedWord>）</modifiedWord>
      <trackRevisions>false</trackRevisions>
    </reviewItem>
    <reviewItem>
      <errorID>3d8d2561-fe99-4413-b742-0f398fc237ff</errorID>
      <errorWord>(</errorWord>
      <group>L1_Format</group>
      <groupName>格式问题</groupName>
      <ability>L2_HalfPunc</ability>
      <abilityName>全半角检查</abilityName>
      <candidateList>
        <item>（</item>
      </candidateList>
      <explain>文本全半角错误。</explain>
      <paraID>71B99487</paraID>
      <start>70</start>
      <end>71</end>
      <status>modified</status>
      <modifiedWord>（</modifiedWord>
      <trackRevisions>false</trackRevisions>
    </reviewItem>
    <reviewItem>
      <errorID>b1c1361f-103f-4841-8152-a52218963fef</errorID>
      <errorWord>)</errorWord>
      <group>L1_Format</group>
      <groupName>格式问题</groupName>
      <ability>L2_HalfPunc</ability>
      <abilityName>全半角检查</abilityName>
      <candidateList>
        <item>）</item>
      </candidateList>
      <explain>文本全半角错误。</explain>
      <paraID>71B99487</paraID>
      <start>73</start>
      <end>74</end>
      <status>modified</status>
      <modifiedWord>）</modifiedWord>
      <trackRevisions>false</trackRevisions>
    </reviewItem>
    <reviewItem>
      <errorID>98a6ab8f-3476-47a0-958e-01275a489f16</errorID>
      <errorWord>(</errorWord>
      <group>L1_Format</group>
      <groupName>格式问题</groupName>
      <ability>L2_HalfPunc</ability>
      <abilityName>全半角检查</abilityName>
      <candidateList>
        <item>（</item>
      </candidateList>
      <explain>文本全半角错误。</explain>
      <paraID>71B99487</paraID>
      <start>88</start>
      <end>89</end>
      <status>modified</status>
      <modifiedWord>（</modifiedWord>
      <trackRevisions>false</trackRevisions>
    </reviewItem>
    <reviewItem>
      <errorID>c6a72bc2-00cb-41b7-a6d2-3b8f163e6b2f</errorID>
      <errorWord>)</errorWord>
      <group>L1_Format</group>
      <groupName>格式问题</groupName>
      <ability>L2_HalfPunc</ability>
      <abilityName>全半角检查</abilityName>
      <candidateList>
        <item>）</item>
      </candidateList>
      <explain>文本全半角错误。</explain>
      <paraID>71B99487</paraID>
      <start>91</start>
      <end>92</end>
      <status>modified</status>
      <modifiedWord>）</modifiedWord>
      <trackRevisions>false</trackRevisions>
    </reviewItem>
    <reviewItem>
      <errorID>0b98ea71-3482-44cd-bbe5-05b27049a767</errorID>
      <errorWord>(</errorWord>
      <group>L1_Format</group>
      <groupName>格式问题</groupName>
      <ability>L2_HalfPunc</ability>
      <abilityName>全半角检查</abilityName>
      <candidateList>
        <item>（</item>
      </candidateList>
      <explain>文本全半角错误。</explain>
      <paraID>4D04D882</paraID>
      <start>24</start>
      <end>25</end>
      <status>modified</status>
      <modifiedWord>（</modifiedWord>
      <trackRevisions>false</trackRevisions>
    </reviewItem>
    <reviewItem>
      <errorID>8a0c5418-f6b8-4075-a617-3e0056e1724a</errorID>
      <errorWord>)</errorWord>
      <group>L1_Format</group>
      <groupName>格式问题</groupName>
      <ability>L2_HalfPunc</ability>
      <abilityName>全半角检查</abilityName>
      <candidateList>
        <item>）</item>
      </candidateList>
      <explain>文本全半角错误。</explain>
      <paraID>4D04D882</paraID>
      <start>27</start>
      <end>28</end>
      <status>modified</status>
      <modifiedWord>）</modifiedWord>
      <trackRevisions>false</trackRevisions>
    </reviewItem>
    <reviewItem>
      <errorID>1624959e-3b2d-4c72-9003-51a88fb0eb64</errorID>
      <errorWord>(</errorWord>
      <group>L1_Format</group>
      <groupName>格式问题</groupName>
      <ability>L2_HalfPunc</ability>
      <abilityName>全半角检查</abilityName>
      <candidateList>
        <item>（</item>
      </candidateList>
      <explain>文本全半角错误。</explain>
      <paraID>42151F7E</paraID>
      <start>62</start>
      <end>63</end>
      <status>modified</status>
      <modifiedWord>（</modifiedWord>
      <trackRevisions>false</trackRevisions>
    </reviewItem>
    <reviewItem>
      <errorID>c971594a-99fe-48dd-8891-b2d941a08807</errorID>
      <errorWord>)</errorWord>
      <group>L1_Format</group>
      <groupName>格式问题</groupName>
      <ability>L2_HalfPunc</ability>
      <abilityName>全半角检查</abilityName>
      <candidateList>
        <item>）</item>
      </candidateList>
      <explain>文本全半角错误。</explain>
      <paraID>42151F7E</paraID>
      <start>65</start>
      <end>66</end>
      <status>modified</status>
      <modifiedWord>）</modifiedWord>
      <trackRevisions>false</trackRevisions>
    </reviewItem>
    <reviewItem>
      <errorID>c74993b4-b082-49e8-a18f-b867fbcb4dc3</errorID>
      <errorWord>(</errorWord>
      <group>L1_Format</group>
      <groupName>格式问题</groupName>
      <ability>L2_HalfPunc</ability>
      <abilityName>全半角检查</abilityName>
      <candidateList>
        <item>（</item>
      </candidateList>
      <explain>文本全半角错误。</explain>
      <paraID>42151F7E</paraID>
      <start>80</start>
      <end>81</end>
      <status>modified</status>
      <modifiedWord>（</modifiedWord>
      <trackRevisions>false</trackRevisions>
    </reviewItem>
    <reviewItem>
      <errorID>afd3f4a7-3aba-46b9-813c-5e5c4ca56ad0</errorID>
      <errorWord>)</errorWord>
      <group>L1_Format</group>
      <groupName>格式问题</groupName>
      <ability>L2_HalfPunc</ability>
      <abilityName>全半角检查</abilityName>
      <candidateList>
        <item>）</item>
      </candidateList>
      <explain>文本全半角错误。</explain>
      <paraID>42151F7E</paraID>
      <start>83</start>
      <end>84</end>
      <status>modified</status>
      <modifiedWord>）</modifiedWord>
      <trackRevisions>false</trackRevisions>
    </reviewItem>
    <reviewItem>
      <errorID>be90594d-2cdc-422c-be12-77871dc41f71</errorID>
      <errorWord>(</errorWord>
      <group>L1_Format</group>
      <groupName>格式问题</groupName>
      <ability>L2_HalfPunc</ability>
      <abilityName>全半角检查</abilityName>
      <candidateList>
        <item>（</item>
      </candidateList>
      <explain>文本全半角错误。</explain>
      <paraID>682E7FC0</paraID>
      <start>25</start>
      <end>26</end>
      <status>modified</status>
      <modifiedWord>（</modifiedWord>
      <trackRevisions>false</trackRevisions>
    </reviewItem>
    <reviewItem>
      <errorID>8f14e3ea-22f2-47cc-9f2b-f0cd45537d97</errorID>
      <errorWord>)</errorWord>
      <group>L1_Format</group>
      <groupName>格式问题</groupName>
      <ability>L2_HalfPunc</ability>
      <abilityName>全半角检查</abilityName>
      <candidateList>
        <item>）</item>
      </candidateList>
      <explain>文本全半角错误。</explain>
      <paraID>682E7FC0</paraID>
      <start>28</start>
      <end>29</end>
      <status>modified</status>
      <modifiedWord>）</modifiedWord>
      <trackRevisions>false</trackRevisions>
    </reviewItem>
    <reviewItem>
      <errorID>7a29198e-47b0-46bd-a23d-88da33a4a712</errorID>
      <errorWord>(</errorWord>
      <group>L1_Format</group>
      <groupName>格式问题</groupName>
      <ability>L2_HalfPunc</ability>
      <abilityName>全半角检查</abilityName>
      <candidateList>
        <item>（</item>
      </candidateList>
      <explain>文本全半角错误。</explain>
      <paraID>7A67726F</paraID>
      <start>60</start>
      <end>61</end>
      <status>modified</status>
      <modifiedWord>（</modifiedWord>
      <trackRevisions>false</trackRevisions>
    </reviewItem>
    <reviewItem>
      <errorID>4136f615-5f6d-4985-ba89-709b86d145fb</errorID>
      <errorWord>)</errorWord>
      <group>L1_Format</group>
      <groupName>格式问题</groupName>
      <ability>L2_HalfPunc</ability>
      <abilityName>全半角检查</abilityName>
      <candidateList>
        <item>）</item>
      </candidateList>
      <explain>文本全半角错误。</explain>
      <paraID>7A67726F</paraID>
      <start>63</start>
      <end>64</end>
      <status>modified</status>
      <modifiedWord>）</modifiedWord>
      <trackRevisions>false</trackRevisions>
    </reviewItem>
    <reviewItem>
      <errorID>d5743607-3d57-4119-a0b2-6fed9c0df6af</errorID>
      <errorWord>(</errorWord>
      <group>L1_Format</group>
      <groupName>格式问题</groupName>
      <ability>L2_HalfPunc</ability>
      <abilityName>全半角检查</abilityName>
      <candidateList>
        <item>（</item>
      </candidateList>
      <explain>文本全半角错误。</explain>
      <paraID>7A67726F</paraID>
      <start>78</start>
      <end>79</end>
      <status>modified</status>
      <modifiedWord>（</modifiedWord>
      <trackRevisions>false</trackRevisions>
    </reviewItem>
    <reviewItem>
      <errorID>ae2b95be-e530-4398-82ed-b6d479501b9a</errorID>
      <errorWord>)</errorWord>
      <group>L1_Format</group>
      <groupName>格式问题</groupName>
      <ability>L2_HalfPunc</ability>
      <abilityName>全半角检查</abilityName>
      <candidateList>
        <item>）</item>
      </candidateList>
      <explain>文本全半角错误。</explain>
      <paraID>7A67726F</paraID>
      <start>81</start>
      <end>82</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833a4e-7dc2-4072-8948-3ed352f6ce85}">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153</Pages>
  <Words>5084</Words>
  <Characters>5645</Characters>
  <Lines>995</Lines>
  <Paragraphs>280</Paragraphs>
  <TotalTime>27</TotalTime>
  <ScaleCrop>false</ScaleCrop>
  <LinksUpToDate>false</LinksUpToDate>
  <CharactersWithSpaces>5729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2024-12-23T09:56:00Z</dcterms:created>
  <dc:creator>唐冰</dc:creator>
  <cp:lastModifiedBy>chen</cp:lastModifiedBy>
  <cp:lastPrinted>2020-04-03T00:20:00Z</cp:lastPrinted>
  <dcterms:modified xsi:type="dcterms:W3CDTF">2026-01-22T08:42:52Z</dcterms:modified>
  <dc:title>竞争性谈判文件规范</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BBB509A2D6804520AB2FABC585BBEA58_13</vt:lpwstr>
  </property>
  <property fmtid="{D5CDD505-2E9C-101B-9397-08002B2CF9AE}" pid="4" name="KSOTemplateDocerSaveRecord">
    <vt:lpwstr>eyJoZGlkIjoiZjRlY2YyN2I5N2YyZTBjNTllOWE1ZmI5OGUwOTQ3OTgiLCJ1c2VySWQiOiI0MTg3MzAzMzUifQ==</vt:lpwstr>
  </property>
</Properties>
</file>